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E7B47" w14:textId="77777777" w:rsidR="00D00B7C" w:rsidRPr="006B15C8" w:rsidRDefault="00D00B7C" w:rsidP="00D00B7C">
      <w:pPr>
        <w:spacing w:line="240" w:lineRule="auto"/>
        <w:jc w:val="left"/>
        <w:rPr>
          <w:b/>
        </w:rPr>
      </w:pPr>
    </w:p>
    <w:p w14:paraId="570C4954" w14:textId="77777777" w:rsidR="00D00B7C" w:rsidRPr="006B15C8" w:rsidRDefault="00D00B7C" w:rsidP="00D00B7C">
      <w:pPr>
        <w:spacing w:line="240" w:lineRule="auto"/>
        <w:jc w:val="left"/>
        <w:rPr>
          <w:b/>
        </w:rPr>
      </w:pPr>
    </w:p>
    <w:p w14:paraId="0D660325" w14:textId="77777777" w:rsidR="00353C52" w:rsidRPr="006B15C8" w:rsidRDefault="00A54620" w:rsidP="00726FC6">
      <w:pPr>
        <w:spacing w:line="240" w:lineRule="auto"/>
        <w:jc w:val="center"/>
      </w:pPr>
      <w:r w:rsidRPr="006B15C8">
        <w:rPr>
          <w:b/>
        </w:rPr>
        <w:t>Disparities in Pedestrian Crossing and Driver Yielding Behaviors: Evidence from a Large-Scale Observational Study at Urban Intersections</w:t>
      </w:r>
    </w:p>
    <w:p w14:paraId="1D935DF0" w14:textId="77777777" w:rsidR="007A77BA" w:rsidRPr="006B15C8" w:rsidRDefault="007A77BA" w:rsidP="00D00B7C">
      <w:pPr>
        <w:spacing w:line="240" w:lineRule="auto"/>
        <w:jc w:val="left"/>
      </w:pPr>
    </w:p>
    <w:p w14:paraId="39877C35" w14:textId="77777777" w:rsidR="006B0523" w:rsidRPr="006B15C8" w:rsidRDefault="006B0523" w:rsidP="00D00B7C">
      <w:pPr>
        <w:spacing w:line="240" w:lineRule="auto"/>
        <w:jc w:val="left"/>
      </w:pPr>
    </w:p>
    <w:p w14:paraId="1DB4C3B0" w14:textId="77777777" w:rsidR="006B0523" w:rsidRPr="006B15C8" w:rsidRDefault="006B0523" w:rsidP="00D00B7C">
      <w:pPr>
        <w:spacing w:line="240" w:lineRule="auto"/>
        <w:jc w:val="left"/>
      </w:pPr>
    </w:p>
    <w:p w14:paraId="3AC406E3" w14:textId="77777777" w:rsidR="00D1470D" w:rsidRPr="006B15C8" w:rsidRDefault="00D1470D" w:rsidP="00D00B7C">
      <w:pPr>
        <w:spacing w:line="240" w:lineRule="auto"/>
        <w:jc w:val="left"/>
      </w:pPr>
    </w:p>
    <w:p w14:paraId="0D49050A" w14:textId="77777777" w:rsidR="006B0523" w:rsidRPr="006B15C8" w:rsidRDefault="006B0523" w:rsidP="00D00B7C">
      <w:pPr>
        <w:spacing w:line="240" w:lineRule="auto"/>
        <w:jc w:val="left"/>
      </w:pPr>
    </w:p>
    <w:p w14:paraId="1C7453A2" w14:textId="77777777" w:rsidR="000F18B7" w:rsidRPr="006B15C8" w:rsidRDefault="000F18B7" w:rsidP="000F18B7">
      <w:pPr>
        <w:spacing w:line="240" w:lineRule="auto"/>
        <w:jc w:val="left"/>
        <w:rPr>
          <w:b/>
          <w:bCs/>
        </w:rPr>
      </w:pPr>
      <w:r w:rsidRPr="006B15C8">
        <w:rPr>
          <w:b/>
          <w:bCs/>
        </w:rPr>
        <w:t>Anna E. Beliveau</w:t>
      </w:r>
    </w:p>
    <w:p w14:paraId="35B91D95" w14:textId="77777777" w:rsidR="000F18B7" w:rsidRPr="006B15C8" w:rsidRDefault="000F18B7" w:rsidP="000F18B7">
      <w:pPr>
        <w:spacing w:line="240" w:lineRule="auto"/>
        <w:jc w:val="left"/>
      </w:pPr>
      <w:r w:rsidRPr="006B15C8">
        <w:t xml:space="preserve">The University of Texas at Austin </w:t>
      </w:r>
    </w:p>
    <w:p w14:paraId="19B0ABA8" w14:textId="77777777" w:rsidR="000F18B7" w:rsidRPr="006B15C8" w:rsidRDefault="000F18B7" w:rsidP="000F18B7">
      <w:pPr>
        <w:spacing w:line="240" w:lineRule="auto"/>
        <w:jc w:val="left"/>
      </w:pPr>
      <w:r w:rsidRPr="006B15C8">
        <w:t xml:space="preserve">Department of Civil, Architectural and Environmental Engineering </w:t>
      </w:r>
    </w:p>
    <w:p w14:paraId="29B60D4C" w14:textId="77777777" w:rsidR="000F18B7" w:rsidRPr="006B15C8" w:rsidRDefault="000F18B7" w:rsidP="000F18B7">
      <w:pPr>
        <w:spacing w:line="240" w:lineRule="auto"/>
        <w:jc w:val="left"/>
      </w:pPr>
      <w:r w:rsidRPr="006B15C8">
        <w:t xml:space="preserve">301 E. Dean Keeton St, Stop C1761, Austin TX 78712, USA </w:t>
      </w:r>
    </w:p>
    <w:p w14:paraId="4828D81A" w14:textId="77777777" w:rsidR="000F18B7" w:rsidRPr="006B15C8" w:rsidRDefault="000F18B7" w:rsidP="000F18B7">
      <w:pPr>
        <w:spacing w:line="240" w:lineRule="auto"/>
        <w:jc w:val="left"/>
      </w:pPr>
      <w:r w:rsidRPr="006B15C8">
        <w:t xml:space="preserve">Email: </w:t>
      </w:r>
      <w:hyperlink r:id="rId8" w:history="1">
        <w:r w:rsidRPr="006B15C8">
          <w:rPr>
            <w:rStyle w:val="Hyperlink"/>
          </w:rPr>
          <w:t>annabeliveau@utexas.edu</w:t>
        </w:r>
      </w:hyperlink>
      <w:r w:rsidRPr="006B15C8">
        <w:t xml:space="preserve"> </w:t>
      </w:r>
    </w:p>
    <w:p w14:paraId="61F73FD3" w14:textId="77777777" w:rsidR="000F18B7" w:rsidRPr="006B15C8" w:rsidRDefault="000F18B7" w:rsidP="000F18B7">
      <w:pPr>
        <w:spacing w:line="240" w:lineRule="auto"/>
        <w:jc w:val="left"/>
      </w:pPr>
    </w:p>
    <w:p w14:paraId="45530A8D" w14:textId="77777777" w:rsidR="006B0523" w:rsidRPr="006B15C8" w:rsidRDefault="007D76F5" w:rsidP="00D00B7C">
      <w:pPr>
        <w:spacing w:line="240" w:lineRule="auto"/>
        <w:jc w:val="left"/>
        <w:rPr>
          <w:b/>
          <w:bCs/>
        </w:rPr>
      </w:pPr>
      <w:r w:rsidRPr="006B15C8">
        <w:rPr>
          <w:b/>
          <w:bCs/>
        </w:rPr>
        <w:t>Angela J. Haddad</w:t>
      </w:r>
    </w:p>
    <w:p w14:paraId="1DC8ACB9" w14:textId="77777777" w:rsidR="00D00B7C" w:rsidRPr="006B15C8" w:rsidRDefault="006B0523" w:rsidP="00D00B7C">
      <w:pPr>
        <w:spacing w:line="240" w:lineRule="auto"/>
        <w:jc w:val="left"/>
      </w:pPr>
      <w:r w:rsidRPr="006B15C8">
        <w:t xml:space="preserve">The University of Texas at Austin </w:t>
      </w:r>
    </w:p>
    <w:p w14:paraId="36970575" w14:textId="77777777" w:rsidR="00D00B7C" w:rsidRPr="006B15C8" w:rsidRDefault="006B0523" w:rsidP="00D00B7C">
      <w:pPr>
        <w:spacing w:line="240" w:lineRule="auto"/>
        <w:jc w:val="left"/>
      </w:pPr>
      <w:r w:rsidRPr="006B15C8">
        <w:t xml:space="preserve">Department of Civil, Architectural and Environmental Engineering </w:t>
      </w:r>
    </w:p>
    <w:p w14:paraId="5AB92195" w14:textId="77777777" w:rsidR="00317043" w:rsidRPr="006B15C8" w:rsidRDefault="006B0523" w:rsidP="00D00B7C">
      <w:pPr>
        <w:spacing w:line="240" w:lineRule="auto"/>
        <w:jc w:val="left"/>
      </w:pPr>
      <w:r w:rsidRPr="006B15C8">
        <w:t xml:space="preserve">301 E. Dean Keeton St, Stop C1761, Austin TX 78712, USA </w:t>
      </w:r>
    </w:p>
    <w:p w14:paraId="0B4A474B" w14:textId="77777777" w:rsidR="006B0523" w:rsidRPr="006B15C8" w:rsidRDefault="006B0523" w:rsidP="00D00B7C">
      <w:pPr>
        <w:spacing w:line="240" w:lineRule="auto"/>
        <w:jc w:val="left"/>
      </w:pPr>
      <w:r w:rsidRPr="006B15C8">
        <w:t xml:space="preserve">Email: </w:t>
      </w:r>
      <w:hyperlink r:id="rId9" w:history="1">
        <w:r w:rsidRPr="006B15C8">
          <w:rPr>
            <w:rStyle w:val="Hyperlink"/>
          </w:rPr>
          <w:t>angela.haddad@utexas.edu</w:t>
        </w:r>
      </w:hyperlink>
    </w:p>
    <w:p w14:paraId="3B9DCCE2" w14:textId="77777777" w:rsidR="00D1470D" w:rsidRPr="006B15C8" w:rsidRDefault="00D1470D" w:rsidP="00D00B7C">
      <w:pPr>
        <w:spacing w:line="240" w:lineRule="auto"/>
        <w:jc w:val="left"/>
      </w:pPr>
    </w:p>
    <w:p w14:paraId="2FC9BC44" w14:textId="77777777" w:rsidR="006B0523" w:rsidRPr="006B15C8" w:rsidRDefault="007D76F5" w:rsidP="00D00B7C">
      <w:pPr>
        <w:spacing w:line="240" w:lineRule="auto"/>
        <w:jc w:val="left"/>
        <w:rPr>
          <w:b/>
          <w:bCs/>
        </w:rPr>
      </w:pPr>
      <w:r w:rsidRPr="006B15C8">
        <w:rPr>
          <w:b/>
          <w:bCs/>
        </w:rPr>
        <w:t>Emily A. Podnar</w:t>
      </w:r>
    </w:p>
    <w:p w14:paraId="69483F16" w14:textId="77777777" w:rsidR="00D00B7C" w:rsidRPr="006B15C8" w:rsidRDefault="006B0523" w:rsidP="00D00B7C">
      <w:pPr>
        <w:spacing w:line="240" w:lineRule="auto"/>
        <w:jc w:val="left"/>
      </w:pPr>
      <w:r w:rsidRPr="006B15C8">
        <w:t xml:space="preserve">The University of Texas at Austin </w:t>
      </w:r>
    </w:p>
    <w:p w14:paraId="13A92CA6" w14:textId="77777777" w:rsidR="00D00B7C" w:rsidRPr="006B15C8" w:rsidRDefault="006B0523" w:rsidP="00D00B7C">
      <w:pPr>
        <w:spacing w:line="240" w:lineRule="auto"/>
        <w:jc w:val="left"/>
      </w:pPr>
      <w:r w:rsidRPr="006B15C8">
        <w:t xml:space="preserve">Department of Civil, Architectural and Environmental Engineering </w:t>
      </w:r>
    </w:p>
    <w:p w14:paraId="5C22A73B" w14:textId="77777777" w:rsidR="00317043" w:rsidRPr="006B15C8" w:rsidRDefault="006B0523" w:rsidP="00D00B7C">
      <w:pPr>
        <w:spacing w:line="240" w:lineRule="auto"/>
        <w:jc w:val="left"/>
      </w:pPr>
      <w:r w:rsidRPr="006B15C8">
        <w:t xml:space="preserve">301 E. Dean Keeton St, Stop C1761, Austin TX 78712, USA </w:t>
      </w:r>
    </w:p>
    <w:p w14:paraId="387674DA" w14:textId="77777777" w:rsidR="006B0523" w:rsidRPr="006B15C8" w:rsidRDefault="006B0523" w:rsidP="00D00B7C">
      <w:pPr>
        <w:spacing w:line="240" w:lineRule="auto"/>
        <w:jc w:val="left"/>
      </w:pPr>
      <w:r w:rsidRPr="006B15C8">
        <w:t xml:space="preserve">Email: </w:t>
      </w:r>
      <w:hyperlink r:id="rId10" w:history="1">
        <w:r w:rsidRPr="006B15C8">
          <w:rPr>
            <w:rStyle w:val="Hyperlink"/>
          </w:rPr>
          <w:t>emilypodnar@utexas.edu</w:t>
        </w:r>
      </w:hyperlink>
      <w:r w:rsidRPr="006B15C8">
        <w:t xml:space="preserve"> </w:t>
      </w:r>
    </w:p>
    <w:p w14:paraId="336D90AF" w14:textId="77777777" w:rsidR="00D1470D" w:rsidRPr="006B15C8" w:rsidRDefault="00D1470D" w:rsidP="00D00B7C">
      <w:pPr>
        <w:spacing w:line="240" w:lineRule="auto"/>
        <w:jc w:val="left"/>
      </w:pPr>
    </w:p>
    <w:p w14:paraId="16FE9A57" w14:textId="77777777" w:rsidR="006B0523" w:rsidRPr="006B15C8" w:rsidRDefault="007D76F5" w:rsidP="00D00B7C">
      <w:pPr>
        <w:spacing w:line="240" w:lineRule="auto"/>
        <w:jc w:val="left"/>
        <w:rPr>
          <w:b/>
          <w:bCs/>
        </w:rPr>
      </w:pPr>
      <w:r w:rsidRPr="006B15C8">
        <w:rPr>
          <w:b/>
          <w:bCs/>
        </w:rPr>
        <w:t>Devina Sharma</w:t>
      </w:r>
    </w:p>
    <w:p w14:paraId="4073C629" w14:textId="77777777" w:rsidR="00D00B7C" w:rsidRPr="006B15C8" w:rsidRDefault="006B0523" w:rsidP="00D00B7C">
      <w:pPr>
        <w:spacing w:line="240" w:lineRule="auto"/>
        <w:jc w:val="left"/>
      </w:pPr>
      <w:r w:rsidRPr="006B15C8">
        <w:t xml:space="preserve">The University of Texas at Austin </w:t>
      </w:r>
    </w:p>
    <w:p w14:paraId="3485E278" w14:textId="77777777" w:rsidR="00D00B7C" w:rsidRPr="006B15C8" w:rsidRDefault="006B0523" w:rsidP="00D00B7C">
      <w:pPr>
        <w:spacing w:line="240" w:lineRule="auto"/>
        <w:jc w:val="left"/>
      </w:pPr>
      <w:r w:rsidRPr="006B15C8">
        <w:t xml:space="preserve">Department of Civil, Architectural and Environmental Engineering </w:t>
      </w:r>
    </w:p>
    <w:p w14:paraId="0F4DEBB1" w14:textId="77777777" w:rsidR="00317043" w:rsidRPr="006B15C8" w:rsidRDefault="006B0523" w:rsidP="00D00B7C">
      <w:pPr>
        <w:spacing w:line="240" w:lineRule="auto"/>
        <w:jc w:val="left"/>
      </w:pPr>
      <w:r w:rsidRPr="006B15C8">
        <w:t xml:space="preserve">301 E. Dean Keeton St, Stop C1761, Austin TX 78712, USA </w:t>
      </w:r>
    </w:p>
    <w:p w14:paraId="3B578D77" w14:textId="77777777" w:rsidR="006B0523" w:rsidRPr="006B15C8" w:rsidRDefault="006B0523" w:rsidP="00D00B7C">
      <w:pPr>
        <w:spacing w:line="240" w:lineRule="auto"/>
        <w:jc w:val="left"/>
      </w:pPr>
      <w:r w:rsidRPr="006B15C8">
        <w:t xml:space="preserve">Email: </w:t>
      </w:r>
      <w:hyperlink r:id="rId11" w:history="1">
        <w:r w:rsidRPr="006B15C8">
          <w:rPr>
            <w:rStyle w:val="Hyperlink"/>
          </w:rPr>
          <w:t>devinasharma@utexas.edu</w:t>
        </w:r>
      </w:hyperlink>
      <w:r w:rsidRPr="006B15C8">
        <w:t xml:space="preserve"> </w:t>
      </w:r>
    </w:p>
    <w:p w14:paraId="28DACF7F" w14:textId="77777777" w:rsidR="00D1470D" w:rsidRPr="006B15C8" w:rsidRDefault="00D1470D" w:rsidP="00D00B7C">
      <w:pPr>
        <w:spacing w:line="240" w:lineRule="auto"/>
        <w:jc w:val="left"/>
      </w:pPr>
    </w:p>
    <w:p w14:paraId="6D56F6A1" w14:textId="77777777" w:rsidR="004718A2" w:rsidRPr="006B15C8" w:rsidRDefault="007D76F5" w:rsidP="00D00B7C">
      <w:pPr>
        <w:spacing w:line="240" w:lineRule="auto"/>
        <w:jc w:val="left"/>
        <w:rPr>
          <w:b/>
          <w:bCs/>
        </w:rPr>
      </w:pPr>
      <w:r w:rsidRPr="006B15C8">
        <w:rPr>
          <w:b/>
          <w:bCs/>
        </w:rPr>
        <w:t>Chandra R. Bhat</w:t>
      </w:r>
      <w:r w:rsidR="006B0523" w:rsidRPr="006B15C8">
        <w:rPr>
          <w:b/>
          <w:bCs/>
        </w:rPr>
        <w:t xml:space="preserve"> (corresponding author) </w:t>
      </w:r>
    </w:p>
    <w:p w14:paraId="3C4060DF" w14:textId="77777777" w:rsidR="00D00B7C" w:rsidRPr="006B15C8" w:rsidRDefault="006B0523" w:rsidP="00D00B7C">
      <w:pPr>
        <w:spacing w:line="240" w:lineRule="auto"/>
        <w:jc w:val="left"/>
      </w:pPr>
      <w:r w:rsidRPr="006B15C8">
        <w:t xml:space="preserve">The University of Texas at Austin </w:t>
      </w:r>
    </w:p>
    <w:p w14:paraId="0CD11186" w14:textId="77777777" w:rsidR="00D00B7C" w:rsidRPr="006B15C8" w:rsidRDefault="006B0523" w:rsidP="00D00B7C">
      <w:pPr>
        <w:spacing w:line="240" w:lineRule="auto"/>
        <w:jc w:val="left"/>
      </w:pPr>
      <w:r w:rsidRPr="006B15C8">
        <w:t xml:space="preserve">Department of Civil, Architectural and Environmental Engineering </w:t>
      </w:r>
    </w:p>
    <w:p w14:paraId="4B99F23C" w14:textId="1C5DC096" w:rsidR="00D00B7C" w:rsidRPr="006B15C8" w:rsidRDefault="006B0523" w:rsidP="00D00B7C">
      <w:pPr>
        <w:spacing w:line="240" w:lineRule="auto"/>
        <w:jc w:val="left"/>
      </w:pPr>
      <w:r w:rsidRPr="006B15C8">
        <w:t>301 E. Dean Keeton St</w:t>
      </w:r>
      <w:r w:rsidR="00464D81">
        <w:t>,</w:t>
      </w:r>
      <w:r w:rsidRPr="006B15C8">
        <w:t xml:space="preserve"> Stop C1761, Austin TX 78712, USA </w:t>
      </w:r>
    </w:p>
    <w:p w14:paraId="6BEEB63F" w14:textId="77777777" w:rsidR="006B0523" w:rsidRPr="006B15C8" w:rsidRDefault="006B0523" w:rsidP="00D00B7C">
      <w:pPr>
        <w:spacing w:line="240" w:lineRule="auto"/>
        <w:jc w:val="left"/>
      </w:pPr>
      <w:r w:rsidRPr="006B15C8">
        <w:t xml:space="preserve">Tel: +1-512-471-4535; Email: </w:t>
      </w:r>
      <w:bookmarkStart w:id="0" w:name="_Hlk204598199"/>
      <w:r w:rsidR="00DE07A5" w:rsidRPr="006B15C8">
        <w:fldChar w:fldCharType="begin"/>
      </w:r>
      <w:r w:rsidR="00DE07A5" w:rsidRPr="006B15C8">
        <w:instrText xml:space="preserve"> HYPERLINK "mailto:bhat@mail.utexas.edu" </w:instrText>
      </w:r>
      <w:r w:rsidR="00DE07A5" w:rsidRPr="006B15C8">
        <w:fldChar w:fldCharType="separate"/>
      </w:r>
      <w:r w:rsidRPr="006B15C8">
        <w:rPr>
          <w:rStyle w:val="Hyperlink"/>
        </w:rPr>
        <w:t>bhat@mail.utexas.edu</w:t>
      </w:r>
      <w:r w:rsidR="00DE07A5" w:rsidRPr="006B15C8">
        <w:rPr>
          <w:rStyle w:val="Hyperlink"/>
        </w:rPr>
        <w:fldChar w:fldCharType="end"/>
      </w:r>
      <w:r w:rsidRPr="006B15C8">
        <w:t xml:space="preserve"> </w:t>
      </w:r>
      <w:bookmarkEnd w:id="0"/>
    </w:p>
    <w:p w14:paraId="3FD26F8B" w14:textId="77777777" w:rsidR="00BC6147" w:rsidRPr="006B15C8" w:rsidRDefault="006B0523">
      <w:pPr>
        <w:jc w:val="left"/>
        <w:sectPr w:rsidR="00BC6147" w:rsidRPr="006B15C8" w:rsidSect="00474741">
          <w:footerReference w:type="default" r:id="rId12"/>
          <w:footerReference w:type="first" r:id="rId13"/>
          <w:pgSz w:w="12240" w:h="15840"/>
          <w:pgMar w:top="1440" w:right="1440" w:bottom="1440" w:left="1440" w:header="720" w:footer="720" w:gutter="0"/>
          <w:pgNumType w:start="1"/>
          <w:cols w:space="720"/>
          <w:titlePg/>
          <w:docGrid w:linePitch="326"/>
        </w:sectPr>
      </w:pPr>
      <w:r w:rsidRPr="006B15C8">
        <w:br w:type="page"/>
      </w:r>
    </w:p>
    <w:p w14:paraId="070E0DA1" w14:textId="77777777" w:rsidR="00353C52" w:rsidRPr="006B15C8" w:rsidRDefault="00860FF8" w:rsidP="004A6C6E">
      <w:pPr>
        <w:spacing w:line="271" w:lineRule="auto"/>
        <w:rPr>
          <w:b/>
          <w:bCs/>
          <w:caps/>
        </w:rPr>
      </w:pPr>
      <w:r w:rsidRPr="006B15C8">
        <w:rPr>
          <w:b/>
          <w:bCs/>
          <w:caps/>
        </w:rPr>
        <w:lastRenderedPageBreak/>
        <w:t>Abstract</w:t>
      </w:r>
    </w:p>
    <w:p w14:paraId="412D7CB4" w14:textId="3F7484AF" w:rsidR="007A77BA" w:rsidRPr="006B15C8" w:rsidRDefault="007A77BA" w:rsidP="004A6C6E">
      <w:pPr>
        <w:spacing w:line="271" w:lineRule="auto"/>
        <w:contextualSpacing/>
      </w:pPr>
      <w:r w:rsidRPr="006B15C8">
        <w:t>Pedestrian safety remains a critical challenge in urban environments, marked by rising fatalities and persistent disparities across sociodemographic groups. Uncovering the drivers of these disparities requires a deeper understanding of both pedestrian and driver behavior</w:t>
      </w:r>
      <w:r w:rsidR="009A4FCF" w:rsidRPr="006B15C8">
        <w:t>s</w:t>
      </w:r>
      <w:r w:rsidRPr="006B15C8">
        <w:t xml:space="preserve">. This study examines how individual attributes, social context, and </w:t>
      </w:r>
      <w:r w:rsidR="009F6234" w:rsidRPr="006B15C8">
        <w:t>time</w:t>
      </w:r>
      <w:r w:rsidR="008D5FDC" w:rsidRPr="006B15C8">
        <w:t>-</w:t>
      </w:r>
      <w:r w:rsidR="009F6234" w:rsidRPr="006B15C8">
        <w:t>of</w:t>
      </w:r>
      <w:r w:rsidR="008D5FDC" w:rsidRPr="006B15C8">
        <w:t>-</w:t>
      </w:r>
      <w:r w:rsidR="009F6234" w:rsidRPr="006B15C8">
        <w:t xml:space="preserve">day/weather </w:t>
      </w:r>
      <w:r w:rsidRPr="006B15C8">
        <w:t xml:space="preserve">conditions shape pedestrian crossing and driver yielding decisions. We analyzed over 1,000 hours of video footage from two intersections in Austin, Texas, documenting over </w:t>
      </w:r>
      <w:r w:rsidR="009A4FCF" w:rsidRPr="006B15C8">
        <w:t>20,995</w:t>
      </w:r>
      <w:r w:rsidRPr="006B15C8">
        <w:t xml:space="preserve"> pedestrian crossings and 3,124 pedestrian-vehicle interactions. Manual annotation of this footage enabled the estimation of two binary logit models: one predicting non-compliant pedestrian crossings (NCPC) and the other predicting driver</w:t>
      </w:r>
      <w:r w:rsidR="00B97D83" w:rsidRPr="006B15C8">
        <w:t xml:space="preserve"> unyielding (DUY) (that is, driver </w:t>
      </w:r>
      <w:r w:rsidRPr="006B15C8">
        <w:t>failure to yield</w:t>
      </w:r>
      <w:r w:rsidR="009A4FCF" w:rsidRPr="006B15C8">
        <w:t xml:space="preserve"> to pedestrians</w:t>
      </w:r>
      <w:r w:rsidR="00B97D83" w:rsidRPr="006B15C8">
        <w:t>)</w:t>
      </w:r>
      <w:r w:rsidRPr="006B15C8">
        <w:t>.</w:t>
      </w:r>
      <w:r w:rsidR="008C222F" w:rsidRPr="006B15C8">
        <w:t xml:space="preserve"> The results indicate that male pedestrians, Black pedestrians, those displaying visible signs of housing insecurity</w:t>
      </w:r>
      <w:r w:rsidR="00DF0861" w:rsidRPr="006B15C8">
        <w:t xml:space="preserve"> (VHI)</w:t>
      </w:r>
      <w:r w:rsidR="008C222F" w:rsidRPr="006B15C8">
        <w:t xml:space="preserve">, and individuals crossing solo are significantly more likely to cross non‑compliantly and to encounter lower driver‑yielding rates. Runners also exhibit higher NCPC rates than walkers, with peak non‑compliance occurring during </w:t>
      </w:r>
      <w:r w:rsidR="009F6234" w:rsidRPr="006B15C8">
        <w:t xml:space="preserve">late </w:t>
      </w:r>
      <w:r w:rsidR="008C222F" w:rsidRPr="006B15C8">
        <w:t>night</w:t>
      </w:r>
      <w:r w:rsidR="009F6234" w:rsidRPr="006B15C8">
        <w:t xml:space="preserve"> </w:t>
      </w:r>
      <w:r w:rsidR="008C222F" w:rsidRPr="006B15C8">
        <w:t xml:space="preserve">and dawn </w:t>
      </w:r>
      <w:r w:rsidR="009F6234" w:rsidRPr="006B15C8">
        <w:t>periods</w:t>
      </w:r>
      <w:r w:rsidR="008C222F" w:rsidRPr="006B15C8">
        <w:t xml:space="preserve">. On the driver side, pedestrian NCPC behavior is the strongest predictor of failure to yield. </w:t>
      </w:r>
      <w:r w:rsidR="00B97D83" w:rsidRPr="006B15C8">
        <w:t xml:space="preserve">DUY </w:t>
      </w:r>
      <w:r w:rsidR="008C222F" w:rsidRPr="006B15C8">
        <w:t>behavior is also more likely during morning periods</w:t>
      </w:r>
      <w:r w:rsidR="009F6234" w:rsidRPr="006B15C8">
        <w:t xml:space="preserve"> and among drivers of personal (non-commercial) vehicles</w:t>
      </w:r>
      <w:r w:rsidR="008C222F" w:rsidRPr="006B15C8">
        <w:t xml:space="preserve">, </w:t>
      </w:r>
      <w:r w:rsidR="009F6234" w:rsidRPr="006B15C8">
        <w:t xml:space="preserve">and when the pedestrian in question is </w:t>
      </w:r>
      <w:r w:rsidR="008C222F" w:rsidRPr="006B15C8">
        <w:t>older</w:t>
      </w:r>
      <w:r w:rsidR="00DF0861" w:rsidRPr="006B15C8">
        <w:t>,</w:t>
      </w:r>
      <w:r w:rsidR="009F6234" w:rsidRPr="006B15C8">
        <w:t xml:space="preserve"> </w:t>
      </w:r>
      <w:r w:rsidR="008C222F" w:rsidRPr="006B15C8">
        <w:t xml:space="preserve">Black </w:t>
      </w:r>
      <w:r w:rsidR="009F6234" w:rsidRPr="006B15C8">
        <w:t xml:space="preserve">or </w:t>
      </w:r>
      <w:r w:rsidR="008C222F" w:rsidRPr="006B15C8">
        <w:t>Brown</w:t>
      </w:r>
      <w:r w:rsidR="00DF0861" w:rsidRPr="006B15C8">
        <w:t>, and exhibits VHI</w:t>
      </w:r>
      <w:r w:rsidR="008C222F" w:rsidRPr="006B15C8">
        <w:t xml:space="preserve">. </w:t>
      </w:r>
      <w:r w:rsidRPr="006B15C8">
        <w:t>The</w:t>
      </w:r>
      <w:r w:rsidR="008C222F" w:rsidRPr="006B15C8">
        <w:t>se</w:t>
      </w:r>
      <w:r w:rsidRPr="006B15C8">
        <w:t xml:space="preserve"> findings </w:t>
      </w:r>
      <w:r w:rsidR="00A54620" w:rsidRPr="006B15C8">
        <w:t>highlight</w:t>
      </w:r>
      <w:r w:rsidRPr="006B15C8">
        <w:t xml:space="preserve"> the importance of addressing social and behavioral factors in pedestrian safety interventions. By revealing how marginalization and context interact to shape risk, this research contributes to the transportation equity literature and supports interventions that go beyond infrastructure</w:t>
      </w:r>
      <w:r w:rsidR="00A54620" w:rsidRPr="006B15C8">
        <w:t xml:space="preserve">, </w:t>
      </w:r>
      <w:r w:rsidRPr="006B15C8">
        <w:t>such as education campaigns, bias reduction, and community-led safety initiatives.</w:t>
      </w:r>
    </w:p>
    <w:p w14:paraId="2943D389" w14:textId="77777777" w:rsidR="004718A2" w:rsidRPr="006B15C8" w:rsidRDefault="004718A2" w:rsidP="004A6C6E">
      <w:pPr>
        <w:spacing w:line="271" w:lineRule="auto"/>
        <w:rPr>
          <w:b/>
          <w:bCs/>
        </w:rPr>
      </w:pPr>
    </w:p>
    <w:p w14:paraId="2A16F86D" w14:textId="77777777" w:rsidR="0085363C" w:rsidRPr="006B15C8" w:rsidRDefault="0085363C" w:rsidP="004A6C6E">
      <w:pPr>
        <w:spacing w:line="271" w:lineRule="auto"/>
      </w:pPr>
      <w:r w:rsidRPr="006B15C8">
        <w:rPr>
          <w:b/>
          <w:bCs/>
        </w:rPr>
        <w:t xml:space="preserve">Keywords: </w:t>
      </w:r>
      <w:r w:rsidRPr="006B15C8">
        <w:t xml:space="preserve">Pedestrian-vehicle interaction; </w:t>
      </w:r>
      <w:r w:rsidR="0075491A" w:rsidRPr="006B15C8">
        <w:t xml:space="preserve">pedestrian crossing violation; jaywalking; driver yielding; </w:t>
      </w:r>
      <w:r w:rsidR="009F6234" w:rsidRPr="006B15C8">
        <w:t>naturalistic video data collection</w:t>
      </w:r>
      <w:r w:rsidR="00F973E5" w:rsidRPr="006B15C8">
        <w:t>;</w:t>
      </w:r>
      <w:r w:rsidR="009F6234" w:rsidRPr="006B15C8">
        <w:t xml:space="preserve"> </w:t>
      </w:r>
      <w:r w:rsidR="0075491A" w:rsidRPr="006B15C8">
        <w:t>pedestrian safety</w:t>
      </w:r>
    </w:p>
    <w:p w14:paraId="4E453647" w14:textId="50D59B4E" w:rsidR="00534A5E" w:rsidRPr="006B15C8" w:rsidRDefault="00534A5E" w:rsidP="004A6C6E">
      <w:pPr>
        <w:spacing w:line="271" w:lineRule="auto"/>
        <w:jc w:val="left"/>
        <w:rPr>
          <w:b/>
          <w:bCs/>
        </w:rPr>
      </w:pPr>
    </w:p>
    <w:p w14:paraId="504022F9" w14:textId="77777777" w:rsidR="007014DD" w:rsidRPr="006B15C8" w:rsidRDefault="007014DD" w:rsidP="004A6C6E">
      <w:pPr>
        <w:pStyle w:val="Heading1"/>
        <w:spacing w:line="271" w:lineRule="auto"/>
        <w:rPr>
          <w:caps/>
        </w:rPr>
        <w:sectPr w:rsidR="007014DD" w:rsidRPr="006B15C8" w:rsidSect="00474741">
          <w:footerReference w:type="default" r:id="rId14"/>
          <w:pgSz w:w="12240" w:h="15840"/>
          <w:pgMar w:top="1440" w:right="1440" w:bottom="1440" w:left="1440" w:header="720" w:footer="720" w:gutter="0"/>
          <w:pgNumType w:start="1"/>
          <w:cols w:space="720"/>
          <w:docGrid w:linePitch="326"/>
        </w:sectPr>
      </w:pPr>
    </w:p>
    <w:p w14:paraId="478A9AD9" w14:textId="77777777" w:rsidR="0064446E" w:rsidRPr="006B15C8" w:rsidRDefault="00A94A0E" w:rsidP="004A6C6E">
      <w:pPr>
        <w:pStyle w:val="Heading1"/>
        <w:spacing w:line="271" w:lineRule="auto"/>
        <w:ind w:left="360"/>
        <w:rPr>
          <w:caps/>
        </w:rPr>
      </w:pPr>
      <w:r w:rsidRPr="006B15C8">
        <w:rPr>
          <w:caps/>
        </w:rPr>
        <w:lastRenderedPageBreak/>
        <w:t>Introduction</w:t>
      </w:r>
    </w:p>
    <w:p w14:paraId="2B63625B" w14:textId="77777777" w:rsidR="00353C52" w:rsidRPr="006B15C8" w:rsidRDefault="0064446E" w:rsidP="004A6C6E">
      <w:pPr>
        <w:pStyle w:val="Heading2"/>
        <w:spacing w:line="271" w:lineRule="auto"/>
      </w:pPr>
      <w:r w:rsidRPr="006B15C8">
        <w:t xml:space="preserve"> </w:t>
      </w:r>
      <w:r w:rsidR="00A94A0E" w:rsidRPr="006B15C8">
        <w:t>Background and Context</w:t>
      </w:r>
    </w:p>
    <w:p w14:paraId="1EC109A3" w14:textId="77777777" w:rsidR="00587BB7" w:rsidRPr="006B15C8" w:rsidRDefault="0075491A" w:rsidP="004A6C6E">
      <w:pPr>
        <w:spacing w:line="271" w:lineRule="auto"/>
      </w:pPr>
      <w:r w:rsidRPr="006B15C8">
        <w:t>Pedestrian safety remains a pressing concern in transportation research and practice, driven by persistently high and rising rates of injuries and fatalities, and the inequitable distribution of these risks across communities. A</w:t>
      </w:r>
      <w:r w:rsidR="009F6234" w:rsidRPr="006B15C8">
        <w:t>n a</w:t>
      </w:r>
      <w:r w:rsidRPr="006B15C8">
        <w:t>nalysis of National Highway Traffic Safety Administration (NHTSA) records reveals a steady deterioration in pedestrian safety since fatalities hit a historic low in 2009</w:t>
      </w:r>
      <w:r w:rsidR="006269C2" w:rsidRPr="006B15C8">
        <w:t>.</w:t>
      </w:r>
      <w:r w:rsidR="00C57D4E" w:rsidRPr="006B15C8">
        <w:t xml:space="preserve"> </w:t>
      </w:r>
      <w:r w:rsidRPr="006B15C8">
        <w:t>In 2022, p</w:t>
      </w:r>
      <w:r w:rsidR="00C57D4E" w:rsidRPr="006B15C8">
        <w:t>edestrian f</w:t>
      </w:r>
      <w:r w:rsidR="00476CF6" w:rsidRPr="006B15C8">
        <w:t>atalities reached 7,5</w:t>
      </w:r>
      <w:r w:rsidR="00A3056E" w:rsidRPr="006B15C8">
        <w:t>93</w:t>
      </w:r>
      <w:r w:rsidR="00476CF6" w:rsidRPr="006B15C8">
        <w:t xml:space="preserve">, representing a </w:t>
      </w:r>
      <w:r w:rsidR="00A3056E" w:rsidRPr="006B15C8">
        <w:t>1</w:t>
      </w:r>
      <w:r w:rsidR="00476CF6" w:rsidRPr="006B15C8">
        <w:t>.</w:t>
      </w:r>
      <w:r w:rsidR="00A3056E" w:rsidRPr="006B15C8">
        <w:t>6</w:t>
      </w:r>
      <w:r w:rsidR="00476CF6" w:rsidRPr="006B15C8">
        <w:t xml:space="preserve">% increase from </w:t>
      </w:r>
      <w:r w:rsidRPr="006B15C8">
        <w:t>the previous year</w:t>
      </w:r>
      <w:r w:rsidR="006269C2" w:rsidRPr="006B15C8">
        <w:t>,</w:t>
      </w:r>
      <w:r w:rsidR="00476CF6" w:rsidRPr="006B15C8">
        <w:t xml:space="preserve"> and the highest annual </w:t>
      </w:r>
      <w:r w:rsidRPr="006B15C8">
        <w:t>toll</w:t>
      </w:r>
      <w:r w:rsidR="00476CF6" w:rsidRPr="006B15C8">
        <w:t xml:space="preserve"> since 1981</w:t>
      </w:r>
      <w:r w:rsidR="00C57D4E" w:rsidRPr="006B15C8">
        <w:t xml:space="preserve"> </w:t>
      </w:r>
      <w:bookmarkStart w:id="1" w:name="_Hlk202475471"/>
      <w:bookmarkStart w:id="2" w:name="_Hlk203650375"/>
      <w:r w:rsidR="00C57D4E" w:rsidRPr="006B15C8">
        <w:fldChar w:fldCharType="begin"/>
      </w:r>
      <w:r w:rsidR="00911EF4" w:rsidRPr="006B15C8">
        <w:instrText xml:space="preserve"> ADDIN ZOTERO_ITEM CSL_CITATION {"citationID":"qUaE8mai","properties":{"formattedCitation":"(NHTSA, 2024b)","plainCitation":"(NHTSA, 2024b)","dontUpdate":true,"noteIndex":0},"citationItems":[{"id":21,"uris":["http://zotero.org/groups/5885221/items/9GNT4YGN"],"itemData":{"id":21,"type":"report","publisher":"U.S. Department of Transportation","title":"Traffic Saftey Facts 2022 Data","URL":"https://crashstats.nhtsa.dot.gov/Api/Public/ViewPublication/813590","author":[{"family":"NHTSA","given":""}],"issued":{"date-parts":[["2024"]]}},"label":"page"}],"schema":"https://github.com/citation-style-language/schema/raw/master/csl-citation.json"} </w:instrText>
      </w:r>
      <w:r w:rsidR="00C57D4E" w:rsidRPr="006B15C8">
        <w:fldChar w:fldCharType="separate"/>
      </w:r>
      <w:r w:rsidR="00906BDF" w:rsidRPr="006B15C8">
        <w:t>(NHTSA, 2024</w:t>
      </w:r>
      <w:r w:rsidR="00EC232F" w:rsidRPr="006B15C8">
        <w:t>a</w:t>
      </w:r>
      <w:r w:rsidR="00906BDF" w:rsidRPr="006B15C8">
        <w:t>)</w:t>
      </w:r>
      <w:r w:rsidR="00C57D4E" w:rsidRPr="006B15C8">
        <w:fldChar w:fldCharType="end"/>
      </w:r>
      <w:bookmarkEnd w:id="1"/>
      <w:r w:rsidR="00C57D4E" w:rsidRPr="006B15C8">
        <w:t xml:space="preserve">. </w:t>
      </w:r>
      <w:bookmarkEnd w:id="2"/>
      <w:r w:rsidR="00A3056E" w:rsidRPr="006B15C8">
        <w:t xml:space="preserve">Although fatalities declined slightly to 7,314 in 2023, the number of non-fatal pedestrian crashes increased by 1.34% compared to 2022, reaching 68,244 incidents </w:t>
      </w:r>
      <w:bookmarkStart w:id="3" w:name="_Hlk202475497"/>
      <w:r w:rsidR="00A3056E" w:rsidRPr="006B15C8">
        <w:fldChar w:fldCharType="begin"/>
      </w:r>
      <w:r w:rsidR="00911EF4" w:rsidRPr="006B15C8">
        <w:instrText xml:space="preserve"> ADDIN ZOTERO_ITEM CSL_CITATION {"citationID":"6Yz61s4q","properties":{"formattedCitation":"(NHTSA, 2024a)","plainCitation":"(NHTSA, 2024a)","dontUpdate":true,"noteIndex":0},"citationItems":[{"id":417,"uris":["http://zotero.org/groups/5885221/items/XJRZRDUA"],"itemData":{"id":417,"type":"webpage","container-title":"U.S. Department of Transportation","title":"FARS Web-Based Encyclopedia","URL":"https://www-fars.nhtsa.dot.gov/Main/index.aspx","author":[{"literal":"NHTSA"}],"issued":{"date-parts":[["2024"]]}}}],"schema":"https://github.com/citation-style-language/schema/raw/master/csl-citation.json"} </w:instrText>
      </w:r>
      <w:r w:rsidR="00A3056E" w:rsidRPr="006B15C8">
        <w:fldChar w:fldCharType="separate"/>
      </w:r>
      <w:r w:rsidR="00906BDF" w:rsidRPr="006B15C8">
        <w:t>(NHTSA, 2024</w:t>
      </w:r>
      <w:r w:rsidR="00EC232F" w:rsidRPr="006B15C8">
        <w:t>b</w:t>
      </w:r>
      <w:r w:rsidR="00906BDF" w:rsidRPr="006B15C8">
        <w:t>)</w:t>
      </w:r>
      <w:r w:rsidR="00A3056E" w:rsidRPr="006B15C8">
        <w:fldChar w:fldCharType="end"/>
      </w:r>
      <w:r w:rsidR="00A3056E" w:rsidRPr="006B15C8">
        <w:t xml:space="preserve">. </w:t>
      </w:r>
      <w:bookmarkEnd w:id="3"/>
      <w:r w:rsidR="00523078" w:rsidRPr="006B15C8">
        <w:t xml:space="preserve">Overall, this long-term upward trend in pedestrian crashes and fatalities contrasts with trends in other developed nations, where pedestrian deaths have generally declined </w:t>
      </w:r>
      <w:bookmarkStart w:id="4" w:name="_Hlk202475573"/>
      <w:r w:rsidR="00523078" w:rsidRPr="006B15C8">
        <w:fldChar w:fldCharType="begin"/>
      </w:r>
      <w:r w:rsidR="00911EF4" w:rsidRPr="006B15C8">
        <w:instrText xml:space="preserve"> ADDIN ZOTERO_ITEM CSL_CITATION {"citationID":"Q2J80wJm","properties":{"formattedCitation":"(Naumann et al., 2025)","plainCitation":"(Naumann et al., 2025)","noteIndex":0},"citationItems":[{"id":356,"uris":["http://zotero.org/groups/5885221/items/4QHXERIZ"],"itemData":{"id":356,"type":"report","collection-title":"Morbidity and Mortality Weekly Report (MMWR)","publisher":"CDC","title":"Pedestrian and Overall Road Traffic Crash Deaths - United States and 27 Other High-Income Countries","URL":"https://www.cdc.gov/mmwr/volumes/74/wr/mm7408a2.htm","author":[{"family":"Naumann","given":"RebeccA"},{"family":"West","given":"Bethany"},{"family":"Barry","given":"Vaughn"},{"family":"Matthews","given":"Sarah"},{"family":"Lee","given":"Robin"}],"issued":{"date-parts":[["2025"]]}}}],"schema":"https://github.com/citation-style-language/schema/raw/master/csl-citation.json"} </w:instrText>
      </w:r>
      <w:r w:rsidR="00523078" w:rsidRPr="006B15C8">
        <w:fldChar w:fldCharType="separate"/>
      </w:r>
      <w:r w:rsidR="00523078" w:rsidRPr="006B15C8">
        <w:t>(Naumann et al., 2025)</w:t>
      </w:r>
      <w:r w:rsidR="00523078" w:rsidRPr="006B15C8">
        <w:fldChar w:fldCharType="end"/>
      </w:r>
      <w:r w:rsidR="00523078" w:rsidRPr="006B15C8">
        <w:t>.</w:t>
      </w:r>
      <w:r w:rsidR="002A3971" w:rsidRPr="006B15C8">
        <w:t xml:space="preserve"> </w:t>
      </w:r>
      <w:bookmarkEnd w:id="4"/>
      <w:r w:rsidR="00B82DAC" w:rsidRPr="006B15C8">
        <w:t xml:space="preserve">Moreover, </w:t>
      </w:r>
      <w:r w:rsidRPr="006B15C8">
        <w:t>pedestrians have become increasingly vulnerable relative to other road users, as reflected in the growing share of pedestrian deaths</w:t>
      </w:r>
      <w:r w:rsidR="009A4FCF" w:rsidRPr="006B15C8">
        <w:t>, which increased</w:t>
      </w:r>
      <w:r w:rsidRPr="006B15C8">
        <w:t xml:space="preserve"> from 1</w:t>
      </w:r>
      <w:r w:rsidR="00A3056E" w:rsidRPr="006B15C8">
        <w:t>2.1</w:t>
      </w:r>
      <w:r w:rsidRPr="006B15C8">
        <w:t>% of all traffic fatalities in 20</w:t>
      </w:r>
      <w:r w:rsidR="00A3056E" w:rsidRPr="006B15C8">
        <w:t>09</w:t>
      </w:r>
      <w:r w:rsidRPr="006B15C8">
        <w:t xml:space="preserve"> to 17.</w:t>
      </w:r>
      <w:r w:rsidR="00A3056E" w:rsidRPr="006B15C8">
        <w:t>9</w:t>
      </w:r>
      <w:r w:rsidRPr="006B15C8">
        <w:t>% in 202</w:t>
      </w:r>
      <w:r w:rsidR="00A3056E" w:rsidRPr="006B15C8">
        <w:t>3</w:t>
      </w:r>
      <w:r w:rsidR="002A3971" w:rsidRPr="006B15C8">
        <w:t xml:space="preserve"> </w:t>
      </w:r>
      <w:r w:rsidR="002A3971" w:rsidRPr="006B15C8">
        <w:fldChar w:fldCharType="begin"/>
      </w:r>
      <w:r w:rsidR="00911EF4" w:rsidRPr="006B15C8">
        <w:instrText xml:space="preserve"> ADDIN ZOTERO_ITEM CSL_CITATION {"citationID":"PQOLcBpp","properties":{"formattedCitation":"(NHTSA, 2024a)","plainCitation":"(NHTSA, 2024a)","dontUpdate":true,"noteIndex":0},"citationItems":[{"id":417,"uris":["http://zotero.org/groups/5885221/items/XJRZRDUA"],"itemData":{"id":417,"type":"webpage","container-title":"U.S. Department of Transportation","title":"FARS Web-Based Encyclopedia","URL":"https://www-fars.nhtsa.dot.gov/Main/index.aspx","author":[{"literal":"NHTSA"}],"issued":{"date-parts":[["2024"]]}}}],"schema":"https://github.com/citation-style-language/schema/raw/master/csl-citation.json"} </w:instrText>
      </w:r>
      <w:r w:rsidR="002A3971" w:rsidRPr="006B15C8">
        <w:fldChar w:fldCharType="separate"/>
      </w:r>
      <w:r w:rsidR="00EC232F" w:rsidRPr="006B15C8">
        <w:t>(NHTSA, 2024b)</w:t>
      </w:r>
      <w:r w:rsidR="002A3971" w:rsidRPr="006B15C8">
        <w:fldChar w:fldCharType="end"/>
      </w:r>
      <w:r w:rsidR="00B82DAC" w:rsidRPr="006B15C8">
        <w:t xml:space="preserve">, </w:t>
      </w:r>
      <w:r w:rsidRPr="006B15C8">
        <w:t xml:space="preserve">despite relatively stable walking rates over the same period </w:t>
      </w:r>
      <w:bookmarkStart w:id="5" w:name="_Hlk202475577"/>
      <w:bookmarkStart w:id="6" w:name="_Hlk203650403"/>
      <w:r w:rsidR="00B82DAC" w:rsidRPr="006B15C8">
        <w:fldChar w:fldCharType="begin"/>
      </w:r>
      <w:r w:rsidR="00911EF4" w:rsidRPr="006B15C8">
        <w:instrText xml:space="preserve"> ADDIN ZOTERO_ITEM CSL_CITATION {"citationID":"Qsw9extH","properties":{"formattedCitation":"(McGuckin et al., 2018)","plainCitation":"(McGuckin et al., 2018)","noteIndex":0},"citationItems":[{"id":22,"uris":["http://zotero.org/groups/5885221/items/RJARDTS8"],"itemData":{"id":22,"type":"report","abstract":"The 2017 National Household Travel Survey (NHTS) provides an inventory of daily travel in the US and its major Census Divisions and add-on areas. It is the only source of national-level statistics on personal travel in the US. The survey series (conducted since 1969) includes demographic data on households, people, vehicles, and detailed information on daily travel by all modes of transportation and for all purposes. NHTS survey data are collected from a sample of households and expanded to provide estimates of trips and miles of travel by travel mode, trip purpose, and other important attributes. When combined with historical data from the earlier surveys (1969, 1977, 1983, 1990, and 1995 NPTS and the 2001 NHTS, 2009 NHTS, and 2017 NHTS) these data serve as a rich source of information on the trends in travel over time. This report summarizes trends in household and personal travel patterns, including information on changes to the household-based vehicle fleet and commuting patterns. The report begins with a summary of the changes in the population, demographics, and related travel. Next, travel trends are examined at the household level, including differences between different areas of the US and by household income, for example. Next, changes in travel are summarized at the person-level, including trips by purpose and miles of travel by age and sex. Following sections detail changes in vehicle availability and usage, commute travel patterns, temporal distribution, and the travel of special populations. The 2017 NHTS was conducted with major changes in sampling strategy (an address-based sample compared to previous land-line random-digit sample) and methodology (Web-based self-reports compared to previous computer-aided interviewing). These and other critical changes are summarized here in Appendix A and in the data documentation at https://nhts.ornl.gov/. Researchers and data users are cautioned to do their best to assess how the change in methods may affect their estimates and to caution their readers about these critical changes in the data series.","call-number":"dot:68751","language":"English","number":"FHWA-PL-18-019","source":"ROSA P","title":"Summary of Travel Trends: 2017 National Household Travel Survey","title-short":"Summary of Travel Trends","URL":"https://rosap.ntl.bts.gov/view/dot/68751","author":[{"family":"McGuckin","given":"N"},{"family":"Fucci","given":"A"},{"family":"Westat","given":"Inc."}],"accessed":{"date-parts":[["2025",2,25]]},"issued":{"date-parts":[["2018",7,1]]}}}],"schema":"https://github.com/citation-style-language/schema/raw/master/csl-citation.json"} </w:instrText>
      </w:r>
      <w:r w:rsidR="00B82DAC" w:rsidRPr="006B15C8">
        <w:fldChar w:fldCharType="separate"/>
      </w:r>
      <w:r w:rsidR="00B82DAC" w:rsidRPr="006B15C8">
        <w:t>(McGuckin et al., 2018)</w:t>
      </w:r>
      <w:r w:rsidR="00B82DAC" w:rsidRPr="006B15C8">
        <w:fldChar w:fldCharType="end"/>
      </w:r>
      <w:r w:rsidR="00B82DAC" w:rsidRPr="006B15C8">
        <w:t>.</w:t>
      </w:r>
      <w:r w:rsidR="006269C2" w:rsidRPr="006B15C8">
        <w:t xml:space="preserve"> </w:t>
      </w:r>
      <w:bookmarkEnd w:id="5"/>
    </w:p>
    <w:bookmarkEnd w:id="6"/>
    <w:p w14:paraId="6E9B7E1D" w14:textId="51001968" w:rsidR="00B23786" w:rsidRPr="006B15C8" w:rsidRDefault="0075491A" w:rsidP="004A6C6E">
      <w:pPr>
        <w:spacing w:line="271" w:lineRule="auto"/>
        <w:ind w:firstLine="720"/>
        <w:rPr>
          <w:color w:val="1F1F1F"/>
        </w:rPr>
      </w:pPr>
      <w:r w:rsidRPr="006B15C8">
        <w:t xml:space="preserve">Demographic and socioeconomic characteristics further shape disparities in pedestrian safety. Men represent approximately 70% of pedestrian fatalities </w:t>
      </w:r>
      <w:r w:rsidRPr="006B15C8">
        <w:fldChar w:fldCharType="begin"/>
      </w:r>
      <w:r w:rsidR="00911EF4" w:rsidRPr="006B15C8">
        <w:instrText xml:space="preserve"> ADDIN ZOTERO_ITEM CSL_CITATION {"citationID":"SjpWPu8K","properties":{"formattedCitation":"(NHTSA, 2024b)","plainCitation":"(NHTSA, 2024b)","dontUpdate":true,"noteIndex":0},"citationItems":[{"id":21,"uris":["http://zotero.org/groups/5885221/items/9GNT4YGN"],"itemData":{"id":21,"type":"report","publisher":"U.S. Department of Transportation","title":"Traffic Saftey Facts 2022 Data","URL":"https://crashstats.nhtsa.dot.gov/Api/Public/ViewPublication/813590","author":[{"family":"NHTSA","given":""}],"issued":{"date-parts":[["2024"]]}}}],"schema":"https://github.com/citation-style-language/schema/raw/master/csl-citation.json"} </w:instrText>
      </w:r>
      <w:r w:rsidRPr="006B15C8">
        <w:fldChar w:fldCharType="separate"/>
      </w:r>
      <w:r w:rsidR="00906BDF" w:rsidRPr="006B15C8">
        <w:t>(NHTSA, 2024</w:t>
      </w:r>
      <w:r w:rsidR="00EC232F" w:rsidRPr="006B15C8">
        <w:t>a</w:t>
      </w:r>
      <w:r w:rsidR="00906BDF" w:rsidRPr="006B15C8">
        <w:t>)</w:t>
      </w:r>
      <w:r w:rsidRPr="006B15C8">
        <w:fldChar w:fldCharType="end"/>
      </w:r>
      <w:r w:rsidRPr="006B15C8">
        <w:t>, potentially reflecting gendered differences in travel behavior and risk-taking, such as more frequent violations of traffic laws</w:t>
      </w:r>
      <w:bookmarkStart w:id="7" w:name="_Hlk202475634"/>
      <w:r w:rsidR="006269C2" w:rsidRPr="006B15C8">
        <w:t xml:space="preserve"> </w:t>
      </w:r>
      <w:bookmarkStart w:id="8" w:name="_Hlk203650421"/>
      <w:r w:rsidR="006269C2" w:rsidRPr="006B15C8">
        <w:rPr>
          <w:color w:val="1F1F1F"/>
        </w:rPr>
        <w:fldChar w:fldCharType="begin"/>
      </w:r>
      <w:r w:rsidR="00911EF4" w:rsidRPr="006B15C8">
        <w:rPr>
          <w:color w:val="1F1F1F"/>
        </w:rPr>
        <w:instrText xml:space="preserve"> ADDIN ZOTERO_ITEM CSL_CITATION {"citationID":"Am7mRf3Z","properties":{"formattedCitation":"(Guo et al., 2011)","plainCitation":"(Guo et al., 2011)","dontUpdate":true,"noteIndex":0},"citationItems":[{"id":43,"uris":["http://zotero.org/groups/5885221/items/KGUTCMSP"],"itemData":{"id":43,"type":"webpage","title":"Modeling Pedestrian Violation Behavior at Signalized Crosswalks in China: A Hazards-Based Duration Approach","URL":"https://www.tandfonline.com/doi/full/10.1080/15389588.2010.518652?casa_token=MfVwVw3PdCgAAAAA%3A132ok3WwhYgv5OMeORFGW18IBLDtEfIKPvb6LYXfzNQPfoT8PFobSO2ZQTvl6GlATRt5i7P6chRL9aw","author":[{"family":"Guo","given":"Hongwei"},{"family":"Gao","given":"Ziyou"},{"family":"Yang","given":"Xiaobao"}],"accessed":{"date-parts":[["2025",2,25]]},"issued":{"date-parts":[["2011"]]}}}],"schema":"https://github.com/citation-style-language/schema/raw/master/csl-citation.json"} </w:instrText>
      </w:r>
      <w:r w:rsidR="006269C2" w:rsidRPr="006B15C8">
        <w:rPr>
          <w:color w:val="1F1F1F"/>
        </w:rPr>
        <w:fldChar w:fldCharType="separate"/>
      </w:r>
      <w:r w:rsidR="006269C2" w:rsidRPr="006B15C8">
        <w:t>(Guo et al., 2011</w:t>
      </w:r>
      <w:r w:rsidR="006269C2" w:rsidRPr="006B15C8">
        <w:rPr>
          <w:color w:val="1F1F1F"/>
        </w:rPr>
        <w:fldChar w:fldCharType="end"/>
      </w:r>
      <w:r w:rsidRPr="006B15C8">
        <w:rPr>
          <w:color w:val="1F1F1F"/>
        </w:rPr>
        <w:t>,</w:t>
      </w:r>
      <w:r w:rsidR="006269C2" w:rsidRPr="006B15C8">
        <w:rPr>
          <w:color w:val="1F1F1F"/>
        </w:rPr>
        <w:t xml:space="preserve"> </w:t>
      </w:r>
      <w:r w:rsidR="006269C2" w:rsidRPr="006B15C8">
        <w:rPr>
          <w:color w:val="1F1F1F"/>
        </w:rPr>
        <w:fldChar w:fldCharType="begin"/>
      </w:r>
      <w:r w:rsidR="00911EF4" w:rsidRPr="006B15C8">
        <w:rPr>
          <w:color w:val="1F1F1F"/>
        </w:rPr>
        <w:instrText xml:space="preserve"> ADDIN ZOTERO_ITEM CSL_CITATION {"citationID":"Nd75pAHg","properties":{"formattedCitation":"(Brosseau et al., 2013)","plainCitation":"(Brosseau et al., 2013)","dontUpdate":true,"noteIndex":0},"citationItems":[{"id":42,"uris":["http://zotero.org/groups/5885221/items/C6MJDJYF"],"itemData":{"id":42,"type":"article-journal","abstract":"Pedestrian violations of traffic signals and dangerous crossings at intersections are common. The objective of this study is to determine the impact of pedestrian waiting time at an intersection on the proportion and type of pedestrian violations and dangerous crossings. The amount of waiting depends on signal phasing, time of arrival, and the presence of a pedestrian signal. Thirteen intersections with similar geometry and traffic conditions but different maximum waiting times, seven of which had a pedestrian signal, were observed over at least 2h to collect crossing information. Data was collected manually for the main analysis and complementary video data was used for validation. Several factors were identified as having an impact on the proportion of pedestrian violations. In accordance with the literature, age, sex, group size, pedestrian flow and pedestrian signals are associated to pedestrian violations. In addition, other factors were identified in this research, such as maximum waiting time (red phase). It was also determined that an intersection clearing time had an impact on violations and on the proportion of dangerous crossings committed. Also, pedestrians’ speeds depended on the type of crossing. The results underline the importance of providing pedestrian signals including countdown displays, which is significantly and negatively linked to dangerous violations and crossings. The results also highlight the importance of pedestrian maximum waiting time as well as clearing time. When designing cycle and phase lengths, particular attention should be paid to pedestrian waiting times that are positively correlated to violations. Minimizing waiting times for pedestrians is expected to reduce dangerous pedestrian behaviors at signalized intersections.","container-title":"Transportation Research Part F: Traffic Psychology and Behaviour","DOI":"10.1016/j.trf.2013.09.010","ISSN":"1369-8478","journalAbbreviation":"Transportation Research Part F: Traffic Psychology and Behaviour","page":"159-172","source":"ScienceDirect","title":"The impact of waiting time and other factors on dangerous pedestrian crossings and violations at signalized intersections: A case study in Montreal","title-short":"The impact of waiting time and other factors on dangerous pedestrian crossings and violations at signalized intersections","volume":"21","author":[{"family":"Brosseau","given":"Marilyne"},{"family":"Zangenehpour","given":"Sohail"},{"family":"Saunier","given":"Nicolas"},{"family":"Miranda-Moreno","given":"Luis"}],"issued":{"date-parts":[["2013",11,1]]}}}],"schema":"https://github.com/citation-style-language/schema/raw/master/csl-citation.json"} </w:instrText>
      </w:r>
      <w:r w:rsidR="006269C2" w:rsidRPr="006B15C8">
        <w:rPr>
          <w:color w:val="1F1F1F"/>
        </w:rPr>
        <w:fldChar w:fldCharType="separate"/>
      </w:r>
      <w:r w:rsidR="006269C2" w:rsidRPr="006B15C8">
        <w:t>Brosseau et al., 2013</w:t>
      </w:r>
      <w:r w:rsidR="006269C2" w:rsidRPr="006B15C8">
        <w:rPr>
          <w:color w:val="1F1F1F"/>
        </w:rPr>
        <w:fldChar w:fldCharType="end"/>
      </w:r>
      <w:r w:rsidRPr="006B15C8">
        <w:rPr>
          <w:color w:val="1F1F1F"/>
        </w:rPr>
        <w:t>,</w:t>
      </w:r>
      <w:r w:rsidR="006269C2" w:rsidRPr="006B15C8">
        <w:rPr>
          <w:color w:val="1F1F1F"/>
        </w:rPr>
        <w:t xml:space="preserve"> </w:t>
      </w:r>
      <w:r w:rsidR="006269C2" w:rsidRPr="006B15C8">
        <w:rPr>
          <w:color w:val="1F1F1F"/>
        </w:rPr>
        <w:fldChar w:fldCharType="begin"/>
      </w:r>
      <w:r w:rsidR="00911EF4" w:rsidRPr="006B15C8">
        <w:rPr>
          <w:color w:val="1F1F1F"/>
        </w:rPr>
        <w:instrText xml:space="preserve"> ADDIN ZOTERO_ITEM CSL_CITATION {"citationID":"BYvsXz3D","properties":{"formattedCitation":"(Dommes et al., 2015)","plainCitation":"(Dommes et al., 2015)","dontUpdate":true,"noteIndex":0},"citationItems":[{"id":45,"uris":["http://zotero.org/groups/5885221/items/9NB24Q7X"],"itemData":{"id":45,"type":"article-journal","abstract":"To study human factors linked to red light violations, and more generally to safety-related behaviors at signalized crosswalks, the present study combines the collection of observational data with questionnaires answered by 422 French adult pedestrians. Thirteen behavioral indicators were extracted (12 before and while crossing, and red light violation), and the roles of several demographical, contextual and mobility-associated variables were examined. The results of the stepwise logistic regression analyses carried out on each of the 12 behavioral indicators observed before and while crossing revealed that gender had no major impact, but age did, with more cautious behaviors as pedestrians were older. The three contextual variables (group size, parked vehicles, and traffic density), as four mobility-associated variables (driving and walking experiences, self-reported crossing difficulties and falls in the street) were also found to be important factors in safety-related crossing behaviors. A wider logistic regression analysis, made specifically on red light violations with all behavioral indicators observed before and while crossings and the several demographical, contextual and mobility-associated variables put together, showed that red light violations were mostly affected by current situational factors (group size, parked vehicles) and particularly associated with some behavioral patterns (looking toward the traffic, the ground, the light, running and crossing diagonally). The overall results encourage the development of safer pedestrian infrastructures and engineering countermeasures.","container-title":"Accident Analysis &amp; Prevention","DOI":"10.1016/j.aap.2015.04.002","ISSN":"0001-4575","journalAbbreviation":"Accident Analysis &amp; Prevention","page":"67-75","source":"ScienceDirect","title":"Red light violations by adult pedestrians and other safety-related behaviors at signalized crosswalks","volume":"80","author":[{"family":"Dommes","given":"A."},{"family":"Granié","given":"M. -A."},{"family":"Cloutier","given":"M. -S."},{"family":"Coquelet","given":"C."},{"family":"Huguenin-Richard","given":"F."}],"issued":{"date-parts":[["2015",7,1]]}}}],"schema":"https://github.com/citation-style-language/schema/raw/master/csl-citation.json"} </w:instrText>
      </w:r>
      <w:r w:rsidR="006269C2" w:rsidRPr="006B15C8">
        <w:rPr>
          <w:color w:val="1F1F1F"/>
        </w:rPr>
        <w:fldChar w:fldCharType="separate"/>
      </w:r>
      <w:r w:rsidR="006269C2" w:rsidRPr="006B15C8">
        <w:t>Dommes et al., 2015</w:t>
      </w:r>
      <w:r w:rsidR="006269C2" w:rsidRPr="006B15C8">
        <w:rPr>
          <w:color w:val="1F1F1F"/>
        </w:rPr>
        <w:fldChar w:fldCharType="end"/>
      </w:r>
      <w:r w:rsidRPr="006B15C8">
        <w:rPr>
          <w:color w:val="1F1F1F"/>
        </w:rPr>
        <w:t>, and</w:t>
      </w:r>
      <w:r w:rsidR="006269C2" w:rsidRPr="006B15C8">
        <w:rPr>
          <w:color w:val="1F1F1F"/>
        </w:rPr>
        <w:t xml:space="preserve"> </w:t>
      </w:r>
      <w:r w:rsidR="006269C2" w:rsidRPr="006B15C8">
        <w:rPr>
          <w:color w:val="1F1F1F"/>
        </w:rPr>
        <w:fldChar w:fldCharType="begin"/>
      </w:r>
      <w:r w:rsidR="00911EF4" w:rsidRPr="006B15C8">
        <w:rPr>
          <w:color w:val="1F1F1F"/>
        </w:rPr>
        <w:instrText xml:space="preserve"> ADDIN ZOTERO_ITEM CSL_CITATION {"citationID":"KGMdHdmp","properties":{"formattedCitation":"(Baker et al., 2022)","plainCitation":"(Baker et al., 2022)","dontUpdate":true,"noteIndex":0},"citationItems":[{"id":355,"uris":["http://zotero.org/groups/5885221/items/MHBDDACK"],"itemData":{"id":355,"type":"article-journal","abstract":"Gender differences in risky behavior and decision-making have been observed across a number of behavioral domains. Reviews of this literature have tended to overlook the question of whether specific objective situational factors that are relevant to a particular risky decision moderate observed gender differences within risk domains. The current work explores this question by employing a naturalistic observation method. Over 2,700 pedestrians were observed crossing a busy intersection adjacent to a college campus in the southeastern U.S. Observers noted the number of male and female pedestrians present during each cycle of the traffic signal as well as how many individuals of each gender either crossed when the ‘don’t walk’ sign was active or waited for the safer ‘walk’ signal in order to cross. Also noted was whether these pedestrians were crossing at a ‘low risk’ area of the intersection, where a concrete safety island was present, or a ‘high risk’ area, where there was no safety island. The oft-observed gender difference in physical risk-taking was observed, with men being substantially more likely to cross during a ‘don’t walk’ signal compared to women. However, this was only observed at the ‘low risk’ area of the intersection. In contrast, risk-taking did not differ by gender at the ‘high risk’ crossing area. Implications for the understanding of the nature of gender-differences in risk taking are discussed.","container-title":"Journal of Risk Research","DOI":"10.1080/13669877.2021.1962953","ISSN":"1366-9877","issue":"4","note":"publisher: Routledge\n_eprint: https://doi.org/10.1080/13669877.2021.1962953","page":"536-545","source":"Taylor and Francis+NEJM","title":"Boundary conditions for gender differences in risk taking","volume":"25","author":[{"family":"Baker","given":"Michael D."},{"family":"","given":"Owens ,Brittnie T."},{"family":"","given":"Utter ,Rachel L."},{"family":"","given":"Boachie ,Rebecca J."},{"family":"Keith","given":"Delaney R.","non-dropping-particle":"and"}],"issued":{"date-parts":[["2022",4,24]]}}}],"schema":"https://github.com/citation-style-language/schema/raw/master/csl-citation.json"} </w:instrText>
      </w:r>
      <w:r w:rsidR="006269C2" w:rsidRPr="006B15C8">
        <w:rPr>
          <w:color w:val="1F1F1F"/>
        </w:rPr>
        <w:fldChar w:fldCharType="separate"/>
      </w:r>
      <w:r w:rsidR="006269C2" w:rsidRPr="006B15C8">
        <w:t>Baker et al., 2022)</w:t>
      </w:r>
      <w:r w:rsidR="006269C2" w:rsidRPr="006B15C8">
        <w:rPr>
          <w:color w:val="1F1F1F"/>
        </w:rPr>
        <w:fldChar w:fldCharType="end"/>
      </w:r>
      <w:r w:rsidR="006269C2" w:rsidRPr="006B15C8">
        <w:rPr>
          <w:color w:val="1F1F1F"/>
        </w:rPr>
        <w:t xml:space="preserve">. </w:t>
      </w:r>
      <w:bookmarkEnd w:id="7"/>
      <w:bookmarkEnd w:id="8"/>
      <w:r w:rsidR="009A4FCF" w:rsidRPr="006B15C8">
        <w:t xml:space="preserve">Older adults also face heightened vulnerability due to mobility limitations, slower reaction times, and increased injury severity in the event of a crash </w:t>
      </w:r>
      <w:bookmarkStart w:id="9" w:name="_Hlk202475649"/>
      <w:bookmarkStart w:id="10" w:name="_Hlk203650412"/>
      <w:r w:rsidR="006269C2" w:rsidRPr="006B15C8">
        <w:rPr>
          <w:color w:val="1F1F1F"/>
        </w:rPr>
        <w:fldChar w:fldCharType="begin"/>
      </w:r>
      <w:r w:rsidR="00911EF4" w:rsidRPr="006B15C8">
        <w:rPr>
          <w:color w:val="1F1F1F"/>
        </w:rPr>
        <w:instrText xml:space="preserve"> ADDIN ZOTERO_ITEM CSL_CITATION {"citationID":"tHgMdMZk","properties":{"formattedCitation":"(Smart Growth America, 2024)","plainCitation":"(Smart Growth America, 2024)","noteIndex":0},"citationItems":[{"id":20,"uris":["http://zotero.org/groups/5885221/items/R8FW2WQ3"],"itemData":{"id":20,"type":"report","title":"Dangerous by Design 2024","URL":"https://smartgrowthamerica.org/resources/dangerous-by-design-2024/","author":[{"literal":"Smart Growth America"}],"issued":{"date-parts":[["2024"]]}}}],"schema":"https://github.com/citation-style-language/schema/raw/master/csl-citation.json"} </w:instrText>
      </w:r>
      <w:r w:rsidR="006269C2" w:rsidRPr="006B15C8">
        <w:rPr>
          <w:color w:val="1F1F1F"/>
        </w:rPr>
        <w:fldChar w:fldCharType="separate"/>
      </w:r>
      <w:r w:rsidR="006269C2" w:rsidRPr="006B15C8">
        <w:t>(Smart Growth America, 2024)</w:t>
      </w:r>
      <w:r w:rsidR="006269C2" w:rsidRPr="006B15C8">
        <w:rPr>
          <w:color w:val="1F1F1F"/>
        </w:rPr>
        <w:fldChar w:fldCharType="end"/>
      </w:r>
      <w:bookmarkEnd w:id="9"/>
      <w:r w:rsidR="006269C2" w:rsidRPr="006B15C8">
        <w:rPr>
          <w:color w:val="1F1F1F"/>
        </w:rPr>
        <w:t xml:space="preserve">. </w:t>
      </w:r>
      <w:bookmarkEnd w:id="10"/>
      <w:r w:rsidR="009A4FCF" w:rsidRPr="006B15C8">
        <w:t xml:space="preserve">Racial minorities, particularly Black and Native American pedestrians, experience disproportionately high rates of severe and fatal crashes, with per-trip and per-capita fatality rates significantly exceeding those of white pedestrians </w:t>
      </w:r>
      <w:bookmarkStart w:id="11" w:name="_Hlk202475667"/>
      <w:r w:rsidR="009A4FCF" w:rsidRPr="006B15C8">
        <w:fldChar w:fldCharType="begin"/>
      </w:r>
      <w:r w:rsidR="00911EF4" w:rsidRPr="006B15C8">
        <w:instrText xml:space="preserve"> ADDIN ZOTERO_ITEM CSL_CITATION {"citationID":"w6mefl2h","properties":{"formattedCitation":"(Hamann et al., 2020; Sanders &amp; Schneider, 2022; Smart Growth America, 2024)","plainCitation":"(Hamann et al., 2020; Sanders &amp; Schneider, 2022; Smart Growth America, 2024)","dontUpdate":true,"noteIndex":0},"citationItems":[{"id":38,"uris":["http://zotero.org/groups/5885221/items/XDX4HTT8"],"itemData":{"id":38,"type":"article-journal","abstract":"Racial/ethnic disparity has been documented in a wide variety of health outcomes, and environmental components are contributors. For example, food deserts have been tied to obesity rates. Pedestrian injuries are strongly tied to environmental factors, yet no studies have examined racial disparity in pedestrian injury rates. We examine a nationally-representative sample of pedestrian-related hospitalizations in the United States to identify differences in incidence, severity, and cost by race/ethnicity.","container-title":"BMC Public Health","DOI":"10.1186/s12889-020-09513-8","ISSN":"1471-2458","issue":"1","journalAbbreviation":"BMC Public Health","language":"en","page":"1459","source":"Springer Link","title":"Racial disparities in pedestrian-related injury hospitalizations in the United States","volume":"20","author":[{"family":"Hamann","given":"Cara"},{"family":"Peek-Asa","given":"Corinne"},{"family":"Butcher","given":"Brandon"}],"issued":{"date-parts":[["2020",9,25]]}}},{"id":36,"uris":["http://zotero.org/groups/5885221/items/CDA36DIM"],"itemData":{"id":36,"type":"article-journal","abstract":"Black and Native American pedestrians are disproportionately killed in the US, yet relatively little is known about how fatal crash patterns differ between races. Our multinomial logit analysis of six years of US pedestrian fatality data (2012–2017) and built environment and census data reveals notable differences between races compared to the baseline of White pedestrians, including that Black and Native American pedestrians were significantly more likely to have been killed in darkness, Black and Hispanic pedestrians under age 16 were significantly more likely to have been killed, and Asian pedestrians age 65 or older were significantly more likely to have been killed. Importantly, models with crash, built environment, and population data suggest critical connections between roadway design and population patterns that are risk factors for all pedestrians, but disproportionately affect certain races. Our findings highlight important risk factors for pedestrian safety and provide several areas for future research.","container-title":"Transportation Research Part D: Transport and Environment","DOI":"10.1016/j.trd.2022.103298","ISSN":"1361-9209","journalAbbreviation":"Transportation Research Part D: Transport and Environment","page":"103298","source":"ScienceDirect","title":"An exploration of pedestrian fatalities by race in the United States","volume":"107","author":[{"family":"Sanders","given":"Rebecca L."},{"family":"Schneider","given":"Robert J."}],"issued":{"date-parts":[["2022",6,1]]}}},{"id":20,"uris":["http://zotero.org/groups/5885221/items/R8FW2WQ3"],"itemData":{"id":20,"type":"report","title":"Dangerous by Design 2024","URL":"https://smartgrowthamerica.org/resources/dangerous-by-design-2024/","author":[{"literal":"Smart Growth America"}],"issued":{"date-parts":[["2024"]]}}}],"schema":"https://github.com/citation-style-language/schema/raw/master/csl-citation.json"} </w:instrText>
      </w:r>
      <w:r w:rsidR="009A4FCF" w:rsidRPr="006B15C8">
        <w:fldChar w:fldCharType="separate"/>
      </w:r>
      <w:r w:rsidR="009A4FCF" w:rsidRPr="006B15C8">
        <w:t xml:space="preserve">(Hamann et al., 2020, Sanders and Schneider, 2022, </w:t>
      </w:r>
      <w:r w:rsidR="00D530FB" w:rsidRPr="006B15C8">
        <w:t xml:space="preserve">and </w:t>
      </w:r>
      <w:r w:rsidR="009A4FCF" w:rsidRPr="006B15C8">
        <w:t>Smart Growth America, 2024)</w:t>
      </w:r>
      <w:r w:rsidR="009A4FCF" w:rsidRPr="006B15C8">
        <w:fldChar w:fldCharType="end"/>
      </w:r>
      <w:r w:rsidR="009A4FCF" w:rsidRPr="006B15C8">
        <w:t xml:space="preserve">. </w:t>
      </w:r>
      <w:bookmarkEnd w:id="11"/>
      <w:r w:rsidR="009A4FCF" w:rsidRPr="006B15C8">
        <w:t>These disparities are often attributed to differences in infrastructure quality and exposure to high-risk traffic environments</w:t>
      </w:r>
      <w:r w:rsidRPr="006B15C8">
        <w:rPr>
          <w:color w:val="1F1F1F"/>
        </w:rPr>
        <w:t xml:space="preserve"> </w:t>
      </w:r>
      <w:r w:rsidR="006269C2" w:rsidRPr="006B15C8">
        <w:rPr>
          <w:color w:val="1F1F1F"/>
        </w:rPr>
        <w:t xml:space="preserve">(see </w:t>
      </w:r>
      <w:bookmarkStart w:id="12" w:name="_Hlk202475685"/>
      <w:r w:rsidRPr="006B15C8">
        <w:fldChar w:fldCharType="begin"/>
      </w:r>
      <w:r w:rsidR="00911EF4" w:rsidRPr="006B15C8">
        <w:instrText xml:space="preserve"> ADDIN ZOTERO_ITEM CSL_CITATION {"citationID":"TrgCme8T","properties":{"formattedCitation":"(Dadashova et al., 2024)","plainCitation":"(Dadashova et al., 2024)","dontUpdate":true,"noteIndex":0},"citationItems":[{"id":422,"uris":["http://zotero.org/groups/5885221/items/4X46XDI3"],"itemData":{"id":422,"type":"report","publisher":": Federal Highway Administration","title":"Exploring Risk Factors to Disparities in Pedestrian and Bicyclist Fatalities and Serious Injuries","URL":"https://doi.org/10.21949/1521546","author":[{"family":"Dadashova","given":"Bahar"},{"family":"Boutros","given":"Anthony"},{"family":"Reyes","given":"Dezerae"},{"family":"Schoner","given":"Jessica"},{"family":"Sanders","given":"Rebecca"},{"family":"Chiovenda","given":"Melissa"},{"family":"Lee","given":"Chanam"},{"family":"Zhu","given":"Chunwu"},{"family":"Wang","given":"Olivia"},{"family":"Elgart","given":"Zachary"},{"family":"Eisert","given":"Jesse"},{"family":"Thompson Panik","given":"Rachael"}],"issued":{"date-parts":[["2024"]]}}}],"schema":"https://github.com/citation-style-language/schema/raw/master/csl-citation.json"} </w:instrText>
      </w:r>
      <w:r w:rsidRPr="006B15C8">
        <w:fldChar w:fldCharType="separate"/>
      </w:r>
      <w:r w:rsidRPr="006B15C8">
        <w:t xml:space="preserve">Dadashova et al. </w:t>
      </w:r>
      <w:r w:rsidR="008C222F" w:rsidRPr="006B15C8">
        <w:t>(</w:t>
      </w:r>
      <w:r w:rsidRPr="006B15C8">
        <w:t>2024</w:t>
      </w:r>
      <w:r w:rsidRPr="006B15C8">
        <w:fldChar w:fldCharType="end"/>
      </w:r>
      <w:r w:rsidR="008C222F" w:rsidRPr="006B15C8">
        <w:t>)</w:t>
      </w:r>
      <w:r w:rsidRPr="006B15C8">
        <w:t xml:space="preserve"> </w:t>
      </w:r>
      <w:bookmarkEnd w:id="12"/>
      <w:r w:rsidRPr="006B15C8">
        <w:t>for a comprehensive review</w:t>
      </w:r>
      <w:r w:rsidR="00C456F6" w:rsidRPr="006B15C8">
        <w:t xml:space="preserve"> of associations between pedestrian race and pedestrian crash propensity</w:t>
      </w:r>
      <w:r w:rsidRPr="006B15C8">
        <w:t>)</w:t>
      </w:r>
      <w:r w:rsidR="009A4FCF" w:rsidRPr="006B15C8">
        <w:t>. Individuals</w:t>
      </w:r>
      <w:r w:rsidR="006269C2" w:rsidRPr="006B15C8">
        <w:t xml:space="preserve"> experiencing homelessness also face an increased risk of being seriously injured or killed in traffic crashes, potentially due to greater reliance on walking</w:t>
      </w:r>
      <w:r w:rsidR="00621767" w:rsidRPr="006B15C8">
        <w:t xml:space="preserve"> </w:t>
      </w:r>
      <w:r w:rsidR="006269C2" w:rsidRPr="006B15C8">
        <w:t>and transit, frequent presence near high-speed, high-traffic roads, and elevated health-related vulnerabilities, including physical disabilities, mental health challenges, and substance use (</w:t>
      </w:r>
      <w:bookmarkStart w:id="13" w:name="_Hlk203650453"/>
      <w:bookmarkStart w:id="14" w:name="_Hlk202475696"/>
      <w:r w:rsidR="006269C2" w:rsidRPr="006B15C8">
        <w:fldChar w:fldCharType="begin"/>
      </w:r>
      <w:r w:rsidR="00911EF4" w:rsidRPr="006B15C8">
        <w:instrText xml:space="preserve"> ADDIN ZOTERO_ITEM CSL_CITATION {"citationID":"e5ihUsIW","properties":{"formattedCitation":"(USDOT, 2024)","plainCitation":"(USDOT, 2024)","dontUpdate":true,"noteIndex":0},"citationItems":[{"id":354,"uris":["http://zotero.org/groups/5885221/items/8JIWNVIX"],"itemData":{"id":354,"type":"report","title":"Promising Practices for Transportation Agencies to Address Road Safety among People Experiencing Homelessness","URL":"https://highways.dot.gov/media/56771#:~:text=People%20experiencing%20homelessness%20have%20an,address%20road%20safety%20for%20people","author":[{"literal":"USDOT"}],"issued":{"date-parts":[["2024"]]}}}],"schema":"https://github.com/citation-style-language/schema/raw/master/csl-citation.json"} </w:instrText>
      </w:r>
      <w:r w:rsidR="006269C2" w:rsidRPr="006B15C8">
        <w:fldChar w:fldCharType="separate"/>
      </w:r>
      <w:r w:rsidR="006269C2" w:rsidRPr="006B15C8">
        <w:t>USDOT, 2024</w:t>
      </w:r>
      <w:r w:rsidR="006269C2" w:rsidRPr="006B15C8">
        <w:fldChar w:fldCharType="end"/>
      </w:r>
      <w:bookmarkEnd w:id="13"/>
      <w:bookmarkEnd w:id="14"/>
      <w:r w:rsidR="00E52EE1" w:rsidRPr="006B15C8">
        <w:t>)</w:t>
      </w:r>
      <w:r w:rsidR="006269C2" w:rsidRPr="006B15C8">
        <w:t xml:space="preserve">. </w:t>
      </w:r>
      <w:r w:rsidRPr="006B15C8">
        <w:t xml:space="preserve">Income is </w:t>
      </w:r>
      <w:r w:rsidR="00C456F6" w:rsidRPr="006B15C8">
        <w:t xml:space="preserve">another </w:t>
      </w:r>
      <w:r w:rsidRPr="006B15C8">
        <w:t>critical factor. Pedestrian fatality rates in census tracts with median household incomes below $15,000 are nearly five times those in high-income areas</w:t>
      </w:r>
      <w:r w:rsidR="006269C2" w:rsidRPr="006B15C8">
        <w:t xml:space="preserve"> </w:t>
      </w:r>
      <w:r w:rsidR="006269C2" w:rsidRPr="006B15C8">
        <w:fldChar w:fldCharType="begin"/>
      </w:r>
      <w:r w:rsidR="00911EF4" w:rsidRPr="006B15C8">
        <w:instrText xml:space="preserve"> ADDIN ZOTERO_ITEM CSL_CITATION {"citationID":"4AZ91mky","properties":{"formattedCitation":"(Smart Growth America, 2024)","plainCitation":"(Smart Growth America, 2024)","noteIndex":0},"citationItems":[{"id":20,"uris":["http://zotero.org/groups/5885221/items/R8FW2WQ3"],"itemData":{"id":20,"type":"report","title":"Dangerous by Design 2024","URL":"https://smartgrowthamerica.org/resources/dangerous-by-design-2024/","author":[{"literal":"Smart Growth America"}],"issued":{"date-parts":[["2024"]]}}}],"schema":"https://github.com/citation-style-language/schema/raw/master/csl-citation.json"} </w:instrText>
      </w:r>
      <w:r w:rsidR="006269C2" w:rsidRPr="006B15C8">
        <w:fldChar w:fldCharType="separate"/>
      </w:r>
      <w:r w:rsidR="006269C2" w:rsidRPr="006B15C8">
        <w:t>(Smart Growth America, 2024)</w:t>
      </w:r>
      <w:r w:rsidR="006269C2" w:rsidRPr="006B15C8">
        <w:fldChar w:fldCharType="end"/>
      </w:r>
      <w:r w:rsidRPr="006B15C8">
        <w:t xml:space="preserve">, a disparity often linked to </w:t>
      </w:r>
      <w:r w:rsidR="00A94A0E" w:rsidRPr="006B15C8">
        <w:t>a combination of higher walking rates and insufficient pedestrian infrastructure, such as inadequate crosswalks, pedestrian signals, and lighting</w:t>
      </w:r>
      <w:bookmarkStart w:id="15" w:name="_Hlk202475710"/>
      <w:r w:rsidR="006269C2" w:rsidRPr="006B15C8">
        <w:fldChar w:fldCharType="begin"/>
      </w:r>
      <w:r w:rsidR="00911EF4" w:rsidRPr="006B15C8">
        <w:instrText xml:space="preserve"> ADDIN ZOTERO_ITEM CSL_CITATION {"citationID":"N48AZdav","properties":{"formattedCitation":"(Morency et al., 2012)","plainCitation":"(Morency et al., 2012)","dontUpdate":true,"noteIndex":0},"citationItems":[{"id":49,"uris":["http://zotero.org/groups/5885221/items/RGP72YFJ"],"itemData":{"id":49,"type":"article-journal","abstract":"Objectives. We examined the extent to which differential traffic volume and road geometry can explain social inequalities in pedestrian, cyclist, and motor vehicle occupant injuries across wealthy and poor urban areas. Methods. We performed a multilevel observational study of all road users injured over 5 years (n = 19 568) at intersections (n = 17 498) in a large urban area (Island of Montreal, Canada). We considered intersection-level (traffic estimates, major roads, number of legs) and area-level (population density, commuting travel modes, household income) characteristics in multilevel Poisson regressions that nested intersections in 506 census tracts. Results. There were significantly more injured pedestrians, cyclists, and motor vehicle occupants at intersections in the poorest than in the richest areas. Controlling for traffic volume, intersection geometry, and pedestrian and cyclist volumes greatly attenuated the event rate ratios between intersections in the poorest and richest areas for injured pedestrians (−70%), cyclists (−44%), and motor vehicle occupants (−44%). Conclusions. Roadway environment can explain a substantial portion of the excess rate of road traffic injuries in the poorest urban areas.","container-title":"American Journal of Public Health","DOI":"10.2105/AJPH.2011.300528","ISSN":"0090-0036","issue":"6","journalAbbreviation":"Am J Public Health","note":"publisher: American Public Health Association","page":"1112-1119","source":"ajph.aphapublications.org (Atypon)","title":"Neighborhood Social Inequalities in Road Traffic Injuries: The Influence of Traffic Volume and Road Design","title-short":"Neighborhood Social Inequalities in Road Traffic Injuries","volume":"102","author":[{"family":"Morency","given":"Patrick"},{"family":"Gauvin","given":"Lise"},{"family":"Plante","given":"Céline"},{"family":"Fournier","given":"Michel"},{"family":"Morency","given":"Catherine"}],"issued":{"date-parts":[["2012",6]]}}}],"schema":"https://github.com/citation-style-language/schema/raw/master/csl-citation.json"} </w:instrText>
      </w:r>
      <w:r w:rsidR="006269C2" w:rsidRPr="006B15C8">
        <w:fldChar w:fldCharType="separate"/>
      </w:r>
      <w:r w:rsidR="009A4FCF" w:rsidRPr="006B15C8">
        <w:t xml:space="preserve"> </w:t>
      </w:r>
      <w:r w:rsidR="009F6234" w:rsidRPr="006B15C8">
        <w:t>(</w:t>
      </w:r>
      <w:r w:rsidR="006269C2" w:rsidRPr="006B15C8">
        <w:t>Morency et al., 2012</w:t>
      </w:r>
      <w:r w:rsidR="006269C2" w:rsidRPr="006B15C8">
        <w:fldChar w:fldCharType="end"/>
      </w:r>
      <w:r w:rsidR="009A4FCF" w:rsidRPr="006B15C8">
        <w:t>,</w:t>
      </w:r>
      <w:r w:rsidR="00A94A0E" w:rsidRPr="006B15C8">
        <w:t xml:space="preserve"> </w:t>
      </w:r>
      <w:r w:rsidR="006269C2" w:rsidRPr="006B15C8">
        <w:fldChar w:fldCharType="begin"/>
      </w:r>
      <w:r w:rsidR="003F5890" w:rsidRPr="006B15C8">
        <w:instrText xml:space="preserve"> ADDIN ZOTERO_ITEM CSL_CITATION {"citationID":"RstZyWXf","properties":{"formattedCitation":"(Lee et al., 2019; Yu et al., 2022)","plainCitation":"(Lee et al., 2019; Yu et al., 2022)","dontUpdate":true,"noteIndex":0},"citationItems":[{"id":34,"uris":["http://zotero.org/groups/5885221/items/GKGFXJFZ"],"itemData":{"id":34,"type":"article-journal","abstract":"Multiple approaches have been proposed to take traffic safety into consideration in long-term transportation plans, referred to as transportation safety planning. Some early studies used trip generation data as the explanatory variables for their macro-level crash safety performance functions, or crash prediction models. However, no study to date has attempted to integrate walking exposure and pedestrian safety at the modeling stage. Thus, a novel methodological framework for integrating the analyses of walking exposure and pedestrian crashes is proposed toward better transportation safety planning for pedestrians. In comparison with walking trips and walking miles, walking hours was identified as the best walking exposure variable by a preliminary analysis. Thus, an integrated modeling structure with walking hours as its exposure variable was developed. The modeling results indicate that climate conditions, population, and car usage patterns affect walking hours, and predicted walking hours, climate conditions, percentage of mid-elderly (64–75 years), proportions of minority race/ethnicity, and percent of tertiary industry occupations have significant effects on pedestrian fatalities. In addition, the integrated modeling framework was compared with non-integrated ones, and the results indicate that the integrated framework outperforms its counterparts in relation to deviance information criterion. The proposed approach and the findings from this study are expected to provide useful insights not only to researchers but also to policy makers and practitioners in the fields of transportation planning and traffic safety.","container-title":"Transportation Research Record","DOI":"10.1177/0361198119837962","ISSN":"0361-1981","issue":"4","language":"en","note":"publisher: SAGE Publications Inc","page":"898-906","source":"SAGE Journals","title":"Transportation Safety Planning Approach for Pedestrians: An Integrated Framework of Modeling Walking Duration and Pedestrian Fatalities","title-short":"Transportation Safety Planning Approach for Pedestrians","volume":"2673","author":[{"family":"Lee","given":"Jaeyoung"},{"family":"Abdel-Aty","given":"Mohamed"},{"family":"Huang","given":"Helai"},{"family":"Cai","given":"Qing"}],"issued":{"date-parts":[["2019",4,1]]}}},{"id":"ReAbCZ5Q/EZjxhMmi","uris":["http://zotero.org/groups/5098585/items/G22GMSFZ"],"itemData":{"id":1123,"type":"article-journal","abstract":"This study examined the impacts of built environments on pedestrian-vehicle crashes with different levels of severity and the income and racial disparities related to different crash injuries in Austin, Texas. Arterial roads and commercial areas were associated with more injurious crashes. The presence of schools had a positive association with both injurious and no-injury crashes but only in areas with high percentages of nonwhites and poverty. This implies the importance of planning that separates pedestrians from vehicles in mixed-traffic commercial environments. Schools in areas with high percentages of minorities and poverty should be given priority for improvements of pedestrian safety.","container-title":"Journal of Planning Education and Research","DOI":"10.1177/0739456X18807759","ISSN":"0739-456X","issue":"2","language":"en","note":"publisher: SAGE Publications Inc","page":"136-149","source":"SAGE Journals","title":"Income and Racial Disparity and the Role of the Built Environment in Pedestrian Injuries","volume":"42","author":[{"family":"Yu","given":"Chia-Yuan"},{"family":"Zhu","given":"Xuemei"},{"family":"Lee","given":"Chanam"}],"issued":{"date-parts":[["2022",6,1]]}}}],"schema":"https://github.com/citation-style-language/schema/raw/master/csl-citation.json"} </w:instrText>
      </w:r>
      <w:r w:rsidR="006269C2" w:rsidRPr="006B15C8">
        <w:fldChar w:fldCharType="separate"/>
      </w:r>
      <w:r w:rsidR="006269C2" w:rsidRPr="006B15C8">
        <w:t>Lee et al., 2019</w:t>
      </w:r>
      <w:r w:rsidR="009A4FCF" w:rsidRPr="006B15C8">
        <w:t>, and</w:t>
      </w:r>
      <w:r w:rsidR="006269C2" w:rsidRPr="006B15C8">
        <w:t xml:space="preserve"> Yu et al., 2022)</w:t>
      </w:r>
      <w:r w:rsidR="006269C2" w:rsidRPr="006B15C8">
        <w:fldChar w:fldCharType="end"/>
      </w:r>
      <w:r w:rsidR="006269C2" w:rsidRPr="006B15C8">
        <w:t>.</w:t>
      </w:r>
      <w:bookmarkEnd w:id="15"/>
    </w:p>
    <w:p w14:paraId="27DD18C5" w14:textId="52DC09A5" w:rsidR="00BB60D1" w:rsidRPr="006B15C8" w:rsidRDefault="001B40DC" w:rsidP="004A6C6E">
      <w:pPr>
        <w:spacing w:line="271" w:lineRule="auto"/>
        <w:ind w:firstLine="720"/>
      </w:pPr>
      <w:r w:rsidRPr="006B15C8">
        <w:t>Although infrastructure and exposure factors</w:t>
      </w:r>
      <w:r w:rsidR="00C456F6" w:rsidRPr="006B15C8">
        <w:t>, as discussed above,</w:t>
      </w:r>
      <w:r w:rsidRPr="006B15C8">
        <w:t xml:space="preserve"> have long dominated pedestrian safety research, they do not fully account for </w:t>
      </w:r>
      <w:r w:rsidR="00621767" w:rsidRPr="006B15C8">
        <w:t xml:space="preserve">the </w:t>
      </w:r>
      <w:r w:rsidRPr="006B15C8">
        <w:t xml:space="preserve">persistent demographic disparities in crash outcomes. </w:t>
      </w:r>
      <w:r w:rsidR="00C456F6" w:rsidRPr="006B15C8">
        <w:t>For example, s</w:t>
      </w:r>
      <w:r w:rsidR="009A4FCF" w:rsidRPr="006B15C8">
        <w:t xml:space="preserve">tudies have shown that racial and income-related disparities in pedestrian injuries and fatalities often persist even after controlling for infrastructure and exposure </w:t>
      </w:r>
      <w:r w:rsidR="009A4FCF" w:rsidRPr="006B15C8">
        <w:lastRenderedPageBreak/>
        <w:t>variables</w:t>
      </w:r>
      <w:r w:rsidR="006269C2" w:rsidRPr="006B15C8">
        <w:t xml:space="preserve"> </w:t>
      </w:r>
      <w:bookmarkStart w:id="16" w:name="_Hlk202475795"/>
      <w:r w:rsidR="006269C2" w:rsidRPr="006B15C8">
        <w:fldChar w:fldCharType="begin"/>
      </w:r>
      <w:r w:rsidR="00911EF4" w:rsidRPr="006B15C8">
        <w:instrText xml:space="preserve"> ADDIN ZOTERO_ITEM CSL_CITATION {"citationID":"d8HRIT15","properties":{"formattedCitation":"(Roll &amp; McNeil, 2022)","plainCitation":"(Roll &amp; McNeil, 2022)","dontUpdate":true,"noteIndex":0},"citationItems":[{"id":57,"uris":["http://zotero.org/groups/5885221/items/EGZRWFBY"],"itemData":{"id":57,"type":"article-journal","abstract":"Pedestrian injuries are growing as a share of traffic injuries. Further, pedestrian injury risk is not experienced equally across sociodemographic groups. National data and prior research shows that Black, Indigenous and people of color (BIPOC) and lower-income people bear a disproportionate burden. This study employs an ecological analysis to explore pedestrian safety disparities in Oregon, incorporating crash data, roadway and land use factors, and sociodemographic data. The analysis examines factors associated with increased pedestrian injuries and fatalities, as well as the impact of model specification including urban area random effects and mixed- versus fixed-effects models. Lower median income and higher proportions of BIPOC residents are found to be associated with more pedestrian injuries. These variables may be proxies for other traffic exposure and deficient built environment variables, which may reflect a lack of historic investment in the neighborhoods where these populations are concentrated.","container-title":"Transportation Research Part D: Transport and Environment","DOI":"10.1016/j.trd.2022.103294","ISSN":"1361-9209","journalAbbreviation":"Transportation Research Part D: Transport and Environment","page":"103294","source":"ScienceDirect","title":"Race and income disparities in pedestrian injuries: Factors influencing pedestrian safety inequity","title-short":"Race and income disparities in pedestrian injuries","volume":"107","author":[{"family":"Roll","given":"Josh"},{"family":"McNeil","given":"Nathan"}],"issued":{"date-parts":[["2022",6,1]]}}}],"schema":"https://github.com/citation-style-language/schema/raw/master/csl-citation.json"} </w:instrText>
      </w:r>
      <w:r w:rsidR="006269C2" w:rsidRPr="006B15C8">
        <w:fldChar w:fldCharType="separate"/>
      </w:r>
      <w:r w:rsidR="006269C2" w:rsidRPr="006B15C8">
        <w:t>(Roll and McNeil, 2022</w:t>
      </w:r>
      <w:r w:rsidR="006269C2" w:rsidRPr="006B15C8">
        <w:fldChar w:fldCharType="end"/>
      </w:r>
      <w:r w:rsidR="009A4FCF" w:rsidRPr="006B15C8">
        <w:t>,</w:t>
      </w:r>
      <w:r w:rsidR="006269C2" w:rsidRPr="006B15C8">
        <w:t xml:space="preserve"> </w:t>
      </w:r>
      <w:r w:rsidR="006269C2" w:rsidRPr="006B15C8">
        <w:fldChar w:fldCharType="begin"/>
      </w:r>
      <w:r w:rsidR="003F5890" w:rsidRPr="006B15C8">
        <w:instrText xml:space="preserve"> ADDIN ZOTERO_ITEM CSL_CITATION {"citationID":"cddTzfUV","properties":{"formattedCitation":"(Dumbaugh et al., 2023)","plainCitation":"(Dumbaugh et al., 2023)","dontUpdate":true,"noteIndex":0},"citationItems":[{"id":"ReAbCZ5Q/ay8GDjjk","uris":["http://zotero.org/groups/5098585/items/SDAZ2UI7"],"itemData":{"id":2017,"type":"article-journal","abstract":"This study examined the incidence of injurious and fatal pedestrian crashes for lower-income and affluent communities in Broward and Palm Beach counties, FL, finding notable differences in the environmental risk factors for these populations. In lower-income areas, pedestrian deaths and injuries increased with traffic volumes, multilane streets, and restaurants and shopping centers. They decreased with the presence of raised medians, which can serve as a refuge island for crossing pedestrians. These variables all suggest that, at least in lower-income areas, pedestrian death and injury was associated with difficulties safely accessing household-supporting destinations. For affluent areas, the factors associated with increased pedestrian death and injury were those relating to recreation and nightlife—specifically, bars and clubs, hotels, and restaurants. Neither traffic volumes nor multilane roads proved to be meaningfully related to increased pedestrian death or injury in affluent areas. Perhaps most notably, higher concentrations of Black populations were strongly related to increased pedestrian death and injury, even after accounting for differences in income. Considered as a whole, these results suggest that pedestrian crash risk, like much else in U.S. society, is strongly intertwined with broader issues of racial and income inequality. Attempts to address the safety of the transportation system’s most vulnerable users need to move beyond asserting that any pedestrian project constitutes a safety enhancement, and to begin to more meaningfully account for social vulnerabilities associated with race and income.","container-title":"Transportation Research Record","DOI":"10.1177/03611981231175888","ISSN":"0361-1981","language":"en","note":"publisher: SAGE Publications Inc","page":"03611981231175888","source":"SAGE Journals","title":"The Most Vulnerable User: Examining the Role of Income, Race, and the Built Environment on Pedestrian Injuries and Deaths","title-short":"The Most Vulnerable User","author":[{"family":"Dumbaugh","given":"Eric"},{"family":"Stiles","given":"Jonathan"},{"family":"Mitsova","given":"Diana"},{"family":"Saha","given":"Dibakar"}],"issued":{"date-parts":[["2023",6,5]]}}}],"schema":"https://github.com/citation-style-language/schema/raw/master/csl-citation.json"} </w:instrText>
      </w:r>
      <w:r w:rsidR="006269C2" w:rsidRPr="006B15C8">
        <w:fldChar w:fldCharType="separate"/>
      </w:r>
      <w:r w:rsidR="006269C2" w:rsidRPr="006B15C8">
        <w:t>Dumbaugh et al., 2023</w:t>
      </w:r>
      <w:r w:rsidR="006269C2" w:rsidRPr="006B15C8">
        <w:fldChar w:fldCharType="end"/>
      </w:r>
      <w:r w:rsidR="009A4FCF" w:rsidRPr="006B15C8">
        <w:t>, and</w:t>
      </w:r>
      <w:r w:rsidR="006269C2" w:rsidRPr="006B15C8">
        <w:t xml:space="preserve"> </w:t>
      </w:r>
      <w:r w:rsidR="006269C2" w:rsidRPr="006B15C8">
        <w:fldChar w:fldCharType="begin"/>
      </w:r>
      <w:r w:rsidR="00911EF4" w:rsidRPr="006B15C8">
        <w:instrText xml:space="preserve"> ADDIN ZOTERO_ITEM CSL_CITATION {"citationID":"5AlCg6kC","properties":{"formattedCitation":"(Haddad et al., 2023)","plainCitation":"(Haddad et al., 2023)","dontUpdate":true,"noteIndex":0},"citationItems":[{"id":3,"uris":["http://zotero.org/groups/5885221/items/6IZ86X37"],"itemData":{"id":3,"type":"article-journal","abstract":"In this paper, we unpack the magnitude effects of the determinants of pedestrian crashes using a multivariate analysis approach. We consider four sets of exogenous factors that characterize residential neighborhoods as well as potentially affect pedestrian crashes and the racial composition of such crashes: (1) crash risk exposure (CE) attributes, (2) cultural variables, (3) built environment (BE) features, and (4) sociodemographic (SD) factors. Our investigation uses pedestrian crash and related data from the City of Houston, Texas, which we analyze at the spatial Census Block Group (CBG) level. Our results indicate that social resistance considerations (that is, minorities resisting norms as they are perceived as being set by the majority group), density of transit stops, and road design considerations (in particular in and around areas with high land-use diversity) are the three strongest determinants of pedestrian crashes, particularly in CBGs with a majority of the resident population being Black. The findings of this study can enable policymakers and planners to develop more effective countermeasures and interventions to contain the growing number of pedestrian crashes in recent years, as well as racial disparities in pedestrian crashes. Importantly, transportation safety engineers need to work with social scientists and engage with community leaders to build trust before leaping into implementing planning countermeasures and interventions. Issues of social resistance, in particular, need to be kept in mind.","container-title":"Accident Analysis &amp; Prevention","DOI":"10.1016/j.aap.2023.106954","ISSN":"0001-4575","journalAbbreviation":"Accident Analysis &amp; Prevention","page":"106954","source":"ScienceDirect","title":"Pedestrian crash frequency: Unpacking the effects of contributing factors and racial disparities","title-short":"Pedestrian crash frequency","volume":"182","author":[{"family":"Haddad","given":"Angela J."},{"family":"Mondal","given":"Aupal"},{"family":"Bhat","given":"Chandra R."},{"family":"Zhang","given":"Angie"},{"family":"Liao","given":"Madison C."},{"family":"Macias","given":"Lisa J."},{"family":"Lee","given":"Min Kyung"},{"family":"Watkins","given":"S. Craig"}],"issued":{"date-parts":[["2023",3,1]]}}}],"schema":"https://github.com/citation-style-language/schema/raw/master/csl-citation.json"} </w:instrText>
      </w:r>
      <w:r w:rsidR="006269C2" w:rsidRPr="006B15C8">
        <w:fldChar w:fldCharType="separate"/>
      </w:r>
      <w:r w:rsidR="006269C2" w:rsidRPr="006B15C8">
        <w:t>Haddad et al., 2023)</w:t>
      </w:r>
      <w:r w:rsidR="006269C2" w:rsidRPr="006B15C8">
        <w:fldChar w:fldCharType="end"/>
      </w:r>
      <w:r w:rsidR="006269C2" w:rsidRPr="006B15C8">
        <w:t xml:space="preserve">, </w:t>
      </w:r>
      <w:bookmarkEnd w:id="16"/>
      <w:r w:rsidR="009A4FCF" w:rsidRPr="006B15C8">
        <w:t>suggesting that additional behavioral and contextual mechanisms are at play.</w:t>
      </w:r>
      <w:r w:rsidR="004D73A3" w:rsidRPr="006B15C8">
        <w:t xml:space="preserve"> </w:t>
      </w:r>
      <w:bookmarkStart w:id="17" w:name="_Hlk203650474"/>
      <w:r w:rsidR="00BB60D1" w:rsidRPr="006B15C8">
        <w:t>These disparities may be related to pedestrian crossing violation behaviors or driver (un)yielding behaviors to pedestrians or the combination of the two, all of which themselves may not only be functions of traffic/BE characteristics, but also how individuals of different races/income levels behave differently (as pedestrians and drivers) in different settings. In this context, some earlier research studies have focused on traffic/BE effects and demographic characteristics on pedestrian crossing violations (for instance, see Ghomi and Hussein, 2022 and the review therein). Other studies have examined driver (un)yielding behaviors as a function of mostly pedestrian age/gender, though pedestrian race, crossing alone versus in a group, and socioeconomic characteristics of the surrounding neighborhood have also been considered (for example, Coughenour et al., 2017 and Schneider et al., 2018). Much research and understanding is still needed to examine the effects of race, income, perceived housing status of pedestrians (whether seemingly housing-secure or not), and time-of-day on pedestrian crossing violations and driver (un)yielding behaviors.</w:t>
      </w:r>
      <w:bookmarkEnd w:id="17"/>
    </w:p>
    <w:p w14:paraId="36B9A229" w14:textId="77777777" w:rsidR="0075491A" w:rsidRPr="006B15C8" w:rsidRDefault="0075491A" w:rsidP="004A6C6E">
      <w:pPr>
        <w:spacing w:line="271" w:lineRule="auto"/>
        <w:ind w:firstLine="720"/>
      </w:pPr>
    </w:p>
    <w:p w14:paraId="0A8ECD7F" w14:textId="77777777" w:rsidR="00587BB7" w:rsidRPr="006B15C8" w:rsidRDefault="00102339" w:rsidP="004A6C6E">
      <w:pPr>
        <w:pStyle w:val="Heading2"/>
        <w:spacing w:line="271" w:lineRule="auto"/>
      </w:pPr>
      <w:r w:rsidRPr="006B15C8">
        <w:t xml:space="preserve"> </w:t>
      </w:r>
      <w:r w:rsidR="00587BB7" w:rsidRPr="006B15C8">
        <w:t>Research Objectives and Significance</w:t>
      </w:r>
    </w:p>
    <w:p w14:paraId="236E495F" w14:textId="77777777" w:rsidR="0050467F" w:rsidRPr="006B15C8" w:rsidRDefault="00F818EE" w:rsidP="004A6C6E">
      <w:pPr>
        <w:spacing w:line="271" w:lineRule="auto"/>
        <w:rPr>
          <w:color w:val="000000"/>
        </w:rPr>
      </w:pPr>
      <w:r w:rsidRPr="006B15C8">
        <w:t xml:space="preserve">The discussion above motivates the research in the current paper, which </w:t>
      </w:r>
      <w:r w:rsidR="00587BB7" w:rsidRPr="006B15C8">
        <w:rPr>
          <w:color w:val="000000"/>
        </w:rPr>
        <w:t xml:space="preserve">seeks to uncover the often-hidden social and behavioral patterns in pedestrian safety and contribute to a more comprehensive understanding of pedestrian </w:t>
      </w:r>
      <w:r w:rsidR="009A4FCF" w:rsidRPr="006B15C8">
        <w:rPr>
          <w:color w:val="000000"/>
        </w:rPr>
        <w:t xml:space="preserve">safety </w:t>
      </w:r>
      <w:r w:rsidR="00587BB7" w:rsidRPr="006B15C8">
        <w:rPr>
          <w:color w:val="000000"/>
        </w:rPr>
        <w:t>risk</w:t>
      </w:r>
      <w:r w:rsidR="009A4FCF" w:rsidRPr="006B15C8">
        <w:rPr>
          <w:color w:val="000000"/>
        </w:rPr>
        <w:t>s</w:t>
      </w:r>
      <w:r w:rsidR="00587BB7" w:rsidRPr="006B15C8">
        <w:rPr>
          <w:color w:val="000000"/>
        </w:rPr>
        <w:t xml:space="preserve">. Specifically, </w:t>
      </w:r>
      <w:r w:rsidR="0050467F" w:rsidRPr="006B15C8">
        <w:rPr>
          <w:color w:val="000000"/>
        </w:rPr>
        <w:t xml:space="preserve">we focus on two central questions: (1) How do individual pedestrian attributes, social context, and </w:t>
      </w:r>
      <w:r w:rsidR="00152634" w:rsidRPr="006B15C8">
        <w:t>time-of-day/weather</w:t>
      </w:r>
      <w:r w:rsidR="00152634" w:rsidRPr="006B15C8">
        <w:rPr>
          <w:color w:val="000000"/>
        </w:rPr>
        <w:t xml:space="preserve"> </w:t>
      </w:r>
      <w:r w:rsidR="0050467F" w:rsidRPr="006B15C8">
        <w:rPr>
          <w:color w:val="000000"/>
        </w:rPr>
        <w:t>conditions interact to influence pedestrian crossing behavior, especially non-compliant crossings (e.g., jaywalking or crossing against signals)? (2) What factors influence driver yielding behavior, and how do</w:t>
      </w:r>
      <w:r w:rsidRPr="006B15C8">
        <w:rPr>
          <w:color w:val="000000"/>
        </w:rPr>
        <w:t>es the combination of</w:t>
      </w:r>
      <w:r w:rsidR="0050467F" w:rsidRPr="006B15C8">
        <w:rPr>
          <w:color w:val="000000"/>
        </w:rPr>
        <w:t xml:space="preserve"> pedestrian characteristics, group dynamics, and temporal conditions shape drivers’ decisions to yield?</w:t>
      </w:r>
    </w:p>
    <w:p w14:paraId="590178E2" w14:textId="312B0876" w:rsidR="003F569B" w:rsidRPr="006B15C8" w:rsidRDefault="00587BB7" w:rsidP="004A6C6E">
      <w:pPr>
        <w:spacing w:line="271" w:lineRule="auto"/>
        <w:ind w:firstLine="720"/>
      </w:pPr>
      <w:r w:rsidRPr="006B15C8">
        <w:rPr>
          <w:color w:val="000000"/>
        </w:rPr>
        <w:t xml:space="preserve">To address these questions, we analyzed over 1,000 hours of intersection video footage from two locations in Austin, Texas. Trained analysts coded </w:t>
      </w:r>
      <w:r w:rsidR="009A4FCF" w:rsidRPr="006B15C8">
        <w:t xml:space="preserve">20,995 </w:t>
      </w:r>
      <w:r w:rsidRPr="006B15C8">
        <w:rPr>
          <w:color w:val="000000"/>
        </w:rPr>
        <w:t>pedestrian crossings and documented 3,124 pedestrian-vehicle interactions</w:t>
      </w:r>
      <w:r w:rsidR="0050467F" w:rsidRPr="006B15C8">
        <w:rPr>
          <w:color w:val="000000"/>
        </w:rPr>
        <w:t>.</w:t>
      </w:r>
      <w:r w:rsidR="0050467F" w:rsidRPr="006B15C8">
        <w:t xml:space="preserve"> These data informed </w:t>
      </w:r>
      <w:r w:rsidR="00B97D83" w:rsidRPr="006B15C8">
        <w:t xml:space="preserve">the analysis of </w:t>
      </w:r>
      <w:r w:rsidR="0050467F" w:rsidRPr="006B15C8">
        <w:t xml:space="preserve">two </w:t>
      </w:r>
      <w:r w:rsidR="00B97D83" w:rsidRPr="006B15C8">
        <w:t xml:space="preserve">outcomes: (a) </w:t>
      </w:r>
      <w:r w:rsidR="0050467F" w:rsidRPr="006B15C8">
        <w:t xml:space="preserve">non-compliant pedestrian crossing (NCPC) and </w:t>
      </w:r>
      <w:r w:rsidR="00B97D83" w:rsidRPr="006B15C8">
        <w:t xml:space="preserve">(b) </w:t>
      </w:r>
      <w:r w:rsidR="009005FB" w:rsidRPr="006B15C8">
        <w:t xml:space="preserve">driver </w:t>
      </w:r>
      <w:r w:rsidR="00B97D83" w:rsidRPr="006B15C8">
        <w:t>un</w:t>
      </w:r>
      <w:r w:rsidR="009005FB" w:rsidRPr="006B15C8">
        <w:t xml:space="preserve">yielding </w:t>
      </w:r>
      <w:r w:rsidR="00B97D83" w:rsidRPr="006B15C8">
        <w:t xml:space="preserve">(DUY) </w:t>
      </w:r>
      <w:r w:rsidR="009005FB" w:rsidRPr="006B15C8">
        <w:t xml:space="preserve">behavior </w:t>
      </w:r>
      <w:r w:rsidR="00B97D83" w:rsidRPr="006B15C8">
        <w:t xml:space="preserve">(that is, driver failure to yield </w:t>
      </w:r>
      <w:r w:rsidR="009005FB" w:rsidRPr="006B15C8">
        <w:t>in contexts where statutory provisions impose a legal obligation on drivers to yield to pedestrians</w:t>
      </w:r>
      <w:r w:rsidR="00B97D83" w:rsidRPr="006B15C8">
        <w:t>)</w:t>
      </w:r>
      <w:r w:rsidRPr="006B15C8">
        <w:rPr>
          <w:color w:val="000000"/>
        </w:rPr>
        <w:t xml:space="preserve">. By capturing real-world behavior across diverse contexts, this research contributes to the transportation literature by </w:t>
      </w:r>
      <w:r w:rsidR="0050467F" w:rsidRPr="006B15C8">
        <w:rPr>
          <w:color w:val="000000"/>
        </w:rPr>
        <w:t>addressing</w:t>
      </w:r>
      <w:r w:rsidRPr="006B15C8">
        <w:rPr>
          <w:color w:val="000000"/>
        </w:rPr>
        <w:t xml:space="preserve"> the influence of individual and social factors on pedestrian safety. The findings have </w:t>
      </w:r>
      <w:r w:rsidR="009A4FCF" w:rsidRPr="006B15C8">
        <w:rPr>
          <w:color w:val="000000"/>
        </w:rPr>
        <w:t>significant implications for urban planning and policy, underscoring the need for interventions that extend beyond infrastructure to address the broader social and behavioral aspect</w:t>
      </w:r>
      <w:r w:rsidRPr="006B15C8">
        <w:rPr>
          <w:color w:val="000000"/>
        </w:rPr>
        <w:t>s of street safety.</w:t>
      </w:r>
    </w:p>
    <w:p w14:paraId="288758DC" w14:textId="77777777" w:rsidR="003F569B" w:rsidRPr="006B15C8" w:rsidRDefault="003F569B" w:rsidP="004A6C6E">
      <w:pPr>
        <w:spacing w:line="271" w:lineRule="auto"/>
        <w:ind w:left="360" w:hanging="360"/>
      </w:pPr>
    </w:p>
    <w:p w14:paraId="6B68B2D5" w14:textId="77777777" w:rsidR="0070568B" w:rsidRPr="006B15C8" w:rsidRDefault="00311095" w:rsidP="004A6C6E">
      <w:pPr>
        <w:pStyle w:val="Heading1"/>
        <w:spacing w:line="271" w:lineRule="auto"/>
        <w:ind w:left="360"/>
        <w:rPr>
          <w:caps/>
        </w:rPr>
      </w:pPr>
      <w:r w:rsidRPr="006B15C8">
        <w:rPr>
          <w:caps/>
        </w:rPr>
        <w:t>Relevant Literature</w:t>
      </w:r>
    </w:p>
    <w:p w14:paraId="2AA17716" w14:textId="137F5526" w:rsidR="0050467F" w:rsidRPr="006B15C8" w:rsidRDefault="00311095" w:rsidP="004A6C6E">
      <w:pPr>
        <w:spacing w:line="271" w:lineRule="auto"/>
      </w:pPr>
      <w:r w:rsidRPr="006B15C8">
        <w:t>The literature on pedestrian safety is extensive, with most studies relying on historical crash data to examine both macro- and micro-level patterns, such as identifying high-risk groups and locations, or analyzing how individual pedestrian characteristics influence crash severity</w:t>
      </w:r>
      <w:r w:rsidR="0050467F" w:rsidRPr="006B15C8">
        <w:t xml:space="preserve"> (</w:t>
      </w:r>
      <w:bookmarkStart w:id="18" w:name="_Hlk203652420"/>
      <w:bookmarkStart w:id="19" w:name="_Hlk202475992"/>
      <w:r w:rsidR="0050467F" w:rsidRPr="006B15C8">
        <w:fldChar w:fldCharType="begin"/>
      </w:r>
      <w:r w:rsidR="003F5890" w:rsidRPr="006B15C8">
        <w:instrText xml:space="preserve"> ADDIN ZOTERO_ITEM CSL_CITATION {"citationID":"LSgBhlO0","properties":{"formattedCitation":"(Mirhashemi et al., 2022)","plainCitation":"(Mirhashemi et al., 2022)","dontUpdate":true,"noteIndex":0},"citationItems":[{"id":"ReAbCZ5Q/uY9pD2d2","uris":["http://zotero.org/users/9292995/items/48GAXTFF"],"itemData":{"id":640,"type":"article-journal","container-title":"Accident Analysis &amp; Prevention","ISSN":"0001-4575","journalAbbreviation":"Accident Analysis &amp; Prevention","note":"publisher: Elsevier","page":"106720","title":"Macro-level literature analysis on pedestrian safety: Bibliometric overview, conceptual frames, and trends","volume":"174","author":[{"family":"Mirhashemi","given":"Ali"},{"family":"Amirifar","given":"Saeideh"},{"family":"Kashani","given":"Ali Tavakoli"},{"family":"Zou","given":"Xin"}],"issued":{"date-parts":[["2022"]]}}}],"schema":"https://github.com/citation-style-language/schema/raw/master/csl-citation.json"} </w:instrText>
      </w:r>
      <w:r w:rsidR="0050467F" w:rsidRPr="006B15C8">
        <w:fldChar w:fldCharType="separate"/>
      </w:r>
      <w:r w:rsidR="0050467F" w:rsidRPr="006B15C8">
        <w:t>Mirhashemi et al., 2022</w:t>
      </w:r>
      <w:r w:rsidR="0050467F" w:rsidRPr="006B15C8">
        <w:fldChar w:fldCharType="end"/>
      </w:r>
      <w:r w:rsidR="0050467F" w:rsidRPr="006B15C8">
        <w:t xml:space="preserve">, </w:t>
      </w:r>
      <w:r w:rsidR="0050467F" w:rsidRPr="006B15C8">
        <w:fldChar w:fldCharType="begin"/>
      </w:r>
      <w:r w:rsidR="003F5890" w:rsidRPr="006B15C8">
        <w:instrText xml:space="preserve"> ADDIN ZOTERO_ITEM CSL_CITATION {"citationID":"m9dbuWyE","properties":{"formattedCitation":"(Shrinivas et al., 2023)","plainCitation":"(Shrinivas et al., 2023)","dontUpdate":true,"noteIndex":0},"citationItems":[{"id":"ReAbCZ5Q/8qFwbmUb","uris":["http://zotero.org/users/9292995/items/M73IIVGX"],"itemData":{"id":2621,"type":"article-journal","abstract":"Pedestrians account for 26% of all traffic fatalities worldwide. According to in-depth collision databases, around 3500 variables can affect the outcome of a collision, making it crucial to establish the relationship between each variable and the outcome. To date, there is no method defined to assess these variables' relevance other than a statistical correlation, which can sometimes lead to reasonable conclusions, but only under specific circumstances. This article addresses this issue by first conducting a literature review to determine all relevant variables, followed by developing a variable selection criterion to select crucial variables, and then conducting a meta-analysis to quantify these relationships. Epidemiological studies published between 1990 and 2022 were examined, including 93 papers from 19 different nations that considered 904,655 pedestrian collisions. Of the 204 variables that were extracted from these studies, 152 were examined using the variable selection criterion, and 68 were found to be significant. Of these, 20 were included in the meta-analysis, which combined odds ratios to aggregate the effect of a variable across various studies, thus removing study-specific conclusions. This study makes a compelling argument that using statistical correlation by itself is insufficient to determine a variable's significance. The proposed method is an objective way to distinguish the variables for stakeholders and identify their relevance. This study offers a definitive list of the 15 characteristics that must be present in any pedestrian-to-vehicle collision databases, as well as a list of 53 variables that require additional investigation, allowing for appropriate actions for safer roads.","container-title":"Transportation Engineering","DOI":"10.1016/j.treng.2022.100158","ISSN":"2666-691X","journalAbbreviation":"Transportation Engineering","page":"100158","source":"ScienceDirect","title":"Parameters influencing pedestrian injury and severity – A systematic review and meta-analysis","volume":"11","author":[{"family":"Shrinivas","given":"V"},{"family":"Bastien","given":"C"},{"family":"Davies","given":"H"},{"family":"Daneshkhah","given":"A"},{"family":"Hardwicke","given":"J"}],"issued":{"date-parts":[["2023",3,1]]}}}],"schema":"https://github.com/citation-style-language/schema/raw/master/csl-citation.json"} </w:instrText>
      </w:r>
      <w:r w:rsidR="0050467F" w:rsidRPr="006B15C8">
        <w:fldChar w:fldCharType="separate"/>
      </w:r>
      <w:r w:rsidR="0050467F" w:rsidRPr="006B15C8">
        <w:t>Shrinivas et al., 2023</w:t>
      </w:r>
      <w:r w:rsidR="0050467F" w:rsidRPr="006B15C8">
        <w:fldChar w:fldCharType="end"/>
      </w:r>
      <w:r w:rsidR="0050467F" w:rsidRPr="006B15C8">
        <w:t>,</w:t>
      </w:r>
      <w:r w:rsidRPr="006B15C8">
        <w:t xml:space="preserve"> </w:t>
      </w:r>
      <w:r w:rsidRPr="006B15C8">
        <w:fldChar w:fldCharType="begin"/>
      </w:r>
      <w:r w:rsidR="003F5890" w:rsidRPr="006B15C8">
        <w:instrText xml:space="preserve"> ADDIN ZOTERO_ITEM CSL_CITATION {"citationID":"EU3UNF9h","properties":{"formattedCitation":"(Kumar et al., 2025)","plainCitation":"(Kumar et al., 2025)","dontUpdate":true,"noteIndex":0},"citationItems":[{"id":"ReAbCZ5Q/oNCx34Gv","uris":["http://zotero.org/users/9292995/items/AFW4ZKSN"],"itemData":{"id":3438,"type":"article-journal","abstract":"Traditionally, road safety studies have been conducted independently, either at microscopic or macroscopic levels. This study synthesizes existing literature on road safety research conducted at microscopic, macroscopic, and mesoscopic levels using a Systematic Literature Review (SLR). The objective of this research is to examine the advancement in crash prediction methodologies, crash analysis, and the integration of microscopic, macroscopic, and mesoscopic studies over the past two decades to understand the multiscale dynamics of crash occurrence. In addition, bibliometric analysis helps to map social, conceptual, and intellectual collaborations among sources, authors, and institutions. The comprehensive review of the existing literature shows that some analytical advancements in statistical approaches, as well as Machine Learning (ML) and Deep Learning (DL) approaches, have facilitated them to address data complexity issues. In the latter decade, researchers have started to integrate microscopic and macroscopic approaches to have a nuanced and cohesive understanding of the intrinsic relationships among crash contributing factors and to assess the impact of an integrated approach on the model's predictive performance. The bibliometric analysis of published literature revealed distinct clusters, each providing a unique perspective on road safety. The major gaps observed in the systematic review of studies are the lack of consideration of behavioural aspects of road users, the transferability of models between two independent frameworks, as well as across the integrated modelling methodologies. Another significant gap is the lack of a scale of adjacent street networks in mesoscopic studies. Overall, this review provided critical insights into safety studies that focus on distinct resolutions, analytical advancements in modelling methodologies, mapping of scientific collaborations and identifications of research gaps.","container-title":"IATSS Research","DOI":"10.1016/j.iatssr.2024.12.001","ISSN":"0386-1112","issue":"1","journalAbbreviation":"IATSS Research","page":"10-26","source":"ScienceDirect","title":"Road safety studies at micro, meso, and macroscopic levels: A systematic review","title-short":"Road safety studies at micro, meso, and macroscopic levels","volume":"49","author":[{"family":"Kumar","given":"Parveen"},{"family":"Tiwari","given":"Geetam"},{"family":"Paul","given":"Sourabh Bikas"}],"issued":{"date-parts":[["2025",4,1]]}}}],"schema":"https://github.com/citation-style-language/schema/raw/master/csl-citation.json"} </w:instrText>
      </w:r>
      <w:r w:rsidRPr="006B15C8">
        <w:fldChar w:fldCharType="separate"/>
      </w:r>
      <w:r w:rsidR="0050467F" w:rsidRPr="006B15C8">
        <w:t>Kumar et al., 2025</w:t>
      </w:r>
      <w:r w:rsidRPr="006B15C8">
        <w:fldChar w:fldCharType="end"/>
      </w:r>
      <w:bookmarkEnd w:id="18"/>
      <w:bookmarkEnd w:id="19"/>
      <w:r w:rsidR="0050467F" w:rsidRPr="006B15C8">
        <w:t xml:space="preserve">). </w:t>
      </w:r>
      <w:r w:rsidR="00F818EE" w:rsidRPr="006B15C8">
        <w:t>T</w:t>
      </w:r>
      <w:r w:rsidR="0031702F" w:rsidRPr="006B15C8">
        <w:t xml:space="preserve">hese studies </w:t>
      </w:r>
      <w:r w:rsidR="00F818EE" w:rsidRPr="006B15C8">
        <w:t xml:space="preserve">have been </w:t>
      </w:r>
      <w:r w:rsidR="0031702F" w:rsidRPr="006B15C8">
        <w:t>valuable for identifying patterns and disparities</w:t>
      </w:r>
      <w:r w:rsidR="002C5480" w:rsidRPr="006B15C8">
        <w:t xml:space="preserve"> in safety outcomes</w:t>
      </w:r>
      <w:r w:rsidR="008C222F" w:rsidRPr="006B15C8">
        <w:t xml:space="preserve">; however, there is still a need </w:t>
      </w:r>
      <w:r w:rsidR="008C222F" w:rsidRPr="006B15C8">
        <w:lastRenderedPageBreak/>
        <w:t>to uncover, at a fine-grained behavioral</w:t>
      </w:r>
      <w:r w:rsidR="00F818EE" w:rsidRPr="006B15C8">
        <w:t xml:space="preserve"> level, </w:t>
      </w:r>
      <w:r w:rsidR="0031702F" w:rsidRPr="006B15C8">
        <w:t>the mechanisms underlying those disparities</w:t>
      </w:r>
      <w:r w:rsidR="002C5480" w:rsidRPr="006B15C8">
        <w:t xml:space="preserve">. </w:t>
      </w:r>
      <w:r w:rsidR="0050467F" w:rsidRPr="006B15C8">
        <w:t xml:space="preserve">Recognizing this </w:t>
      </w:r>
      <w:r w:rsidR="00F818EE" w:rsidRPr="006B15C8">
        <w:t>need</w:t>
      </w:r>
      <w:r w:rsidR="0050467F" w:rsidRPr="006B15C8">
        <w:t xml:space="preserve">, recent research has shifted toward examining the behavioral dimensions of pedestrian safety, focusing on the factors influencing </w:t>
      </w:r>
      <w:r w:rsidR="00B97D83" w:rsidRPr="006B15C8">
        <w:t>NCPC and DUY behaviors.</w:t>
      </w:r>
    </w:p>
    <w:p w14:paraId="0F625B71" w14:textId="378A1D87" w:rsidR="009A4FCF" w:rsidRPr="006B15C8" w:rsidRDefault="0050467F" w:rsidP="004A6C6E">
      <w:pPr>
        <w:spacing w:line="271" w:lineRule="auto"/>
        <w:ind w:firstLine="720"/>
      </w:pPr>
      <w:r w:rsidRPr="006B15C8">
        <w:t>In studying pedestrian and driver behavior</w:t>
      </w:r>
      <w:r w:rsidR="00D90D78" w:rsidRPr="006B15C8">
        <w:t>s</w:t>
      </w:r>
      <w:r w:rsidRPr="006B15C8">
        <w:t>, researchers commonly categorize influencing factors into four domains: human, traffic, built</w:t>
      </w:r>
      <w:r w:rsidR="009A4FCF" w:rsidRPr="006B15C8">
        <w:t>-</w:t>
      </w:r>
      <w:r w:rsidRPr="006B15C8">
        <w:t>environment, and environmental</w:t>
      </w:r>
      <w:r w:rsidR="00D90D78" w:rsidRPr="006B15C8">
        <w:t>/temporal</w:t>
      </w:r>
      <w:r w:rsidRPr="006B15C8">
        <w:t xml:space="preserve"> conditions</w:t>
      </w:r>
      <w:r w:rsidR="000B59A1" w:rsidRPr="006B15C8">
        <w:t xml:space="preserve"> (</w:t>
      </w:r>
      <w:bookmarkStart w:id="20" w:name="_Hlk203652427"/>
      <w:r w:rsidR="000B59A1" w:rsidRPr="006B15C8">
        <w:fldChar w:fldCharType="begin"/>
      </w:r>
      <w:r w:rsidR="00911EF4" w:rsidRPr="006B15C8">
        <w:instrText xml:space="preserve"> ADDIN ZOTERO_ITEM CSL_CITATION {"citationID":"DBa3i74e","properties":{"formattedCitation":"(Zhu et al., 2021)","plainCitation":"(Zhu et al., 2021)","dontUpdate":true,"noteIndex":0},"citationItems":[{"id":155,"uris":["http://zotero.org/groups/5885221/items/9M8ML4RE"],"itemData":{"id":155,"type":"article-journal","abstract":"Pedestrian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000B59A1" w:rsidRPr="006B15C8">
        <w:fldChar w:fldCharType="separate"/>
      </w:r>
      <w:r w:rsidR="000B59A1" w:rsidRPr="006B15C8">
        <w:t>Zhu et al., 2021</w:t>
      </w:r>
      <w:r w:rsidR="000B59A1" w:rsidRPr="006B15C8">
        <w:fldChar w:fldCharType="end"/>
      </w:r>
      <w:r w:rsidR="000B59A1" w:rsidRPr="006B15C8">
        <w:t xml:space="preserve">, and </w:t>
      </w:r>
      <w:r w:rsidR="000B59A1" w:rsidRPr="006B15C8">
        <w:fldChar w:fldCharType="begin"/>
      </w:r>
      <w:r w:rsidR="00911EF4" w:rsidRPr="006B15C8">
        <w:instrText xml:space="preserve"> ADDIN ZOTERO_ITEM CSL_CITATION {"citationID":"yWkrir6e","properties":{"formattedCitation":"(Ghomi &amp; Hussein, 2022)","plainCitation":"(Ghomi &amp; Hussein, 2022)","dontUpdate":true,"noteIndex":0},"citationItems":[{"id":5,"uris":["http://zotero.org/groups/5885221/items/QAE9DUHK"],"itemData":{"id":5,"type":"article-journal","abstract":"The goal of this study is to provide an overview of previous research that investigated pedestrian violation behaviour, with a focus on identifying the contributing factors of such behaviour, its impact on pedestrian safety, the mitigation strategies, the limitations of current studies, and the future research directions. To that end, the Latent Dirichlet Allocation (LDA) text mining method was applied to extract a comprehensive list of studies that were conducted during the past 21 years related to pedestrian violation behaviours. Using the extracted studies, a multi-sectional literature review was developed to provide a comprehensive understanding of the different aspects related to pedestrian violations. Afterward, a meta-analysis was undertaken, using the studies that reported quantitative results, in order to obtain the average impact of the different contributing factors on the frequency of pedestrian violations. The study found that pedestrian violations are one of the hazardous behaviours that contribute to both the frequency and severity of pedestrian-vehicle collisions. According to the literature, the waiting time at the curbside, traffic volume, walking speed, pedestrian distraction, the presence of bus stops and schools, and the presence of on-street parking are among the key factors that increase the likelihood of pedestrian violations. The study has also reviewed a wide range of strategies that can be used to mitigate violations and reduce the safety consequences of such behaviour, including simple engineering-based countermeasures, enforcement, solutions that rely on advanced in-vehicle technologies, and infrastructure connectivity features, educational programs, and public campaigns.","container-title":"Accident Analysis &amp; Prevention","DOI":"10.1016/j.aap.2022.106712","ISSN":"0001-4575","journalAbbreviation":"Accident Analysis &amp; Prevention","page":"106712","source":"ScienceDirect","title":"An integrated text mining, literature review, and meta-analysis approach to investigate pedestrian violation behaviours","volume":"173","author":[{"family":"Ghomi","given":"Haniyeh"},{"family":"Hussein","given":"Mohamed"}],"issued":{"date-parts":[["2022",8,1]]}}}],"schema":"https://github.com/citation-style-language/schema/raw/master/csl-citation.json"} </w:instrText>
      </w:r>
      <w:r w:rsidR="000B59A1" w:rsidRPr="006B15C8">
        <w:fldChar w:fldCharType="separate"/>
      </w:r>
      <w:r w:rsidR="000B59A1" w:rsidRPr="006B15C8">
        <w:t>Ghomi and Hussein, 2022)</w:t>
      </w:r>
      <w:r w:rsidR="000B59A1" w:rsidRPr="006B15C8">
        <w:fldChar w:fldCharType="end"/>
      </w:r>
      <w:bookmarkEnd w:id="20"/>
      <w:r w:rsidR="000B59A1" w:rsidRPr="006B15C8">
        <w:t xml:space="preserve">. </w:t>
      </w:r>
      <w:r w:rsidR="002C5480" w:rsidRPr="006B15C8">
        <w:t xml:space="preserve">Human factors typically include the demographic and socioeconomic characteristics of pedestrians and drivers. Traffic factors refer to variables such as traffic volume, vehicle speed, and traffic composition. Built-environment factors encompass elements </w:t>
      </w:r>
      <w:r w:rsidR="009A4FCF" w:rsidRPr="006B15C8">
        <w:t>such as</w:t>
      </w:r>
      <w:r w:rsidR="002C5480" w:rsidRPr="006B15C8">
        <w:t xml:space="preserve"> roadway geometry, pavement condition, lighting, and traffic control features. </w:t>
      </w:r>
      <w:r w:rsidR="009A4FCF" w:rsidRPr="006B15C8">
        <w:t xml:space="preserve">Lastly, </w:t>
      </w:r>
      <w:r w:rsidR="008C222F" w:rsidRPr="006B15C8">
        <w:t xml:space="preserve">environmental/temporal </w:t>
      </w:r>
      <w:r w:rsidR="009A4FCF" w:rsidRPr="006B15C8">
        <w:t>factors refer to weather conditions, ambient lighting, and the time</w:t>
      </w:r>
      <w:r w:rsidR="008C222F" w:rsidRPr="006B15C8">
        <w:t>-o</w:t>
      </w:r>
      <w:r w:rsidR="009A4FCF" w:rsidRPr="006B15C8">
        <w:t>f</w:t>
      </w:r>
      <w:r w:rsidR="008C222F" w:rsidRPr="006B15C8">
        <w:t>-</w:t>
      </w:r>
      <w:r w:rsidR="009A4FCF" w:rsidRPr="006B15C8">
        <w:t>day during which pedestrian or driver behavior is observed.</w:t>
      </w:r>
    </w:p>
    <w:p w14:paraId="4B5AA65D" w14:textId="6043F01D" w:rsidR="002C5480" w:rsidRPr="006B15C8" w:rsidRDefault="004C41BE" w:rsidP="004A6C6E">
      <w:pPr>
        <w:spacing w:line="271" w:lineRule="auto"/>
        <w:ind w:firstLine="720"/>
      </w:pPr>
      <w:r w:rsidRPr="006B15C8">
        <w:t>A range of data collection methods has been used to study the influences</w:t>
      </w:r>
      <w:r w:rsidR="009F6234" w:rsidRPr="006B15C8">
        <w:t xml:space="preserve"> of the above listed factors</w:t>
      </w:r>
      <w:r w:rsidRPr="006B15C8">
        <w:t xml:space="preserve">, including </w:t>
      </w:r>
      <w:r w:rsidR="00A2091E" w:rsidRPr="006B15C8">
        <w:t>surveys</w:t>
      </w:r>
      <w:r w:rsidR="00311095" w:rsidRPr="006B15C8">
        <w:t xml:space="preserve"> </w:t>
      </w:r>
      <w:bookmarkStart w:id="21" w:name="_Hlk203652433"/>
      <w:r w:rsidR="00311095" w:rsidRPr="006B15C8">
        <w:t>(</w:t>
      </w:r>
      <w:r w:rsidR="00A2091E" w:rsidRPr="006B15C8">
        <w:t>e.g</w:t>
      </w:r>
      <w:bookmarkStart w:id="22" w:name="_Hlk202476065"/>
      <w:r w:rsidR="00A2091E" w:rsidRPr="006B15C8">
        <w:t>.</w:t>
      </w:r>
      <w:r w:rsidR="00311095" w:rsidRPr="006B15C8">
        <w:t xml:space="preserve">, </w:t>
      </w:r>
      <w:r w:rsidR="00311095" w:rsidRPr="006B15C8">
        <w:fldChar w:fldCharType="begin"/>
      </w:r>
      <w:r w:rsidR="00911EF4" w:rsidRPr="006B15C8">
        <w:instrText xml:space="preserve"> ADDIN ZOTERO_ITEM CSL_CITATION {"citationID":"n1DGtnyV","properties":{"formattedCitation":"(Deb et al., 2017)","plainCitation":"(Deb et al., 2017)","dontUpdate":true,"noteIndex":0},"citationItems":[{"id":352,"uris":["http://zotero.org/groups/5885221/items/2V96K6Y6"],"itemData":{"id":352,"type":"article-journal","abstract":"The aim of this study was to develop and validate a self-reporting Pedestrian Behavior Questionnaire (PBQ) for the U.S. population to measure frequency of risky behaviors among pedestrians. The PBQ includes 50 survey items that allow respondents to rate the frequency with which they engage in different types of road-using behaviors as pedestrians. The validation study was conducted on 425 participants (228 males and 197 females) between the ages of 18 and 71. Confirmatory factor analysis differentiated pedestrian behaviors into five factor categories: violations, errors, lapses, aggressive behaviors, and positive behaviors. A short version of the PBQ with 20 items was also created by selecting four items with high factor loadings from each of the five factor categories. Regression analyses investigated associations with scenario-based survey behavioral responses to validate the five-factor PBQ subscale scores and composite score. For both long and short versions, each of these five individual factor scales were found to be reliable (0.7&lt;Cronbach’s alpha (α)&lt;0.9) and valid (significant association with p&lt;0.0001), except in the case of positive behaviors (α&lt;0.6) which requires further expansion. The effects of gender and age on the PBQ scores were investigated and found to be consistent with previous research. This PBQ can serve as an instrument of pedestrian self-assessment in educational and training contexts as well as can be useful to all researchers investigating pedestrian safety for all age groups.","container-title":"Accident Analysis &amp; Prevention","DOI":"10.1016/j.aap.2017.05.020","ISSN":"0001-4575","journalAbbreviation":"Accident Analysis &amp; Prevention","page":"191-201","source":"ScienceDirect","title":"Evaluating pedestrian behavior at crosswalks: Validation of a pedestrian behavior questionnaire for the U.S. population","title-short":"Evaluating pedestrian behavior at crosswalks","volume":"106","author":[{"family":"Deb","given":"Shuchisnigdha"},{"family":"Strawderman","given":"Lesley"},{"family":"DuBien","given":"Janice"},{"family":"Smith","given":"Brian"},{"family":"Carruth","given":"Daniel W."},{"family":"Garrison","given":"Teena M."}],"issued":{"date-parts":[["2017",9,1]]}}}],"schema":"https://github.com/citation-style-language/schema/raw/master/csl-citation.json"} </w:instrText>
      </w:r>
      <w:r w:rsidR="00311095" w:rsidRPr="006B15C8">
        <w:fldChar w:fldCharType="separate"/>
      </w:r>
      <w:r w:rsidR="00311095" w:rsidRPr="006B15C8">
        <w:t>Deb et al., 2017</w:t>
      </w:r>
      <w:r w:rsidR="00311095" w:rsidRPr="006B15C8">
        <w:fldChar w:fldCharType="end"/>
      </w:r>
      <w:r w:rsidR="00D530FB" w:rsidRPr="006B15C8">
        <w:t>,</w:t>
      </w:r>
      <w:r w:rsidR="00311095" w:rsidRPr="006B15C8">
        <w:t xml:space="preserve"> </w:t>
      </w:r>
      <w:r w:rsidR="00311095" w:rsidRPr="006B15C8">
        <w:fldChar w:fldCharType="begin"/>
      </w:r>
      <w:r w:rsidR="00911EF4" w:rsidRPr="006B15C8">
        <w:instrText xml:space="preserve"> ADDIN ZOTERO_ITEM CSL_CITATION {"citationID":"lJrsoLEd","properties":{"formattedCitation":"(Mukherjee &amp; Mitra, 2020)","plainCitation":"(Mukherjee &amp; Mitra, 2020)","dontUpdate":true,"noteIndex":0},"citationItems":[{"id":353,"uris":["http://zotero.org/groups/5885221/items/KFLYP7G3"],"itemData":{"id":353,"type":"article-journal","abstract":"Signalized intersections with marked crosswalks enhance pedestrian safety by providing the designated right of way to pedestrians. However, a significant number of pedestrian crashes occur at signalized intersections, which may predominantly be due to pedestrians’ violation behaviors. Therefore, it is worthwhile to examine how pedestrian risk and signal violation are associated. For this purpose, pedestrians’ crossing behavior, and perception data have been collected from 55 signalized junctions in Kolkata, India, and a mathematical relationship is developed between the share of pedestrian signal violation and the frequency of fatal pedestrian crashes. The model outcome indicates that there is a significant and positive association between these two variables. Subsequently, with the help of “beta regression model” it is identified that absence of pavement marking, traffic cycle length, inadequate sight distance, on-street parking, a high share of pedestrian carrying overhead loads, pedestrian’s intended mode of transport after crossing, and pedestrian’s sociodemographic characteristics significantly influence the share of pedestrian signal violation behavior. The study finding indicates that while improvement in the design of the built environment and signal settings to increase pedestrians’ convenience and confidence are must, and there is a crucial need to integrate innovative safety management practices to address spatial and temporal needs of an intersection. For example, intersections with high commercial activities generating a high volume of pedestrian carrying overhead goods demand particular pedestrian phase with countdown signals. Further, to control pedestrians’ unruly behavior, adequate pavement marking, zebra crossing, designated bus stop facility, pedestrian signal head, and off-street parking facility should be provided along with the strict enforcement. Moreover, to enhance compliance with traffic signals, road safety campaigns, education, and awareness programs are must for better and safer road use.","container-title":"Safety Science","DOI":"10.1016/j.ssci.2020.104610","ISSN":"0925-7535","journalAbbreviation":"Safety Science","page":"104610","source":"ScienceDirect","title":"A comprehensive study on factors influencing pedestrian signal violation behaviour: Experience from Kolkata City, India","title-short":"A comprehensive study on factors influencing pedestrian signal violation behaviour","volume":"124","author":[{"family":"Mukherjee","given":"Dipanjan"},{"family":"Mitra","given":"Sudeshna"}],"issued":{"date-parts":[["2020",4,1]]}}}],"schema":"https://github.com/citation-style-language/schema/raw/master/csl-citation.json"} </w:instrText>
      </w:r>
      <w:r w:rsidR="00311095" w:rsidRPr="006B15C8">
        <w:fldChar w:fldCharType="separate"/>
      </w:r>
      <w:r w:rsidR="00311095" w:rsidRPr="006B15C8">
        <w:t>Mukherjee and Mitra, 2020)</w:t>
      </w:r>
      <w:r w:rsidR="00311095" w:rsidRPr="006B15C8">
        <w:fldChar w:fldCharType="end"/>
      </w:r>
      <w:bookmarkEnd w:id="21"/>
      <w:bookmarkEnd w:id="22"/>
      <w:r w:rsidR="00311095" w:rsidRPr="006B15C8">
        <w:t>, video-based stated-preference experiments (</w:t>
      </w:r>
      <w:bookmarkStart w:id="23" w:name="_Hlk203652437"/>
      <w:r w:rsidR="00311095" w:rsidRPr="006B15C8">
        <w:t xml:space="preserve">e.g., </w:t>
      </w:r>
      <w:bookmarkStart w:id="24" w:name="_Hlk202476071"/>
      <w:r w:rsidR="00311095" w:rsidRPr="006B15C8">
        <w:fldChar w:fldCharType="begin"/>
      </w:r>
      <w:r w:rsidR="00911EF4" w:rsidRPr="006B15C8">
        <w:instrText xml:space="preserve"> ADDIN ZOTERO_ITEM CSL_CITATION {"citationID":"GqBMj9ll","properties":{"formattedCitation":"(Liu &amp; Tung, 2014)","plainCitation":"(Liu &amp; Tung, 2014)","dontUpdate":true,"noteIndex":0},"citationItems":[{"id":93,"uris":["http://zotero.org/groups/5885221/items/FMGYVR3I"],"itemData":{"id":93,"type":"article-journal","abstract":"The current study investigated the effects of age, time gap, time of day, and speed of approaching vehicle on the decision of pedestrians to cross a road. Sixteen young and sixteen elderly participants were asked to watch pre-recorded videos in which a vehicle was approaching from the left and then decide the last moment at which they could safely cross. Data on pedestrians’ walking speed, road-crossing decision performance, subjective confidence ratings and walking strategies, as well as responses given in post-experiment interviews were collected as dependent variables. A logistic regression model was constructed to analyse the risk of above mentioned variables yielding the odds that the road would be crossed safely. This study found that pedestrians’ decisions on whether or not they would cross the road safely were made based on the distance between them and the oncoming vehicle; and thus the faster the vehicular approach, the higher the risk. Young pedestrians demonstrated a higher safe road-crossing ratio than their elderly counterparts. Elderly pedestrians might not have taken their decline in walking ability into consideration when they made the same road-crossing decisions as young pedestrians, resulting in a relatively higher risk of road crossing. In addition, the most significant determinant of risk was the time gap. The time gap, which is affected by the distance from the oncoming vehicle and its speed, could be easily misjudged.","container-title":"Safety Science","DOI":"10.1016/j.ssci.2013.11.002","ISSN":"0925-7535","journalAbbreviation":"Safety Science","page":"77-82","source":"ScienceDirect","title":"Risk analysis of pedestrians’ road-crossing decisions: Effects of age, time gap, time of day, and vehicle speed","title-short":"Risk analysis of pedestrians’ road-crossing decisions","volume":"63","author":[{"family":"Liu","given":"Yung-Ching"},{"family":"Tung","given":"Ying-Chan"}],"issued":{"date-parts":[["2014",3,1]]}}}],"schema":"https://github.com/citation-style-language/schema/raw/master/csl-citation.json"} </w:instrText>
      </w:r>
      <w:r w:rsidR="00311095" w:rsidRPr="006B15C8">
        <w:fldChar w:fldCharType="separate"/>
      </w:r>
      <w:r w:rsidR="00311095" w:rsidRPr="006B15C8">
        <w:t>Liu and Tung, 2014)</w:t>
      </w:r>
      <w:r w:rsidR="00311095" w:rsidRPr="006B15C8">
        <w:fldChar w:fldCharType="end"/>
      </w:r>
      <w:bookmarkEnd w:id="23"/>
      <w:r w:rsidR="00311095" w:rsidRPr="006B15C8">
        <w:t xml:space="preserve">, </w:t>
      </w:r>
      <w:bookmarkEnd w:id="24"/>
      <w:r w:rsidR="00311095" w:rsidRPr="006B15C8">
        <w:t xml:space="preserve">in-person road observations </w:t>
      </w:r>
      <w:bookmarkStart w:id="25" w:name="_Hlk203652444"/>
      <w:r w:rsidR="00311095" w:rsidRPr="006B15C8">
        <w:t>(</w:t>
      </w:r>
      <w:bookmarkStart w:id="26" w:name="_Hlk202476075"/>
      <w:r w:rsidR="00311095" w:rsidRPr="006B15C8">
        <w:t>e.g.,</w:t>
      </w:r>
      <w:r w:rsidR="00311095" w:rsidRPr="006B15C8">
        <w:fldChar w:fldCharType="begin"/>
      </w:r>
      <w:r w:rsidR="00911EF4" w:rsidRPr="006B15C8">
        <w:instrText xml:space="preserve"> ADDIN ZOTERO_ITEM CSL_CITATION {"citationID":"Pzlt4Yfd","properties":{"formattedCitation":"(Avineri et al., 2012)","plainCitation":"(Avineri et al., 2012)","dontUpdate":true,"noteIndex":0},"citationItems":[{"id":136,"uris":["http://zotero.org/groups/5885221/items/A7RVP5SE"],"itemData":{"id":136,"type":"article-journal","abstract":"Pedestrians are exposed to risks when crossing roads in urban areas. The crossing behaviour of pedestrians was studied as a factor contributing to their exposure to risks on the road and to their involvement in road accidents. This work explores two specific aspects of crossing behaviour: crossing speed and head pitches—the proportion of time pedestrians point their heads down (rather than towards the traffic) when crossing a road. The last one is used as an indicator of the (lack of) attention to cross-traffic. We also explored the possible effect of fear of falling (FOF) among pedestrians, as it might be associated with slow walking, less attention to cross traffic, and more attention to the pavement and their footsteps. This paper reports on a field study that combined an observatory technique with short survey. 203 pedestrians in two sites (signalised and unsignalised crosswalks) were video recorded while crossing the road. The FOF of pedestrians and other measures of pedestrian behaviour at crosswalks were revealed by means of questionnaire. Age and gender had the most significant effects on crossing speed, and FOF had a significant effect on the proportion of downward head pitches during crossing.","collection-title":"Safety and Mobility of Vulnerable Road Usears: Pedestrians, Bicyclists, and Motorcyclists","container-title":"Accident Analysis &amp; Prevention","DOI":"10.1016/j.aap.2010.11.028","ISSN":"0001-4575","issue":"1","journalAbbreviation":"Accident Analysis &amp; Prevention","page":"30-34","source":"ScienceDirect","title":"Pedestrians’ behaviour in cross walks: The effects of fear of falling and age","title-short":"Pedestrians’ behaviour in cross walks","volume":"44","author":[{"family":"Avineri","given":"Erel"},{"family":"Shinar","given":"David"},{"family":"Susilo","given":"Yusak O."}],"issued":{"date-parts":[["2012",1,1]]}}}],"schema":"https://github.com/citation-style-language/schema/raw/master/csl-citation.json"} </w:instrText>
      </w:r>
      <w:r w:rsidR="00311095" w:rsidRPr="006B15C8">
        <w:fldChar w:fldCharType="separate"/>
      </w:r>
      <w:r w:rsidR="00311095" w:rsidRPr="006B15C8">
        <w:t xml:space="preserve"> Avineri et al., 2012</w:t>
      </w:r>
      <w:r w:rsidR="00311095" w:rsidRPr="006B15C8">
        <w:fldChar w:fldCharType="end"/>
      </w:r>
      <w:r w:rsidR="00311095" w:rsidRPr="006B15C8">
        <w:t xml:space="preserve">, </w:t>
      </w:r>
      <w:r w:rsidR="00311095" w:rsidRPr="006B15C8">
        <w:fldChar w:fldCharType="begin"/>
      </w:r>
      <w:r w:rsidR="00911EF4" w:rsidRPr="006B15C8">
        <w:instrText xml:space="preserve"> ADDIN ZOTERO_ITEM CSL_CITATION {"citationID":"Miqcdfwg","properties":{"formattedCitation":"(Dommes et al., 2015)","plainCitation":"(Dommes et al., 2015)","dontUpdate":true,"noteIndex":0},"citationItems":[{"id":45,"uris":["http://zotero.org/groups/5885221/items/9NB24Q7X"],"itemData":{"id":45,"type":"article-journal","abstract":"To study human factors linked to red light violations, and more generally to safety-related behaviors at signalized crosswalks, the present study combines the collection of observational data with questionnaires answered by 422 French adult pedestrians. Thirteen behavioral indicators were extracted (12 before and while crossing, and red light violation), and the roles of several demographical, contextual and mobility-associated variables were examined. The results of the stepwise logistic regression analyses carried out on each of the 12 behavioral indicators observed before and while crossing revealed that gender had no major impact, but age did, with more cautious behaviors as pedestrians were older. The three contextual variables (group size, parked vehicles, and traffic density), as four mobility-associated variables (driving and walking experiences, self-reported crossing difficulties and falls in the street) were also found to be important factors in safety-related crossing behaviors. A wider logistic regression analysis, made specifically on red light violations with all behavioral indicators observed before and while crossings and the several demographical, contextual and mobility-associated variables put together, showed that red light violations were mostly affected by current situational factors (group size, parked vehicles) and particularly associated with some behavioral patterns (looking toward the traffic, the ground, the light, running and crossing diagonally). The overall results encourage the development of safer pedestrian infrastructures and engineering countermeasures.","container-title":"Accident Analysis &amp; Prevention","DOI":"10.1016/j.aap.2015.04.002","ISSN":"0001-4575","journalAbbreviation":"Accident Analysis &amp; Prevention","page":"67-75","source":"ScienceDirect","title":"Red light violations by adult pedestrians and other safety-related behaviors at signalized crosswalks","volume":"80","author":[{"family":"Dommes","given":"A."},{"family":"Granié","given":"M. -A."},{"family":"Cloutier","given":"M. -S."},{"family":"Coquelet","given":"C."},{"family":"Huguenin-Richard","given":"F."}],"issued":{"date-parts":[["2015",7,1]]}}}],"schema":"https://github.com/citation-style-language/schema/raw/master/csl-citation.json"} </w:instrText>
      </w:r>
      <w:r w:rsidR="00311095" w:rsidRPr="006B15C8">
        <w:fldChar w:fldCharType="separate"/>
      </w:r>
      <w:r w:rsidR="00311095" w:rsidRPr="006B15C8">
        <w:t>Dommes et al., 2015</w:t>
      </w:r>
      <w:r w:rsidR="00311095" w:rsidRPr="006B15C8">
        <w:fldChar w:fldCharType="end"/>
      </w:r>
      <w:r w:rsidR="00311095" w:rsidRPr="006B15C8">
        <w:t xml:space="preserve">, </w:t>
      </w:r>
      <w:r w:rsidR="00311095" w:rsidRPr="006B15C8">
        <w:fldChar w:fldCharType="begin"/>
      </w:r>
      <w:r w:rsidR="00911EF4" w:rsidRPr="006B15C8">
        <w:instrText xml:space="preserve"> ADDIN ZOTERO_ITEM CSL_CITATION {"citationID":"6C0x7k3h","properties":{"formattedCitation":"(Ferenchak, 2016)","plainCitation":"(Ferenchak, 2016)","dontUpdate":true,"noteIndex":0},"citationItems":[{"id":147,"uris":["http://zotero.org/groups/5885221/items/BGLIV9V9"],"itemData":{"id":147,"type":"article-journal","abstract":"Pedestrians have unique needs to ensure their safety as they interact with others within a transportation system. Since this is especially true in third world context, it is imperative to gain a better understanding of pedestrian behaviors in developing countries. The goal is to have planners and engineers create appropriate design guidelines and inform policy decisions. Data on pedestrian characteristics and behavior metrics were gathered from midblock crossings in Bangalore, Karnataka, India. Quadratic and logistic regressions suggest that pedestrian delay and utilization of crossings increase with age, while conflicts decrease with it. Male waiting time is approximately half of female waiting time, and males are twice as likely to cause conflicts with motor vehicles. These strong patterns will hopefully aid in the understanding of pedestrian behavior in relation to motor vehicle traffic in urban areas of developing countries, encouraging safer crossings to be designed.","container-title":"Journal of Traffic and Transportation Engineering (English Edition)","DOI":"10.1016/j.jtte.2015.12.001","ISSN":"2095-7564","issue":"4","journalAbbreviation":"Journal of Traffic and Transportation Engineering (English Edition)","page":"345-351","source":"ScienceDirect","title":"Pedestrian age and gender in relation to crossing behavior at midblock crossings in India","volume":"3","author":[{"family":"Ferenchak","given":"Nicholas N."}],"issued":{"date-parts":[["2016",8,1]]}}}],"schema":"https://github.com/citation-style-language/schema/raw/master/csl-citation.json"} </w:instrText>
      </w:r>
      <w:r w:rsidR="00311095" w:rsidRPr="006B15C8">
        <w:fldChar w:fldCharType="separate"/>
      </w:r>
      <w:r w:rsidR="00311095" w:rsidRPr="006B15C8">
        <w:t>Ferenchak, 2016</w:t>
      </w:r>
      <w:r w:rsidR="00311095" w:rsidRPr="006B15C8">
        <w:fldChar w:fldCharType="end"/>
      </w:r>
      <w:r w:rsidR="00311095" w:rsidRPr="006B15C8">
        <w:t xml:space="preserve">, </w:t>
      </w:r>
      <w:r w:rsidR="00311095" w:rsidRPr="006B15C8">
        <w:fldChar w:fldCharType="begin"/>
      </w:r>
      <w:r w:rsidR="00911EF4" w:rsidRPr="006B15C8">
        <w:instrText xml:space="preserve"> ADDIN ZOTERO_ITEM CSL_CITATION {"citationID":"LNqJVkga","properties":{"formattedCitation":"(Aghabayk et al., 2021)","plainCitation":"(Aghabayk et al., 2021)","dontUpdate":true,"noteIndex":0},"citationItems":[{"id":97,"uris":["http://zotero.org/groups/5885221/items/T2UPR4SI"],"itemData":{"id":97,"type":"article-journal","abstract":"Despite many studies on exploring the behaviors of pedestrians crossing the road, there is a need for comprehensive studies that identify the factors that may influence pedestrians crossing behavior at signalized and unsignalized intersections. This study aims to comprehensively examine the influence of gender, age group, group-crossing, technological devices and carrying items on pedestrians crossing behaviors at signalized and unsignalized crosswalks simultaneously. Observational data of 552 pedestrians at two signalized and two unsignalized crosswalks in Tehran were collected. Temporal and spatial violations, conflict experience and collision avoidance, situational awareness, and pedestrians crossing speed were used as pedestrians crossing behaviors indicators. To model crossing behaviors, linear mixed models (LMMs) and Generalized linear mixed models (GLMMs) with fixed-effect approach were applied for the continuous outcome (pedestrians’ crossing speed) and binary outcomes, respectively. Phi and Cramer's V coefficients were used to avoid multicollinearity. Results showed that traffic checks before and while crossing showed a high positive correlation with crossing at “don’t walk” and flashing “don’t walk” signals and conflict experience at signalized crosswalks. As compared to females, males started their crossing more on flashing “don’t walk” signal and crossed the crosswalk faster. Older pedestrians exhibited more cautious behaviors at signalized intersections but less in unsignalized intersections. Alone pedestrians behaved more cautiously than groups and crossed the crosswalk more quickly. Using technological devices, regardless of their types, caused pedestrians to not exhibit one or more safe crossing indicators considered in this study. Pedestrians talking on their phones had the least cautious behaviors. Pedestrians listening to music mostly looked at the ground or straight direction rather than looking left-right for traffic. The findings from this study are a valuable resource to road authorities and policy makers to develop appropriate targeted strategies to prevent pedestrians’ injuries and fatalities and improve crosswalks safety.","container-title":"Accident Analysis &amp; Prevention","DOI":"10.1016/j.aap.2021.105990","ISSN":"0001-4575","journalAbbreviation":"Accident Analysis &amp; Prevention","page":"105990","source":"ScienceDirect","title":"Observational-based study to explore pedestrian crossing behaviors at signalized and unsignalized crosswalks","volume":"151","author":[{"family":"Aghabayk","given":"Kayvan"},{"family":"Esmailpour","given":"Javad"},{"family":"Jafari","given":"Ahmad"},{"family":"Shiwakoti","given":"Nirajan"}],"issued":{"date-parts":[["2021",3,1]]}}}],"schema":"https://github.com/citation-style-language/schema/raw/master/csl-citation.json"} </w:instrText>
      </w:r>
      <w:r w:rsidR="00311095" w:rsidRPr="006B15C8">
        <w:fldChar w:fldCharType="separate"/>
      </w:r>
      <w:r w:rsidR="00311095" w:rsidRPr="006B15C8">
        <w:t>Aghabayk et al., 2021)</w:t>
      </w:r>
      <w:r w:rsidR="00311095" w:rsidRPr="006B15C8">
        <w:fldChar w:fldCharType="end"/>
      </w:r>
      <w:bookmarkEnd w:id="25"/>
      <w:r w:rsidR="00311095" w:rsidRPr="006B15C8">
        <w:t xml:space="preserve">, </w:t>
      </w:r>
      <w:bookmarkEnd w:id="26"/>
      <w:r w:rsidR="00311095" w:rsidRPr="006B15C8">
        <w:t xml:space="preserve">recorded video footage either </w:t>
      </w:r>
      <w:r w:rsidR="00EC71F8" w:rsidRPr="006B15C8">
        <w:t xml:space="preserve">coded </w:t>
      </w:r>
      <w:r w:rsidR="00311095" w:rsidRPr="006B15C8">
        <w:t xml:space="preserve">manually </w:t>
      </w:r>
      <w:bookmarkStart w:id="27" w:name="_Hlk203652448"/>
      <w:r w:rsidR="00311095" w:rsidRPr="006B15C8">
        <w:t xml:space="preserve">(e.g., </w:t>
      </w:r>
      <w:bookmarkStart w:id="28" w:name="_Hlk202476083"/>
      <w:r w:rsidR="00311095" w:rsidRPr="006B15C8">
        <w:fldChar w:fldCharType="begin"/>
      </w:r>
      <w:r w:rsidR="00911EF4" w:rsidRPr="006B15C8">
        <w:instrText xml:space="preserve"> ADDIN ZOTERO_ITEM CSL_CITATION {"citationID":"wVo1r8rK","properties":{"formattedCitation":"(Bella &amp; Nobili, 2020)","plainCitation":"(Bella &amp; Nobili, 2020)","dontUpdate":true,"noteIndex":0},"citationItems":[{"id":72,"uris":["http://zotero.org/groups/5885221/items/VJ3EL7RE"],"itemData":{"id":72,"type":"article-journal","abstract":"Pedestrian crossing outside of a zebra crossing (jaywalking) is one of those pedestrian behaviors that may highly affect safety and operations. Unlike permissible crossings at zebra crossings, jaywalking events are not often anticipated by drivers, which may result in less driver reaction time and different vehicle operation dynamics. The objective of the research was to study driver’s behavior as well as to model the interaction with a pedestrian, who was crossing at and outside (jaywalker) of designated zebra crossings. Data were collected through an instrumented vehicle study. Sixteen participants took part in the survey. Each participant’s vehicle was instrumented with a video camera and a global positioning system (GPS) device. Each participant drove his vehicle along two streets of the center of Rome, during which numerous events of crossings at and outside the zebra crossing were detected. The acquired data allowed obtaining the driver’s speed profiles in approach to the pedestrian crossing. The analysis was based on variables that were obtained from the speed profiles of drivers. The driver’s behavior under legal and illegal crossings was analyzed in terms of driver yielding rates and yielding types, relationship between speed and distance of the vehicle from the conflict point at the decision point, and for different times left for the vehicle to get to the conflict point at the moment the pedestrian reaches the curb as well as pedestrian origin (form the right or left). Significant differences were detected in driver’s behavior during the interaction with the pedestrian crossing at and outside of the zebra crossing. The main results highlighted that the average yield rate to jaywalkers was lower than that to pedestrians at permissible crossings, the average deceleration rates were higher in the case of illegal crossing and driver yielding decision point to jaywalkers was closer to the conflict point. The obtained results provide the basis for modeling interactions between pedestrians crossing at and outside of crosswalks and approaching drivers in a micro-simulation environment.","collection-title":"Transport Infrastructure and systems in a changing world. Towards a more sustainable, reliable and smarter mobility.TIS Roma 2019 Conference Proceedings","container-title":"Transportation Research Procedia","DOI":"10.1016/j.trpro.2020.03.038","ISSN":"2352-1465","journalAbbreviation":"Transportation Research Procedia","page":"451-458","source":"ScienceDirect","title":"Driver-pedestrian interaction under legal and illegal pedestrian crossings","volume":"45","author":[{"family":"Bella","given":"Francesco"},{"family":"Nobili","given":"Federica"}],"issued":{"date-parts":[["2020",1,1]]}}}],"schema":"https://github.com/citation-style-language/schema/raw/master/csl-citation.json"} </w:instrText>
      </w:r>
      <w:r w:rsidR="00311095" w:rsidRPr="006B15C8">
        <w:fldChar w:fldCharType="separate"/>
      </w:r>
      <w:r w:rsidR="00311095" w:rsidRPr="006B15C8">
        <w:t>Bella and Nobili, 2020</w:t>
      </w:r>
      <w:r w:rsidR="00311095" w:rsidRPr="006B15C8">
        <w:fldChar w:fldCharType="end"/>
      </w:r>
      <w:r w:rsidR="00311095" w:rsidRPr="006B15C8">
        <w:t xml:space="preserve">, </w:t>
      </w:r>
      <w:r w:rsidR="00311095" w:rsidRPr="006B15C8">
        <w:fldChar w:fldCharType="begin"/>
      </w:r>
      <w:r w:rsidR="00911EF4" w:rsidRPr="006B15C8">
        <w:instrText xml:space="preserve"> ADDIN ZOTERO_ITEM CSL_CITATION {"citationID":"LaHNn1VN","properties":{"formattedCitation":"(Zhu et al., 2021)","plainCitation":"(Zhu et al., 2021)","dontUpdate":true,"noteIndex":0},"citationItems":[{"id":155,"uris":["http://zotero.org/groups/5885221/items/9M8ML4RE"],"itemData":{"id":155,"type":"article-journal","abstract":"Pedestrian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00311095" w:rsidRPr="006B15C8">
        <w:fldChar w:fldCharType="separate"/>
      </w:r>
      <w:r w:rsidR="00311095" w:rsidRPr="006B15C8">
        <w:t>Zhu et al., 2021)</w:t>
      </w:r>
      <w:r w:rsidR="00311095" w:rsidRPr="006B15C8">
        <w:fldChar w:fldCharType="end"/>
      </w:r>
      <w:bookmarkEnd w:id="27"/>
      <w:r w:rsidR="00311095" w:rsidRPr="006B15C8">
        <w:t xml:space="preserve"> </w:t>
      </w:r>
      <w:bookmarkEnd w:id="28"/>
      <w:r w:rsidR="00311095" w:rsidRPr="006B15C8">
        <w:t xml:space="preserve">or using computer vision algorithms </w:t>
      </w:r>
      <w:bookmarkStart w:id="29" w:name="_Hlk202476088"/>
      <w:bookmarkStart w:id="30" w:name="_Hlk203652452"/>
      <w:r w:rsidR="00311095" w:rsidRPr="006B15C8">
        <w:t xml:space="preserve">(e.g., </w:t>
      </w:r>
      <w:r w:rsidR="00311095" w:rsidRPr="006B15C8">
        <w:fldChar w:fldCharType="begin"/>
      </w:r>
      <w:r w:rsidR="00911EF4" w:rsidRPr="006B15C8">
        <w:instrText xml:space="preserve"> ADDIN ZOTERO_ITEM CSL_CITATION {"citationID":"vkR2EBA9","properties":{"formattedCitation":"(Anik et al., 2021)","plainCitation":"(Anik et al., 2021)","dontUpdate":true,"noteIndex":0},"citationItems":[{"id":95,"uris":["http://zotero.org/groups/5885221/items/QC49HC3L"],"itemData":{"id":95,"type":"article-journal","abstract":"This research presents a framework based on artificial neural networks (ANNs) to predict jaywalker’s trajectory while crossing the road. In this process, different causal and conditional variables related to jaywalking, such as, gender, direction of crossing, walking or running, cell phone use, roadway lane number, etc. are taken as input variables. The dataset comprises of 2504 samples which is collected under non-lane based heterogeneous traffic conditions. Through testing predictive performance of several ANN architectures based on correlation co-efficient and mean square error, the best ANN architecture to predict jaywalker’s movement is determined. The optimal ANN architecture comprises of 9 input nodes, 10 hidden nodes and 1 output node. This study also determines the microscopic variables, i.e., speed, flow and density, associated with jaywalking. The results indicate that the average speed of male jaywalkers is higher than female jaywalkers. The density is found to be higher in the last lanes of the crossing paths. In addition, this research develops jaywalker trajectories in order to understand their position shifting strategies. Findings suggest that ‘median to sidewalk’ movement trajectories tend to move closer to the foot-over bridge, whereas, the ‘sidewalk to median’ movement trajectories tend to move further away from foot-over bridge. The outcome of this research is expected to assist driver assistance technology as well as Connected and Autonomous Vehicle (CAV) technologies by allowing vehicles to safely navigate through both clustered and individual jaywalkers.","container-title":"Safety Science","DOI":"10.1016/j.ssci.2021.105448","ISSN":"0925-7535","journalAbbreviation":"Safety Science","page":"105448","source":"ScienceDirect","title":"Investigation of pedestrian jaywalking behaviour at mid-block locations using artificial neural networks","volume":"144","author":[{"family":"Anik","given":"Md Asif Hasan"},{"family":"Hossain","given":"Moinul"},{"family":"Habib","given":"Muhammad Ahsanul"}],"issued":{"date-parts":[["2021",12,1]]}}}],"schema":"https://github.com/citation-style-language/schema/raw/master/csl-citation.json"} </w:instrText>
      </w:r>
      <w:r w:rsidR="00311095" w:rsidRPr="006B15C8">
        <w:fldChar w:fldCharType="separate"/>
      </w:r>
      <w:r w:rsidR="00311095" w:rsidRPr="006B15C8">
        <w:t>Anik et al., 2021</w:t>
      </w:r>
      <w:r w:rsidR="00311095" w:rsidRPr="006B15C8">
        <w:fldChar w:fldCharType="end"/>
      </w:r>
      <w:r w:rsidR="00311095" w:rsidRPr="006B15C8">
        <w:t xml:space="preserve">, </w:t>
      </w:r>
      <w:r w:rsidR="00311095" w:rsidRPr="006B15C8">
        <w:fldChar w:fldCharType="begin"/>
      </w:r>
      <w:r w:rsidR="00911EF4" w:rsidRPr="006B15C8">
        <w:instrText xml:space="preserve"> ADDIN ZOTERO_ITEM CSL_CITATION {"citationID":"YDpOIJP7","properties":{"formattedCitation":"(Chavis et al., 2023)","plainCitation":"(Chavis et al., 2023)","dontUpdate":true,"noteIndex":0},"citationItems":[{"id":76,"uris":["http://zotero.org/groups/5885221/items/VD9WDEHJ"],"itemData":{"id":76,"type":"report","publisher":"Urban Mobility &amp; Equity Center","title":"A Comparative Study of Pedestrian Crossing Behavior and Saftey in Baltimore, MD and Washington, DU Using Video Surveillance","author":[{"family":"Chavis","given":"Celeste"},{"family":"Nyarko","given":"Kofi"},{"family":"Cirillo","given":"Cinzia"}],"issued":{"date-parts":[["2023",8]]}}}],"schema":"https://github.com/citation-style-language/schema/raw/master/csl-citation.json"} </w:instrText>
      </w:r>
      <w:r w:rsidR="00311095" w:rsidRPr="006B15C8">
        <w:fldChar w:fldCharType="separate"/>
      </w:r>
      <w:r w:rsidR="00311095" w:rsidRPr="006B15C8">
        <w:t>Chavis et al., 2023</w:t>
      </w:r>
      <w:r w:rsidR="00311095" w:rsidRPr="006B15C8">
        <w:fldChar w:fldCharType="end"/>
      </w:r>
      <w:r w:rsidR="00311095" w:rsidRPr="006B15C8">
        <w:t xml:space="preserve">, </w:t>
      </w:r>
      <w:r w:rsidR="00311095" w:rsidRPr="006B15C8">
        <w:fldChar w:fldCharType="begin"/>
      </w:r>
      <w:r w:rsidR="00911EF4" w:rsidRPr="006B15C8">
        <w:instrText xml:space="preserve"> ADDIN ZOTERO_ITEM CSL_CITATION {"citationID":"zja929BT","properties":{"formattedCitation":"(Wan et al., 2023)","plainCitation":"(Wan et al., 2023)","dontUpdate":true,"noteIndex":0},"citationItems":[{"id":74,"uris":["http://zotero.org/groups/5885221/items/5RLYQHR2"],"itemData":{"id":74,"type":"article-journal","abstract":"Computer vision has made remarkable progress in traffic surveillance, but determining whether a motor vehicle yields to pedestrians still requires considerable human effort. This study proposes an automated method for detecting whether a vehicle yields to pedestrians in intelligent transportation systems. The method employs a target-tracking algorithm that uses feature maps and license plate IDs to track the motion of relevant elements in the camera’s field of view. By analyzing the positions of motor vehicles and pedestrians over time, we predict the warning points of pedestrians and hazardous areas in front of vehicles to determine whether the vehicles yield to pedestrians. Extensive experiments are conducted on the MOT16 dataset, real traffic street scene video dataset, and a Unity3D virtual simulation scene dataset combined with SUMO, which demonstrating the superiority of this tracking algorithms. Compared to the current state-of-the-art methods, this method demonstrates significant improvements in processing speed without compromising accuracy. Specifically, this approach substantially outperforms in operational efficiency, thus catering aptly to real-time recognition requirements. This meticulous experimentation and evaluations reveal a commendable reduction in ID switches, enhancing the reliability of violation attributions to the correct vehicles. Such enhancement is crucial in practical urban settings characterized by dynamic interactions and variable conditions. This approach can be applied in various weather, time, and road conditions, achieving high predictive accuracy and interpretability in detecting vehicle–pedestrian interactions. This advanced algorithm illuminates the viable pathways for integrating technological innovation and sustainability, paving the way for more resilient and intelligent urban ecosystems.","container-title":"Sustainability","DOI":"10.3390/su152215714","ISSN":"2071-1050","issue":"22","language":"en","license":"http://creativecommons.org/licenses/by/3.0/","note":"number: 22\npublisher: Multidisciplinary Digital Publishing Institute","page":"15714","source":"www.mdpi.com","title":"A Computer Vision-Based Algorithm for Detecting Vehicle Yielding to Pedestrians","volume":"15","author":[{"family":"Wan","given":"Yanqi"},{"family":"Xu","given":"Yaqi"},{"family":"Xu","given":"Yi"},{"family":"Wang","given":"Heyi"},{"family":"Wang","given":"Jian"},{"family":"Liu","given":"Mingzheng"}],"issued":{"date-parts":[["2023",1]]}}}],"schema":"https://github.com/citation-style-language/schema/raw/master/csl-citation.json"} </w:instrText>
      </w:r>
      <w:r w:rsidR="00311095" w:rsidRPr="006B15C8">
        <w:fldChar w:fldCharType="separate"/>
      </w:r>
      <w:r w:rsidR="00311095" w:rsidRPr="006B15C8">
        <w:t>Wan et al., 2023)</w:t>
      </w:r>
      <w:r w:rsidR="00311095" w:rsidRPr="006B15C8">
        <w:fldChar w:fldCharType="end"/>
      </w:r>
      <w:r w:rsidR="00311095" w:rsidRPr="006B15C8">
        <w:t xml:space="preserve">, </w:t>
      </w:r>
      <w:bookmarkEnd w:id="29"/>
      <w:r w:rsidR="00311095" w:rsidRPr="006B15C8">
        <w:t xml:space="preserve">field </w:t>
      </w:r>
      <w:bookmarkEnd w:id="30"/>
      <w:r w:rsidR="00311095" w:rsidRPr="006B15C8">
        <w:t xml:space="preserve">experiments </w:t>
      </w:r>
      <w:bookmarkStart w:id="31" w:name="_Hlk203652457"/>
      <w:bookmarkStart w:id="32" w:name="_Hlk202476094"/>
      <w:r w:rsidR="00311095" w:rsidRPr="006B15C8">
        <w:t>(e.g.,</w:t>
      </w:r>
      <w:r w:rsidR="00311095" w:rsidRPr="006B15C8">
        <w:fldChar w:fldCharType="begin"/>
      </w:r>
      <w:r w:rsidR="00911EF4" w:rsidRPr="006B15C8">
        <w:instrText xml:space="preserve"> ADDIN ZOTERO_ITEM CSL_CITATION {"citationID":"wpn8vnEU","properties":{"formattedCitation":"(Goddard et al., 2015)","plainCitation":"(Goddard et al., 2015)","dontUpdate":true,"noteIndex":0},"citationItems":[{"id":129,"uris":["http://zotero.org/groups/5885221/items/EP5N78CJ"],"itemData":{"id":129,"type":"article-journal","abstract":"Psychological and social identity-related factors have been shown to influence drivers’ behaviors toward pedestrians, but no previous studies have examined the potential for drivers’ racial bias to impact yielding behavior with pedestrians. If drivers’ yielding behavior results in differential behavior toward Black and White pedestrians, this may lead to disparate pedestrian crossing experiences based on race and potentially contribute to disproportionate safety outcomes for minorities. We tested the hypothesis that drivers’ yielding behavior is influenced by pedestrians’ race in a controlled field experiment at an unsignalized midblock marked crosswalk in downtown Portland, Oregon. Six trained male research team participants (3 White, 3 Black) simulated an individual pedestrian crossing, while trained observers cataloged the number of cars that passed and the time until a driver yielded. Results (88 pedestrian trials, 173 driver-subjects) revealed that Black pedestrians were passed by twice as many cars and experienced wait times that were 32% longer than White pedestrians. Results support the hypothesis that minority pedestrians experience discriminatory treatment by drivers at crosswalks.","container-title":"Transportation Research Part F: Traffic Psychology and Behaviour","DOI":"10.1016/j.trf.2015.06.002","ISSN":"1369-8478","journalAbbreviation":"Transportation Research Part F: Traffic Psychology and Behaviour","page":"1-6","source":"ScienceDirect","title":"Racial bias in driver yielding behavior at crosswalks","volume":"33","author":[{"family":"Goddard","given":"Tara"},{"family":"Kahn","given":"Kimberly Barsamian"},{"family":"Adkins","given":"Arlie"}],"issued":{"date-parts":[["2015",8,1]]}}}],"schema":"https://github.com/citation-style-language/schema/raw/master/csl-citation.json"} </w:instrText>
      </w:r>
      <w:r w:rsidR="00311095" w:rsidRPr="006B15C8">
        <w:fldChar w:fldCharType="separate"/>
      </w:r>
      <w:r w:rsidR="00311095" w:rsidRPr="006B15C8">
        <w:t xml:space="preserve"> Goddard et al., 2015</w:t>
      </w:r>
      <w:r w:rsidR="00311095" w:rsidRPr="006B15C8">
        <w:fldChar w:fldCharType="end"/>
      </w:r>
      <w:r w:rsidR="00311095" w:rsidRPr="006B15C8">
        <w:t xml:space="preserve">, </w:t>
      </w:r>
      <w:r w:rsidR="00311095" w:rsidRPr="006B15C8">
        <w:fldChar w:fldCharType="begin"/>
      </w:r>
      <w:r w:rsidR="003F5890" w:rsidRPr="006B15C8">
        <w:instrText xml:space="preserve"> ADDIN ZOTERO_ITEM CSL_CITATION {"citationID":"2ErRPE5V","properties":{"formattedCitation":"(Coughenour et al., 2017)","plainCitation":"(Coughenour et al., 2017)","dontUpdate":true,"noteIndex":0},"citationItems":[{"id":"ReAbCZ5Q/IyPuvxDN","uris":["http://zotero.org/groups/5098585/items/DBUB5ZJT"],"itemData":{"id":1117,"type":"article-journal","container-title":"Accident Analysis &amp; Prevention","ISSN":"0001-4575","journalAbbreviation":"Accident Analysis &amp; Prevention","note":"publisher: Elsevier","page":"96-100","title":"Examining racial bias as a potential factor in pedestrian crashes","volume":"98","author":[{"family":"Coughenour","given":"Courtney"},{"family":"Clark","given":"Sheila"},{"family":"Singh","given":"Ashok"},{"family":"Claw","given":"Eudora"},{"family":"Abelar","given":"James"},{"family":"Huebner","given":"Joshua"}],"issued":{"date-parts":[["2017"]]}}}],"schema":"https://github.com/citation-style-language/schema/raw/master/csl-citation.json"} </w:instrText>
      </w:r>
      <w:r w:rsidR="00311095" w:rsidRPr="006B15C8">
        <w:fldChar w:fldCharType="separate"/>
      </w:r>
      <w:r w:rsidR="00311095" w:rsidRPr="006B15C8">
        <w:t>Coughenour et al., 2017)</w:t>
      </w:r>
      <w:r w:rsidR="00311095" w:rsidRPr="006B15C8">
        <w:fldChar w:fldCharType="end"/>
      </w:r>
      <w:r w:rsidR="00A94A0E" w:rsidRPr="006B15C8">
        <w:t xml:space="preserve">, </w:t>
      </w:r>
      <w:bookmarkEnd w:id="31"/>
      <w:r w:rsidR="00311095" w:rsidRPr="006B15C8">
        <w:t xml:space="preserve">and </w:t>
      </w:r>
      <w:bookmarkEnd w:id="32"/>
      <w:r w:rsidR="00311095" w:rsidRPr="006B15C8">
        <w:t xml:space="preserve">immersive virtual reality studies </w:t>
      </w:r>
      <w:bookmarkStart w:id="33" w:name="_Hlk202476099"/>
      <w:bookmarkStart w:id="34" w:name="_Hlk203652463"/>
      <w:r w:rsidR="00311095" w:rsidRPr="006B15C8">
        <w:t>(e.g.,</w:t>
      </w:r>
      <w:r w:rsidR="00311095" w:rsidRPr="006B15C8">
        <w:fldChar w:fldCharType="begin"/>
      </w:r>
      <w:r w:rsidR="00911EF4" w:rsidRPr="006B15C8">
        <w:instrText xml:space="preserve"> ADDIN ZOTERO_ITEM CSL_CITATION {"citationID":"wn3C6xOo","properties":{"formattedCitation":"(H\\uc0\\u252{}bner et al., 2025)","plainCitation":"(Hübner et al., 2025)","dontUpdate":true,"noteIndex":0},"citationItems":[{"id":204,"uris":["http://zotero.org/groups/5885221/items/HI4VIRHS"],"itemData":{"id":204,"type":"article-journal","abstract":"Research and development in automated driving are steadily progressing, with an increasing number of vehicles equipped with these systems participating in road traffic. Ensuring safe and robust interactions between automated vehicles and other road users is essential, especially in urban environments where interactions between vehicles and groups of pedestrians are common. Literature shows that external human–machine interfaces on automated vehicles might serve as a possible solution for such communication. Pedestrian groups have not been adequately considered in research on road crossings in front of automated vehicles equipped with external human–machine interfaces. This study investigates whether and how the behavior of a pedestrian group affects a single pedestrian’s behavior and perception of crossing in front of an automated vehicle equipped with an external human–machine interface. A virtual reality study with 44 participants revealed that pedestrians adjust their crossing behavior based on the behavior of others, leading to both improved efficiency and potential safety risks during crossings. Subjective measures revealed increased trust in automated vehicles with repeated exposure. However, trust remained essentially unchanged across different behaviors of the pedestrian group. After the experiment, almost three-quarters of the participants reported a subjective influence of the pedestrian group. Objectively, participants crossed earlier and more confidently when the group began to cross the street, improving efficiency in scenarios where the automated vehicle stopped. The same behavior raises safety concerns in scenarios where the automated vehicle is about to pass, as participants follow the pedestrian group early. These findings highlight the need for automated vehicle communication systems to consider group dynamics to ensure safety and efficiency.","container-title":"Transportation Research Part F: Traffic Psychology and Behaviour","DOI":"10.1016/j.trf.2025.01.020","ISSN":"1369-8478","journalAbbreviation":"Transportation Research Part F: Traffic Psychology and Behaviour","page":"921-937","source":"ScienceDirect","title":"Crossing the line: Impact of pedestrian group behavior on individual crossing decisions in AV interactions","title-short":"Crossing the line","volume":"109","author":[{"family":"Hübner","given":"Maximilian"},{"family":"Stockmann","given":"Jan-Niklas Birger"},{"family":"Bengler","given":"Klaus"}],"issued":{"date-parts":[["2025",2,1]]}}}],"schema":"https://github.com/citation-style-language/schema/raw/master/csl-citation.json"} </w:instrText>
      </w:r>
      <w:r w:rsidR="00311095" w:rsidRPr="006B15C8">
        <w:fldChar w:fldCharType="separate"/>
      </w:r>
      <w:r w:rsidR="00311095" w:rsidRPr="006B15C8">
        <w:t xml:space="preserve"> Hübner et al., 2025</w:t>
      </w:r>
      <w:r w:rsidR="00311095" w:rsidRPr="006B15C8">
        <w:fldChar w:fldCharType="end"/>
      </w:r>
      <w:r w:rsidR="00311095" w:rsidRPr="006B15C8">
        <w:t xml:space="preserve">, </w:t>
      </w:r>
      <w:r w:rsidR="00311095" w:rsidRPr="006B15C8">
        <w:fldChar w:fldCharType="begin"/>
      </w:r>
      <w:r w:rsidR="003F5890" w:rsidRPr="006B15C8">
        <w:instrText xml:space="preserve"> ADDIN ZOTERO_ITEM CSL_CITATION {"citationID":"DC4dtbsS","properties":{"formattedCitation":"(Nazemi et al., 2025)","plainCitation":"(Nazemi et al., 2025)","dontUpdate":true,"noteIndex":0},"citationItems":[{"id":"ReAbCZ5Q/sSsCbQL1","uris":["http://zotero.org/users/9292995/items/PBAZYIBZ"],"itemData":{"id":3295,"type":"article-journal","abstract":"The pedestrian stress level is shown to significantly influence human cognitive processes and, subsequently, decision-making, e.g., the decision to select a gap and cross a street. This paper systematically studies the stress experienced by a pedestrian when crossing a street under different experimental manipulations by monitoring the Electrodermal Activity (EDA) using the Galvanic Skin Response (GSR) sensor. To fulfil the research objectives, a dynamic and immersive virtual reality (VR) platform was used, which is suitable for eliciting and capturing pedestrian’s emotional responses in conjunction with monitoring their EDA. A total of 171 individuals participated in the experiment, tasked to cross a two-way street at mid-block with no signal control. Mixed effects models were employed to compare the influence of socio-demographics, social influence, vehicle technology, environment, road design, and traffic variables on the stress levels of the participants. The results indicated that having a street median in the middle of the road operates as a refuge and significantly reduced stress. Younger participants (18–24 years) were calmer than the relatively older participants (55–65 years). Arousal levels were higher when it came to the characteristics of the avatar (virtual pedestrian) in the simulation, especially for those avatars with adventurous traits. The pedestrian location influenced stress since the stress was higher on the street while crossing than waiting on the sidewalk. Significant causes of arousal were fear of accidents and an actual accident for pedestrians. The estimated random effects show a high degree of physical and mental learning by the participants while going through the scenarios.","container-title":"Transportation Research Part C: Emerging Technologies","DOI":"10.1016/j.trc.2024.104952","ISSN":"0968-090X","journalAbbreviation":"Transportation Research Part C: Emerging Technologies","page":"104952","source":"ScienceDirect","title":"Decoding pedestrian stress on urban streets using electrodermal activity monitoring in virtual immersive reality","volume":"171","author":[{"family":"Nazemi","given":"Mohsen"},{"family":"Rababah","given":"Bara"},{"family":"Ramos","given":"Daniel"},{"family":"Zhao","given":"Tangxu"},{"family":"Farooq","given":"Bilal"}],"issued":{"date-parts":[["2025",2,1]]}}}],"schema":"https://github.com/citation-style-language/schema/raw/master/csl-citation.json"} </w:instrText>
      </w:r>
      <w:r w:rsidR="00311095" w:rsidRPr="006B15C8">
        <w:fldChar w:fldCharType="separate"/>
      </w:r>
      <w:r w:rsidR="00311095" w:rsidRPr="006B15C8">
        <w:t>Nazemi et al., 2025)</w:t>
      </w:r>
      <w:r w:rsidR="00311095" w:rsidRPr="006B15C8">
        <w:fldChar w:fldCharType="end"/>
      </w:r>
      <w:r w:rsidR="00311095" w:rsidRPr="006B15C8">
        <w:t>.</w:t>
      </w:r>
      <w:bookmarkEnd w:id="33"/>
      <w:r w:rsidR="00311095" w:rsidRPr="006B15C8">
        <w:t xml:space="preserve"> </w:t>
      </w:r>
      <w:bookmarkEnd w:id="34"/>
      <w:r w:rsidR="002C5480" w:rsidRPr="006B15C8">
        <w:t>Of these methods, in-person road observations and the analysis of video footage are considered naturalistic approaches, as they capture real-world behavior in uncontrolled, everyday settings without researcher intervention</w:t>
      </w:r>
      <w:r w:rsidR="00744635" w:rsidRPr="006B15C8">
        <w:t xml:space="preserve">. Such naturalistic approaches </w:t>
      </w:r>
      <w:r w:rsidR="00B97D83" w:rsidRPr="006B15C8">
        <w:t xml:space="preserve">are particularly suitable for </w:t>
      </w:r>
      <w:r w:rsidR="009F6234" w:rsidRPr="006B15C8">
        <w:t xml:space="preserve">an </w:t>
      </w:r>
      <w:r w:rsidR="00744635" w:rsidRPr="006B15C8">
        <w:t>investigat</w:t>
      </w:r>
      <w:r w:rsidR="009F6234" w:rsidRPr="006B15C8">
        <w:t xml:space="preserve">ion of </w:t>
      </w:r>
      <w:r w:rsidR="00744635" w:rsidRPr="006B15C8">
        <w:t xml:space="preserve">the social-behavioral mechanisms underlying pedestrian safety risk. </w:t>
      </w:r>
    </w:p>
    <w:p w14:paraId="6FAD0CFB" w14:textId="68577AD1" w:rsidR="004C41BE" w:rsidRPr="006B15C8" w:rsidRDefault="00EB2056" w:rsidP="004A6C6E">
      <w:pPr>
        <w:spacing w:line="271" w:lineRule="auto"/>
        <w:ind w:firstLine="720"/>
      </w:pPr>
      <w:r w:rsidRPr="006B15C8">
        <w:t xml:space="preserve">To align with this paper’s objective of uncovering the social-behavioral mechanisms of pedestrian safety risk, our synthesis of the literature is confined to naturalistic observational studies and to an overview of pedestrian/driver </w:t>
      </w:r>
      <w:r w:rsidR="00E202C8" w:rsidRPr="006B15C8">
        <w:t xml:space="preserve">behavior </w:t>
      </w:r>
      <w:r w:rsidRPr="006B15C8">
        <w:t xml:space="preserve">as a function of (a) pedestrian/driver sociodemographics, (b) pedestrian activity and social context, (c) time-of-day </w:t>
      </w:r>
      <w:r w:rsidR="00CA26F7" w:rsidRPr="006B15C8">
        <w:t xml:space="preserve">and weather </w:t>
      </w:r>
      <w:r w:rsidRPr="006B15C8">
        <w:t>factors, and (d) vehicle characteristics</w:t>
      </w:r>
      <w:r w:rsidR="00E202C8" w:rsidRPr="006B15C8">
        <w:t xml:space="preserve">. That is, unlike many other studies that attempt to investigate the </w:t>
      </w:r>
      <w:r w:rsidRPr="006B15C8">
        <w:t xml:space="preserve">effects of </w:t>
      </w:r>
      <w:r w:rsidR="00744635" w:rsidRPr="006B15C8">
        <w:t>built</w:t>
      </w:r>
      <w:r w:rsidR="008C222F" w:rsidRPr="006B15C8">
        <w:t>-</w:t>
      </w:r>
      <w:r w:rsidR="00744635" w:rsidRPr="006B15C8">
        <w:t xml:space="preserve">environment and traffic characteristics </w:t>
      </w:r>
      <w:r w:rsidRPr="006B15C8">
        <w:t>on pedestrian crash</w:t>
      </w:r>
      <w:r w:rsidR="00E202C8" w:rsidRPr="006B15C8">
        <w:t xml:space="preserve"> propensity, we focus directly on pedestrian/driver behaviors that constitute precursor factors </w:t>
      </w:r>
      <w:r w:rsidR="00744635" w:rsidRPr="006B15C8">
        <w:t xml:space="preserve">affecting pedestrian </w:t>
      </w:r>
      <w:r w:rsidR="00E202C8" w:rsidRPr="006B15C8">
        <w:t>crash propensity.</w:t>
      </w:r>
      <w:r w:rsidR="00744635" w:rsidRPr="006B15C8">
        <w:t xml:space="preserve"> </w:t>
      </w:r>
      <w:r w:rsidR="004C41BE" w:rsidRPr="006B15C8">
        <w:t xml:space="preserve">Tables 1 and 2 </w:t>
      </w:r>
      <w:r w:rsidR="009F6234" w:rsidRPr="006B15C8">
        <w:t xml:space="preserve">serve to </w:t>
      </w:r>
      <w:r w:rsidR="004C41BE" w:rsidRPr="006B15C8">
        <w:t xml:space="preserve">support </w:t>
      </w:r>
      <w:r w:rsidR="001C6D2C" w:rsidRPr="006B15C8">
        <w:t>such a</w:t>
      </w:r>
      <w:r w:rsidR="009F6234" w:rsidRPr="006B15C8">
        <w:t>n overview</w:t>
      </w:r>
      <w:r w:rsidR="001C6D2C" w:rsidRPr="006B15C8">
        <w:t>. Specifically, Table 1</w:t>
      </w:r>
      <w:r w:rsidR="004C41BE" w:rsidRPr="006B15C8">
        <w:t xml:space="preserve"> synthesiz</w:t>
      </w:r>
      <w:r w:rsidR="001C6D2C" w:rsidRPr="006B15C8">
        <w:t>es</w:t>
      </w:r>
      <w:r w:rsidR="004C41BE" w:rsidRPr="006B15C8">
        <w:t xml:space="preserve"> </w:t>
      </w:r>
      <w:r w:rsidR="001C6D2C" w:rsidRPr="006B15C8">
        <w:t xml:space="preserve">naturalistic observational </w:t>
      </w:r>
      <w:r w:rsidR="004C41BE" w:rsidRPr="006B15C8">
        <w:t>studies from the past decade</w:t>
      </w:r>
      <w:r w:rsidR="001C6D2C" w:rsidRPr="006B15C8">
        <w:t xml:space="preserve"> </w:t>
      </w:r>
      <w:r w:rsidR="004C41BE" w:rsidRPr="006B15C8">
        <w:t>on</w:t>
      </w:r>
      <w:r w:rsidR="00B97D83" w:rsidRPr="006B15C8">
        <w:t xml:space="preserve"> NCPC</w:t>
      </w:r>
      <w:r w:rsidR="001C6D2C" w:rsidRPr="006B15C8">
        <w:t xml:space="preserve">, while Table 2 similarly synthesizes naturalistic studies of </w:t>
      </w:r>
      <w:r w:rsidR="00B97D83" w:rsidRPr="006B15C8">
        <w:t>DUY</w:t>
      </w:r>
      <w:r w:rsidR="004C41BE" w:rsidRPr="006B15C8">
        <w:t xml:space="preserve">. Each table summarizes </w:t>
      </w:r>
      <w:r w:rsidR="009A4FCF" w:rsidRPr="006B15C8">
        <w:t xml:space="preserve">the study location, data collection duration, number of observation sites, sample size, behavioral outcomes, and the explanatory variables </w:t>
      </w:r>
      <w:r w:rsidR="00E63F38" w:rsidRPr="006B15C8">
        <w:t>considered (</w:t>
      </w:r>
      <w:r w:rsidR="001C6D2C" w:rsidRPr="006B15C8">
        <w:t>grouped within the variable categories identified earlier</w:t>
      </w:r>
      <w:r w:rsidR="00E63F38" w:rsidRPr="006B15C8">
        <w:t>)</w:t>
      </w:r>
      <w:r w:rsidR="004C41BE" w:rsidRPr="006B15C8">
        <w:t xml:space="preserve">. </w:t>
      </w:r>
      <w:r w:rsidR="006E143B" w:rsidRPr="006B15C8">
        <w:t xml:space="preserve">Table 2 includes an additional column for data collection methods, reflecting the more diverse methodological approaches used in </w:t>
      </w:r>
      <w:r w:rsidR="00B97D83" w:rsidRPr="006B15C8">
        <w:t xml:space="preserve">DUY </w:t>
      </w:r>
      <w:r w:rsidR="006E143B" w:rsidRPr="006B15C8">
        <w:t>research, including controlled field experiments that have proven invaluable for examining racial effects o</w:t>
      </w:r>
      <w:r w:rsidR="00B97D83" w:rsidRPr="006B15C8">
        <w:t xml:space="preserve">n DUY </w:t>
      </w:r>
      <w:r w:rsidR="006E143B" w:rsidRPr="006B15C8">
        <w:t>behavior. Together, the literature review and tabulated summaries highlight common themes and methodological approaches</w:t>
      </w:r>
      <w:r w:rsidR="001C6D2C" w:rsidRPr="006B15C8">
        <w:t>,</w:t>
      </w:r>
      <w:r w:rsidR="006E143B" w:rsidRPr="006B15C8">
        <w:t xml:space="preserve"> while identifying critical gaps</w:t>
      </w:r>
      <w:r w:rsidR="001C6D2C" w:rsidRPr="006B15C8">
        <w:t xml:space="preserve"> related to </w:t>
      </w:r>
      <w:r w:rsidR="006E143B" w:rsidRPr="006B15C8">
        <w:t xml:space="preserve">underexplored sociodemographic and behavioral dimensions </w:t>
      </w:r>
      <w:r w:rsidR="001C6D2C" w:rsidRPr="006B15C8">
        <w:t>influencing pedestrian/driver behaviors.</w:t>
      </w:r>
    </w:p>
    <w:p w14:paraId="5CD7F929" w14:textId="77777777" w:rsidR="004C41BE" w:rsidRPr="006B15C8" w:rsidRDefault="004C41BE" w:rsidP="004A6C6E">
      <w:pPr>
        <w:spacing w:line="271" w:lineRule="auto"/>
      </w:pPr>
    </w:p>
    <w:p w14:paraId="647E7D06" w14:textId="753F06A5" w:rsidR="00455468" w:rsidRPr="006B15C8" w:rsidRDefault="0031702F" w:rsidP="004A6C6E">
      <w:pPr>
        <w:pStyle w:val="Heading2"/>
        <w:keepNext/>
        <w:keepLines/>
        <w:spacing w:line="271" w:lineRule="auto"/>
        <w:rPr>
          <w:color w:val="FF0000"/>
        </w:rPr>
      </w:pPr>
      <w:r w:rsidRPr="006B15C8">
        <w:t xml:space="preserve"> </w:t>
      </w:r>
      <w:r w:rsidR="00F77494" w:rsidRPr="006B15C8">
        <w:t xml:space="preserve">Non-compliant </w:t>
      </w:r>
      <w:r w:rsidR="00455468" w:rsidRPr="006B15C8">
        <w:t xml:space="preserve">Pedestrian Crossing </w:t>
      </w:r>
      <w:r w:rsidR="00F77494" w:rsidRPr="006B15C8">
        <w:t xml:space="preserve">(NCPC) </w:t>
      </w:r>
      <w:r w:rsidR="00455468" w:rsidRPr="006B15C8">
        <w:t>Behavior</w:t>
      </w:r>
    </w:p>
    <w:p w14:paraId="3D26E5BC" w14:textId="295F734F" w:rsidR="006119D4" w:rsidRPr="006B15C8" w:rsidRDefault="006119D4" w:rsidP="004A6C6E">
      <w:pPr>
        <w:keepNext/>
        <w:keepLines/>
        <w:spacing w:line="271" w:lineRule="auto"/>
      </w:pPr>
      <w:r w:rsidRPr="006B15C8">
        <w:t>Almost all studies of pedestrian non-compliant crossing (NCPC) have been undertaken using a sample of signalized intersections, as shown in the “Locations” column of Table 1. Aghabayk et al. (2021) is the only video-based pedestrian study we are aware of that considers and distinguishes between signalized and unsignalized intersections in the analysis (to be sure, Schwebel et al., 2022 include both signalized and unsignalized intersections in their data collection effort, but do not distinguish between the two in their analysis). Aghabayk et al.’s findings indicate similar patterns (across signalized and unsignalized intersections) of technology distraction and pedestrian demographic effects on NCPC, except that middle-aged/older individuals (41 years of age or older) tend to be more cautious (looked both ways for traffic more attentively and purposefully) than their younger peers during crossings at signalized intersections, but older individuals (62 years or older) are no different from their younger peers during crossings at unsignalized intersections. Given the higher potential for conflicts at unsignalized intersections observed in their study, and the increased inability of older individuals to take last-minute evasive actions to avoid a crash, the authors suggest that older individuals should be encouraged to pay more attention at unsignalized intersections. Beyond Aghabayk et al</w:t>
      </w:r>
      <w:r w:rsidR="00EC71F8" w:rsidRPr="006B15C8">
        <w:t>.</w:t>
      </w:r>
      <w:r w:rsidRPr="006B15C8">
        <w:t>, the vast majority of other prior NCPC work at signalized intersections finds that NCPC patterns vary by signal control and crossing type, with higher rates of NCPC associated with (a) exclusive pedestrian phasing (no vehicular movement allowed during the pedestrian phase), (b) longer pedestrian wait times, and (c) roadway locations with shorter crosswalk widths and on-street parking or refuge islands (Baker et al., 2022; Dommes et al., 2015; Ivan et al., 2017; Miladi et al., 2025; Russo et al., 2018).</w:t>
      </w:r>
      <w:r w:rsidR="00CE7257" w:rsidRPr="006B15C8">
        <w:t xml:space="preserve"> </w:t>
      </w:r>
    </w:p>
    <w:p w14:paraId="638F34EE" w14:textId="0CA5014E" w:rsidR="00F1483C" w:rsidRPr="006B15C8" w:rsidRDefault="00CE7257" w:rsidP="004A6C6E">
      <w:pPr>
        <w:spacing w:line="271" w:lineRule="auto"/>
        <w:ind w:firstLine="450"/>
      </w:pPr>
      <w:r w:rsidRPr="006B15C8">
        <w:t>Several behavioral outcomes have been examined in the pedestrian safety literature</w:t>
      </w:r>
      <w:r w:rsidR="00B97D83" w:rsidRPr="006B15C8">
        <w:t xml:space="preserve"> </w:t>
      </w:r>
      <w:r w:rsidRPr="006B15C8">
        <w:t xml:space="preserve">to gain a better understanding of crossing patterns and decision-making processes. </w:t>
      </w:r>
      <w:r w:rsidR="00F1483C" w:rsidRPr="006B15C8">
        <w:t>These include specific violation types</w:t>
      </w:r>
      <w:r w:rsidR="00421F5F" w:rsidRPr="006B15C8">
        <w:t>, such as temporal violations (e.g., running a red light) and spatial violations (e.g., crossing outside a designated crosswalk or midblock), as well as distraction, crossing speed, waiting time, gap acceptance, and head-turn frequency</w:t>
      </w:r>
      <w:r w:rsidR="009F6234" w:rsidRPr="006B15C8">
        <w:t>, all used</w:t>
      </w:r>
      <w:r w:rsidR="00421F5F" w:rsidRPr="006B15C8">
        <w:t xml:space="preserve"> as proxies</w:t>
      </w:r>
      <w:r w:rsidR="00F1483C" w:rsidRPr="006B15C8">
        <w:t xml:space="preserve"> for risk awareness. These outcomes are highlighted in the comprehensive reviews by </w:t>
      </w:r>
      <w:bookmarkStart w:id="35" w:name="_Hlk202476404"/>
      <w:r w:rsidR="00F1483C" w:rsidRPr="006B15C8">
        <w:fldChar w:fldCharType="begin"/>
      </w:r>
      <w:r w:rsidR="00911EF4" w:rsidRPr="006B15C8">
        <w:instrText xml:space="preserve"> ADDIN ZOTERO_ITEM CSL_CITATION {"citationID":"4jomMiY6","properties":{"formattedCitation":"(Theofilatos et al., 2021)","plainCitation":"(Theofilatos et al., 2021)","dontUpdate":true,"noteIndex":0},"citationItems":[{"id":99,"uris":["http://zotero.org/groups/5885221/items/UGKIXVMV"],"itemData":{"id":99,"type":"article-journal","abstract":"Introduction\nPedestrians are vulnerable road users exposed at risk during their interaction with vehicles in uncontrolled urban areas. In this paper, a critical overview of the literature and meta-analyses were conducted on the topic of pedestrian gap acceptance choice during midblock street crossings.\nMethod\nΑ large number of studies examining personal and contextual factors affecting midblock crossing choices were identified. In an effort to condense research outputs, a quantitative approach was adopted alongside qualitative assessments. Meta-analyses were conducted to summarize the impacts of various predictor variables on pedestrian gap acceptance probabilities from binary logistic models in midblock locations. After application of a rigorous set of criteria, 14 publications were considered appropriate to conduct meta-analyses on beta coefficients of four factors: vehicle speed (VS), gap size (GS), waiting time (WT) and frequency of attempts (FA).\nResults\nStatistically significant results were obtained for VS, GS and FA. Specifically, it was determined that for one unit increase in incoming VS, there is a 10% decrease (OR=0.9) in the odds of pedestrians crossing the road (accepting the incoming time gap) for pedestrians. For one unit increase in temporal GS, the odds of crossing the road become 7.22 times larger for pedestrians. For each crossing attempt, as measured by FA, the odds of crossing the road become 16.6 times larger for pedestrians. WT was determined to have a non-significant impact on pedestrian crossing odds.\nConclusions\nTo the best of the authors' knowledge, this is the first time that a meta-analysis of the critical factors influencing gap acceptance of pedestrians in midblock street crossings is carried out. Study findings are useful for practitioners and policymakers to formulate appropriate management plans to reduce interactions of pedestrians and vehicles at uncontrolled urban midblock locations. Future research is needed to further understand the determinants of gap choice decision making.","container-title":"Journal of Transport &amp; Health","DOI":"10.1016/j.jth.2021.101108","ISSN":"2214-1405","journalAbbreviation":"Journal of Transport &amp; Health","page":"101108","source":"ScienceDirect","title":"To cross or not to cross? Review and meta-analysis of pedestrian gap acceptance decisions at midblock street crossings","title-short":"To cross or not to cross?","volume":"22","author":[{"family":"Theofilatos","given":"Athanasios"},{"family":"Ziakopoulos","given":"Apostolos"},{"family":"Oviedo-Trespalacios","given":"Oscar"},{"family":"Timmis","given":"Andrew"}],"issued":{"date-parts":[["2021",9,1]]}}}],"schema":"https://github.com/citation-style-language/schema/raw/master/csl-citation.json"} </w:instrText>
      </w:r>
      <w:r w:rsidR="00F1483C" w:rsidRPr="006B15C8">
        <w:fldChar w:fldCharType="separate"/>
      </w:r>
      <w:r w:rsidR="00F1483C" w:rsidRPr="006B15C8">
        <w:t>Theofilatos et al. (2021)</w:t>
      </w:r>
      <w:r w:rsidR="00F1483C" w:rsidRPr="006B15C8">
        <w:fldChar w:fldCharType="end"/>
      </w:r>
      <w:bookmarkEnd w:id="35"/>
      <w:r w:rsidR="00F1483C" w:rsidRPr="006B15C8">
        <w:t xml:space="preserve"> and </w:t>
      </w:r>
      <w:r w:rsidR="00F1483C" w:rsidRPr="006B15C8">
        <w:fldChar w:fldCharType="begin"/>
      </w:r>
      <w:r w:rsidR="00911EF4" w:rsidRPr="006B15C8">
        <w:instrText xml:space="preserve"> ADDIN ZOTERO_ITEM CSL_CITATION {"citationID":"mVonltaP","properties":{"formattedCitation":"(Ghomi &amp; Hussein, 2022)","plainCitation":"(Ghomi &amp; Hussein, 2022)","dontUpdate":true,"noteIndex":0},"citationItems":[{"id":5,"uris":["http://zotero.org/groups/5885221/items/QAE9DUHK"],"itemData":{"id":5,"type":"article-journal","abstract":"The goal of this study is to provide an overview of previous research that investigated pedestrian violation behaviour, with a focus on identifying the contributing factors of such behaviour, its impact on pedestrian safety, the mitigation strategies, the limitations of current studies, and the future research directions. To that end, the Latent Dirichlet Allocation (LDA) text mining method was applied to extract a comprehensive list of studies that were conducted during the past 21 years related to pedestrian violation behaviours. Using the extracted studies, a multi-sectional literature review was developed to provide a comprehensive understanding of the different aspects related to pedestrian violations. Afterward, a meta-analysis was undertaken, using the studies that reported quantitative results, in order to obtain the average impact of the different contributing factors on the frequency of pedestrian violations. The study found that pedestrian violations are one of the hazardous behaviours that contribute to both the frequency and severity of pedestrian-vehicle collisions. According to the literature, the waiting time at the curbside, traffic volume, walking speed, pedestrian distraction, the presence of bus stops and schools, and the presence of on-street parking are among the key factors that increase the likelihood of pedestrian violations. The study has also reviewed a wide range of strategies that can be used to mitigate violations and reduce the safety consequences of such behaviour, including simple engineering-based countermeasures, enforcement, solutions that rely on advanced in-vehicle technologies, and infrastructure connectivity features, educational programs, and public campaigns.","container-title":"Accident Analysis &amp; Prevention","DOI":"10.1016/j.aap.2022.106712","ISSN":"0001-4575","journalAbbreviation":"Accident Analysis &amp; Prevention","page":"106712","source":"ScienceDirect","title":"An integrated text mining, literature review, and meta-analysis approach to investigate pedestrian violation behaviours","volume":"173","author":[{"family":"Ghomi","given":"Haniyeh"},{"family":"Hussein","given":"Mohamed"}],"issued":{"date-parts":[["2022",8,1]]}}}],"schema":"https://github.com/citation-style-language/schema/raw/master/csl-citation.json"} </w:instrText>
      </w:r>
      <w:r w:rsidR="00F1483C" w:rsidRPr="006B15C8">
        <w:fldChar w:fldCharType="separate"/>
      </w:r>
      <w:r w:rsidR="00F1483C" w:rsidRPr="006B15C8">
        <w:t>Ghomi and Hussein (2022</w:t>
      </w:r>
      <w:r w:rsidR="00F1483C" w:rsidRPr="006B15C8">
        <w:fldChar w:fldCharType="end"/>
      </w:r>
      <w:r w:rsidR="00F1483C" w:rsidRPr="006B15C8">
        <w:t xml:space="preserve">), as well as in the “Measured Outcomes” column of Table 1. </w:t>
      </w:r>
      <w:r w:rsidR="00B97D83" w:rsidRPr="006B15C8">
        <w:t xml:space="preserve">In terms of the determinants of NCPC-related behavioral outcomes, a variety of pedestrian sociodemographics, </w:t>
      </w:r>
      <w:r w:rsidR="00F77494" w:rsidRPr="006B15C8">
        <w:t xml:space="preserve">pedestrian activity/context, and time-of-day/weather conditions have been considered, as discussed next. </w:t>
      </w:r>
    </w:p>
    <w:p w14:paraId="07EE81EE" w14:textId="77777777" w:rsidR="007F6F3E" w:rsidRPr="006B15C8" w:rsidRDefault="007F6F3E" w:rsidP="004A6C6E">
      <w:pPr>
        <w:spacing w:line="271" w:lineRule="auto"/>
        <w:ind w:firstLine="720"/>
      </w:pPr>
    </w:p>
    <w:p w14:paraId="63FB376A" w14:textId="77777777" w:rsidR="007F6F3E" w:rsidRPr="006B15C8" w:rsidRDefault="007F6F3E" w:rsidP="004A6C6E">
      <w:pPr>
        <w:pStyle w:val="Heading3"/>
        <w:spacing w:line="271" w:lineRule="auto"/>
      </w:pPr>
      <w:r w:rsidRPr="006B15C8">
        <w:t>Pedestrian Sociodemographi</w:t>
      </w:r>
      <w:r w:rsidR="00DA7FE7" w:rsidRPr="006B15C8">
        <w:t>cs</w:t>
      </w:r>
    </w:p>
    <w:p w14:paraId="3789C0F0" w14:textId="5E6F98BC" w:rsidR="001C087F" w:rsidRPr="006B15C8" w:rsidRDefault="001C087F" w:rsidP="004A6C6E">
      <w:pPr>
        <w:spacing w:line="271" w:lineRule="auto"/>
      </w:pPr>
      <w:r w:rsidRPr="006B15C8">
        <w:t>Gender is one of the most commonly studied factors in pedestrian behavior</w:t>
      </w:r>
      <w:r w:rsidR="0059432B" w:rsidRPr="006B15C8">
        <w:t xml:space="preserve"> (see Table 1)</w:t>
      </w:r>
      <w:r w:rsidRPr="006B15C8">
        <w:t>, with many studies finding that men tend to take more risks than women. However, the evidence varies by region and behavior type.</w:t>
      </w:r>
      <w:r w:rsidR="00D72D60" w:rsidRPr="006B15C8">
        <w:t xml:space="preserve"> </w:t>
      </w:r>
      <w:r w:rsidRPr="006B15C8">
        <w:t xml:space="preserve">U.S.-based studies present mixed evidence on gender differences in pedestrian behavior. While some findings suggest that men </w:t>
      </w:r>
      <w:r w:rsidR="00DA7FE7" w:rsidRPr="006B15C8">
        <w:t>a</w:t>
      </w:r>
      <w:r w:rsidR="00F754B1" w:rsidRPr="006B15C8">
        <w:t>re</w:t>
      </w:r>
      <w:r w:rsidRPr="006B15C8">
        <w:t xml:space="preserve"> more prone to spatial violations </w:t>
      </w:r>
      <w:bookmarkStart w:id="36" w:name="_Hlk203652483"/>
      <w:bookmarkStart w:id="37" w:name="_Hlk202476498"/>
      <w:r w:rsidRPr="006B15C8">
        <w:fldChar w:fldCharType="begin"/>
      </w:r>
      <w:r w:rsidR="00911EF4" w:rsidRPr="006B15C8">
        <w:instrText xml:space="preserve"> ADDIN ZOTERO_ITEM CSL_CITATION {"citationID":"vGqEN0rE","properties":{"formattedCitation":"(Russo et al., 2018)","plainCitation":"(Russo et al., 2018)","dontUpdate":true,"noteIndex":0},"citationItems":[{"id":158,"uris":["http://zotero.org/groups/5885221/items/2UK8YS2B"],"itemData":{"id":158,"type":"article-journal","abstract":"In the past two decades, cell phone and smartphone use in the United States has increased substantially. Although mobile phones provide a convenient way for people to communicate, the distraction caused by the use of these devices has led to unintended traffic safety and operational consequences. Although it is well recognized that distracted driving is extremely dangerous for all road users (including pedestrians), the potential impacts of distracted walking have not been as comprehensively studied. Although practitioners should design facilities with the safety, efficiency, and comfort of pedestrians in mind, it is still important to investigate certain pedestrian behaviors at existing facilities to minimize the risk of pedestrian–vehicle crashes, and to reduce behaviors that may unnecessarily increase delay at signalized intersections. To gain new insights into factors associated with distracted walking, pedestrian violations, and walking speed, 3,038 pedestrians were observed across four signalized intersections in New York and Arizona using high-definition video cameras. The video data were reduced and summarized, and an ordinary least squares (OLS) regression model was estimated to analyze factors affecting walking speeds. In addition, binary logit models were estimated to analyze both pedestrian distraction and pedestrian violations. Ultimately, several site- and pedestrian-specific variables were found to be significantly associated with pedestrian distraction, violation behavior, and walking speeds. The results provide important information for researchers, practitioners, and legislators, and may be useful in planning strategies to reduce or mitigate the impacts of pedestrian behavior that may be considered unsafe or potentially inefficient.","container-title":"Transportation Research Record","DOI":"10.1177/0361198118759949","ISSN":"0361-1981","issue":"35","language":"EN","note":"publisher: SAGE Publications Inc","page":"1-12","source":"SAGE Journals","title":"Pedestrian Behavior at Signalized Intersection Crosswalks: Observational Study of Factors Associated with Distracted Walking, Pedestrian Violations, and Walking Speed","title-short":"Pedestrian Behavior at Signalized Intersection Crosswalks","volume":"2672","author":[{"family":"Russo","given":"Brendan J."},{"family":"James","given":"Emmanuel"},{"family":"Aguilar","given":"Cristopher Y."},{"family":"Smaglik","given":"Edward J."}],"issued":{"date-parts":[["2018",12,1]]}}}],"schema":"https://github.com/citation-style-language/schema/raw/master/csl-citation.json"} </w:instrText>
      </w:r>
      <w:r w:rsidRPr="006B15C8">
        <w:fldChar w:fldCharType="separate"/>
      </w:r>
      <w:r w:rsidRPr="006B15C8">
        <w:t>(Russo et al., 2018</w:t>
      </w:r>
      <w:r w:rsidRPr="006B15C8">
        <w:fldChar w:fldCharType="end"/>
      </w:r>
      <w:r w:rsidR="00D530FB" w:rsidRPr="006B15C8">
        <w:t>,</w:t>
      </w:r>
      <w:r w:rsidRPr="006B15C8">
        <w:t xml:space="preserve"> </w:t>
      </w:r>
      <w:r w:rsidRPr="006B15C8">
        <w:fldChar w:fldCharType="begin"/>
      </w:r>
      <w:r w:rsidR="00911EF4" w:rsidRPr="006B15C8">
        <w:instrText xml:space="preserve"> ADDIN ZOTERO_ITEM CSL_CITATION {"citationID":"egsjcJoQ","properties":{"formattedCitation":"(Rafe et al., 2025)","plainCitation":"(Rafe et al., 2025)","dontUpdate":true,"noteIndex":0},"citationItems":[{"id":328,"uris":["http://zotero.org/groups/5885221/items/8TQZEC7Q"],"itemData":{"id":328,"type":"article-journal","abstract":"This study investigates pedestrian crossing behaviors at signalized intersections, focusing on spatial and temporal violations. Using a comprehensive dataset comprising 5,589 pedestrian crossing events at 47 crosswalks across 39 intersections in Utah, the research employs multilevel regression models to identify the factors influencing these violation behaviors. Key findings indicate that individual characteristics such as gender and mobility device use, environmental conditions including temperature and time of day, and social dynamics such as the presence of other pedestrians significantly impact violation behaviors. The study reveals that female-presenting pedestrians and those using mobility devices are generally more compliant, while higher temperatures and specific times-of-day are associated with increased violation rates. The analysis also highlights that longer waiting time is linked to a reduced likelihood of violations, and that social dynamics play a crucial role, with the presence of other pedestrians discouraging violations. Additionally, neighborhoods with larger shares of Hispanic or non-white populations have higher violation rates, and mid-block crossings see more temporal violations. These findings aim to enhance pedestrian safety and compliance at signalized intersections, ultimately reducing pedestrian fatalities and injuries.","container-title":"International Journal of Transportation Science and Technology","DOI":"10.1016/j.ijtst.2024.12.005","ISSN":"2046-0430","journalAbbreviation":"International Journal of Transportation Science and Technology","source":"ScienceDirect","title":"Pedestrian crossing behaviors at signalized intersections in Utah: Factors affecting spatial and temporal violations","title-short":"Pedestrian crossing behaviors at signalized intersections in Utah","URL":"https://www.sciencedirect.com/science/article/pii/S2046043025000024","author":[{"family":"Rafe","given":"Amir"},{"family":"Singleton","given":"Patrick A."},{"family":"Boyer","given":"Sadie"},{"family":"Mekker","given":"Michelle"}],"accessed":{"date-parts":[["2025",6,9]]},"issued":{"date-parts":[["2025",1,6]]}}}],"schema":"https://github.com/citation-style-language/schema/raw/master/csl-citation.json"} </w:instrText>
      </w:r>
      <w:r w:rsidRPr="006B15C8">
        <w:fldChar w:fldCharType="separate"/>
      </w:r>
      <w:r w:rsidRPr="006B15C8">
        <w:t>Rafe et al., 2025)</w:t>
      </w:r>
      <w:r w:rsidRPr="006B15C8">
        <w:fldChar w:fldCharType="end"/>
      </w:r>
      <w:bookmarkEnd w:id="36"/>
      <w:r w:rsidRPr="006B15C8">
        <w:t xml:space="preserve"> </w:t>
      </w:r>
      <w:bookmarkEnd w:id="37"/>
      <w:r w:rsidRPr="006B15C8">
        <w:t xml:space="preserve">and distraction </w:t>
      </w:r>
      <w:r w:rsidRPr="006B15C8">
        <w:fldChar w:fldCharType="begin"/>
      </w:r>
      <w:r w:rsidR="00911EF4" w:rsidRPr="006B15C8">
        <w:instrText xml:space="preserve"> ADDIN ZOTERO_ITEM CSL_CITATION {"citationID":"fjpDsXbG","properties":{"formattedCitation":"(Russo et al., 2018)","plainCitation":"(Russo et al., 2018)","dontUpdate":true,"noteIndex":0},"citationItems":[{"id":158,"uris":["http://zotero.org/groups/5885221/items/2UK8YS2B"],"itemData":{"id":158,"type":"article-journal","abstract":"In the past two decades, cell phone and smartphone use in the United States has increased substantially. Although mobile phones provide a convenient way for people to communicate, the distraction caused by the use of these devices has led to unintended traffic safety and operational consequences. Although it is well recognized that distracted driving is extremely dangerous for all road users (including pedestrians), the potential impacts of distracted walking have not been as comprehensively studied. Although practitioners should design facilities with the safety, efficiency, and comfort of pedestrians in mind, it is still important to investigate certain pedestrian behaviors at existing facilities to minimize the risk of pedestrian–vehicle crashes, and to reduce behaviors that may unnecessarily increase delay at signalized intersections. To gain new insights into factors associated with distracted walking, pedestrian violations, and walking speed, 3,038 pedestrians were observed across four signalized intersections in New York and Arizona using high-definition video cameras. The video data were reduced and summarized, and an ordinary least squares (OLS) regression model was estimated to analyze factors affecting walking speeds. In addition, binary logit models were estimated to analyze both pedestrian distraction and pedestrian violations. Ultimately, several site- and pedestrian-specific variables were found to be significantly associated with pedestrian distraction, violation behavior, and walking speeds. The results provide important information for researchers, practitioners, and legislators, and may be useful in planning strategies to reduce or mitigate the impacts of pedestrian behavior that may be considered unsafe or potentially inefficient.","container-title":"Transportation Research Record","DOI":"10.1177/0361198118759949","ISSN":"0361-1981","issue":"35","language":"EN","note":"publisher: SAGE Publications Inc","page":"1-12","source":"SAGE Journals","title":"Pedestrian Behavior at Signalized Intersection Crosswalks: Observational Study of Factors Associated with Distracted Walking, Pedestrian Violations, and Walking Speed","title-short":"Pedestrian Behavior at Signalized Intersection Crosswalks","volume":"2672","author":[{"family":"Russo","given":"Brendan J."},{"family":"James","given":"Emmanuel"},{"family":"Aguilar","given":"Cristopher Y."},{"family":"Smaglik","given":"Edward J."}],"issued":{"date-parts":[["2018",12,1]]}}}],"schema":"https://github.com/citation-style-language/schema/raw/master/csl-citation.json"} </w:instrText>
      </w:r>
      <w:r w:rsidRPr="006B15C8">
        <w:fldChar w:fldCharType="separate"/>
      </w:r>
      <w:r w:rsidRPr="006B15C8">
        <w:t>(Russo et al., 2018</w:t>
      </w:r>
      <w:r w:rsidRPr="006B15C8">
        <w:fldChar w:fldCharType="end"/>
      </w:r>
      <w:r w:rsidRPr="006B15C8">
        <w:t xml:space="preserve">), gender differences in temporal violations </w:t>
      </w:r>
      <w:r w:rsidR="009F6234" w:rsidRPr="006B15C8">
        <w:t xml:space="preserve">have </w:t>
      </w:r>
      <w:r w:rsidRPr="006B15C8">
        <w:t xml:space="preserve">often </w:t>
      </w:r>
      <w:r w:rsidR="009F6234" w:rsidRPr="006B15C8">
        <w:t xml:space="preserve">been found to be </w:t>
      </w:r>
      <w:r w:rsidR="005D1513" w:rsidRPr="006B15C8">
        <w:t xml:space="preserve">statistically </w:t>
      </w:r>
      <w:r w:rsidRPr="006B15C8">
        <w:t xml:space="preserve">insignificant </w:t>
      </w:r>
      <w:r w:rsidR="00F754B1" w:rsidRPr="006B15C8">
        <w:fldChar w:fldCharType="begin"/>
      </w:r>
      <w:r w:rsidR="00911EF4" w:rsidRPr="006B15C8">
        <w:instrText xml:space="preserve"> ADDIN ZOTERO_ITEM CSL_CITATION {"citationID":"5Ju6o1e9","properties":{"formattedCitation":"(Russo et al., 2018)","plainCitation":"(Russo et al., 2018)","dontUpdate":true,"noteIndex":0},"citationItems":[{"id":158,"uris":["http://zotero.org/groups/5885221/items/2UK8YS2B"],"itemData":{"id":158,"type":"article-journal","abstract":"In the past two decades, cell phone and smartphone use in the United States has increased substantially. Although mobile phones provide a convenient way for people to communicate, the distraction caused by the use of these devices has led to unintended traffic safety and operational consequences. Although it is well recognized that distracted driving is extremely dangerous for all road users (including pedestrians), the potential impacts of distracted walking have not been as comprehensively studied. Although practitioners should design facilities with the safety, efficiency, and comfort of pedestrians in mind, it is still important to investigate certain pedestrian behaviors at existing facilities to minimize the risk of pedestrian–vehicle crashes, and to reduce behaviors that may unnecessarily increase delay at signalized intersections. To gain new insights into factors associated with distracted walking, pedestrian violations, and walking speed, 3,038 pedestrians were observed across four signalized intersections in New York and Arizona using high-definition video cameras. The video data were reduced and summarized, and an ordinary least squares (OLS) regression model was estimated to analyze factors affecting walking speeds. In addition, binary logit models were estimated to analyze both pedestrian distraction and pedestrian violations. Ultimately, several site- and pedestrian-specific variables were found to be significantly associated with pedestrian distraction, violation behavior, and walking speeds. The results provide important information for researchers, practitioners, and legislators, and may be useful in planning strategies to reduce or mitigate the impacts of pedestrian behavior that may be considered unsafe or potentially inefficient.","container-title":"Transportation Research Record","DOI":"10.1177/0361198118759949","ISSN":"0361-1981","issue":"35","language":"EN","note":"publisher: SAGE Publications Inc","page":"1-12","source":"SAGE Journals","title":"Pedestrian Behavior at Signalized Intersection Crosswalks: Observational Study of Factors Associated with Distracted Walking, Pedestrian Violations, and Walking Speed","title-short":"Pedestrian Behavior at Signalized Intersection Crosswalks","volume":"2672","author":[{"family":"Russo","given":"Brendan J."},{"family":"James","given":"Emmanuel"},{"family":"Aguilar","given":"Cristopher Y."},{"family":"Smaglik","given":"Edward J."}],"issued":{"date-parts":[["2018",12,1]]}}}],"schema":"https://github.com/citation-style-language/schema/raw/master/csl-citation.json"} </w:instrText>
      </w:r>
      <w:r w:rsidR="00F754B1" w:rsidRPr="006B15C8">
        <w:fldChar w:fldCharType="separate"/>
      </w:r>
      <w:r w:rsidR="00F754B1" w:rsidRPr="006B15C8">
        <w:t>(Russo et al., 2018</w:t>
      </w:r>
      <w:r w:rsidR="00F754B1" w:rsidRPr="006B15C8">
        <w:fldChar w:fldCharType="end"/>
      </w:r>
      <w:r w:rsidR="00D530FB" w:rsidRPr="006B15C8">
        <w:t xml:space="preserve">, </w:t>
      </w:r>
      <w:r w:rsidR="00F754B1" w:rsidRPr="006B15C8">
        <w:fldChar w:fldCharType="begin"/>
      </w:r>
      <w:r w:rsidR="00911EF4" w:rsidRPr="006B15C8">
        <w:instrText xml:space="preserve"> ADDIN ZOTERO_ITEM CSL_CITATION {"citationID":"muvVw6R5","properties":{"formattedCitation":"(Rafe et al., 2025)","plainCitation":"(Rafe et al., 2025)","dontUpdate":true,"noteIndex":0},"citationItems":[{"id":328,"uris":["http://zotero.org/groups/5885221/items/8TQZEC7Q"],"itemData":{"id":328,"type":"article-journal","abstract":"This study investigates pedestrian crossing behaviors at signalized intersections, focusing on spatial and temporal violations. Using a comprehensive dataset comprising 5,589 pedestrian crossing events at 47 crosswalks across 39 intersections in Utah, the research employs multilevel regression models to identify the factors influencing these violation behaviors. Key findings indicate that individual characteristics such as gender and mobility device use, environmental conditions including temperature and time of day, and social dynamics such as the presence of other pedestrians significantly impact violation behaviors. The study reveals that female-presenting pedestrians and those using mobility devices are generally more compliant, while higher temperatures and specific times-of-day are associated with increased violation rates. The analysis also highlights that longer waiting time is linked to a reduced likelihood of violations, and that social dynamics play a crucial role, with the presence of other pedestrians discouraging violations. Additionally, neighborhoods with larger shares of Hispanic or non-white populations have higher violation rates, and mid-block crossings see more temporal violations. These findings aim to enhance pedestrian safety and compliance at signalized intersections, ultimately reducing pedestrian fatalities and injuries.","container-title":"International Journal of Transportation Science and Technology","DOI":"10.1016/j.ijtst.2024.12.005","ISSN":"2046-0430","journalAbbreviation":"International Journal of Transportation Science and Technology","source":"ScienceDirect","title":"Pedestrian crossing behaviors at signalized intersections in Utah: Factors affecting spatial and temporal violations","title-short":"Pedestrian crossing behaviors at signalized intersections in Utah","URL":"https://www.sciencedirect.com/science/article/pii/S2046043025000024","author":[{"family":"Rafe","given":"Amir"},{"family":"Singleton","given":"Patrick A."},{"family":"Boyer","given":"Sadie"},{"family":"Mekker","given":"Michelle"}],"accessed":{"date-parts":[["2025",6,9]]},"issued":{"date-parts":[["2025",1,6]]}}}],"schema":"https://github.com/citation-style-language/schema/raw/master/csl-citation.json"} </w:instrText>
      </w:r>
      <w:r w:rsidR="00F754B1" w:rsidRPr="006B15C8">
        <w:fldChar w:fldCharType="separate"/>
      </w:r>
      <w:r w:rsidR="00F754B1" w:rsidRPr="006B15C8">
        <w:t>Rafe et al., 2025)</w:t>
      </w:r>
      <w:r w:rsidR="00F754B1" w:rsidRPr="006B15C8">
        <w:fldChar w:fldCharType="end"/>
      </w:r>
      <w:r w:rsidR="00F754B1" w:rsidRPr="006B15C8">
        <w:t xml:space="preserve">. </w:t>
      </w:r>
      <w:r w:rsidR="005D1513" w:rsidRPr="006B15C8">
        <w:t xml:space="preserve">Interestingly, </w:t>
      </w:r>
      <w:bookmarkStart w:id="38" w:name="_Hlk202476538"/>
      <w:r w:rsidRPr="006B15C8">
        <w:fldChar w:fldCharType="begin"/>
      </w:r>
      <w:r w:rsidR="00911EF4" w:rsidRPr="006B15C8">
        <w:instrText xml:space="preserve"> ADDIN ZOTERO_ITEM CSL_CITATION {"citationID":"SU5xpBlh","properties":{"formattedCitation":"(Baker et al., 2022)","plainCitation":"(Baker et al., 2022)","dontUpdate":true,"noteIndex":0},"citationItems":[{"id":355,"uris":["http://zotero.org/groups/5885221/items/MHBDDACK"],"itemData":{"id":355,"type":"article-journal","abstract":"Gender differences in risky behavior and decision-making have been observed across a number of behavioral domains. Reviews of this literature have tended to overlook the question of whether specific objective situational factors that are relevant to a particular risky decision moderate observed gender differences within risk domains. The current work explores this question by employing a naturalistic observation method. Over 2,700 pedestrians were observed crossing a busy intersection adjacent to a college campus in the southeastern U.S. Observers noted the number of male and female pedestrians present during each cycle of the traffic signal as well as how many individuals of each gender either crossed when the ‘don’t walk’ sign was active or waited for the safer ‘walk’ signal in order to cross. Also noted was whether these pedestrians were crossing at a ‘low risk’ area of the intersection, where a concrete safety island was present, or a ‘high risk’ area, where there was no safety island. The oft-observed gender difference in physical risk-taking was observed, with men being substantially more likely to cross during a ‘don’t walk’ signal compared to women. However, this was only observed at the ‘low risk’ area of the intersection. In contrast, risk-taking did not differ by gender at the ‘high risk’ crossing area. Implications for the understanding of the nature of gender-differences in risk taking are discussed.","container-title":"Journal of Risk Research","DOI":"10.1080/13669877.2021.1962953","ISSN":"1366-9877","issue":"4","note":"publisher: Routledge\n_eprint: https://doi.org/10.1080/13669877.2021.1962953","page":"536-545","source":"Taylor and Francis+NEJM","title":"Boundary conditions for gender differences in risk taking","volume":"25","author":[{"family":"Baker","given":"Michael D."},{"family":"","given":"Owens ,Brittnie T."},{"family":"","given":"Utter ,Rachel L."},{"family":"","given":"Boachie ,Rebecca J."},{"family":"Keith","given":"Delaney R.","non-dropping-particle":"and"}],"issued":{"date-parts":[["2022",4,24]]}}}],"schema":"https://github.com/citation-style-language/schema/raw/master/csl-citation.json"} </w:instrText>
      </w:r>
      <w:r w:rsidRPr="006B15C8">
        <w:fldChar w:fldCharType="separate"/>
      </w:r>
      <w:r w:rsidRPr="006B15C8">
        <w:t>Baker et al. (2022</w:t>
      </w:r>
      <w:r w:rsidRPr="006B15C8">
        <w:fldChar w:fldCharType="end"/>
      </w:r>
      <w:r w:rsidRPr="006B15C8">
        <w:t xml:space="preserve">) </w:t>
      </w:r>
      <w:bookmarkEnd w:id="38"/>
      <w:r w:rsidR="0059432B" w:rsidRPr="006B15C8">
        <w:t xml:space="preserve">found that gender differences in temporal violations </w:t>
      </w:r>
      <w:r w:rsidR="0059432B" w:rsidRPr="006B15C8">
        <w:lastRenderedPageBreak/>
        <w:t>were evident only in low-risk situations</w:t>
      </w:r>
      <w:r w:rsidR="00DA7FE7" w:rsidRPr="006B15C8">
        <w:t xml:space="preserve"> (</w:t>
      </w:r>
      <w:r w:rsidR="008C222F" w:rsidRPr="006B15C8">
        <w:t xml:space="preserve">where a concrete safety island was present), </w:t>
      </w:r>
      <w:r w:rsidR="0059432B" w:rsidRPr="006B15C8">
        <w:t>with men being more non-compliant</w:t>
      </w:r>
      <w:r w:rsidR="006319DE" w:rsidRPr="006B15C8">
        <w:t xml:space="preserve">. </w:t>
      </w:r>
      <w:r w:rsidRPr="006B15C8">
        <w:t xml:space="preserve">Similarly, </w:t>
      </w:r>
      <w:bookmarkStart w:id="39" w:name="_Hlk202476582"/>
      <w:r w:rsidRPr="006B15C8">
        <w:fldChar w:fldCharType="begin"/>
      </w:r>
      <w:r w:rsidR="00911EF4" w:rsidRPr="006B15C8">
        <w:instrText xml:space="preserve"> ADDIN ZOTERO_ITEM CSL_CITATION {"citationID":"89xSNWo8","properties":{"formattedCitation":"(Schwebel et al., 2022)","plainCitation":"(Schwebel et al., 2022)","dontUpdate":true,"noteIndex":0},"citationItems":[{"id":348,"uris":["http://zotero.org/groups/5885221/items/VV25MGIV"],"itemData":{"id":348,"type":"article-journal","abstract":"OBJECTIVE: Pedestrian-related death rates are increasing in the United States, partly due to increased use of distracting smartphones by pedestrians. Previous research documents high frequency of smartphone use while crossing streets near college campuses and in downtown business districts, but little is known about distracted pedestrian behavior in other urban environments. The current study used observational methods to examine and compare distracted pedestrian behavior in four urban areas - near an urban college campus, in a downtown commercial business district, near middle and high schools, and in entertainment districts - as well as examining whether the occurrence of distraction was associated with unsafe crossing behaviors.\nMETHODS: We observed 112 intersections in 46 downtown, 30 school, 25 entertainment district, and 11 college campus-area intersections. Coders recorded distraction, crossing safety, pedestrian demographics, and traffic volume. Chi-square tests compared pedestrian characteristics by intersection type. Log binomial regressions estimated risk ratios (RRs) and associated 95% confidence intervals (CIs) for associations between pedestrians walking alone and traffic volume with distracted crossing behavior, adjusting for age and gender. Similar models examined risk of unsafe crossing behavior by distraction behavior. All models were stratified by intersection type.\nRESULTS: Distraction incidence was highest in campus locations (52.9%) and lowest in entertainment districts (16.2%). Walking alone was associated with a 45% higher risk of distraction (RR 1.45, 95% CI 1.30-1.62), although the increased association was limited to entertainment locations (RR 1.61, 95% CI 1.25-2.08) and was significantly decreased in all other locations. Higher traffic volume was associated with lower risk of distraction in downtown locations (RR 0.69, 95% CI 0.56-0.85) but higher distraction risk in entertainment locations (RR 1.71, 95% CI 1.27-2.31). Associations between distraction and unsafe crossing behaviors were minimal.\nCONCLUSION: Distracted pedestrian behavior occurs at different rates and in different circumstances, depending on the setting. These results offer valuable data to inform intervention programs that target appropriate populations in appropriate locations.","container-title":"Traffic Injury Prevention","DOI":"10.1080/15389588.2022.2076282","ISSN":"1538-957X","issue":"6","journalAbbreviation":"Traffic Inj Prev","language":"eng","note":"PMID: 35617465\nPMCID: PMC10413048","page":"346-351","source":"PubMed","title":"Distracted pedestrian behavior: An observational study of risk by situational environments","title-short":"Distracted pedestrian behavior","volume":"23","author":[{"family":"Schwebel","given":"David C."},{"family":"Canter","given":"Margaret F."},{"family":"Hasan","given":"Ragib"},{"family":"Griffin","given":"Russell"},{"family":"White","given":"Taylor R."},{"family":"Johnston","given":"Anna"}],"issued":{"date-parts":[["2022"]]}}}],"schema":"https://github.com/citation-style-language/schema/raw/master/csl-citation.json"} </w:instrText>
      </w:r>
      <w:r w:rsidRPr="006B15C8">
        <w:fldChar w:fldCharType="separate"/>
      </w:r>
      <w:r w:rsidRPr="006B15C8">
        <w:t>Schwebel et al. (2022</w:t>
      </w:r>
      <w:r w:rsidRPr="006B15C8">
        <w:fldChar w:fldCharType="end"/>
      </w:r>
      <w:r w:rsidRPr="006B15C8">
        <w:t xml:space="preserve">) </w:t>
      </w:r>
      <w:bookmarkEnd w:id="39"/>
      <w:r w:rsidRPr="006B15C8">
        <w:t>f</w:t>
      </w:r>
      <w:r w:rsidR="005D1513" w:rsidRPr="006B15C8">
        <w:t>oun</w:t>
      </w:r>
      <w:r w:rsidRPr="006B15C8">
        <w:t xml:space="preserve">d no significant gender effects across multiple dimensions, including situational awareness, distraction, and general unsafe crossing behavior. In contrast, non-U.S. studies </w:t>
      </w:r>
      <w:r w:rsidR="00DA7FE7" w:rsidRPr="006B15C8">
        <w:t xml:space="preserve">have </w:t>
      </w:r>
      <w:r w:rsidRPr="006B15C8">
        <w:t>more consistently associate</w:t>
      </w:r>
      <w:r w:rsidR="0059432B" w:rsidRPr="006B15C8">
        <w:t>d</w:t>
      </w:r>
      <w:r w:rsidRPr="006B15C8">
        <w:t xml:space="preserve"> male pedestrians with</w:t>
      </w:r>
      <w:r w:rsidR="0059432B" w:rsidRPr="006B15C8">
        <w:t xml:space="preserve"> higher rates of</w:t>
      </w:r>
      <w:r w:rsidRPr="006B15C8">
        <w:t xml:space="preserve"> temporal and spatial violations </w:t>
      </w:r>
      <w:bookmarkStart w:id="40" w:name="_Hlk202476605"/>
      <w:r w:rsidR="0059432B" w:rsidRPr="006B15C8">
        <w:t>(</w:t>
      </w:r>
      <w:r w:rsidR="0059432B" w:rsidRPr="006B15C8">
        <w:fldChar w:fldCharType="begin"/>
      </w:r>
      <w:r w:rsidR="003F5890" w:rsidRPr="006B15C8">
        <w:instrText xml:space="preserve"> ADDIN ZOTERO_ITEM CSL_CITATION {"citationID":"BPvdzYzU","properties":{"formattedCitation":"(Xie et al., 2018)","plainCitation":"(Xie et al., 2018)","dontUpdate":true,"noteIndex":0},"citationItems":[{"id":"ReAbCZ5Q/W3khcGv1","uris":["http://zotero.org/groups/5098585/items/LMITDHLF"],"itemData":{"id":1718,"type":"article-journal","abstract":"Objective: Most of the extensive research dedicated to identifying the influential factors of hit-and-run (HR) crashes has utilized typical maximum likelihood estimation binary logit models, and none have employed real-time traffic data. To fill this gap, this study focused on investigating factors contributing to HR crashes, as well as the severity levels of HR.Methods: This study analyzed 4-year crash and real-time loop detector data by employing hierarchical Bayesian models with random effects within a sequential logit structure. In addition to evaluation of the impact of random effects on model fitness and complexity, the prediction capability of the models was examined. Stepwise incremental sensitivity and specificity were calculated and receiver operating characteristic (ROC) curves were utilized to graphically illustrate the predictive performance of the model.Results: Among the real-time flow variables, the average occupancy and speed from the upstream detector were observed to be positively correlated with HR crash possibility. The average upstream speed and speed difference between upstream and downstream speeds were correlated with the occurrence of severe HR crashes. In addition to real-time factors, other variables found influential for HR and severe HR crashes were length of segment, adverse weather conditions, dark lighting conditions with malfunctioning street lights, driving under the influence of alcohol, width of inner shoulder, and nighttime.Conclusions: This study suggests the potential traffic conditions of HR and severe HR occurrence, which refer to relatively congested upstream traffic conditions with high upstream speed and significant speed deviations on long segments. The above findings suggest that traffic enforcement should be directed toward mitigating risky driving under the aforementioned traffic conditions. Moreover, enforcement agencies may employ alcohol checkpoints to counter driving under the influence (DUI) at night. With regard to engineering improvements, wider inner shoulders may be constructed to potentially reduce HR cases and street lights should be installed and maintained in working condition to make roads less prone to such crashes.","container-title":"Traffic Injury Prevention","DOI":"10.1080/15389588.2017.1371302","ISSN":"1538-9588","issue":"2","note":"publisher: Taylor &amp; Francis\n_eprint: https://doi.org/10.1080/15389588.2017.1371302\nPMID: 28837362","page":"207-213","source":"Taylor and Francis+NEJM","title":"Investigation of hit-and-run crash occurrence and severity using real-time loop detector data and hierarchical Bayesian binary logit model with random effects","volume":"19","author":[{"family":"Xie","given":"Meiquan"},{"family":"Cheng","given":"Wen"},{"family":"Gill","given":"Gurdiljot Singh"},{"family":"Zhou","given":"Jiao"},{"family":"Jia","given":"Xudong"},{"family":"Choi","given":"Simon"}],"issued":{"date-parts":[["2018",2,17]]}}}],"schema":"https://github.com/citation-style-language/schema/raw/master/csl-citation.json"} </w:instrText>
      </w:r>
      <w:r w:rsidR="0059432B" w:rsidRPr="006B15C8">
        <w:fldChar w:fldCharType="separate"/>
      </w:r>
      <w:r w:rsidR="0059432B" w:rsidRPr="006B15C8">
        <w:t>Xie et al., 2018</w:t>
      </w:r>
      <w:r w:rsidR="0059432B" w:rsidRPr="006B15C8">
        <w:fldChar w:fldCharType="end"/>
      </w:r>
      <w:r w:rsidR="00D530FB" w:rsidRPr="006B15C8">
        <w:t xml:space="preserve">, </w:t>
      </w:r>
      <w:r w:rsidR="0059432B" w:rsidRPr="006B15C8">
        <w:fldChar w:fldCharType="begin"/>
      </w:r>
      <w:r w:rsidR="00911EF4" w:rsidRPr="006B15C8">
        <w:instrText xml:space="preserve"> ADDIN ZOTERO_ITEM CSL_CITATION {"citationID":"t8c4q5j2","properties":{"formattedCitation":"(Aghabayk et al., 2021)","plainCitation":"(Aghabayk et al., 2021)","dontUpdate":true,"noteIndex":0},"citationItems":[{"id":97,"uris":["http://zotero.org/groups/5885221/items/T2UPR4SI"],"itemData":{"id":97,"type":"article-journal","abstract":"Despite many studies on exploring the behaviors of pedestrians crossing the road, there is a need for comprehensive studies that identify the factors that may influence pedestrians crossing behavior at signalized and unsignalized intersections. This study aims to comprehensively examine the influence of gender, age group, group-crossing, technological devices and carrying items on pedestrians crossing behaviors at signalized and unsignalized crosswalks simultaneously. Observational data of 552 pedestrians at two signalized and two unsignalized crosswalks in Tehran were collected. Temporal and spatial violations, conflict experience and collision avoidance, situational awareness, and pedestrians crossing speed were used as pedestrians crossing behaviors indicators. To model crossing behaviors, linear mixed models (LMMs) and Generalized linear mixed models (GLMMs) with fixed-effect approach were applied for the continuous outcome (pedestrians’ crossing speed) and binary outcomes, respectively. Phi and Cramer's V coefficients were used to avoid multicollinearity. Results showed that traffic checks before and while crossing showed a high positive correlation with crossing at “don’t walk” and flashing “don’t walk” signals and conflict experience at signalized crosswalks. As compared to females, males started their crossing more on flashing “don’t walk” signal and crossed the crosswalk faster. Older pedestrians exhibited more cautious behaviors at signalized intersections but less in unsignalized intersections. Alone pedestrians behaved more cautiously than groups and crossed the crosswalk more quickly. Using technological devices, regardless of their types, caused pedestrians to not exhibit one or more safe crossing indicators considered in this study. Pedestrians talking on their phones had the least cautious behaviors. Pedestrians listening to music mostly looked at the ground or straight direction rather than looking left-right for traffic. The findings from this study are a valuable resource to road authorities and policy makers to develop appropriate targeted strategies to prevent pedestrians’ injuries and fatalities and improve crosswalks safety.","container-title":"Accident Analysis &amp; Prevention","DOI":"10.1016/j.aap.2021.105990","ISSN":"0001-4575","journalAbbreviation":"Accident Analysis &amp; Prevention","page":"105990","source":"ScienceDirect","title":"Observational-based study to explore pedestrian crossing behaviors at signalized and unsignalized crosswalks","volume":"151","author":[{"family":"Aghabayk","given":"Kayvan"},{"family":"Esmailpour","given":"Javad"},{"family":"Jafari","given":"Ahmad"},{"family":"Shiwakoti","given":"Nirajan"}],"issued":{"date-parts":[["2021",3,1]]}}}],"schema":"https://github.com/citation-style-language/schema/raw/master/csl-citation.json"} </w:instrText>
      </w:r>
      <w:r w:rsidR="0059432B" w:rsidRPr="006B15C8">
        <w:fldChar w:fldCharType="separate"/>
      </w:r>
      <w:r w:rsidR="0059432B" w:rsidRPr="006B15C8">
        <w:t>Aghabayk et al., 2021</w:t>
      </w:r>
      <w:r w:rsidR="0059432B" w:rsidRPr="006B15C8">
        <w:fldChar w:fldCharType="end"/>
      </w:r>
      <w:r w:rsidR="00D530FB" w:rsidRPr="006B15C8">
        <w:t>,</w:t>
      </w:r>
      <w:r w:rsidR="0059432B" w:rsidRPr="006B15C8">
        <w:t xml:space="preserve"> </w:t>
      </w:r>
      <w:r w:rsidR="0059432B" w:rsidRPr="006B15C8">
        <w:fldChar w:fldCharType="begin"/>
      </w:r>
      <w:r w:rsidR="00911EF4" w:rsidRPr="006B15C8">
        <w:instrText xml:space="preserve"> ADDIN ZOTERO_ITEM CSL_CITATION {"citationID":"DXFCszRO","properties":{"formattedCitation":"(Bendak et al., 2021)","plainCitation":"(Bendak et al., 2021)","dontUpdate":true,"noteIndex":0},"citationItems":[{"id":331,"uris":["http://zotero.org/groups/5885221/items/MBPYK37X"],"itemData":{"id":331,"type":"article-journal","abstract":"Introduction: Safety of pedestrians depends, among other factors, on their behavior while crossing the road. This study aims to assess behaviors of pedestrians at signalized crosswalks. Method: Following a literature review and a pilot study, 25 vital pedestrian crossing factors and behaviors were determined. Then data was randomly collected for 708 pedestrians at 10 lighted crossings in Sharjah (UAE), five at road intersections and five mid-block crossings. Results: Results indicated that 17.4% of pedestrians observed crossed partly or fully on red and that crossing speed was 1.22 m/s, on the average, which is slightly faster than most speeds recorded in the literature. Moreover, female pedestrians were more likely to cross while chatting with others, less likely to cross on red, and more likely to walk slower than male pedestrians. Results also showed that pedestrians who crossed at road intersections walked slower than those who crossed at mid-block crossings. It was also found that longer red pedestrian times and narrower roads tended to encourage pedestrians to cross on red and that the majority of pedestrians did not look around before crossing. Practical implications: Use of the Health Belief Model for pedestrian safety are discussed.","container-title":"Journal of Safety Research","DOI":"10.1016/j.jsr.2020.12.019","ISSN":"0022-4375","journalAbbreviation":"Journal of Safety Research","page":"269-275","source":"ScienceDirect","title":"Factors affecting pedestrian behaviors at signalized crosswalks: An empirical study","title-short":"Factors affecting pedestrian behaviors at signalized crosswalks","volume":"76","author":[{"family":"Bendak","given":"Salaheddine"},{"family":"Alnaqbi","given":"Asayel M."},{"family":"Alzarooni","given":"Muna Y."},{"family":"Aljanaahi","given":"Sara M."},{"family":"Alsuwaidi","given":"Shaikha J."}],"issued":{"date-parts":[["2021",2,1]]}}}],"schema":"https://github.com/citation-style-language/schema/raw/master/csl-citation.json"} </w:instrText>
      </w:r>
      <w:r w:rsidR="0059432B" w:rsidRPr="006B15C8">
        <w:fldChar w:fldCharType="separate"/>
      </w:r>
      <w:r w:rsidR="0059432B" w:rsidRPr="006B15C8">
        <w:t>Bendak et al., 2021</w:t>
      </w:r>
      <w:r w:rsidR="0059432B" w:rsidRPr="006B15C8">
        <w:fldChar w:fldCharType="end"/>
      </w:r>
      <w:r w:rsidR="00D530FB" w:rsidRPr="006B15C8">
        <w:t>,</w:t>
      </w:r>
      <w:r w:rsidR="00EC71F8" w:rsidRPr="006B15C8">
        <w:t xml:space="preserve"> </w:t>
      </w:r>
      <w:r w:rsidR="00EC71F8" w:rsidRPr="006B15C8">
        <w:fldChar w:fldCharType="begin"/>
      </w:r>
      <w:r w:rsidR="00EC71F8" w:rsidRPr="006B15C8">
        <w:instrText xml:space="preserve"> ADDIN ZOTERO_ITEM CSL_CITATION {"citationID":"h40Euhd8","properties":{"formattedCitation":"(Zhu et al., 2021)","plainCitation":"(Zhu et al., 2021)","dontUpdate":true,"noteIndex":0},"citationItems":[{"id":155,"uris":["http://zotero.org/groups/5885221/items/9M8ML4RE"],"itemData":{"id":155,"type":"article-journal","abstract":"Pedestrian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00EC71F8" w:rsidRPr="006B15C8">
        <w:fldChar w:fldCharType="separate"/>
      </w:r>
      <w:r w:rsidR="00EC71F8" w:rsidRPr="006B15C8">
        <w:t>Zhu et al., 2021</w:t>
      </w:r>
      <w:r w:rsidR="00EC71F8" w:rsidRPr="006B15C8">
        <w:fldChar w:fldCharType="end"/>
      </w:r>
      <w:r w:rsidR="00EC71F8" w:rsidRPr="006B15C8">
        <w:t>,</w:t>
      </w:r>
      <w:r w:rsidR="0059432B" w:rsidRPr="006B15C8">
        <w:t xml:space="preserve"> </w:t>
      </w:r>
      <w:r w:rsidR="0059432B" w:rsidRPr="006B15C8">
        <w:fldChar w:fldCharType="begin"/>
      </w:r>
      <w:r w:rsidR="00911EF4" w:rsidRPr="006B15C8">
        <w:instrText xml:space="preserve"> ADDIN ZOTERO_ITEM CSL_CITATION {"citationID":"3MopIOJG","properties":{"formattedCitation":"(W. Zhang et al., 2023)","plainCitation":"(W. Zhang et al., 2023)","dontUpdate":true,"noteIndex":0},"citationItems":[{"id":330,"uris":["http://zotero.org/groups/5885221/items/Q3HG2ZXZ"],"itemData":{"id":330,"type":"article-journal","abstract":"Pedestrian violations are a major cause of pedestrian accidents. Considering that pedestrians are vulnerable to mortality and severe injury in traffic accidents, it is necessary to conduct a study of the factors influencing the occurrence of unmarked street crossing violations and to improve pedestrian safety in a targeted manner. This paper investigated pedestrian spatial violations on unmarked roadways at six high-traffic locations in Hefei and examined the effects of the road environment, pedestrian crossing behaviour, and pedestrian characteristics on pedestrian spatial violation decisions. Thirty variables with a total of 723 samples were obtained by an unmanned aerial vehicle (UAV) and a camera. The purpose of this study was to gain an understanding of pedestrian spatial crossing violations at unmarked roadways. A random parameter logit model was used to establish a pedestrian crossing decision model for roadway violations. The results indicate that males are more likely to violate than females; the probability of violation with companions is higher than that of crossing alone; when pedestrians cross with other strangers in the same direction, the rate will decrease; and shorter intersection spacing, a higher vehicle flow, and a longer pedestrian crossing length all reduce the illegal crossing propensity. The findings should be indicative to help traffic road construction departments and traffic participants take effective measures to improve road safety.","container-title":"Transportation Research Part F: Traffic Psychology and Behaviour","DOI":"10.1016/j.trf.2023.10.022","ISSN":"1369-8478","journalAbbreviation":"Transportation Research Part F: Traffic Psychology and Behaviour","page":"339-355","source":"ScienceDirect","title":"Analysis of pedestrian illegal crossing at unmarked segments: Environmental factors, pedestrian characteristics and crossing behaviours","title-short":"Analysis of pedestrian illegal crossing at unmarked segments","volume":"99","author":[{"family":"Zhang","given":"Weihua"},{"family":"Guo","given":"Haonan"},{"family":"Wang","given":"Cheng"},{"family":"Wang","given":"Kun"},{"family":"Huang","given":"Wenjuan"},{"family":"Xu","given":"Qingyang"},{"family":"Tang","given":"Hongya"},{"family":"Yang","given":"Bo"},{"family":"Yan","given":"Ran"}],"issued":{"date-parts":[["2023",11,1]]}}}],"schema":"https://github.com/citation-style-language/schema/raw/master/csl-citation.json"} </w:instrText>
      </w:r>
      <w:r w:rsidR="0059432B" w:rsidRPr="006B15C8">
        <w:fldChar w:fldCharType="separate"/>
      </w:r>
      <w:r w:rsidR="0059432B" w:rsidRPr="006B15C8">
        <w:t>Zhang et al., 2023</w:t>
      </w:r>
      <w:r w:rsidR="0059432B" w:rsidRPr="006B15C8">
        <w:fldChar w:fldCharType="end"/>
      </w:r>
      <w:r w:rsidR="00D530FB" w:rsidRPr="006B15C8">
        <w:t>,</w:t>
      </w:r>
      <w:r w:rsidR="0059432B" w:rsidRPr="006B15C8">
        <w:t xml:space="preserve"> </w:t>
      </w:r>
      <w:r w:rsidR="0059432B" w:rsidRPr="006B15C8">
        <w:fldChar w:fldCharType="begin"/>
      </w:r>
      <w:r w:rsidR="00911EF4" w:rsidRPr="006B15C8">
        <w:instrText xml:space="preserve"> ADDIN ZOTERO_ITEM CSL_CITATION {"citationID":"b04TB709","properties":{"formattedCitation":"(Miladi et al., 2025)","plainCitation":"(Miladi et al., 2025)","dontUpdate":true,"noteIndex":0},"citationItems":[{"id":345,"uris":["http://zotero.org/groups/5885221/items/ZVDCVKPE"],"itemData":{"id":345,"type":"article-journal","abstract":"Pedestrian-vehicle conflicts at intersections are considered as a major source of injuries and fatalities. Intersections are a critical part of roadway design since pedestrians are exposed to different and potentially dangerous activities due to how an intersection is designed, but also what the pedestrian is doing and where in the city they are. In this study, various influences on risky crossing behaviour are examined. At the individual level, the influence of distractions and where people are looking before crossing are tested. Further, various intersection design variables including wait time, intersection size and speed limits, and contextual variables such as the built environment nearby and traffic flow are examined. The data was gathered by observing pedestrians at 24 intersections in Montreal and Quebec City (12 each). Logistic regression models were estimated to determine the influencing variables on four dangerous behaviours: a) start on red, b) finish on red, c) finish on red having started on green, and d) cross completely on red. Results demonstrate the importance of wait time on risky crossing behaviour with short wait times (&lt; 30s) decreasing the likelihood of such behaviours considerably. For individual behaviour, having a cellphone in one's hand reduces the likelihood of starting to cross on red. In contrast, looking at traffic was over four times more associated with crossing illegally.","container-title":"IATSS Research","DOI":"10.1016/j.iatssr.2025.05.001","ISSN":"0386-1112","issue":"2","journalAbbreviation":"IATSS Research","page":"220-230","source":"ScienceDirect","title":"Distractions or long waits? Impacts on risky crossing behaviour","title-short":"Distractions or long waits?","volume":"49","author":[{"family":"Miladi","given":"Mohsen"},{"family":"Waygood","given":"E. Owen D."},{"family":"Cloutier","given":"Marie-Soleil"},{"family":"Bobin","given":"Wang"},{"family":"Ali Yas","given":"Zeinab"}],"issued":{"date-parts":[["2025",7,1]]}}}],"schema":"https://github.com/citation-style-language/schema/raw/master/csl-citation.json"} </w:instrText>
      </w:r>
      <w:r w:rsidR="0059432B" w:rsidRPr="006B15C8">
        <w:fldChar w:fldCharType="separate"/>
      </w:r>
      <w:r w:rsidR="0059432B" w:rsidRPr="006B15C8">
        <w:t>Miladi et al., 2025)</w:t>
      </w:r>
      <w:r w:rsidR="0059432B" w:rsidRPr="006B15C8">
        <w:fldChar w:fldCharType="end"/>
      </w:r>
      <w:r w:rsidR="0059432B" w:rsidRPr="006B15C8">
        <w:t xml:space="preserve">. </w:t>
      </w:r>
      <w:bookmarkEnd w:id="40"/>
      <w:r w:rsidRPr="006B15C8">
        <w:t xml:space="preserve">Some non-U.S. studies </w:t>
      </w:r>
      <w:r w:rsidR="009F6234" w:rsidRPr="006B15C8">
        <w:t xml:space="preserve">have </w:t>
      </w:r>
      <w:r w:rsidRPr="006B15C8">
        <w:t>also point</w:t>
      </w:r>
      <w:r w:rsidR="0059432B" w:rsidRPr="006B15C8">
        <w:t>ed</w:t>
      </w:r>
      <w:r w:rsidRPr="006B15C8">
        <w:t xml:space="preserve"> to </w:t>
      </w:r>
      <w:r w:rsidRPr="006B15C8">
        <w:rPr>
          <w:rStyle w:val="Strong"/>
          <w:b w:val="0"/>
          <w:bCs w:val="0"/>
        </w:rPr>
        <w:t>reduced situational awareness among male pedestrians</w:t>
      </w:r>
      <w:r w:rsidRPr="006B15C8">
        <w:t xml:space="preserve">, such as less frequent head-turning before crossing </w:t>
      </w:r>
      <w:bookmarkStart w:id="41" w:name="_Hlk203652511"/>
      <w:r w:rsidRPr="006B15C8">
        <w:t>(Bendak et al., 2021).</w:t>
      </w:r>
      <w:bookmarkEnd w:id="41"/>
    </w:p>
    <w:p w14:paraId="3ABB9273" w14:textId="77777777" w:rsidR="00A46F40" w:rsidRPr="006B15C8" w:rsidRDefault="005D1513" w:rsidP="004A6C6E">
      <w:pPr>
        <w:spacing w:line="271" w:lineRule="auto"/>
        <w:ind w:firstLine="720"/>
      </w:pPr>
      <w:r w:rsidRPr="006B15C8">
        <w:t xml:space="preserve">With respect to age, recent U.S.-based studies </w:t>
      </w:r>
      <w:r w:rsidR="00DA7FE7" w:rsidRPr="006B15C8">
        <w:t xml:space="preserve">have </w:t>
      </w:r>
      <w:r w:rsidRPr="006B15C8">
        <w:t>generally report</w:t>
      </w:r>
      <w:r w:rsidR="0059432B" w:rsidRPr="006B15C8">
        <w:t>ed</w:t>
      </w:r>
      <w:r w:rsidRPr="006B15C8">
        <w:t xml:space="preserve"> no statistically significant association between older age groups and pedestrian </w:t>
      </w:r>
      <w:bookmarkStart w:id="42" w:name="_Hlk203652517"/>
      <w:r w:rsidRPr="006B15C8">
        <w:t xml:space="preserve">violations </w:t>
      </w:r>
      <w:r w:rsidR="00F754B1" w:rsidRPr="006B15C8">
        <w:fldChar w:fldCharType="begin"/>
      </w:r>
      <w:r w:rsidR="00911EF4" w:rsidRPr="006B15C8">
        <w:instrText xml:space="preserve"> ADDIN ZOTERO_ITEM CSL_CITATION {"citationID":"X5gxvMvr","properties":{"formattedCitation":"(Ivan et al., 2017)","plainCitation":"(Ivan et al., 2017)","dontUpdate":true,"noteIndex":0},"citationItems":[{"id":347,"uris":["http://zotero.org/groups/5885221/items/WVDXZF9M"],"itemData":{"id":347,"type":"article-journal","abstract":"This paper describes a comparison of pedestrian compliance at traffic signals with two types of pedestrian phasing: concurrent, where both pedestrians and vehicular traffic are directed to move in the same directions at the same time, and exclusive, where pedestrians are directed to move during their own dedicated phase while all vehicular traffic is stopped. Exclusive phasing is usually perceived to be safer, especially by senior and disabled advocacy groups, although these safety benefits depend upon pedestrians waiting for the walk signal. This paper investigates whether or not there are differences between pedestrian compliance at signals with exclusive pedestrian phasing and those with concurrent phasing and whether these differences continue to exist when compliance at exclusive phasing signals is evaluated as if they had concurrent phasing. Pedestrian behavior was observed at 42 signalized intersections in central Connecticut with both concurrent and exclusive pedestrian phasing. Binary regression models were estimated to predict pedestrian compliance as a function of the pedestrian phasing type and other intersection characteristics, such as vehicular and pedestrian volume, crossing distance and speed limit. We found that pedestrian compliance is significantly higher at intersections with concurrent pedestrian phasing than at those with exclusive pedestrian phasing, but this difference is not significant when compliance at exclusive phase intersections is evaluated as if it had concurrent phasing. This suggests that pedestrians treat exclusive phase intersections as though they have concurrent phasing, rendering the safety benefits of exclusive pedestrian phasing elusive. No differences were observed for senior or non-senior pedestrians.","container-title":"Accident Analysis &amp; Prevention","DOI":"10.1016/j.aap.2016.10.003","ISSN":"0001-4575","journalAbbreviation":"Accident Analysis &amp; Prevention","page":"157-166","source":"ScienceDirect","title":"A study of pedestrian compliance with traffic signals for exclusive and concurrent phasing","volume":"98","author":[{"family":"Ivan","given":"John N."},{"family":"McKernan","given":"Kevin"},{"family":"Zhang","given":"Yaohua"},{"family":"Ravishanker","given":"Nalini"},{"family":"Mamun","given":"Sha A."}],"issued":{"date-parts":[["2017",1,1]]}}}],"schema":"https://github.com/citation-style-language/schema/raw/master/csl-citation.json"} </w:instrText>
      </w:r>
      <w:r w:rsidR="00F754B1" w:rsidRPr="006B15C8">
        <w:fldChar w:fldCharType="separate"/>
      </w:r>
      <w:r w:rsidR="00F754B1" w:rsidRPr="006B15C8">
        <w:t>(Ivan et al., 2017</w:t>
      </w:r>
      <w:r w:rsidR="00F754B1" w:rsidRPr="006B15C8">
        <w:fldChar w:fldCharType="end"/>
      </w:r>
      <w:r w:rsidRPr="006B15C8">
        <w:t>; Russo et al., 2018; Rafe et al., 2025)</w:t>
      </w:r>
      <w:bookmarkEnd w:id="42"/>
      <w:r w:rsidRPr="006B15C8">
        <w:t xml:space="preserve">. However, some other age-related trends </w:t>
      </w:r>
      <w:r w:rsidR="00EE56EC" w:rsidRPr="006B15C8">
        <w:t xml:space="preserve">have been </w:t>
      </w:r>
      <w:r w:rsidRPr="006B15C8">
        <w:t xml:space="preserve">evident. For instance, Rafe et al. (2025) found that children and adolescents were more likely to engage in temporal violations, while Russo et al. (2018) identified elevated distraction levels among pedestrians aged 16 to 29. </w:t>
      </w:r>
      <w:r w:rsidR="00A46F40" w:rsidRPr="006B15C8">
        <w:t xml:space="preserve">Findings from studies conducted outside the U.S. also highlight </w:t>
      </w:r>
      <w:r w:rsidR="00F754B1" w:rsidRPr="006B15C8">
        <w:t>signific</w:t>
      </w:r>
      <w:r w:rsidR="00A46F40" w:rsidRPr="006B15C8">
        <w:t xml:space="preserve">ant age-related trends, though results remain somewhat inconsistent. Older adults </w:t>
      </w:r>
      <w:r w:rsidRPr="006B15C8">
        <w:t>were</w:t>
      </w:r>
      <w:r w:rsidR="00A46F40" w:rsidRPr="006B15C8">
        <w:t xml:space="preserve"> frequently associated with safer pedestrian behavior, including a lower likelihood of temporal violations </w:t>
      </w:r>
      <w:bookmarkStart w:id="43" w:name="_Hlk203652527"/>
      <w:r w:rsidR="00A46F40" w:rsidRPr="006B15C8">
        <w:t xml:space="preserve">(Aghabayk et al., 2021; Bendak et al., 2021), </w:t>
      </w:r>
      <w:bookmarkEnd w:id="43"/>
      <w:r w:rsidR="00A46F40" w:rsidRPr="006B15C8">
        <w:t xml:space="preserve">reduced distraction (Bendak et al., 2021), greater situational awareness (Aghabayk et al., 2021), and a higher tendency to wait on the curb rather than in the roadway </w:t>
      </w:r>
      <w:bookmarkStart w:id="44" w:name="_Hlk203652532"/>
      <w:r w:rsidR="00F754B1" w:rsidRPr="006B15C8">
        <w:fldChar w:fldCharType="begin"/>
      </w:r>
      <w:r w:rsidR="00911EF4" w:rsidRPr="006B15C8">
        <w:instrText xml:space="preserve"> ADDIN ZOTERO_ITEM CSL_CITATION {"citationID":"UbQGuUul","properties":{"formattedCitation":"(Dommes et al., 2015)","plainCitation":"(Dommes et al., 2015)","noteIndex":0},"citationItems":[{"id":45,"uris":["http://zotero.org/groups/5885221/items/9NB24Q7X"],"itemData":{"id":45,"type":"article-journal","abstract":"To study human factors linked to red light violations, and more generally to safety-related behaviors at signalized crosswalks, the present study combines the collection of observational data with questionnaires answered by 422 French adult pedestrians. Thirteen behavioral indicators were extracted (12 before and while crossing, and red light violation), and the roles of several demographical, contextual and mobility-associated variables were examined. The results of the stepwise logistic regression analyses carried out on each of the 12 behavioral indicators observed before and while crossing revealed that gender had no major impact, but age did, with more cautious behaviors as pedestrians were older. The three contextual variables (group size, parked vehicles, and traffic density), as four mobility-associated variables (driving and walking experiences, self-reported crossing difficulties and falls in the street) were also found to be important factors in safety-related crossing behaviors. A wider logistic regression analysis, made specifically on red light violations with all behavioral indicators observed before and while crossings and the several demographical, contextual and mobility-associated variables put together, showed that red light violations were mostly affected by current situational factors (group size, parked vehicles) and particularly associated with some behavioral patterns (looking toward the traffic, the ground, the light, running and crossing diagonally). The overall results encourage the development of safer pedestrian infrastructures and engineering countermeasures.","container-title":"Accident Analysis &amp; Prevention","DOI":"10.1016/j.aap.2015.04.002","ISSN":"0001-4575","journalAbbreviation":"Accident Analysis &amp; Prevention","page":"67-75","source":"ScienceDirect","title":"Red light violations by adult pedestrians and other safety-related behaviors at signalized crosswalks","volume":"80","author":[{"family":"Dommes","given":"A."},{"family":"Granié","given":"M. -A."},{"family":"Cloutier","given":"M. -S."},{"family":"Coquelet","given":"C."},{"family":"Huguenin-Richard","given":"F."}],"issued":{"date-parts":[["2015",7,1]]}}}],"schema":"https://github.com/citation-style-language/schema/raw/master/csl-citation.json"} </w:instrText>
      </w:r>
      <w:r w:rsidR="00F754B1" w:rsidRPr="006B15C8">
        <w:fldChar w:fldCharType="separate"/>
      </w:r>
      <w:r w:rsidR="00F754B1" w:rsidRPr="006B15C8">
        <w:t>(Dommes et al., 2015)</w:t>
      </w:r>
      <w:r w:rsidR="00F754B1" w:rsidRPr="006B15C8">
        <w:fldChar w:fldCharType="end"/>
      </w:r>
      <w:bookmarkEnd w:id="44"/>
      <w:r w:rsidR="00A46F40" w:rsidRPr="006B15C8">
        <w:t xml:space="preserve">. However, several studies found no significant association between age and temporal violations </w:t>
      </w:r>
      <w:bookmarkStart w:id="45" w:name="_Hlk203652538"/>
      <w:r w:rsidR="00A46F40" w:rsidRPr="006B15C8">
        <w:t xml:space="preserve">(Dommes et al., 2015; Xie et al., 2018; Zhang et al., 2023), </w:t>
      </w:r>
      <w:bookmarkEnd w:id="45"/>
      <w:r w:rsidR="00A46F40" w:rsidRPr="006B15C8">
        <w:t xml:space="preserve">and </w:t>
      </w:r>
      <w:r w:rsidRPr="006B15C8">
        <w:t xml:space="preserve">only </w:t>
      </w:r>
      <w:r w:rsidR="00A46F40" w:rsidRPr="006B15C8">
        <w:t xml:space="preserve">one study in Hong Kong reported that older adults were more likely to commit </w:t>
      </w:r>
      <w:r w:rsidR="0059432B" w:rsidRPr="006B15C8">
        <w:t>such</w:t>
      </w:r>
      <w:r w:rsidR="00A46F40" w:rsidRPr="006B15C8">
        <w:t xml:space="preserve"> violations </w:t>
      </w:r>
      <w:bookmarkStart w:id="46" w:name="_Hlk203652549"/>
      <w:r w:rsidR="00A46F40" w:rsidRPr="006B15C8">
        <w:t>(</w:t>
      </w:r>
      <w:r w:rsidR="00A46F40" w:rsidRPr="006B15C8">
        <w:fldChar w:fldCharType="begin"/>
      </w:r>
      <w:r w:rsidR="00911EF4" w:rsidRPr="006B15C8">
        <w:instrText xml:space="preserve"> ADDIN ZOTERO_ITEM CSL_CITATION {"citationID":"GOrwp2fC","properties":{"formattedCitation":"(Zhu et al., 2021)","plainCitation":"(Zhu et al., 2021)","dontUpdate":true,"noteIndex":0},"citationItems":[{"id":155,"uris":["http://zotero.org/groups/5885221/items/9M8ML4RE"],"itemData":{"id":155,"type":"article-journal","abstract":"Pedestrian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00A46F40" w:rsidRPr="006B15C8">
        <w:fldChar w:fldCharType="separate"/>
      </w:r>
      <w:r w:rsidR="00A46F40" w:rsidRPr="006B15C8">
        <w:t>Zhu et al., 2021</w:t>
      </w:r>
      <w:r w:rsidR="00A46F40" w:rsidRPr="006B15C8">
        <w:fldChar w:fldCharType="end"/>
      </w:r>
      <w:r w:rsidR="00A46F40" w:rsidRPr="006B15C8">
        <w:t xml:space="preserve">). </w:t>
      </w:r>
      <w:bookmarkEnd w:id="46"/>
      <w:r w:rsidR="00A46F40" w:rsidRPr="006B15C8">
        <w:t xml:space="preserve">Additionally, </w:t>
      </w:r>
      <w:bookmarkStart w:id="47" w:name="_Hlk203652543"/>
      <w:r w:rsidR="00A46F40" w:rsidRPr="006B15C8">
        <w:t xml:space="preserve">Miladi et al. (2025) </w:t>
      </w:r>
      <w:bookmarkEnd w:id="47"/>
      <w:r w:rsidR="00A46F40" w:rsidRPr="006B15C8">
        <w:t>noted that older adults</w:t>
      </w:r>
      <w:r w:rsidRPr="006B15C8">
        <w:t xml:space="preserve"> were</w:t>
      </w:r>
      <w:r w:rsidR="00627825" w:rsidRPr="006B15C8">
        <w:t xml:space="preserve"> more likely to</w:t>
      </w:r>
      <w:r w:rsidR="00A46F40" w:rsidRPr="006B15C8">
        <w:t xml:space="preserve"> complete crossing during the red phase after </w:t>
      </w:r>
      <w:r w:rsidR="00627825" w:rsidRPr="006B15C8">
        <w:t>starting</w:t>
      </w:r>
      <w:r w:rsidR="00A46F40" w:rsidRPr="006B15C8">
        <w:t xml:space="preserve"> on green, a behavior likely attributable to slower walking speeds rather than intentional non</w:t>
      </w:r>
      <w:r w:rsidR="0059432B" w:rsidRPr="006B15C8">
        <w:t>-</w:t>
      </w:r>
      <w:r w:rsidR="00A46F40" w:rsidRPr="006B15C8">
        <w:t>compliance.</w:t>
      </w:r>
    </w:p>
    <w:p w14:paraId="48EE28C2" w14:textId="77777777" w:rsidR="00B7146A" w:rsidRPr="006B15C8" w:rsidRDefault="00EE56EC" w:rsidP="004A6C6E">
      <w:pPr>
        <w:spacing w:line="271" w:lineRule="auto"/>
        <w:ind w:firstLine="720"/>
      </w:pPr>
      <w:r w:rsidRPr="006B15C8">
        <w:t>We are not aware of any naturalistic studies of pedestrian crossing behavior that examine pedestrian race-related variations, as we consider in our analysis (</w:t>
      </w:r>
      <w:r w:rsidR="00380BBF" w:rsidRPr="006B15C8">
        <w:t>see last row of Table</w:t>
      </w:r>
      <w:r w:rsidR="009F6234" w:rsidRPr="006B15C8">
        <w:t xml:space="preserve"> 1).</w:t>
      </w:r>
    </w:p>
    <w:p w14:paraId="739E724A" w14:textId="77777777" w:rsidR="007F6F3E" w:rsidRPr="006B15C8" w:rsidRDefault="007F6F3E" w:rsidP="004A6C6E">
      <w:pPr>
        <w:spacing w:line="271" w:lineRule="auto"/>
      </w:pPr>
    </w:p>
    <w:p w14:paraId="20937C97" w14:textId="77777777" w:rsidR="007F6F3E" w:rsidRPr="006B15C8" w:rsidRDefault="007F6F3E" w:rsidP="004A6C6E">
      <w:pPr>
        <w:pStyle w:val="Heading3"/>
        <w:spacing w:line="271" w:lineRule="auto"/>
      </w:pPr>
      <w:r w:rsidRPr="006B15C8">
        <w:t>Pedestrian Activity and Context</w:t>
      </w:r>
    </w:p>
    <w:p w14:paraId="551F827F" w14:textId="18D53124" w:rsidR="00232963" w:rsidRPr="006B15C8" w:rsidRDefault="00754150" w:rsidP="004A6C6E">
      <w:pPr>
        <w:spacing w:line="271" w:lineRule="auto"/>
      </w:pPr>
      <w:r w:rsidRPr="006B15C8">
        <w:t xml:space="preserve">Social context </w:t>
      </w:r>
      <w:r w:rsidR="00EE56EC" w:rsidRPr="006B15C8">
        <w:t xml:space="preserve">(first column under “pedestrian activity and context” in Table 1) </w:t>
      </w:r>
      <w:r w:rsidRPr="006B15C8">
        <w:t>is frequently examined in pedestrian behavior research, though it is defined in varying ways, including walking with companions or the presence</w:t>
      </w:r>
      <w:r w:rsidR="00F754B1" w:rsidRPr="006B15C8">
        <w:t xml:space="preserve"> or number</w:t>
      </w:r>
      <w:r w:rsidRPr="006B15C8">
        <w:t xml:space="preserve"> of others crossing concurrently. </w:t>
      </w:r>
      <w:r w:rsidR="00232963" w:rsidRPr="006B15C8">
        <w:t xml:space="preserve">Additionally, although pedestrian volume is typically treated as a traffic-related variable, it can also serve as a proxy for the presence of other pedestrians at a crossing. </w:t>
      </w:r>
      <w:r w:rsidRPr="006B15C8">
        <w:t>These differences in definition partly explain the mixed findings across the literature. Some social context variables are associated with safer behavior.</w:t>
      </w:r>
      <w:r w:rsidR="00232963" w:rsidRPr="006B15C8">
        <w:t xml:space="preserve"> For instance, Rafe et al. (2025) and Dommes et al. (2015) found that others crossing at the same time reduced spatial and temporal violations, while Zhu et al. (2021) and Bendak et al. (2021) reported fewer violations </w:t>
      </w:r>
      <w:r w:rsidR="00D81F23" w:rsidRPr="006B15C8">
        <w:t>and technological</w:t>
      </w:r>
      <w:r w:rsidR="00232963" w:rsidRPr="006B15C8">
        <w:t xml:space="preserve"> distractions when pedestrians were accompanied, particularly by children. Compliance has also been found to increase with pedestrian volumes (Ivan et al., 2017</w:t>
      </w:r>
      <w:r w:rsidR="00D530FB" w:rsidRPr="006B15C8">
        <w:t xml:space="preserve">, </w:t>
      </w:r>
      <w:r w:rsidR="00232963" w:rsidRPr="006B15C8">
        <w:t>Miladi et al., 2025). However, other forms of social presence appear to encourage risk. Larger group sizes, especially three or more, were linked to higher violation rates (Russo et al., 2018</w:t>
      </w:r>
      <w:r w:rsidR="00D530FB" w:rsidRPr="006B15C8">
        <w:t>,</w:t>
      </w:r>
      <w:r w:rsidR="00232963" w:rsidRPr="006B15C8">
        <w:t xml:space="preserve"> Zhang et al., 2023), and observing others engage in non-compliant behavior </w:t>
      </w:r>
      <w:r w:rsidR="00232963" w:rsidRPr="006B15C8">
        <w:lastRenderedPageBreak/>
        <w:t xml:space="preserve">increased the likelihood of doing the same (Xie et al., 2018). </w:t>
      </w:r>
      <w:r w:rsidR="0065618E" w:rsidRPr="006B15C8">
        <w:t xml:space="preserve">Adding further nuance, </w:t>
      </w:r>
      <w:r w:rsidR="0065618E" w:rsidRPr="006B15C8">
        <w:fldChar w:fldCharType="begin"/>
      </w:r>
      <w:r w:rsidR="00911EF4" w:rsidRPr="006B15C8">
        <w:instrText xml:space="preserve"> ADDIN ZOTERO_ITEM CSL_CITATION {"citationID":"GQfEGNzT","properties":{"formattedCitation":"(Anik et al., 2021)","plainCitation":"(Anik et al., 2021)","dontUpdate":true,"noteIndex":0},"citationItems":[{"id":95,"uris":["http://zotero.org/groups/5885221/items/QC49HC3L"],"itemData":{"id":95,"type":"article-journal","abstract":"This research presents a framework based on artificial neural networks (ANNs) to predict jaywalker’s trajectory while crossing the road. In this process, different causal and conditional variables related to jaywalking, such as, gender, direction of crossing, walking or running, cell phone use, roadway lane number, etc. are taken as input variables. The dataset comprises of 2504 samples which is collected under non-lane based heterogeneous traffic conditions. Through testing predictive performance of several ANN architectures based on correlation co-efficient and mean square error, the best ANN architecture to predict jaywalker’s movement is determined. The optimal ANN architecture comprises of 9 input nodes, 10 hidden nodes and 1 output node. This study also determines the microscopic variables, i.e., speed, flow and density, associated with jaywalking. The results indicate that the average speed of male jaywalkers is higher than female jaywalkers. The density is found to be higher in the last lanes of the crossing paths. In addition, this research develops jaywalker trajectories in order to understand their position shifting strategies. Findings suggest that ‘median to sidewalk’ movement trajectories tend to move closer to the foot-over bridge, whereas, the ‘sidewalk to median’ movement trajectories tend to move further away from foot-over bridge. The outcome of this research is expected to assist driver assistance technology as well as Connected and Autonomous Vehicle (CAV) technologies by allowing vehicles to safely navigate through both clustered and individual jaywalkers.","container-title":"Safety Science","DOI":"10.1016/j.ssci.2021.105448","ISSN":"0925-7535","journalAbbreviation":"Safety Science","page":"105448","source":"ScienceDirect","title":"Investigation of pedestrian jaywalking behaviour at mid-block locations using artificial neural networks","volume":"144","author":[{"family":"Anik","given":"Md Asif Hasan"},{"family":"Hossain","given":"Moinul"},{"family":"Habib","given":"Muhammad Ahsanul"}],"issued":{"date-parts":[["2021",12,1]]}}}],"schema":"https://github.com/citation-style-language/schema/raw/master/csl-citation.json"} </w:instrText>
      </w:r>
      <w:r w:rsidR="0065618E" w:rsidRPr="006B15C8">
        <w:fldChar w:fldCharType="separate"/>
      </w:r>
      <w:r w:rsidR="0065618E" w:rsidRPr="006B15C8">
        <w:t>Anik et al. (2021)</w:t>
      </w:r>
      <w:r w:rsidR="0065618E" w:rsidRPr="006B15C8">
        <w:fldChar w:fldCharType="end"/>
      </w:r>
      <w:r w:rsidR="0065618E" w:rsidRPr="006B15C8">
        <w:t xml:space="preserve"> documented gendered responses to group behavior, finding that women were more risk-averse when walking alone but more likely to follow a group in engaging in non-compliant crossings. </w:t>
      </w:r>
      <w:r w:rsidR="00232963" w:rsidRPr="006B15C8">
        <w:t>These findings suggest that social context can either deter or promote risky crossing behavior</w:t>
      </w:r>
      <w:r w:rsidR="00D81F23" w:rsidRPr="006B15C8">
        <w:t>,</w:t>
      </w:r>
      <w:r w:rsidR="00232963" w:rsidRPr="006B15C8">
        <w:t xml:space="preserve"> depending on how it is defined and the actions modeled by surrounding pedestrians.</w:t>
      </w:r>
    </w:p>
    <w:p w14:paraId="34DE3394" w14:textId="271E4513" w:rsidR="00D81F23" w:rsidRPr="006B15C8" w:rsidRDefault="00DB556D" w:rsidP="004A6C6E">
      <w:pPr>
        <w:spacing w:line="271" w:lineRule="auto"/>
        <w:ind w:firstLine="720"/>
        <w:rPr>
          <w:highlight w:val="yellow"/>
        </w:rPr>
      </w:pPr>
      <w:r w:rsidRPr="006B15C8">
        <w:t xml:space="preserve">With the growing prevalence of smartphones and personal technology, </w:t>
      </w:r>
      <w:r w:rsidR="00D81F23" w:rsidRPr="006B15C8">
        <w:t>several studies</w:t>
      </w:r>
      <w:r w:rsidR="00F754B1" w:rsidRPr="006B15C8">
        <w:t xml:space="preserve"> have</w:t>
      </w:r>
      <w:r w:rsidR="0095180B" w:rsidRPr="006B15C8">
        <w:t xml:space="preserve"> also</w:t>
      </w:r>
      <w:r w:rsidR="00D81F23" w:rsidRPr="006B15C8">
        <w:t xml:space="preserve"> </w:t>
      </w:r>
      <w:r w:rsidR="00F754B1" w:rsidRPr="006B15C8">
        <w:t xml:space="preserve">examined the impact of technological distraction </w:t>
      </w:r>
      <w:r w:rsidR="0003269E" w:rsidRPr="006B15C8">
        <w:t xml:space="preserve">(second column under “pedestrian activity and context” in Table 1) </w:t>
      </w:r>
      <w:r w:rsidR="00F754B1" w:rsidRPr="006B15C8">
        <w:t>on</w:t>
      </w:r>
      <w:r w:rsidRPr="006B15C8">
        <w:t xml:space="preserve"> pedestrian crossing behavior. Despite increased interest in distraction, findings generally indicate inconsistent or limited effects on crossing behavior, with impacts varying by distraction type, violation type, and surrounding context.</w:t>
      </w:r>
      <w:r w:rsidR="00D81F23" w:rsidRPr="006B15C8">
        <w:t xml:space="preserve"> Texting, for instance, is frequently linked to reduced </w:t>
      </w:r>
      <w:r w:rsidR="00BC4296" w:rsidRPr="006B15C8">
        <w:t>visual awareness</w:t>
      </w:r>
      <w:r w:rsidR="00FD3E04" w:rsidRPr="006B15C8">
        <w:t xml:space="preserve"> directed towards traffic and pavement markings</w:t>
      </w:r>
      <w:r w:rsidR="00BC4296" w:rsidRPr="006B15C8">
        <w:t xml:space="preserve">, increasing the </w:t>
      </w:r>
      <w:r w:rsidR="00FD3E04" w:rsidRPr="006B15C8">
        <w:t>likelihood</w:t>
      </w:r>
      <w:r w:rsidR="00BC4296" w:rsidRPr="006B15C8">
        <w:t xml:space="preserve"> of spatial crossing violations</w:t>
      </w:r>
      <w:r w:rsidR="00FD3E04" w:rsidRPr="006B15C8">
        <w:t xml:space="preserve"> </w:t>
      </w:r>
      <w:r w:rsidR="00FD3E04" w:rsidRPr="006B15C8">
        <w:fldChar w:fldCharType="begin"/>
      </w:r>
      <w:r w:rsidR="00FD3E04" w:rsidRPr="006B15C8">
        <w:instrText xml:space="preserve"> ADDIN ZOTERO_ITEM CSL_CITATION {"citationID":"RNUrKjXV","properties":{"formattedCitation":"(Aghabayk et al., 2021; Bendak et al., 2021; Russo et al., 2018)","plainCitation":"(Aghabayk et al., 2021; Bendak et al., 2021; Russo et al., 2018)","noteIndex":0},"citationItems":[{"id":97,"uris":["http://zotero.org/groups/5885221/items/T2UPR4SI"],"itemData":{"id":97,"type":"article-journal","abstract":"Despite many studies on exploring the behaviors of pedestrians crossing the road, there is a need for comprehensive studies that identify the factors that may influence pedestrians crossing behavior at signalized and unsignalized intersections. This study aims to comprehensively examine the influence of gender, age group, group-crossing, technological devices and carrying items on pedestrians crossing behaviors at signalized and unsignalized crosswalks simultaneously. Observational data of 552 pedestrians at two signalized and two unsignalized crosswalks in Tehran were collected. Temporal and spatial violations, conflict experience and collision avoidance, situational awareness, and pedestrians crossing speed were used as pedestrians crossing behaviors indicators. To model crossing behaviors, linear mixed models (LMMs) and Generalized linear mixed models (GLMMs) with fixed-effect approach were applied for the continuous outcome (pedestrians’ crossing speed) and binary outcomes, respectively. Phi and Cramer's V coefficients were used to avoid multicollinearity. Results showed that traffic checks before and while crossing showed a high positive correlation with crossing at “don’t walk” and flashing “don’t walk” signals and conflict experience at signalized crosswalks. As compared to females, males started their crossing more on flashing “don’t walk” signal and crossed the crosswalk faster. Older pedestrians exhibited more cautious behaviors at signalized intersections but less in unsignalized intersections. Alone pedestrians behaved more cautiously than groups and crossed the crosswalk more quickly. Using technological devices, regardless of their types, caused pedestrians to not exhibit one or more safe crossing indicators considered in this study. Pedestrians talking on their phones had the least cautious behaviors. Pedestrians listening to music mostly looked at the ground or straight direction rather than looking left-right for traffic. The findings from this study are a valuable resource to road authorities and policy makers to develop appropriate targeted strategies to prevent pedestrians’ injuries and fatalities and improve crosswalks safety.","container-title":"Accident Analysis &amp; Prevention","DOI":"10.1016/j.aap.2021.105990","ISSN":"0001-4575","journalAbbreviation":"Accident Analysis &amp; Prevention","page":"105990","source":"ScienceDirect","title":"Observational-based study to explore pedestrian crossing behaviors at signalized and unsignalized crosswalks","volume":"151","author":[{"family":"Aghabayk","given":"Kayvan"},{"family":"Esmailpour","given":"Javad"},{"family":"Jafari","given":"Ahmad"},{"family":"Shiwakoti","given":"Nirajan"}],"issued":{"date-parts":[["2021",3,1]]}}},{"id":331,"uris":["http://zotero.org/groups/5885221/items/MBPYK37X"],"itemData":{"id":331,"type":"article-journal","abstract":"Introduction: Safety of pedestrians depends, among other factors, on their behavior while crossing the road. This study aims to assess behaviors of pedestrians at signalized crosswalks. Method: Following a literature review and a pilot study, 25 vital pedestrian crossing factors and behaviors were determined. Then data was randomly collected for 708 pedestrians at 10 lighted crossings in Sharjah (UAE), five at road intersections and five mid-block crossings. Results: Results indicated that 17.4% of pedestrians observed crossed partly or fully on red and that crossing speed was 1.22 m/s, on the average, which is slightly faster than most speeds recorded in the literature. Moreover, female pedestrians were more likely to cross while chatting with others, less likely to cross on red, and more likely to walk slower than male pedestrians. Results also showed that pedestrians who crossed at road intersections walked slower than those who crossed at mid-block crossings. It was also found that longer red pedestrian times and narrower roads tended to encourage pedestrians to cross on red and that the majority of pedestrians did not look around before crossing. Practical implications: Use of the Health Belief Model for pedestrian safety are discussed.","container-title":"Journal of Safety Research","DOI":"10.1016/j.jsr.2020.12.019","ISSN":"0022-4375","journalAbbreviation":"Journal of Safety Research","page":"269-275","source":"ScienceDirect","title":"Factors affecting pedestrian behaviors at signalized crosswalks: An empirical study","title-short":"Factors affecting pedestrian behaviors at signalized crosswalks","volume":"76","author":[{"family":"Bendak","given":"Salaheddine"},{"family":"Alnaqbi","given":"Asayel M."},{"family":"Alzarooni","given":"Muna Y."},{"family":"Aljanaahi","given":"Sara M."},{"family":"Alsuwaidi","given":"Shaikha J."}],"issued":{"date-parts":[["2021",2,1]]}}},{"id":158,"uris":["http://zotero.org/groups/5885221/items/2UK8YS2B"],"itemData":{"id":158,"type":"article-journal","abstract":"In the past two decades, cell phone and smartphone use in the United States has increased substantially. Although mobile phones provide a convenient way for people to communicate, the distraction caused by the use of these devices has led to unintended traffic safety and operational consequences. Although it is well recognized that distracted driving is extremely dangerous for all road users (including pedestrians), the potential impacts of distracted walking have not been as comprehensively studied. Although practitioners should design facilities with the safety, efficiency, and comfort of pedestrians in mind, it is still important to investigate certain pedestrian behaviors at existing facilities to minimize the risk of pedestrian–vehicle crashes, and to reduce behaviors that may unnecessarily increase delay at signalized intersections. To gain new insights into factors associated with distracted walking, pedestrian violations, and walking speed, 3,038 pedestrians were observed across four signalized intersections in New York and Arizona using high-definition video cameras. The video data were reduced and summarized, and an ordinary least squares (OLS) regression model was estimated to analyze factors affecting walking speeds. In addition, binary logit models were estimated to analyze both pedestrian distraction and pedestrian violations. Ultimately, several site- and pedestrian-specific variables were found to be significantly associated with pedestrian distraction, violation behavior, and walking speeds. The results provide important information for researchers, practitioners, and legislators, and may be useful in planning strategies to reduce or mitigate the impacts of pedestrian behavior that may be considered unsafe or potentially inefficient.","container-title":"Transportation Research Record","DOI":"10.1177/0361198118759949","ISSN":"0361-1981","issue":"35","language":"EN","note":"publisher: SAGE Publications Inc","page":"1-12","source":"SAGE Journals","title":"Pedestrian Behavior at Signalized Intersection Crosswalks: Observational Study of Factors Associated with Distracted Walking, Pedestrian Violations, and Walking Speed","title-short":"Pedestrian Behavior at Signalized Intersection Crosswalks","volume":"2672","author":[{"family":"Russo","given":"Brendan J."},{"family":"James","given":"Emmanuel"},{"family":"Aguilar","given":"Cristopher Y."},{"family":"Smaglik","given":"Edward J."}],"issued":{"date-parts":[["2018",12,1]]}}}],"schema":"https://github.com/citation-style-language/schema/raw/master/csl-citation.json"} </w:instrText>
      </w:r>
      <w:r w:rsidR="00FD3E04" w:rsidRPr="006B15C8">
        <w:fldChar w:fldCharType="separate"/>
      </w:r>
      <w:r w:rsidR="00FD3E04" w:rsidRPr="006B15C8">
        <w:t>(</w:t>
      </w:r>
      <w:r w:rsidR="00D530FB" w:rsidRPr="006B15C8">
        <w:t xml:space="preserve">Russo et al., 2018, </w:t>
      </w:r>
      <w:r w:rsidR="00FD3E04" w:rsidRPr="006B15C8">
        <w:t>Aghabayk et al., 2021</w:t>
      </w:r>
      <w:r w:rsidR="00D530FB" w:rsidRPr="006B15C8">
        <w:t xml:space="preserve">, </w:t>
      </w:r>
      <w:r w:rsidR="00FD3E04" w:rsidRPr="006B15C8">
        <w:t>Bendak et al., 2021)</w:t>
      </w:r>
      <w:r w:rsidR="00FD3E04" w:rsidRPr="006B15C8">
        <w:fldChar w:fldCharType="end"/>
      </w:r>
      <w:r w:rsidR="00BC4296" w:rsidRPr="006B15C8">
        <w:t>.</w:t>
      </w:r>
      <w:r w:rsidR="00D81F23" w:rsidRPr="006B15C8">
        <w:t xml:space="preserve"> However, multiple studies found no significant association between texting and temporal violations (Russo et al., 2018</w:t>
      </w:r>
      <w:r w:rsidR="00D530FB" w:rsidRPr="006B15C8">
        <w:t>,</w:t>
      </w:r>
      <w:r w:rsidR="00D81F23" w:rsidRPr="006B15C8">
        <w:t xml:space="preserve"> Aghabayk et al., 2021</w:t>
      </w:r>
      <w:r w:rsidR="00D530FB" w:rsidRPr="006B15C8">
        <w:t>,</w:t>
      </w:r>
      <w:r w:rsidR="00D81F23" w:rsidRPr="006B15C8">
        <w:t xml:space="preserve"> Bendak et al., 2021</w:t>
      </w:r>
      <w:r w:rsidR="00D530FB" w:rsidRPr="006B15C8">
        <w:t xml:space="preserve">, </w:t>
      </w:r>
      <w:r w:rsidR="00D81F23" w:rsidRPr="006B15C8">
        <w:t>Miladi et al., 2025). Similarly, pedestrians engaged in phone conversations were generally not associated with increased temporal violations (Russo et al., 2018</w:t>
      </w:r>
      <w:r w:rsidR="00D530FB" w:rsidRPr="006B15C8">
        <w:t>,</w:t>
      </w:r>
      <w:r w:rsidR="00D81F23" w:rsidRPr="006B15C8">
        <w:t xml:space="preserve"> Aghabayk et al., 2021</w:t>
      </w:r>
      <w:r w:rsidR="00D530FB" w:rsidRPr="006B15C8">
        <w:t>,</w:t>
      </w:r>
      <w:r w:rsidR="00D81F23" w:rsidRPr="006B15C8">
        <w:t xml:space="preserve"> Miladi et al., 2025), while headphone use was linked to a lower likelihood of such violations (Aghabayk et al., 2021). Schwebel et al. (2022) further demonstrated that the influence of distraction varied by location</w:t>
      </w:r>
      <w:r w:rsidR="00724956" w:rsidRPr="006B15C8">
        <w:t xml:space="preserve">, finding that distraction was </w:t>
      </w:r>
      <w:r w:rsidR="00B60315" w:rsidRPr="006B15C8">
        <w:t xml:space="preserve">associated </w:t>
      </w:r>
      <w:r w:rsidR="00891966" w:rsidRPr="006B15C8">
        <w:t>with reduced</w:t>
      </w:r>
      <w:r w:rsidR="00D81F23" w:rsidRPr="006B15C8">
        <w:t xml:space="preserve"> risk of temporal violations but a higher risk of spatial violations </w:t>
      </w:r>
      <w:r w:rsidR="00724956" w:rsidRPr="006B15C8">
        <w:t>in downtown areas</w:t>
      </w:r>
      <w:r w:rsidR="00D81F23" w:rsidRPr="006B15C8">
        <w:t>. In contrast, in entertainment districts, distraction was associated with a lower risk of spatial violations.</w:t>
      </w:r>
    </w:p>
    <w:p w14:paraId="4B6D8EC1" w14:textId="140202E8" w:rsidR="00D81F23" w:rsidRPr="006B15C8" w:rsidRDefault="00D81F23" w:rsidP="004A6C6E">
      <w:pPr>
        <w:spacing w:line="271" w:lineRule="auto"/>
        <w:ind w:firstLine="720"/>
      </w:pPr>
      <w:r w:rsidRPr="006B15C8">
        <w:t>Another contextual variable</w:t>
      </w:r>
      <w:r w:rsidR="00285E0B" w:rsidRPr="006B15C8">
        <w:t xml:space="preserve"> commonly</w:t>
      </w:r>
      <w:r w:rsidRPr="006B15C8">
        <w:t xml:space="preserve"> examined in the pedestrian safety literature is the act of carrying or holding visible items. This factor has been studied more frequently in non-U.S. contexts, where it has generally shown no significant association with pedestrian violations (Bendak et al., 2021</w:t>
      </w:r>
      <w:r w:rsidR="00D530FB" w:rsidRPr="006B15C8">
        <w:t>,</w:t>
      </w:r>
      <w:r w:rsidRPr="006B15C8">
        <w:t xml:space="preserve"> Zhu et al., 2021</w:t>
      </w:r>
      <w:r w:rsidR="00D530FB" w:rsidRPr="006B15C8">
        <w:t>,</w:t>
      </w:r>
      <w:r w:rsidRPr="006B15C8">
        <w:t xml:space="preserve"> Zhang et al., 2023). A notable exception is Aghabayk et al. (2021), who found that pedestrians carrying items were more likely to look left and right for traffic before crossing, suggesting increased situational awareness. Other miscellaneous factors in this category include changes in walking speed, such as shifting from walking to running, which Rafe et al. (2025) found to have no significant effect. The same study also reported that individuals using mobility devices, such as wheelchairs, skateboards, scooters, or bicycles, were less likely to commit spatial violations but more likely to engage in temporal violations.</w:t>
      </w:r>
    </w:p>
    <w:p w14:paraId="450A61B9" w14:textId="77777777" w:rsidR="00C8201B" w:rsidRPr="006B15C8" w:rsidRDefault="00C8201B" w:rsidP="004A6C6E">
      <w:pPr>
        <w:spacing w:line="271" w:lineRule="auto"/>
      </w:pPr>
    </w:p>
    <w:p w14:paraId="3A53C75B" w14:textId="77777777" w:rsidR="007F6F3E" w:rsidRPr="006B15C8" w:rsidRDefault="007F6F3E" w:rsidP="004A6C6E">
      <w:pPr>
        <w:pStyle w:val="Heading3"/>
        <w:spacing w:line="271" w:lineRule="auto"/>
      </w:pPr>
      <w:r w:rsidRPr="006B15C8">
        <w:t>T</w:t>
      </w:r>
      <w:r w:rsidR="00CA26F7" w:rsidRPr="006B15C8">
        <w:t xml:space="preserve">ime-of-Day and Weather </w:t>
      </w:r>
    </w:p>
    <w:p w14:paraId="3B13BD09" w14:textId="77777777" w:rsidR="00D81F23" w:rsidRPr="006B15C8" w:rsidRDefault="00CA26F7" w:rsidP="004A6C6E">
      <w:pPr>
        <w:spacing w:line="271" w:lineRule="auto"/>
      </w:pPr>
      <w:r w:rsidRPr="006B15C8">
        <w:t>T</w:t>
      </w:r>
      <w:r w:rsidR="00D81F23" w:rsidRPr="006B15C8">
        <w:t>ime</w:t>
      </w:r>
      <w:r w:rsidR="008C222F" w:rsidRPr="006B15C8">
        <w:t>-</w:t>
      </w:r>
      <w:r w:rsidR="00D81F23" w:rsidRPr="006B15C8">
        <w:t>of</w:t>
      </w:r>
      <w:r w:rsidR="008C222F" w:rsidRPr="006B15C8">
        <w:t>-</w:t>
      </w:r>
      <w:r w:rsidR="00D81F23" w:rsidRPr="006B15C8">
        <w:t>day</w:t>
      </w:r>
      <w:r w:rsidRPr="006B15C8">
        <w:t xml:space="preserve"> and </w:t>
      </w:r>
      <w:r w:rsidR="00D81F23" w:rsidRPr="006B15C8">
        <w:t>weather</w:t>
      </w:r>
      <w:r w:rsidRPr="006B15C8">
        <w:t xml:space="preserve"> </w:t>
      </w:r>
      <w:r w:rsidR="00D81F23" w:rsidRPr="006B15C8">
        <w:t xml:space="preserve">have been shown to influence pedestrian crossing behavior. Rafe et al. (2025) found that overnight hours (00:00-05:59) were associated with elevated rates of both spatial and temporal violations relative to other times of day. Similarly, </w:t>
      </w:r>
      <w:bookmarkStart w:id="48" w:name="_Hlk203652578"/>
      <w:r w:rsidR="00F754B1" w:rsidRPr="006B15C8">
        <w:fldChar w:fldCharType="begin"/>
      </w:r>
      <w:r w:rsidR="00911EF4" w:rsidRPr="006B15C8">
        <w:instrText xml:space="preserve"> ADDIN ZOTERO_ITEM CSL_CITATION {"citationID":"NnRaHRlR","properties":{"formattedCitation":"(Fu et al., 2022)","plainCitation":"(Fu et al., 2022)","dontUpdate":true,"noteIndex":0},"citationItems":[{"id":86,"uris":["http://zotero.org/groups/5885221/items/KQINRWRT"],"itemData":{"id":86,"type":"article-journal","abstract":"Investigating pedestrian crossing and driver yielding decisions should be an important focus considering the high risks of pedestrians in exposed to motorized traffic. Limitations, however, exist in previous studies – variables considered previously have been limited; how their behavior affect each other (defined as interactive impacts) were not sufficiently considered. This paper aims to provide a methodological approach for pedestrian crossing and driver yielding decisions during their interactions, considering of different variable types including interactive impact variables, traffic condition variables, road design variables, and environment variables. A Distance-Velocity (DV) framework proposed in an earlier study is introduced for definitions and concepts in studying pedestrian-vehicle interactions. Logistic regression, support vector machines, neural networks and random forests, are introduced as candidate models. A case study involving six crosswalk locations is conducted, focusing on interactions between pedestrians and right-turn vehicles. The proposed methodological approach is applied, with the performance of the four machine learning methods compared in terms of model generalization and confusion matrix. The model with the best performance is further compared to the typical gap-based model. Results show that random forest and logistic regression models performed the best in modeling pedestrian crossing and driver yielding decisions respective, in terms of model generalization. Besides, the DV-based modeling method (average accuracy of over 90% for pedestrians and 80% for drivers) outperformed the traditional gap-based method in all test seeds. As a key finding, interactive impacts from each other (the pedestrian and the driver) act as a key contributing variable on their decisions.","container-title":"Transportation Research Part F: Traffic Psychology and Behaviour","DOI":"10.1016/j.trf.2022.05.005","ISSN":"1369-8478","journalAbbreviation":"Transportation Research Part F: Traffic Psychology and Behaviour","page":"37-53","source":"ScienceDirect","title":"A method in modeling interactive pedestrian crossing and driver yielding decisions during their interactions at intersections","volume":"88","author":[{"family":"Fu","given":"Ting"},{"family":"Yu","given":"Xiaochen"},{"family":"Xiong","given":"Binglei"},{"family":"Jiang","given":"Chaozhe"},{"family":"Wang","given":"Junhua"},{"family":"Shangguan","given":"Qiangqiang"},{"family":"Xu","given":"Wenxiang"}],"issued":{"date-parts":[["2022",7,1]]}}}],"schema":"https://github.com/citation-style-language/schema/raw/master/csl-citation.json"} </w:instrText>
      </w:r>
      <w:r w:rsidR="00F754B1" w:rsidRPr="006B15C8">
        <w:fldChar w:fldCharType="separate"/>
      </w:r>
      <w:r w:rsidR="00F754B1" w:rsidRPr="006B15C8">
        <w:t>Fu et al. (2022)</w:t>
      </w:r>
      <w:r w:rsidR="00F754B1" w:rsidRPr="006B15C8">
        <w:fldChar w:fldCharType="end"/>
      </w:r>
      <w:r w:rsidR="00D81F23" w:rsidRPr="006B15C8">
        <w:t xml:space="preserve"> </w:t>
      </w:r>
      <w:bookmarkEnd w:id="48"/>
      <w:r w:rsidR="00D81F23" w:rsidRPr="006B15C8">
        <w:t xml:space="preserve">reported that pedestrians were less likely to cross in the presence of right-turning vehicles during nighttime hours (19:00-22:00) compared to daytime periods (10:00-16:00), while </w:t>
      </w:r>
      <w:bookmarkStart w:id="49" w:name="_Hlk202477061"/>
      <w:r w:rsidR="00F754B1" w:rsidRPr="006B15C8">
        <w:fldChar w:fldCharType="begin"/>
      </w:r>
      <w:r w:rsidR="00911EF4" w:rsidRPr="006B15C8">
        <w:instrText xml:space="preserve"> ADDIN ZOTERO_ITEM CSL_CITATION {"citationID":"wzjWdtRZ","properties":{"formattedCitation":"(Y.-C. Liu &amp; Tung, 2014)","plainCitation":"(Y.-C. Liu &amp; Tung, 2014)","dontUpdate":true,"noteIndex":0},"citationItems":[{"id":93,"uris":["http://zotero.org/groups/5885221/items/FMGYVR3I"],"itemData":{"id":93,"type":"article-journal","abstract":"The current study investigated the effects of age, time gap, time of day, and speed of approaching vehicle on the decision of pedestrians to cross a road. Sixteen young and sixteen elderly participants were asked to watch pre-recorded videos in which a vehicle was approaching from the left and then decide the last moment at which they could safely cross. Data on pedestrians’ walking speed, road-crossing decision performance, subjective confidence ratings and walking strategies, as well as responses given in post-experiment interviews were collected as dependent variables. A logistic regression model was constructed to analyse the risk of above mentioned variables yielding the odds that the road would be crossed safely. This study found that pedestrians’ decisions on whether or not they would cross the road safely were made based on the distance between them and the oncoming vehicle; and thus the faster the vehicular approach, the higher the risk. Young pedestrians demonstrated a higher safe road-crossing ratio than their elderly counterparts. Elderly pedestrians might not have taken their decline in walking ability into consideration when they made the same road-crossing decisions as young pedestrians, resulting in a relatively higher risk of road crossing. In addition, the most significant determinant of risk was the time gap. The time gap, which is affected by the distance from the oncoming vehicle and its speed, could be easily misjudged.","container-title":"Safety Science","DOI":"10.1016/j.ssci.2013.11.002","ISSN":"0925-7535","journalAbbreviation":"Safety Science","page":"77-82","source":"ScienceDirect","title":"Risk analysis of pedestrians’ road-crossing decisions: Effects of age, time gap, time of day, and vehicle speed","title-short":"Risk analysis of pedestrians’ road-crossing decisions","volume":"63","author":[{"family":"Liu","given":"Yung-Ching"},{"family":"Tung","given":"Ying-Chan"}],"issued":{"date-parts":[["2014",3,1]]}}}],"schema":"https://github.com/citation-style-language/schema/raw/master/csl-citation.json"} </w:instrText>
      </w:r>
      <w:r w:rsidR="00F754B1" w:rsidRPr="006B15C8">
        <w:fldChar w:fldCharType="separate"/>
      </w:r>
      <w:r w:rsidR="00F754B1" w:rsidRPr="006B15C8">
        <w:t>Liu and Tung (2014)</w:t>
      </w:r>
      <w:r w:rsidR="00F754B1" w:rsidRPr="006B15C8">
        <w:fldChar w:fldCharType="end"/>
      </w:r>
      <w:r w:rsidR="00F754B1" w:rsidRPr="006B15C8">
        <w:t xml:space="preserve"> </w:t>
      </w:r>
      <w:bookmarkEnd w:id="49"/>
      <w:r w:rsidR="00D81F23" w:rsidRPr="006B15C8">
        <w:t>observed increased caution at dusk, likely due to reduced visibility. Additionally, Ivan et al. (2017) noted decreased compliance during late afternoon hours (16:00</w:t>
      </w:r>
      <w:r w:rsidR="00E47669" w:rsidRPr="006B15C8">
        <w:t>-</w:t>
      </w:r>
      <w:r w:rsidR="00D81F23" w:rsidRPr="006B15C8">
        <w:t>18:00) compared to earlier in the day, a</w:t>
      </w:r>
      <w:r w:rsidR="00F754B1" w:rsidRPr="006B15C8">
        <w:t>s well as</w:t>
      </w:r>
      <w:r w:rsidR="00D81F23" w:rsidRPr="006B15C8">
        <w:t xml:space="preserve"> on Fridays compared to other weekdays.</w:t>
      </w:r>
    </w:p>
    <w:p w14:paraId="7F47C6FA" w14:textId="77777777" w:rsidR="00E05C62" w:rsidRPr="006B15C8" w:rsidRDefault="00D81F23" w:rsidP="004A6C6E">
      <w:pPr>
        <w:spacing w:line="271" w:lineRule="auto"/>
        <w:ind w:firstLine="720"/>
      </w:pPr>
      <w:r w:rsidRPr="006B15C8">
        <w:lastRenderedPageBreak/>
        <w:t>Regarding weather-related conditions, Bendak et al. (2021) found that higher temperatures were associated with increased temporal violations, whereas</w:t>
      </w:r>
      <w:r w:rsidR="00E05C62" w:rsidRPr="006B15C8">
        <w:t xml:space="preserve"> Rafe et al. (2025) reported a similar effect on spatial violations but found no significant impact on temporal violations. Both studies observed that precipitation was associated with fewer temporal violations, suggesting that rain may discourage risk-taking. Ivan et al. (2017) further found that cloudy conditions reduced </w:t>
      </w:r>
      <w:r w:rsidRPr="006B15C8">
        <w:t xml:space="preserve">crossing </w:t>
      </w:r>
      <w:r w:rsidR="00E05C62" w:rsidRPr="006B15C8">
        <w:t xml:space="preserve">compliance. Seasonal variation was evident in Miladi et al. (2025), who reported that pedestrians were less likely to finish crossing on </w:t>
      </w:r>
      <w:r w:rsidRPr="006B15C8">
        <w:t>a red light in the fall than in the</w:t>
      </w:r>
      <w:r w:rsidR="00E05C62" w:rsidRPr="006B15C8">
        <w:t xml:space="preserve"> summer. However, during the early COVID-19 period (spring 2020), pedestrians were more likely to initiate and complete crossings during the red phase, likely due to decreased vehicle traffic.</w:t>
      </w:r>
    </w:p>
    <w:p w14:paraId="7FA9544F" w14:textId="77777777" w:rsidR="00B15C84" w:rsidRPr="006B15C8" w:rsidRDefault="00B15C84" w:rsidP="004A6C6E">
      <w:pPr>
        <w:spacing w:line="271" w:lineRule="auto"/>
        <w:ind w:firstLine="720"/>
      </w:pPr>
    </w:p>
    <w:p w14:paraId="1E1465B2" w14:textId="51F994D2" w:rsidR="00353C52" w:rsidRPr="006B15C8" w:rsidRDefault="002266F5" w:rsidP="004A6C6E">
      <w:pPr>
        <w:pStyle w:val="Heading2"/>
        <w:spacing w:line="271" w:lineRule="auto"/>
      </w:pPr>
      <w:r w:rsidRPr="006B15C8">
        <w:t xml:space="preserve"> </w:t>
      </w:r>
      <w:r w:rsidR="00A94A0E" w:rsidRPr="006B15C8">
        <w:t xml:space="preserve">Driver </w:t>
      </w:r>
      <w:r w:rsidR="00F77494" w:rsidRPr="006B15C8">
        <w:t>Uny</w:t>
      </w:r>
      <w:r w:rsidR="00A94A0E" w:rsidRPr="006B15C8">
        <w:t xml:space="preserve">ielding </w:t>
      </w:r>
      <w:r w:rsidR="001B5D2C" w:rsidRPr="006B15C8">
        <w:t xml:space="preserve">(DUY) </w:t>
      </w:r>
      <w:r w:rsidR="00A94A0E" w:rsidRPr="006B15C8">
        <w:t>Behavior</w:t>
      </w:r>
    </w:p>
    <w:p w14:paraId="0F8E0F0C" w14:textId="225EE6AF" w:rsidR="00E471D0" w:rsidRPr="006B15C8" w:rsidRDefault="00E668B9" w:rsidP="004A6C6E">
      <w:pPr>
        <w:spacing w:line="271" w:lineRule="auto"/>
      </w:pPr>
      <w:r w:rsidRPr="006B15C8">
        <w:t xml:space="preserve">Similar to the case of pedestrian crossing, a variety of outcomes are used to study </w:t>
      </w:r>
      <w:r w:rsidR="001B5D2C" w:rsidRPr="006B15C8">
        <w:t xml:space="preserve">DUY behavior, including </w:t>
      </w:r>
      <w:r w:rsidRPr="006B15C8">
        <w:t>hard stop</w:t>
      </w:r>
      <w:r w:rsidR="001B5D2C" w:rsidRPr="006B15C8">
        <w:t xml:space="preserve"> instances</w:t>
      </w:r>
      <w:r w:rsidRPr="006B15C8">
        <w:t>, soft yielding, or complete non-yielding, as well as surrogate safety metrics such as stopping distance</w:t>
      </w:r>
      <w:r w:rsidR="00F43561" w:rsidRPr="006B15C8">
        <w:t xml:space="preserve"> (e.g., </w:t>
      </w:r>
      <w:bookmarkStart w:id="50" w:name="_Hlk202477155"/>
      <w:r w:rsidR="00F754B1" w:rsidRPr="006B15C8">
        <w:fldChar w:fldCharType="begin"/>
      </w:r>
      <w:r w:rsidR="00911EF4" w:rsidRPr="006B15C8">
        <w:instrText xml:space="preserve"> ADDIN ZOTERO_ITEM CSL_CITATION {"citationID":"rhzkop2C","properties":{"formattedCitation":"(Figliozzi &amp; Tipagornwong, 2016)","plainCitation":"(Figliozzi &amp; Tipagornwong, 2016)","dontUpdate":true,"noteIndex":0},"citationItems":[{"id":312,"uris":["http://zotero.org/groups/5885221/items/LJ9Z2H3M"],"itemData":{"id":312,"type":"article-journal","abstract":"Walking is encouraged by many transportation agencies as a sustainable mode that contributes to livable downtowns. Since pedestrians are the most vulnerable road users, safe and comfortable crosswalks are essential to ensure that pedestrian travel becomes an appealing alternative. In this context, the goal of this research is to study the traffic and vehicle trajectory factors that affect crosswalk law compliance and stopping distance from the crosswalk. The results of this research provide new insights into the relationships between traffic conditions, vehicle trajectory, and compliance rates. Results indicate that vehicle origin, vehicle type, stopping at upstream traffic lights, and changes in vehicle speed and headways are key factors to predict pedestrian crosswalk law compliance and stopping behavior; changes in vehicle speed and headways have the highest explanatory power.","container-title":"Accident Analysis &amp; Prevention","DOI":"10.1016/j.aap.2016.08.011","ISSN":"0001-4575","journalAbbreviation":"Accident Analysis &amp; Prevention","page":"169-179","source":"ScienceDirect","title":"Pedestrian Crosswalk Law: A study of traffic and trajectory factors that affect non-compliance and stopping distance","title-short":"Pedestrian Crosswalk Law","volume":"96","author":[{"family":"Figliozzi","given":"Miguel A."},{"family":"Tipagornwong","given":"Chawalit"}],"issued":{"date-parts":[["2016",11,1]]}}}],"schema":"https://github.com/citation-style-language/schema/raw/master/csl-citation.json"} </w:instrText>
      </w:r>
      <w:r w:rsidR="00F754B1" w:rsidRPr="006B15C8">
        <w:fldChar w:fldCharType="separate"/>
      </w:r>
      <w:r w:rsidR="00F754B1" w:rsidRPr="006B15C8">
        <w:t>Figliozzi and Tipagornwong, 2016)</w:t>
      </w:r>
      <w:r w:rsidR="00F754B1" w:rsidRPr="006B15C8">
        <w:fldChar w:fldCharType="end"/>
      </w:r>
      <w:r w:rsidRPr="006B15C8">
        <w:t xml:space="preserve">, </w:t>
      </w:r>
      <w:bookmarkEnd w:id="50"/>
      <w:r w:rsidRPr="006B15C8">
        <w:t>vehicle deceleration rate</w:t>
      </w:r>
      <w:r w:rsidR="00F43561" w:rsidRPr="006B15C8">
        <w:t xml:space="preserve"> (e.g., </w:t>
      </w:r>
      <w:bookmarkStart w:id="51" w:name="_Hlk203652599"/>
      <w:r w:rsidR="00F43561" w:rsidRPr="006B15C8">
        <w:t>Bella and Nobili, 2020</w:t>
      </w:r>
      <w:bookmarkEnd w:id="51"/>
      <w:r w:rsidR="00F43561" w:rsidRPr="006B15C8">
        <w:t>)</w:t>
      </w:r>
      <w:r w:rsidRPr="006B15C8">
        <w:t>, Time to Collision (TTC)</w:t>
      </w:r>
      <w:r w:rsidR="00F43561" w:rsidRPr="006B15C8">
        <w:t xml:space="preserve"> (e.g., </w:t>
      </w:r>
      <w:bookmarkStart w:id="52" w:name="_Hlk202477181"/>
      <w:bookmarkStart w:id="53" w:name="_Hlk203652605"/>
      <w:r w:rsidR="00F754B1" w:rsidRPr="006B15C8">
        <w:fldChar w:fldCharType="begin"/>
      </w:r>
      <w:r w:rsidR="00911EF4" w:rsidRPr="006B15C8">
        <w:instrText xml:space="preserve"> ADDIN ZOTERO_ITEM CSL_CITATION {"citationID":"HCoOerhv","properties":{"formattedCitation":"(Bella &amp; Nobili, 2020)","plainCitation":"(Bella &amp; Nobili, 2020)","dontUpdate":true,"noteIndex":0},"citationItems":[{"id":72,"uris":["http://zotero.org/groups/5885221/items/VJ3EL7RE"],"itemData":{"id":72,"type":"article-journal","abstract":"Pedestrian crossing outside of a zebra crossing (jaywalking) is one of those pedestrian behaviors that may highly affect safety and operations. Unlike permissible crossings at zebra crossings, jaywalking events are not often anticipated by drivers, which may result in less driver reaction time and different vehicle operation dynamics. The objective of the research was to study driver’s behavior as well as to model the interaction with a pedestrian, who was crossing at and outside (jaywalker) of designated zebra crossings. Data were collected through an instrumented vehicle study. Sixteen participants took part in the survey. Each participant’s vehicle was instrumented with a video camera and a global positioning system (GPS) device. Each participant drove his vehicle along two streets of the center of Rome, during which numerous events of crossings at and outside the zebra crossing were detected. The acquired data allowed obtaining the driver’s speed profiles in approach to the pedestrian crossing. The analysis was based on variables that were obtained from the speed profiles of drivers. The driver’s behavior under legal and illegal crossings was analyzed in terms of driver yielding rates and yielding types, relationship between speed and distance of the vehicle from the conflict point at the decision point, and for different times left for the vehicle to get to the conflict point at the moment the pedestrian reaches the curb as well as pedestrian origin (form the right or left). Significant differences were detected in driver’s behavior during the interaction with the pedestrian crossing at and outside of the zebra crossing. The main results highlighted that the average yield rate to jaywalkers was lower than that to pedestrians at permissible crossings, the average deceleration rates were higher in the case of illegal crossing and driver yielding decision point to jaywalkers was closer to the conflict point. The obtained results provide the basis for modeling interactions between pedestrians crossing at and outside of crosswalks and approaching drivers in a micro-simulation environment.","collection-title":"Transport Infrastructure and systems in a changing world. Towards a more sustainable, reliable and smarter mobility.TIS Roma 2019 Conference Proceedings","container-title":"Transportation Research Procedia","DOI":"10.1016/j.trpro.2020.03.038","ISSN":"2352-1465","journalAbbreviation":"Transportation Research Procedia","page":"451-458","source":"ScienceDirect","title":"Driver-pedestrian interaction under legal and illegal pedestrian crossings","volume":"45","author":[{"family":"Bella","given":"Francesco"},{"family":"Nobili","given":"Federica"}],"issued":{"date-parts":[["2020",1,1]]}}}],"schema":"https://github.com/citation-style-language/schema/raw/master/csl-citation.json"} </w:instrText>
      </w:r>
      <w:r w:rsidR="00F754B1" w:rsidRPr="006B15C8">
        <w:fldChar w:fldCharType="separate"/>
      </w:r>
      <w:r w:rsidR="00F754B1" w:rsidRPr="006B15C8">
        <w:t>Bella and Nobili, 2020</w:t>
      </w:r>
      <w:r w:rsidR="00F754B1" w:rsidRPr="006B15C8">
        <w:fldChar w:fldCharType="end"/>
      </w:r>
      <w:bookmarkEnd w:id="52"/>
      <w:r w:rsidR="00D530FB" w:rsidRPr="006B15C8">
        <w:t>,</w:t>
      </w:r>
      <w:r w:rsidR="00F43561" w:rsidRPr="006B15C8">
        <w:t xml:space="preserve"> </w:t>
      </w:r>
      <w:bookmarkStart w:id="54" w:name="_Hlk202477163"/>
      <w:r w:rsidR="00F43561" w:rsidRPr="006B15C8">
        <w:fldChar w:fldCharType="begin"/>
      </w:r>
      <w:r w:rsidR="00911EF4" w:rsidRPr="006B15C8">
        <w:instrText xml:space="preserve"> ADDIN ZOTERO_ITEM CSL_CITATION {"citationID":"hCUCYbRt","properties":{"formattedCitation":"(Pinnow et al., 2021)","plainCitation":"(Pinnow et al., 2021)","dontUpdate":true,"noteIndex":0},"citationItems":[{"id":414,"uris":["http://zotero.org/groups/5885221/items/7Z4KWNHW"],"itemData":{"id":414,"type":"article-journal","abstract":"Advancements in data collection and processing methods have produced large databases containing high quality vehicular data. Despite this, conventional vehicle-vehicle collisions remain difficult to identify due to their rarity. Therefore, there is a need to identify potential collisions given the introduction of these new data collection methods. Surrogate indicators are a popular methods utilised to identify such events, however, the type of surrogate that can be used depends heavily on the type of data collection method. Though most surrogate indicators are used at different road geometries, there is evidence to suggest that some surrogate indicators may perform better than others at a given geometry. This review provides two key contributions to the body of literature. Firstly, a review of kinematic surrogates is put forward, along with a discussion on the whether these surrogates can be contextualised at different road geometries. Secondly, an extensive analysis and discussion of observer-based and video processed surrogate indicators, the collision types they aim to identify and the geometries they have been used at previously were analysed and advantages and disadvantages of the surrogates have been presented for future use. To do this, intersections, highways and roundabouts were selected and divided into geometry subtypes (i.e. three-legged and four-legged intersection) and segments (i.e. approaches to intersections and internal to the intersection) based on the likelihood of crash types and pre-crash manoeuvres occurring in that segment. Due to the lack of research around the use of kinematic triggers at road geometries, it is difficult to advocate for the use of any given trigger over another at a given geometry. Furthermore, it was found that kinematic triggers cannot accurately identify conflicts from naturalistic driving data and require the use of advanced statistical techniques such as machine learning to increase accuracy. A brief analysis of threshold identification techniques was also performed. Several future works have been put forward including the introduction of surrogates which capture conflict severity and the role of surrogate indicators in connected and automated vehicle environments.","container-title":"Accident Analysis &amp; Prevention","DOI":"10.1016/j.aap.2021.106185","ISSN":"0001-4575","journalAbbreviation":"Accident Analysis &amp; Prevention","page":"106185","source":"ScienceDirect","title":"A review of naturalistic driving study surrogates and surrogate indicator viability within the context of different road geometries","volume":"157","author":[{"family":"Pinnow","given":"Jack"},{"family":"Masoud","given":"Mahmoud"},{"family":"Elhenawy","given":"Mohammed"},{"family":"Glaser","given":"Sebastien"}],"issued":{"date-parts":[["2021",7,1]]}}}],"schema":"https://github.com/citation-style-language/schema/raw/master/csl-citation.json"} </w:instrText>
      </w:r>
      <w:r w:rsidR="00F43561" w:rsidRPr="006B15C8">
        <w:fldChar w:fldCharType="separate"/>
      </w:r>
      <w:r w:rsidR="00F43561" w:rsidRPr="006B15C8">
        <w:t>Pinnow et al., 2021)</w:t>
      </w:r>
      <w:r w:rsidR="00F43561" w:rsidRPr="006B15C8">
        <w:fldChar w:fldCharType="end"/>
      </w:r>
      <w:bookmarkEnd w:id="54"/>
      <w:r w:rsidRPr="006B15C8">
        <w:t xml:space="preserve">, </w:t>
      </w:r>
      <w:bookmarkEnd w:id="53"/>
      <w:r w:rsidRPr="006B15C8">
        <w:t>and Post-Encroachment Time (PET)</w:t>
      </w:r>
      <w:r w:rsidR="00F43561" w:rsidRPr="006B15C8">
        <w:t xml:space="preserve"> </w:t>
      </w:r>
      <w:bookmarkStart w:id="55" w:name="_Hlk202477202"/>
      <w:r w:rsidR="00F43561" w:rsidRPr="006B15C8">
        <w:t xml:space="preserve">(e.g., </w:t>
      </w:r>
      <w:bookmarkStart w:id="56" w:name="_Hlk203652610"/>
      <w:r w:rsidR="00F43561" w:rsidRPr="006B15C8">
        <w:fldChar w:fldCharType="begin"/>
      </w:r>
      <w:r w:rsidR="00911EF4" w:rsidRPr="006B15C8">
        <w:instrText xml:space="preserve"> ADDIN ZOTERO_ITEM CSL_CITATION {"citationID":"VLuHYhq8","properties":{"formattedCitation":"(Pinnow et al., 2021)","plainCitation":"(Pinnow et al., 2021)","dontUpdate":true,"noteIndex":0},"citationItems":[{"id":414,"uris":["http://zotero.org/groups/5885221/items/7Z4KWNHW"],"itemData":{"id":414,"type":"article-journal","abstract":"Advancements in data collection and processing methods have produced large databases containing high quality vehicular data. Despite this, conventional vehicle-vehicle collisions remain difficult to identify due to their rarity. Therefore, there is a need to identify potential collisions given the introduction of these new data collection methods. Surrogate indicators are a popular methods utilised to identify such events, however, the type of surrogate that can be used depends heavily on the type of data collection method. Though most surrogate indicators are used at different road geometries, there is evidence to suggest that some surrogate indicators may perform better than others at a given geometry. This review provides two key contributions to the body of literature. Firstly, a review of kinematic surrogates is put forward, along with a discussion on the whether these surrogates can be contextualised at different road geometries. Secondly, an extensive analysis and discussion of observer-based and video processed surrogate indicators, the collision types they aim to identify and the geometries they have been used at previously were analysed and advantages and disadvantages of the surrogates have been presented for future use. To do this, intersections, highways and roundabouts were selected and divided into geometry subtypes (i.e. three-legged and four-legged intersection) and segments (i.e. approaches to intersections and internal to the intersection) based on the likelihood of crash types and pre-crash manoeuvres occurring in that segment. Due to the lack of research around the use of kinematic triggers at road geometries, it is difficult to advocate for the use of any given trigger over another at a given geometry. Furthermore, it was found that kinematic triggers cannot accurately identify conflicts from naturalistic driving data and require the use of advanced statistical techniques such as machine learning to increase accuracy. A brief analysis of threshold identification techniques was also performed. Several future works have been put forward including the introduction of surrogates which capture conflict severity and the role of surrogate indicators in connected and automated vehicle environments.","container-title":"Accident Analysis &amp; Prevention","DOI":"10.1016/j.aap.2021.106185","ISSN":"0001-4575","journalAbbreviation":"Accident Analysis &amp; Prevention","page":"106185","source":"ScienceDirect","title":"A review of naturalistic driving study surrogates and surrogate indicator viability within the context of different road geometries","volume":"157","author":[{"family":"Pinnow","given":"Jack"},{"family":"Masoud","given":"Mahmoud"},{"family":"Elhenawy","given":"Mohammed"},{"family":"Glaser","given":"Sebastien"}],"issued":{"date-parts":[["2021",7,1]]}}}],"schema":"https://github.com/citation-style-language/schema/raw/master/csl-citation.json"} </w:instrText>
      </w:r>
      <w:r w:rsidR="00F43561" w:rsidRPr="006B15C8">
        <w:fldChar w:fldCharType="separate"/>
      </w:r>
      <w:r w:rsidR="00F43561" w:rsidRPr="006B15C8">
        <w:t>Pinnow et al., 2021</w:t>
      </w:r>
      <w:r w:rsidR="00F43561" w:rsidRPr="006B15C8">
        <w:fldChar w:fldCharType="end"/>
      </w:r>
      <w:r w:rsidR="00D530FB" w:rsidRPr="006B15C8">
        <w:t>,</w:t>
      </w:r>
      <w:r w:rsidR="00F43561" w:rsidRPr="006B15C8">
        <w:t xml:space="preserve"> </w:t>
      </w:r>
      <w:r w:rsidR="00F43561" w:rsidRPr="006B15C8">
        <w:fldChar w:fldCharType="begin"/>
      </w:r>
      <w:r w:rsidR="00911EF4" w:rsidRPr="006B15C8">
        <w:instrText xml:space="preserve"> ADDIN ZOTERO_ITEM CSL_CITATION {"citationID":"qjxXqf3k","properties":{"formattedCitation":"(Das et al., 2023)","plainCitation":"(Das et al., 2023)","dontUpdate":true,"noteIndex":0},"citationItems":[{"id":413,"uris":["http://zotero.org/groups/5885221/items/MNTYQJXV"],"itemData":{"id":413,"type":"article-journal","abstract":"Surrogate safety measures (SSMs) are critical tools for evaluating the safety performance of mixed traffic. Crashes are rare events, and historical crash data are scarce for mixed traffic that includes autonomous and/ or connected vehicles. Recent safety review papers focus on traditional human-driven vehicles (TVs) and do not encompass advanced technology vehicles such as autonomous vehicles (AVs), connected vehicles (CVs), and connected-autonomous vehicles (CAVs). This study examines the development, implementation, and shortcomings of SSMs and SSM-based models used for mixed traffic safety evaluation. We review the current relevant literature and apply a case study analysis using a real-world mixed traffic dataset. The study summarizes the fundamental SSM guiding concepts, as well as their most significant metrics including threshold values employed in the past for SSMs and SSM-based models. Primary benefits and limitations of examined SSMs and SSM-based models are also underlined. This review reveals significant gaps in the literature that might guide future research paths in SSM-based mixed traffic safety assessment. Critical gaps include the absence of robust SSM threshold selection criteria, the suitability of current SSMs in mixed traffic research, microsimulation modeling that lacks proper calibration and validation, and the absence of a framework for selecting or combining multiple SSMs.","container-title":"IEEE Access","DOI":"10.1109/ACCESS.2023.3248628","ISSN":"2169-3536","page":"32682-32696","source":"IEEE Xplore","title":"Surrogate Safety Measures: Review and Assessment in Real-World Mixed Traditional and Autonomous Vehicle Platoons","title-short":"Surrogate Safety Measures","volume":"11","author":[{"family":"Das","given":"Tanmay"},{"family":"Samandar","given":"M. Shoaib"},{"family":"Autry","given":"Meagan Kittle"},{"family":"Rouphail","given":"Nagui M."}],"issued":{"date-parts":[["2023"]]}}}],"schema":"https://github.com/citation-style-language/schema/raw/master/csl-citation.json"} </w:instrText>
      </w:r>
      <w:r w:rsidR="00F43561" w:rsidRPr="006B15C8">
        <w:fldChar w:fldCharType="separate"/>
      </w:r>
      <w:r w:rsidR="00F43561" w:rsidRPr="006B15C8">
        <w:t>Das et al., 2023)</w:t>
      </w:r>
      <w:r w:rsidR="00F43561" w:rsidRPr="006B15C8">
        <w:fldChar w:fldCharType="end"/>
      </w:r>
      <w:bookmarkEnd w:id="56"/>
      <w:r w:rsidRPr="006B15C8">
        <w:t>.</w:t>
      </w:r>
      <w:r w:rsidR="000576B6" w:rsidRPr="006B15C8">
        <w:t xml:space="preserve"> </w:t>
      </w:r>
      <w:bookmarkEnd w:id="55"/>
      <w:r w:rsidR="006119D4" w:rsidRPr="006B15C8">
        <w:t xml:space="preserve">These outcomes have been examined in a wide range of crossing types, as summarized in the “Locations” column of Table 2. Relative to NCPC behavior, more earlier studies of </w:t>
      </w:r>
      <w:r w:rsidR="001B5D2C" w:rsidRPr="006B15C8">
        <w:t>DUY</w:t>
      </w:r>
      <w:r w:rsidR="006119D4" w:rsidRPr="006B15C8">
        <w:t xml:space="preserve"> have considered unsignalized locations (in addition to signalized intersections), though most such unsignalized location</w:t>
      </w:r>
      <w:r w:rsidR="001B5D2C" w:rsidRPr="006B15C8">
        <w:t xml:space="preserve">s correspond to </w:t>
      </w:r>
      <w:r w:rsidR="006119D4" w:rsidRPr="006B15C8">
        <w:t xml:space="preserve">midblock crossings rather than intersections. </w:t>
      </w:r>
      <w:r w:rsidR="00E41204" w:rsidRPr="006B15C8">
        <w:t>A</w:t>
      </w:r>
      <w:r w:rsidR="006119D4" w:rsidRPr="006B15C8">
        <w:t xml:space="preserve">gain, only one video-based study that we are aware of (Bella and Nobili, 2020) considers a sample of locations with crosswalks at both signalized and unsignalized intersections. But even this study does not distinguish between </w:t>
      </w:r>
      <w:r w:rsidR="001B5D2C" w:rsidRPr="006B15C8">
        <w:t xml:space="preserve">DUY </w:t>
      </w:r>
      <w:r w:rsidR="006119D4" w:rsidRPr="006B15C8">
        <w:t xml:space="preserve">at signalized versus unsignalized intersections. Rather the study, based on retrofitting the vehicles of 16 study participants with a GoPro Hero3 video camera and a global positioning system (GPS) device to analyze yielding behavior over one run of a 3.5 km stretch of two streets at the center of Rome in Italy, focused on </w:t>
      </w:r>
      <w:r w:rsidR="001B5D2C" w:rsidRPr="006B15C8">
        <w:t xml:space="preserve">DUY </w:t>
      </w:r>
      <w:r w:rsidR="006119D4" w:rsidRPr="006B15C8">
        <w:t xml:space="preserve">differences between pedestrians legally crossing at marked “zebra” crossings at intersections (regardless of signalized or unsignalized) versus pedestrians illegally crossing at unmarked crossing locations. Bella and Nobili’s descriptive analysis found that motorists </w:t>
      </w:r>
      <w:r w:rsidR="001B5D2C" w:rsidRPr="006B15C8">
        <w:t xml:space="preserve">did not </w:t>
      </w:r>
      <w:r w:rsidR="006119D4" w:rsidRPr="006B15C8">
        <w:t xml:space="preserve">yield </w:t>
      </w:r>
      <w:r w:rsidR="001B5D2C" w:rsidRPr="006B15C8">
        <w:t>21</w:t>
      </w:r>
      <w:r w:rsidR="006119D4" w:rsidRPr="006B15C8">
        <w:t xml:space="preserve">% of the time to pedestrians crossing legally, but </w:t>
      </w:r>
      <w:r w:rsidR="001B5D2C" w:rsidRPr="006B15C8">
        <w:t xml:space="preserve">did not yield </w:t>
      </w:r>
      <w:r w:rsidR="006119D4" w:rsidRPr="006B15C8">
        <w:t xml:space="preserve">55% of the time to pedestrians crossing illegally. More broadly, though no one study has examined </w:t>
      </w:r>
      <w:r w:rsidR="001B5D2C" w:rsidRPr="006B15C8">
        <w:t>DUY</w:t>
      </w:r>
      <w:r w:rsidR="006119D4" w:rsidRPr="006B15C8">
        <w:t xml:space="preserve"> behavior at different roadway signal control contexts, a synthesis of prior research does suggest that signalization at intersection locations </w:t>
      </w:r>
      <w:r w:rsidR="001B5D2C" w:rsidRPr="006B15C8">
        <w:t xml:space="preserve">decreases DUY </w:t>
      </w:r>
      <w:r w:rsidR="006119D4" w:rsidRPr="006B15C8">
        <w:t>rates relative to at unsignalized intersection</w:t>
      </w:r>
      <w:r w:rsidR="00E41204" w:rsidRPr="006B15C8">
        <w:t>s</w:t>
      </w:r>
      <w:r w:rsidR="006119D4" w:rsidRPr="006B15C8">
        <w:t xml:space="preserve"> and midblock crossings. Other results associated with crossing geometry and roadway traffic/parking characteristics indicate that </w:t>
      </w:r>
      <w:r w:rsidR="001B5D2C" w:rsidRPr="006B15C8">
        <w:t xml:space="preserve">DUY </w:t>
      </w:r>
      <w:r w:rsidR="006119D4" w:rsidRPr="006B15C8">
        <w:t xml:space="preserve">rates are </w:t>
      </w:r>
      <w:r w:rsidR="001B5D2C" w:rsidRPr="006B15C8">
        <w:t>lower</w:t>
      </w:r>
      <w:r w:rsidR="006119D4" w:rsidRPr="006B15C8">
        <w:t xml:space="preserve"> at roadway locations with </w:t>
      </w:r>
      <w:r w:rsidR="001B5D2C" w:rsidRPr="006B15C8">
        <w:t xml:space="preserve">(a) </w:t>
      </w:r>
      <w:r w:rsidR="006119D4" w:rsidRPr="006B15C8">
        <w:t>shorter crosswalk widths, (b) fewer lanes, (c) lower vehicle speeds and volumes, (d) the presence of visual or geometric crosswalk treatments (such as raised, colored, or textured crossings), and (e) no on-street parking (</w:t>
      </w:r>
      <w:r w:rsidR="00D530FB" w:rsidRPr="006B15C8">
        <w:t xml:space="preserve">Schneider et al., 2018, </w:t>
      </w:r>
      <w:r w:rsidR="006119D4" w:rsidRPr="006B15C8">
        <w:t>Anciaes et al., 2020</w:t>
      </w:r>
      <w:r w:rsidR="00D530FB" w:rsidRPr="006B15C8">
        <w:t>,</w:t>
      </w:r>
      <w:r w:rsidR="007F7BE4" w:rsidRPr="006B15C8">
        <w:t xml:space="preserve"> Pechteep et al., 2024).</w:t>
      </w:r>
      <w:r w:rsidR="006119D4" w:rsidRPr="006B15C8">
        <w:t xml:space="preserve"> </w:t>
      </w:r>
      <w:r w:rsidR="00D87404" w:rsidRPr="006B15C8">
        <w:t xml:space="preserve">In the remainder of this section, we provide an overview of the literature on the determinants of DUY behavior. </w:t>
      </w:r>
    </w:p>
    <w:p w14:paraId="6BC57BCB" w14:textId="77777777" w:rsidR="00717345" w:rsidRPr="006B15C8" w:rsidRDefault="00717345" w:rsidP="004A6C6E">
      <w:pPr>
        <w:spacing w:line="271" w:lineRule="auto"/>
      </w:pPr>
    </w:p>
    <w:p w14:paraId="5D300133" w14:textId="77777777" w:rsidR="00E471D0" w:rsidRPr="006B15C8" w:rsidRDefault="00E471D0" w:rsidP="004A6C6E">
      <w:pPr>
        <w:pStyle w:val="Heading3"/>
        <w:keepNext/>
        <w:keepLines/>
        <w:spacing w:line="271" w:lineRule="auto"/>
        <w:ind w:left="446" w:hanging="446"/>
      </w:pPr>
      <w:r w:rsidRPr="006B15C8">
        <w:lastRenderedPageBreak/>
        <w:t>Pedestrian Sociodemographic</w:t>
      </w:r>
      <w:r w:rsidR="00CA26F7" w:rsidRPr="006B15C8">
        <w:t>s</w:t>
      </w:r>
    </w:p>
    <w:p w14:paraId="15AAEBA1" w14:textId="1C73F780" w:rsidR="00E47669" w:rsidRPr="006B15C8" w:rsidRDefault="00F754B1" w:rsidP="004A6C6E">
      <w:pPr>
        <w:keepNext/>
        <w:keepLines/>
        <w:spacing w:line="271" w:lineRule="auto"/>
      </w:pPr>
      <w:r w:rsidRPr="006B15C8">
        <w:t>Existing s</w:t>
      </w:r>
      <w:r w:rsidR="00E47669" w:rsidRPr="006B15C8">
        <w:t xml:space="preserve">tudies have consistently shown that drivers are </w:t>
      </w:r>
      <w:r w:rsidR="00D87404" w:rsidRPr="006B15C8">
        <w:t>less</w:t>
      </w:r>
      <w:r w:rsidR="00E47669" w:rsidRPr="006B15C8">
        <w:t xml:space="preserve"> likely to yield to</w:t>
      </w:r>
      <w:r w:rsidR="00D87404" w:rsidRPr="006B15C8">
        <w:t xml:space="preserve"> men</w:t>
      </w:r>
      <w:r w:rsidR="00E47669" w:rsidRPr="006B15C8">
        <w:t xml:space="preserve"> </w:t>
      </w:r>
      <w:bookmarkStart w:id="57" w:name="_Hlk202477308"/>
      <w:r w:rsidRPr="006B15C8">
        <w:fldChar w:fldCharType="begin"/>
      </w:r>
      <w:r w:rsidR="00911EF4" w:rsidRPr="006B15C8">
        <w:instrText xml:space="preserve"> ADDIN ZOTERO_ITEM CSL_CITATION {"citationID":"pikNdres","properties":{"formattedCitation":"(Anciaes et al., 2020)","plainCitation":"(Anciaes et al., 2020)","dontUpdate":true,"noteIndex":0},"citationItems":[{"id":416,"uris":["http://zotero.org/groups/5885221/items/AEYHS7SY"],"itemData":{"id":416,"type":"article-journal","abstract":"Courtesy crossings are pedestrian crossing facilities where drivers are not legally required to stop for pedestrians, but are encouraged to do so by design elements such as stripes, coloured or textured road surfaces, visual narrowings of the carriageway, and ramps. There is little empirical evidence on drivers' behaviour or guidance on how to design these crossings. This paper analysed data for 937 interactions between drivers and pedestrians at 20 crossings across England, comparing driver yielding behaviour at courtesy crossings and at zebras (marked unsignalised crossings, where drivers are legally required to stop); and identifying the design elements associated with yielding behaviour at courtesy crossings. The analysis controlled for crossing stage; characteristics and situation of pedestrians and vehicles; characteristics of the road and site; and time context. Driver yielding behaviour was analysed for each separate traffic lane that pedestrians need to cross. We found that all four design elements considered (stripes, coloured/textured surface, visual narrowing, and ramps) increased the propensity of the first vehicle to stop and of any vehicle to stop. A before-after analysis then showed that adding a new element (stripes) to a courtesy crossing led to an increase in yielding rates from 20% to 97%. Overall, we found evidence supporting the use of multiple design elements in courtesy crossings. We discuss the implications of these findings for transport policy and urban design.","container-title":"Transportation Research Part F: Traffic Psychology and Behaviour","DOI":"10.1016/j.trf.2020.07.006","ISSN":"1369-8478","journalAbbreviation":"Transportation Research Part F: Traffic Psychology and Behaviour","page":"453-469","source":"ScienceDirect","title":"Factors explaining driver yielding behaviour towards pedestrians at courtesy crossings","volume":"73","author":[{"family":"Anciaes","given":"Paulo"},{"family":"Di Guardo","given":"Giovanni"},{"family":"Jones","given":"Peter"}],"issued":{"date-parts":[["2020",8,1]]}}}],"schema":"https://github.com/citation-style-language/schema/raw/master/csl-citation.json"} </w:instrText>
      </w:r>
      <w:r w:rsidRPr="006B15C8">
        <w:fldChar w:fldCharType="separate"/>
      </w:r>
      <w:r w:rsidRPr="006B15C8">
        <w:t>(</w:t>
      </w:r>
      <w:r w:rsidR="00D530FB" w:rsidRPr="006B15C8">
        <w:t xml:space="preserve">Coughenour et al., 2017, </w:t>
      </w:r>
      <w:r w:rsidRPr="006B15C8">
        <w:t>Anciaes et al., 2020</w:t>
      </w:r>
      <w:r w:rsidRPr="006B15C8">
        <w:fldChar w:fldCharType="end"/>
      </w:r>
      <w:r w:rsidRPr="006B15C8">
        <w:fldChar w:fldCharType="begin"/>
      </w:r>
      <w:r w:rsidR="003F5890" w:rsidRPr="006B15C8">
        <w:instrText xml:space="preserve"> ADDIN ZOTERO_ITEM CSL_CITATION {"citationID":"oeuNYyju","properties":{"formattedCitation":"(Coughenour et al., 2017; Demir et al., 2020; Zafri et al., 2022)","plainCitation":"(Coughenour et al., 2017; Demir et al., 2020; Zafri et al., 2022)","dontUpdate":true,"noteIndex":0},"citationItems":[{"id":"ReAbCZ5Q/IyPuvxDN","uris":["http://zotero.org/groups/5098585/items/DBUB5ZJT"],"itemData":{"id":1117,"type":"article-journal","container-title":"Accident Analysis &amp; Prevention","ISSN":"0001-4575","journalAbbreviation":"Accident Analysis &amp; Prevention","note":"publisher: Elsevier","page":"96-100","title":"Examining racial bias as a potential factor in pedestrian crashes","volume":"98","author":[{"family":"Coughenour","given":"Courtney"},{"family":"Clark","given":"Sheila"},{"family":"Singh","given":"Ashok"},{"family":"Claw","given":"Eudora"},{"family":"Abelar","given":"James"},{"family":"Huebner","given":"Joshua"}],"issued":{"date-parts":[["2017"]]}}},{"id":316,"uris":["http://zotero.org/groups/5885221/items/X85TBXDD"],"itemData":{"id":316,"type":"article-journal","abstract":"To understand drivers’ yielding behavior, field observations and semi-structured interviews were conducted. Cramer’s V and logistic regression analyses of the field observation on 1140 drivers and pedestrians demonstrated that driver gender and pedestrian age have significant relationships with the tendency to yield the right of way. Other than gender and age, road characteristics were also investigated to understand the nature of this relationship between drivers and pedestrians to a broader extent. From the interviews’ thematic analysis, four themes related to participants' thoughts about yielding behavior were obtained: \"Places of Interaction,\" \"Trust in Rules,\" \"Factors Affecting Yielding Behavior\", and \"Future Solutions.\" Both the analysis of interviews and the observations showed that driver-pedestrian interaction is an essential factor regarding traffic safety.","container-title":"Trafik ve Ulaşım Araştırmaları Dergisi","DOI":"10.38002/tuad.690423","ISSN":"2667-8071","issue":"1","journalAbbreviation":"TUAD","language":"en","note":"number: 1\npublisher: Bahar ÖZ","page":"53-71","source":"dergipark.org.tr","title":"Yielding the Right of The Way: A Mixed Design Study for Understanding Drivers’ Yielding Behavior","title-short":"Yielding the Right of The Way","volume":"3","author":[{"family":"Demir","given":"Ece Naz"},{"family":"Dönmez","given":"Hafize Berin"},{"family":"Özden","given":"Mehmet"},{"family":"Ünver","given":"Nursima"},{"family":"Fındık","given":"Gizem"},{"family":"Öz","given":"Bahar"}],"issued":{"date-parts":[["2020",4,30]]}}},{"id":143,"uris":["http://zotero.org/groups/5885221/items/C92JXYCL"],"itemData":{"id":143,"type":"article-journal","abstract":"Introduction: Globally, pedestrians are one of the most vulnerable road-user groups. Their vulnerability increases while crossing the road at controlled intersections during the “don’t walk” phase. Previous literature shows that driver yielding behavior has an association with pedestrian safety at intersections. Though several studies have explored driver yielding behavior towards pedestrians at conflict points, evidence on how pedestrian actions influence driver yielding behavior at intersections is yet to be investigated. Method: To pursue this end, a binary logistic regression model was developed using the collected data to explore the effect of non-compliant pedestrian characteristics and their road crossing behavior on driver yielding behavior towards pedestrians at six controlled intersections of Dhaka, Bangladesh. The data were collected through videography survey. Results: Results showed that drivers were more likely to yield to pedestrians who were female, crossing in a group, carrying baggage, not using a mobile, making some hand gesture to the driver, or crossing by rolling gap strategy. Practical Applications: These findings add new insights for transportation planners into the complex interaction between vehicles and pedestrians at busy controlled intersections, and thus would help to make a pedestrian friendly street.","container-title":"Journal of Safety Research","DOI":"10.1016/j.jsr.2022.01.001","ISSN":"0022-4375","journalAbbreviation":"Journal of Safety Research","page":"1-8","source":"ScienceDirect","title":"Effect of pedestrian characteristics and their road crossing behaviors on driver yielding behavior at controlled intersections","volume":"81","author":[{"family":"Zafri","given":"Niaz Mahmud"},{"family":"Tabassum","given":"Tanzila"},{"family":"Himal","given":"Md. Rakibul Hasan"},{"family":"Sultana","given":"Rashada"},{"family":"Debnath","given":"Anindya Kishore"}],"issued":{"date-parts":[["2022",6,1]]}}}],"schema":"https://github.com/citation-style-language/schema/raw/master/csl-citation.json"} </w:instrText>
      </w:r>
      <w:r w:rsidRPr="006B15C8">
        <w:fldChar w:fldCharType="separate"/>
      </w:r>
      <w:r w:rsidR="00D530FB" w:rsidRPr="006B15C8">
        <w:t>,</w:t>
      </w:r>
      <w:r w:rsidRPr="006B15C8">
        <w:t xml:space="preserve"> Demir et al., 2020</w:t>
      </w:r>
      <w:r w:rsidR="00D530FB" w:rsidRPr="006B15C8">
        <w:t>,</w:t>
      </w:r>
      <w:r w:rsidRPr="006B15C8">
        <w:t xml:space="preserve"> Zafri et al., 2022</w:t>
      </w:r>
      <w:r w:rsidRPr="006B15C8">
        <w:fldChar w:fldCharType="end"/>
      </w:r>
      <w:r w:rsidR="00D530FB" w:rsidRPr="006B15C8">
        <w:t>,</w:t>
      </w:r>
      <w:r w:rsidRPr="006B15C8">
        <w:t xml:space="preserve"> </w:t>
      </w:r>
      <w:r w:rsidRPr="006B15C8">
        <w:fldChar w:fldCharType="begin"/>
      </w:r>
      <w:r w:rsidR="00911EF4" w:rsidRPr="006B15C8">
        <w:instrText xml:space="preserve"> ADDIN ZOTERO_ITEM CSL_CITATION {"citationID":"XXfZrtJX","properties":{"formattedCitation":"(Pechteep et al., 2024)","plainCitation":"(Pechteep et al., 2024)","dontUpdate":true,"noteIndex":0},"citationItems":[{"id":324,"uris":["http://zotero.org/groups/5885221/items/ZRL4JB8G"],"itemData":{"id":324,"type":"article-journal","abstract":"Globally, road traffic collisions cause over a million deaths annually, with pedestrians accounting for 23%. In developing countries, most pedestrian deaths occur on urban arterial roads, particularly at midblock crossings. This study analyzes the factors influencing driver yielding behavior at midblock crosswalks on urban arterial roads in Thailand. This study analyzed the factors influencing driver yielding behavior at the midblock crosswalk before and after the upgrade from a zebra crossing (C1) to a smart pedestrian crossing (C2), which is a smart traffic signal detecting and controlling pedestrians and vehicles entering the crosswalk. Video-based observations were used to assess driver yielding behavior, with multinomial logistic regression applied to develop driver yielding behavior models. The results revealed that the chances of a driver yielding at C2 were higher than at C1, and the yielding rate increased by 74%. The models indicate that the number and width of traffic lanes, width and length of crosswalks, vulnerable group, number of pedestrians, pedestrian crossing time, number of vehicles, vehicle speed, headway, post-encroachment time between a vehicle and pedestrian, and roadside parking are the significant factors influencing yielding behavior. These findings propose measures to set proper crosswalk improvements (e.g., curb extensions), speed reduction measures, enforcement (e.g., parking restrictions), public awareness campaigns, and education initiatives.","container-title":"Sustainability","DOI":"10.3390/su16104118","ISSN":"2071-1050","issue":"10","language":"en","license":"http://creativecommons.org/licenses/by/3.0/","note":"number: 10\npublisher: Multidisciplinary Digital Publishing Institute","page":"4118","source":"www.mdpi.com","title":"Analysis of Factors Influencing Driver Yielding Behavior at Midblock Crosswalks on Urban Arterial Roads in Thailand","volume":"16","author":[{"family":"Pechteep","given":"Pongsatorn"},{"family":"Luathep","given":"Paramet"},{"family":"Jaensirisak","given":"Sittha"},{"family":"Kronprasert","given":"Nopadon"}],"issued":{"date-parts":[["2024",1]]}}}],"schema":"https://github.com/citation-style-language/schema/raw/master/csl-citation.json"} </w:instrText>
      </w:r>
      <w:r w:rsidRPr="006B15C8">
        <w:fldChar w:fldCharType="separate"/>
      </w:r>
      <w:r w:rsidRPr="006B15C8">
        <w:t>Pechteep et al., 2024)</w:t>
      </w:r>
      <w:r w:rsidRPr="006B15C8">
        <w:fldChar w:fldCharType="end"/>
      </w:r>
      <w:r w:rsidR="00E47669" w:rsidRPr="006B15C8">
        <w:t xml:space="preserve">, </w:t>
      </w:r>
      <w:bookmarkEnd w:id="57"/>
      <w:r w:rsidR="00E47669" w:rsidRPr="006B15C8">
        <w:t xml:space="preserve">with only two exceptions in Table 2 reporting no significant effect of pedestrian gender on </w:t>
      </w:r>
      <w:r w:rsidR="00D87404" w:rsidRPr="006B15C8">
        <w:t>DUY</w:t>
      </w:r>
      <w:r w:rsidR="00E47669" w:rsidRPr="006B15C8">
        <w:t xml:space="preserve"> </w:t>
      </w:r>
      <w:bookmarkStart w:id="58" w:name="_Hlk202477352"/>
      <w:r w:rsidRPr="006B15C8">
        <w:fldChar w:fldCharType="begin"/>
      </w:r>
      <w:r w:rsidR="003F5890" w:rsidRPr="006B15C8">
        <w:instrText xml:space="preserve"> ADDIN ZOTERO_ITEM CSL_CITATION {"citationID":"KngebQqY","properties":{"formattedCitation":"(Dileep et al., 2016; Schneider et al., 2018)","plainCitation":"(Dileep et al., 2016; Schneider et al., 2018)","noteIndex":0},"citationItems":[{"id":146,"uris":["http://zotero.org/groups/5885221/items/L966HG5C"],"itemData":{"id":146,"type":"article-journal","abstract":"The basic mode of transportation from one place to other is to walk. In the present scenario where the focus is high on sustainability, walkability and multi-modal transportation in urban infrastructure; it is time to understand how well these will merge with the existing culture of the road users; both pedestrians as well as drivers. With this work the aim is to understand one aspect, the pedestrianvehicle interaction at unsignalized mid-block pedestrian crosswalks. An attempt to study the yielding behaviour of drivers to a pedestrian waiting to cross is made. The study is conducted in the undivided two lane city roads of Kochi. Four locations viz., three crosswalks at Park Avenue Road and one at NH 85 are chosen as part of the study. Video survey, radar gun and manual methods were used for data collection. The analysis is using non-parametric tests for the various variables which were coded and extracted from the collected data. Specific outcome of this study include analysis of the driver and pedestrian behaviour and the characteristics that contribute to yielding of drivers. The observations showed 28.71% soft or rolling yield and that yield of the driver depended on speed of the vehicle, and assertiveness of the pedestrian.","container-title":"International Journal of Scientific &amp; Engineering Research","issue":"9","language":"en","source":"Zotero","title":"Study on Driver Yielding to Pedestrians at Unsignalized Crosswalks","URL":"https://d1wqtxts1xzle7.cloudfront.net/76223189/Study-on-Driver-Yielding-to-Pedestrians-at-Unsignalized-Crosswalks-libre.pdf?1639421553=&amp;response-content-disposition=inline%3B+filename%3DStudy_on_Driver_Yielding_to_Pedestrians.pdf&amp;Expires=1745855506&amp;Signature=OeG9NpXY0DN2MQlLDsUm25KEn5Ge-Umk8Re4qs0o9hInWP~00tA-wCWURNjkHzPFCFB-4gskcNFvJFgB5-vRuBfiqJk7acewpBgD5L1c4FqMvut5wVkwEaBvla0LTHq93ojNiMwrudqTR~17LC8AFdsGvc5oqNXFXoNvrZSpnboUGVDg-nGssnVBxWHhY8Gw2lb8BdWKUCkcdc0cFwrGf5sG6kwjhH6Ig2kBs7jVm0wPjBEFXITsDtYZetiqsT8kIoSOfgz7KwNa9oInbI38Hmcw9zHzL3muyVqwm565K-kEirJ1Xxukck5PNW6VhU6Lm6anRDtVtffdqFSogSsVQw__&amp;Key-Pair-Id=APKAJLOHF5GGSLRBV4ZA","volume":"7","author":[{"family":"Dileep","given":"Reva"},{"family":"Koshy","given":"Dr Bino I"},{"family":"Sam","given":"Ebin"}],"issued":{"date-parts":[["2016"]]}}},{"id":"ReAbCZ5Q/8onc4vkx","uris":["http://zotero.org/users/9292995/items/HF8WSFB3"],"itemData":{"id":362,"type":"article-journal","container-title":"Transportation research record","ISSN":"0361-1981","issue":"35","journalAbbreviation":"Transportation research record","note":"publisher: SAGE Publications Sage CA: Los Angeles, CA","page":"21-32","title":"Exploratory analysis of driver yielding at low-speed, uncontrolled crosswalks in Milwaukee, Wisconsin","volume":"2672","author":[{"family":"Schneider","given":"Robert J"},{"family":"Sanatizadeh","given":"Aida"},{"family":"Shaon","given":"Mohammad Razaur Rahman"},{"family":"He","given":"Zhaoxiang"},{"family":"Qin","given":"Xiao"}],"issued":{"date-parts":[["2018"]]}}}],"schema":"https://github.com/citation-style-language/schema/raw/master/csl-citation.json"} </w:instrText>
      </w:r>
      <w:r w:rsidRPr="006B15C8">
        <w:fldChar w:fldCharType="separate"/>
      </w:r>
      <w:r w:rsidRPr="006B15C8">
        <w:t>(Dileep et al., 2016</w:t>
      </w:r>
      <w:r w:rsidR="00D530FB" w:rsidRPr="006B15C8">
        <w:t>,</w:t>
      </w:r>
      <w:r w:rsidRPr="006B15C8">
        <w:t xml:space="preserve"> Schneider et al., 2018)</w:t>
      </w:r>
      <w:r w:rsidRPr="006B15C8">
        <w:fldChar w:fldCharType="end"/>
      </w:r>
      <w:r w:rsidR="00E47669" w:rsidRPr="006B15C8">
        <w:t xml:space="preserve">. </w:t>
      </w:r>
      <w:bookmarkEnd w:id="58"/>
      <w:r w:rsidR="00E47669" w:rsidRPr="006B15C8">
        <w:t xml:space="preserve">In contrast, while many studies in Table 2 also examined the effect of pedestrian age, most found no significant </w:t>
      </w:r>
      <w:r w:rsidR="00CA26F7" w:rsidRPr="006B15C8">
        <w:t xml:space="preserve">age </w:t>
      </w:r>
      <w:r w:rsidR="00E47669" w:rsidRPr="006B15C8">
        <w:t>association</w:t>
      </w:r>
      <w:r w:rsidR="00CA26F7" w:rsidRPr="006B15C8">
        <w:t>s</w:t>
      </w:r>
      <w:r w:rsidR="00E47669" w:rsidRPr="006B15C8">
        <w:t xml:space="preserve"> </w:t>
      </w:r>
      <w:bookmarkStart w:id="59" w:name="_Hlk203652628"/>
      <w:r w:rsidR="00E47669" w:rsidRPr="006B15C8">
        <w:t>(Dileep et al., 2016</w:t>
      </w:r>
      <w:r w:rsidR="00D530FB" w:rsidRPr="006B15C8">
        <w:t>,</w:t>
      </w:r>
      <w:r w:rsidR="00E47669" w:rsidRPr="006B15C8">
        <w:t xml:space="preserve"> Schneider et al., 2018</w:t>
      </w:r>
      <w:r w:rsidR="00D530FB" w:rsidRPr="006B15C8">
        <w:t>,</w:t>
      </w:r>
      <w:r w:rsidR="00E47669" w:rsidRPr="006B15C8">
        <w:t xml:space="preserve"> Anciaes et al., 2020</w:t>
      </w:r>
      <w:r w:rsidR="00D530FB" w:rsidRPr="006B15C8">
        <w:t>,</w:t>
      </w:r>
      <w:r w:rsidR="00E47669" w:rsidRPr="006B15C8">
        <w:t xml:space="preserve"> Demir et al., 2020</w:t>
      </w:r>
      <w:r w:rsidR="00D530FB" w:rsidRPr="006B15C8">
        <w:t>,</w:t>
      </w:r>
      <w:r w:rsidR="00E47669" w:rsidRPr="006B15C8">
        <w:t xml:space="preserve"> Zafri et al., 2022). </w:t>
      </w:r>
      <w:bookmarkEnd w:id="59"/>
      <w:r w:rsidR="00E47669" w:rsidRPr="006B15C8">
        <w:t xml:space="preserve">An exception was Pechteep et al. (2024), who reported that drivers were </w:t>
      </w:r>
      <w:r w:rsidR="00D87404" w:rsidRPr="006B15C8">
        <w:t>less</w:t>
      </w:r>
      <w:r w:rsidR="00E47669" w:rsidRPr="006B15C8">
        <w:t xml:space="preserve"> likely to yield </w:t>
      </w:r>
      <w:r w:rsidR="00CA26F7" w:rsidRPr="006B15C8">
        <w:t xml:space="preserve">to </w:t>
      </w:r>
      <w:r w:rsidR="00FF66F3" w:rsidRPr="006B15C8">
        <w:t>younger</w:t>
      </w:r>
      <w:r w:rsidR="007F7BE4" w:rsidRPr="006B15C8">
        <w:t xml:space="preserve"> pedestrians</w:t>
      </w:r>
      <w:r w:rsidR="00FF66F3" w:rsidRPr="006B15C8">
        <w:t xml:space="preserve"> </w:t>
      </w:r>
      <w:r w:rsidR="00D87404" w:rsidRPr="006B15C8">
        <w:t xml:space="preserve">relative to </w:t>
      </w:r>
      <w:r w:rsidR="00FF66F3" w:rsidRPr="006B15C8">
        <w:t>pedestrians classified as “elderly.”</w:t>
      </w:r>
      <w:r w:rsidR="00D87404" w:rsidRPr="006B15C8">
        <w:t xml:space="preserve"> </w:t>
      </w:r>
    </w:p>
    <w:p w14:paraId="591E3AC1" w14:textId="50C3EE33" w:rsidR="00E471D0" w:rsidRPr="006B15C8" w:rsidRDefault="00E47669" w:rsidP="004A6C6E">
      <w:pPr>
        <w:spacing w:line="271" w:lineRule="auto"/>
        <w:ind w:firstLine="720"/>
      </w:pPr>
      <w:r w:rsidRPr="006B15C8">
        <w:t xml:space="preserve">Since 2015, there has been growing interest in the U.S. in examining the effect of pedestrian race on </w:t>
      </w:r>
      <w:r w:rsidR="00D87404" w:rsidRPr="006B15C8">
        <w:t>DUY</w:t>
      </w:r>
      <w:r w:rsidRPr="006B15C8">
        <w:t xml:space="preserve"> behavior, particularly through staged field experiments. Studies by Goddard et al. (2015),</w:t>
      </w:r>
      <w:r w:rsidR="00256F67" w:rsidRPr="006B15C8">
        <w:t xml:space="preserve"> </w:t>
      </w:r>
      <w:r w:rsidR="00256F67" w:rsidRPr="006B15C8">
        <w:fldChar w:fldCharType="begin"/>
      </w:r>
      <w:r w:rsidR="003F5890" w:rsidRPr="006B15C8">
        <w:instrText xml:space="preserve"> ADDIN ZOTERO_ITEM CSL_CITATION {"citationID":"FjGNRTON","properties":{"formattedCitation":"(Coughenour et al., 2017)","plainCitation":"(Coughenour et al., 2017)","dontUpdate":true,"noteIndex":0},"citationItems":[{"id":"ReAbCZ5Q/IyPuvxDN","uris":["http://zotero.org/groups/5098585/items/DBUB5ZJT"],"itemData":{"id":1117,"type":"article-journal","container-title":"Accident Analysis &amp; Prevention","ISSN":"0001-4575","journalAbbreviation":"Accident Analysis &amp; Prevention","note":"publisher: Elsevier","page":"96-100","title":"Examining racial bias as a potential factor in pedestrian crashes","volume":"98","author":[{"family":"Coughenour","given":"Courtney"},{"family":"Clark","given":"Sheila"},{"family":"Singh","given":"Ashok"},{"family":"Claw","given":"Eudora"},{"family":"Abelar","given":"James"},{"family":"Huebner","given":"Joshua"}],"issued":{"date-parts":[["2017"]]}}}],"schema":"https://github.com/citation-style-language/schema/raw/master/csl-citation.json"} </w:instrText>
      </w:r>
      <w:r w:rsidR="00256F67" w:rsidRPr="006B15C8">
        <w:fldChar w:fldCharType="separate"/>
      </w:r>
      <w:r w:rsidR="00256F67" w:rsidRPr="006B15C8">
        <w:t>Coughenour et al. (2017)</w:t>
      </w:r>
      <w:r w:rsidR="00256F67" w:rsidRPr="006B15C8">
        <w:fldChar w:fldCharType="end"/>
      </w:r>
      <w:r w:rsidRPr="006B15C8">
        <w:t xml:space="preserve">, and </w:t>
      </w:r>
      <w:bookmarkStart w:id="60" w:name="_Hlk203652640"/>
      <w:r w:rsidRPr="006B15C8">
        <w:t xml:space="preserve">Coughenour et al. (2020) </w:t>
      </w:r>
      <w:bookmarkEnd w:id="60"/>
      <w:r w:rsidRPr="006B15C8">
        <w:t xml:space="preserve">found that Black pedestrians experienced </w:t>
      </w:r>
      <w:r w:rsidR="00D87404" w:rsidRPr="006B15C8">
        <w:t>higher</w:t>
      </w:r>
      <w:r w:rsidRPr="006B15C8">
        <w:t xml:space="preserve"> </w:t>
      </w:r>
      <w:r w:rsidR="00D87404" w:rsidRPr="006B15C8">
        <w:t xml:space="preserve">DUY </w:t>
      </w:r>
      <w:r w:rsidRPr="006B15C8">
        <w:t xml:space="preserve">rates and longer wait times at crosswalks compared to </w:t>
      </w:r>
      <w:r w:rsidR="000473EA" w:rsidRPr="006B15C8">
        <w:t>W</w:t>
      </w:r>
      <w:r w:rsidRPr="006B15C8">
        <w:t>hite pedestrians</w:t>
      </w:r>
      <w:r w:rsidR="000323FA" w:rsidRPr="006B15C8">
        <w:t>.</w:t>
      </w:r>
      <w:r w:rsidR="00BB60D1" w:rsidRPr="006B15C8">
        <w:rPr>
          <w:rStyle w:val="FootnoteReference"/>
        </w:rPr>
        <w:footnoteReference w:id="2"/>
      </w:r>
      <w:r w:rsidRPr="006B15C8">
        <w:t xml:space="preserve"> These findings are also supported by in-person observational research by Schneider et al. (2018), which reached similar conclusions.</w:t>
      </w:r>
      <w:r w:rsidR="0033704B" w:rsidRPr="006B15C8">
        <w:t xml:space="preserve"> </w:t>
      </w:r>
      <w:r w:rsidR="00F65616" w:rsidRPr="006B15C8">
        <w:t xml:space="preserve">However, Schneider et al. (2018) reported no significant associations between </w:t>
      </w:r>
      <w:r w:rsidR="00D87404" w:rsidRPr="006B15C8">
        <w:t xml:space="preserve">DUY </w:t>
      </w:r>
      <w:r w:rsidR="00F65616" w:rsidRPr="006B15C8">
        <w:t xml:space="preserve">and site-level racial composition, such as whether the majority of pedestrians or drivers were </w:t>
      </w:r>
      <w:r w:rsidR="000473EA" w:rsidRPr="006B15C8">
        <w:t>W</w:t>
      </w:r>
      <w:r w:rsidR="00F65616" w:rsidRPr="006B15C8">
        <w:t xml:space="preserve">hite. Similarly, Anciaes et al. (2020) found no significant differences in </w:t>
      </w:r>
      <w:r w:rsidR="00D87404" w:rsidRPr="006B15C8">
        <w:t xml:space="preserve">DUY </w:t>
      </w:r>
      <w:r w:rsidR="00F65616" w:rsidRPr="006B15C8">
        <w:t>behavior toward pedestrians using a wheelchair or walking stick.</w:t>
      </w:r>
    </w:p>
    <w:p w14:paraId="77C0F1F3" w14:textId="77777777" w:rsidR="0033704B" w:rsidRPr="006B15C8" w:rsidRDefault="0033704B" w:rsidP="004A6C6E">
      <w:pPr>
        <w:spacing w:line="271" w:lineRule="auto"/>
        <w:ind w:firstLine="720"/>
      </w:pPr>
    </w:p>
    <w:p w14:paraId="400EF070" w14:textId="77777777" w:rsidR="00E471D0" w:rsidRPr="006B15C8" w:rsidRDefault="00E471D0" w:rsidP="004A6C6E">
      <w:pPr>
        <w:pStyle w:val="Heading3"/>
        <w:spacing w:line="271" w:lineRule="auto"/>
      </w:pPr>
      <w:r w:rsidRPr="006B15C8">
        <w:t>Pedestrian Activity and Contex</w:t>
      </w:r>
      <w:r w:rsidR="00733ED3" w:rsidRPr="006B15C8">
        <w:t>t</w:t>
      </w:r>
    </w:p>
    <w:p w14:paraId="182AC797" w14:textId="3395DE33" w:rsidR="00E47669" w:rsidRPr="006B15C8" w:rsidRDefault="00E471D0" w:rsidP="004A6C6E">
      <w:pPr>
        <w:spacing w:line="271" w:lineRule="auto"/>
      </w:pPr>
      <w:r w:rsidRPr="006B15C8">
        <w:t xml:space="preserve">Beyond demographic traits, specific pedestrian behaviors and contextual cues also affect driver responses. </w:t>
      </w:r>
      <w:r w:rsidR="00733ED3" w:rsidRPr="006B15C8">
        <w:t>Social context (especially g</w:t>
      </w:r>
      <w:r w:rsidRPr="006B15C8">
        <w:t>roup presence</w:t>
      </w:r>
      <w:r w:rsidR="00733ED3" w:rsidRPr="006B15C8">
        <w:t xml:space="preserve"> and group walking)</w:t>
      </w:r>
      <w:r w:rsidRPr="006B15C8">
        <w:t xml:space="preserve"> has </w:t>
      </w:r>
      <w:r w:rsidR="00E47669" w:rsidRPr="006B15C8">
        <w:t xml:space="preserve">generally </w:t>
      </w:r>
      <w:r w:rsidRPr="006B15C8">
        <w:t xml:space="preserve">been associated with </w:t>
      </w:r>
      <w:r w:rsidR="00D87404" w:rsidRPr="006B15C8">
        <w:t xml:space="preserve">lower DUY </w:t>
      </w:r>
      <w:r w:rsidRPr="006B15C8">
        <w:t>rates (Zafri et al., 2022, and Pechteep et al., 2024)</w:t>
      </w:r>
      <w:r w:rsidR="00256F67" w:rsidRPr="006B15C8">
        <w:t>,</w:t>
      </w:r>
      <w:r w:rsidR="00E47669" w:rsidRPr="006B15C8">
        <w:t xml:space="preserve"> with the exception of Dileep et al.</w:t>
      </w:r>
      <w:r w:rsidR="00256F67" w:rsidRPr="006B15C8">
        <w:t xml:space="preserve"> (</w:t>
      </w:r>
      <w:r w:rsidR="00E47669" w:rsidRPr="006B15C8">
        <w:t>2016</w:t>
      </w:r>
      <w:r w:rsidR="00256F67" w:rsidRPr="006B15C8">
        <w:t>) and</w:t>
      </w:r>
      <w:r w:rsidR="00E47669" w:rsidRPr="006B15C8">
        <w:t xml:space="preserve"> Schneider et al. </w:t>
      </w:r>
      <w:r w:rsidR="00256F67" w:rsidRPr="006B15C8">
        <w:t>(</w:t>
      </w:r>
      <w:r w:rsidR="00E47669" w:rsidRPr="006B15C8">
        <w:t>2018)</w:t>
      </w:r>
      <w:r w:rsidR="00256F67" w:rsidRPr="006B15C8">
        <w:t>, who</w:t>
      </w:r>
      <w:r w:rsidR="00E47669" w:rsidRPr="006B15C8">
        <w:t xml:space="preserve"> report</w:t>
      </w:r>
      <w:r w:rsidR="00256F67" w:rsidRPr="006B15C8">
        <w:t>ed</w:t>
      </w:r>
      <w:r w:rsidR="00E47669" w:rsidRPr="006B15C8">
        <w:t xml:space="preserve"> insignificant findings. Additionally, all studies that examined assertiveness-related variables found that assertive pedestrian behaviors, such as brisk movement toward the crosswalk, hand gestures, or making eye contact with the driver, </w:t>
      </w:r>
      <w:r w:rsidR="00D87404" w:rsidRPr="006B15C8">
        <w:t>de</w:t>
      </w:r>
      <w:r w:rsidR="00E47669" w:rsidRPr="006B15C8">
        <w:t xml:space="preserve">creased the likelihood </w:t>
      </w:r>
      <w:r w:rsidR="00D87404" w:rsidRPr="006B15C8">
        <w:t>of DUY</w:t>
      </w:r>
      <w:r w:rsidR="00E47669" w:rsidRPr="006B15C8">
        <w:t xml:space="preserve"> (Dileep et al., 2016</w:t>
      </w:r>
      <w:r w:rsidR="00D530FB" w:rsidRPr="006B15C8">
        <w:t>,</w:t>
      </w:r>
      <w:r w:rsidR="00E47669" w:rsidRPr="006B15C8">
        <w:t xml:space="preserve"> Schneider et al., 2018</w:t>
      </w:r>
      <w:r w:rsidR="00D530FB" w:rsidRPr="006B15C8">
        <w:t>,</w:t>
      </w:r>
      <w:r w:rsidR="00E47669" w:rsidRPr="006B15C8">
        <w:t xml:space="preserve"> Zafri et al., 2022).</w:t>
      </w:r>
    </w:p>
    <w:p w14:paraId="3C37A999" w14:textId="5EF195E9" w:rsidR="00E47669" w:rsidRPr="006B15C8" w:rsidRDefault="00E47669" w:rsidP="004A6C6E">
      <w:pPr>
        <w:spacing w:line="271" w:lineRule="auto"/>
        <w:ind w:firstLine="720"/>
      </w:pPr>
      <w:r w:rsidRPr="006B15C8">
        <w:t xml:space="preserve">In contrast, </w:t>
      </w:r>
      <w:r w:rsidR="00D87404" w:rsidRPr="006B15C8">
        <w:t xml:space="preserve">DUY increased in the presence of </w:t>
      </w:r>
      <w:r w:rsidRPr="006B15C8">
        <w:t xml:space="preserve">non-compliant or jaywalking pedestrians, often demonstrating sharper deceleration and shorter stopping distances (Bella and Nobili, 2020). However, Zafri et al. (2022) reported that whether or not a pedestrian used a designated crosswalk while crossing an intersection had no significant impact on </w:t>
      </w:r>
      <w:r w:rsidR="00D87404" w:rsidRPr="006B15C8">
        <w:t xml:space="preserve">DUY </w:t>
      </w:r>
      <w:r w:rsidRPr="006B15C8">
        <w:t xml:space="preserve">behavior. Their findings also indicate that </w:t>
      </w:r>
      <w:r w:rsidR="00D87404" w:rsidRPr="006B15C8">
        <w:t xml:space="preserve">DUY instances are fewer </w:t>
      </w:r>
      <w:r w:rsidRPr="006B15C8">
        <w:t xml:space="preserve">when pedestrians carry baggage, </w:t>
      </w:r>
      <w:r w:rsidR="00256F67" w:rsidRPr="006B15C8">
        <w:t xml:space="preserve">and </w:t>
      </w:r>
      <w:r w:rsidRPr="006B15C8">
        <w:t>are not distracted by mobile devices</w:t>
      </w:r>
      <w:r w:rsidR="00256F67" w:rsidRPr="006B15C8">
        <w:t xml:space="preserve"> </w:t>
      </w:r>
      <w:r w:rsidRPr="006B15C8">
        <w:t>(Zafri et al., 2022).</w:t>
      </w:r>
    </w:p>
    <w:p w14:paraId="3E721FD5" w14:textId="77777777" w:rsidR="00E47669" w:rsidRPr="006B15C8" w:rsidRDefault="00E47669" w:rsidP="004A6C6E">
      <w:pPr>
        <w:spacing w:line="271" w:lineRule="auto"/>
        <w:ind w:firstLine="720"/>
      </w:pPr>
    </w:p>
    <w:p w14:paraId="3B3C12A2" w14:textId="77777777" w:rsidR="00E471D0" w:rsidRPr="006B15C8" w:rsidRDefault="00E471D0" w:rsidP="004A6C6E">
      <w:pPr>
        <w:pStyle w:val="Heading3"/>
        <w:keepNext/>
        <w:spacing w:line="271" w:lineRule="auto"/>
      </w:pPr>
      <w:r w:rsidRPr="006B15C8">
        <w:lastRenderedPageBreak/>
        <w:t>Driver Sociodemographic</w:t>
      </w:r>
      <w:r w:rsidR="00733ED3" w:rsidRPr="006B15C8">
        <w:t>s</w:t>
      </w:r>
    </w:p>
    <w:p w14:paraId="0AA3AC0B" w14:textId="5888913E" w:rsidR="00E47669" w:rsidRPr="006B15C8" w:rsidRDefault="00E47669" w:rsidP="004A6C6E">
      <w:pPr>
        <w:keepNext/>
        <w:spacing w:line="271" w:lineRule="auto"/>
      </w:pPr>
      <w:r w:rsidRPr="006B15C8">
        <w:t>Relatively few studies have examined the influence of driver gender and age on</w:t>
      </w:r>
      <w:r w:rsidR="00D87404" w:rsidRPr="006B15C8">
        <w:t xml:space="preserve"> DUY </w:t>
      </w:r>
      <w:r w:rsidRPr="006B15C8">
        <w:t>behavior. Most of these studies reported no significant differences based on driver gender (Hirun, 2016</w:t>
      </w:r>
      <w:r w:rsidR="00D530FB" w:rsidRPr="006B15C8">
        <w:t>,</w:t>
      </w:r>
      <w:r w:rsidRPr="006B15C8">
        <w:t xml:space="preserve"> Schneider et al., 2018</w:t>
      </w:r>
      <w:r w:rsidR="00D530FB" w:rsidRPr="006B15C8">
        <w:t>,</w:t>
      </w:r>
      <w:r w:rsidRPr="006B15C8">
        <w:t xml:space="preserve"> Demir et al., 2020). However, Demir et al. (2020) noted that gender effects were significant only among middle-aged drivers, suggesting that generational shifts may be reducing gender disparities in </w:t>
      </w:r>
      <w:r w:rsidR="00D87404" w:rsidRPr="006B15C8">
        <w:t xml:space="preserve">DUY </w:t>
      </w:r>
      <w:r w:rsidRPr="006B15C8">
        <w:t>decisions. Findings on driver age are similarly inconsistent.</w:t>
      </w:r>
      <w:r w:rsidR="008D5A7F" w:rsidRPr="006B15C8">
        <w:t xml:space="preserve"> </w:t>
      </w:r>
      <w:bookmarkStart w:id="61" w:name="_Hlk203652713"/>
      <w:r w:rsidRPr="006B15C8">
        <w:t xml:space="preserve">Hirun (2016) </w:t>
      </w:r>
      <w:bookmarkEnd w:id="61"/>
      <w:r w:rsidRPr="006B15C8">
        <w:t xml:space="preserve">observed that </w:t>
      </w:r>
      <w:r w:rsidR="00D87404" w:rsidRPr="006B15C8">
        <w:t>younger</w:t>
      </w:r>
      <w:r w:rsidRPr="006B15C8">
        <w:t xml:space="preserve"> drivers were </w:t>
      </w:r>
      <w:r w:rsidR="00D87404" w:rsidRPr="006B15C8">
        <w:t>less</w:t>
      </w:r>
      <w:r w:rsidRPr="006B15C8">
        <w:t xml:space="preserve"> likely to yield, </w:t>
      </w:r>
      <w:r w:rsidR="0095180B" w:rsidRPr="006B15C8">
        <w:t xml:space="preserve">while </w:t>
      </w:r>
      <w:r w:rsidRPr="006B15C8">
        <w:t>Demir et al. (2020) found the opposite in a Turkish context</w:t>
      </w:r>
      <w:r w:rsidR="0033704B" w:rsidRPr="006B15C8">
        <w:t>,</w:t>
      </w:r>
      <w:r w:rsidR="0095180B" w:rsidRPr="006B15C8">
        <w:t xml:space="preserve"> and </w:t>
      </w:r>
      <w:r w:rsidRPr="006B15C8">
        <w:t>Schneider et al. (2018) did not report a significant association between driver age and</w:t>
      </w:r>
      <w:r w:rsidR="00D87404" w:rsidRPr="006B15C8">
        <w:t xml:space="preserve"> DUY </w:t>
      </w:r>
      <w:r w:rsidRPr="006B15C8">
        <w:t>behavior.</w:t>
      </w:r>
    </w:p>
    <w:p w14:paraId="440BD7A5" w14:textId="6495A84E" w:rsidR="00E47669" w:rsidRPr="006B15C8" w:rsidRDefault="00E47669" w:rsidP="004A6C6E">
      <w:pPr>
        <w:spacing w:line="271" w:lineRule="auto"/>
        <w:ind w:firstLine="720"/>
      </w:pPr>
      <w:r w:rsidRPr="006B15C8">
        <w:t xml:space="preserve">In addition to demographic characteristics, </w:t>
      </w:r>
      <w:r w:rsidR="009D1BEF" w:rsidRPr="006B15C8">
        <w:t xml:space="preserve">other factors such as social cues in the form of the behavior of other drivers and formal education attainment have also been found to impact </w:t>
      </w:r>
      <w:r w:rsidR="00D87404" w:rsidRPr="006B15C8">
        <w:t xml:space="preserve">DUY </w:t>
      </w:r>
      <w:r w:rsidR="009D1BEF" w:rsidRPr="006B15C8">
        <w:t xml:space="preserve">behavior. For instance, </w:t>
      </w:r>
      <w:r w:rsidR="00F627B8" w:rsidRPr="006B15C8">
        <w:t xml:space="preserve">DUY was less </w:t>
      </w:r>
      <w:r w:rsidR="009D1BEF" w:rsidRPr="006B15C8">
        <w:t xml:space="preserve">likely when </w:t>
      </w:r>
      <w:r w:rsidR="00F627B8" w:rsidRPr="006B15C8">
        <w:t xml:space="preserve">drivers </w:t>
      </w:r>
      <w:r w:rsidR="009D1BEF" w:rsidRPr="006B15C8">
        <w:t xml:space="preserve">observed a preceding vehicle yielding or witnessed a yielding event in an adjacent lane (Figliozzi and Tipagornwong, 2016), while </w:t>
      </w:r>
      <w:r w:rsidRPr="006B15C8">
        <w:t xml:space="preserve">Hirun (2016) found that drivers with </w:t>
      </w:r>
      <w:r w:rsidR="00F627B8" w:rsidRPr="006B15C8">
        <w:t xml:space="preserve">less than </w:t>
      </w:r>
      <w:r w:rsidRPr="006B15C8">
        <w:t xml:space="preserve">a bachelor’s degree and </w:t>
      </w:r>
      <w:r w:rsidR="00F627B8" w:rsidRPr="006B15C8">
        <w:t xml:space="preserve">less </w:t>
      </w:r>
      <w:r w:rsidRPr="006B15C8">
        <w:t xml:space="preserve">awareness of right-of-way laws </w:t>
      </w:r>
      <w:r w:rsidR="00F627B8" w:rsidRPr="006B15C8">
        <w:t>had higher DUY rates</w:t>
      </w:r>
      <w:r w:rsidRPr="006B15C8">
        <w:t>.</w:t>
      </w:r>
    </w:p>
    <w:p w14:paraId="155CB0E2" w14:textId="77777777" w:rsidR="00101BCB" w:rsidRPr="006B15C8" w:rsidRDefault="00101BCB" w:rsidP="004A6C6E">
      <w:pPr>
        <w:spacing w:line="271" w:lineRule="auto"/>
      </w:pPr>
    </w:p>
    <w:p w14:paraId="1FFA7CB6" w14:textId="6CD0E822" w:rsidR="00101BCB" w:rsidRPr="006B15C8" w:rsidRDefault="00101BCB" w:rsidP="004A6C6E">
      <w:pPr>
        <w:tabs>
          <w:tab w:val="left" w:pos="6309"/>
        </w:tabs>
        <w:spacing w:line="271" w:lineRule="auto"/>
        <w:rPr>
          <w:b/>
          <w:bCs/>
          <w:i/>
          <w:iCs/>
        </w:rPr>
      </w:pPr>
      <w:r w:rsidRPr="006B15C8">
        <w:rPr>
          <w:b/>
          <w:bCs/>
          <w:i/>
          <w:iCs/>
        </w:rPr>
        <w:t>2.2.4. Time-of-Day and Weather</w:t>
      </w:r>
      <w:r w:rsidR="00AA20AE" w:rsidRPr="006B15C8">
        <w:rPr>
          <w:b/>
          <w:bCs/>
          <w:i/>
          <w:iCs/>
        </w:rPr>
        <w:tab/>
      </w:r>
    </w:p>
    <w:p w14:paraId="678F04D7" w14:textId="28E8EF1A" w:rsidR="00101BCB" w:rsidRPr="006B15C8" w:rsidRDefault="00101BCB" w:rsidP="004A6C6E">
      <w:pPr>
        <w:spacing w:line="271" w:lineRule="auto"/>
      </w:pPr>
      <w:r w:rsidRPr="006B15C8">
        <w:t>The effects of time</w:t>
      </w:r>
      <w:r w:rsidR="008C222F" w:rsidRPr="006B15C8">
        <w:t>-</w:t>
      </w:r>
      <w:r w:rsidRPr="006B15C8">
        <w:t>of</w:t>
      </w:r>
      <w:r w:rsidR="008C222F" w:rsidRPr="006B15C8">
        <w:t>-</w:t>
      </w:r>
      <w:r w:rsidRPr="006B15C8">
        <w:t xml:space="preserve">day and weather conditions on </w:t>
      </w:r>
      <w:r w:rsidR="00F627B8" w:rsidRPr="006B15C8">
        <w:t xml:space="preserve">DUY </w:t>
      </w:r>
      <w:r w:rsidRPr="006B15C8">
        <w:t>behavior have also received limited attention, and the few studies that have addressed them report mostly insignificant findings (Anciaes et al., 2020</w:t>
      </w:r>
      <w:r w:rsidR="00D530FB" w:rsidRPr="006B15C8">
        <w:t>,</w:t>
      </w:r>
      <w:r w:rsidRPr="006B15C8">
        <w:t xml:space="preserve"> Demir et al., 2020</w:t>
      </w:r>
      <w:r w:rsidR="00D530FB" w:rsidRPr="006B15C8">
        <w:t>,</w:t>
      </w:r>
      <w:r w:rsidRPr="006B15C8">
        <w:t xml:space="preserve"> Fu et al., 2022).</w:t>
      </w:r>
    </w:p>
    <w:p w14:paraId="74B9AB2E" w14:textId="77777777" w:rsidR="00E471D0" w:rsidRPr="006B15C8" w:rsidRDefault="00E471D0" w:rsidP="004A6C6E">
      <w:pPr>
        <w:spacing w:line="271" w:lineRule="auto"/>
      </w:pPr>
    </w:p>
    <w:p w14:paraId="11E90650" w14:textId="77777777" w:rsidR="00E471D0" w:rsidRPr="006B15C8" w:rsidRDefault="00E471D0" w:rsidP="004A6C6E">
      <w:pPr>
        <w:pStyle w:val="Heading3"/>
        <w:numPr>
          <w:ilvl w:val="2"/>
          <w:numId w:val="26"/>
        </w:numPr>
        <w:spacing w:line="271" w:lineRule="auto"/>
        <w:ind w:left="450" w:hanging="450"/>
      </w:pPr>
      <w:r w:rsidRPr="006B15C8">
        <w:t>Vehicle</w:t>
      </w:r>
      <w:r w:rsidR="009D1BEF" w:rsidRPr="006B15C8">
        <w:t xml:space="preserve"> Characteristics</w:t>
      </w:r>
    </w:p>
    <w:p w14:paraId="33A3F59E" w14:textId="442AF402" w:rsidR="00476C9D" w:rsidRPr="006B15C8" w:rsidRDefault="009D1BEF" w:rsidP="004A6C6E">
      <w:pPr>
        <w:spacing w:line="271" w:lineRule="auto"/>
        <w:sectPr w:rsidR="00476C9D" w:rsidRPr="006B15C8" w:rsidSect="00474741">
          <w:footerReference w:type="default" r:id="rId15"/>
          <w:pgSz w:w="12240" w:h="15840"/>
          <w:pgMar w:top="1440" w:right="1440" w:bottom="1440" w:left="1440" w:header="720" w:footer="720" w:gutter="0"/>
          <w:pgNumType w:start="1"/>
          <w:cols w:space="720"/>
          <w:docGrid w:linePitch="326"/>
        </w:sectPr>
      </w:pPr>
      <w:r w:rsidRPr="006B15C8">
        <w:fldChar w:fldCharType="begin"/>
      </w:r>
      <w:r w:rsidR="00911EF4" w:rsidRPr="006B15C8">
        <w:instrText xml:space="preserve"> ADDIN ZOTERO_ITEM CSL_CITATION {"citationID":"sWOMkezP","properties":{"formattedCitation":"(Coughenour et al., 2020)","plainCitation":"(Coughenour et al., 2020)","dontUpdate":true,"noteIndex":0},"citationItems":[{"id":322,"uris":["http://zotero.org/groups/5885221/items/394Q398C"],"itemData":{"id":322,"type":"article-journal","abstract":"Introduction\nPedestrian crashes are not equitably distributed; people of color and males are overburdened. The aim of this study was to examine if driver yielding behavior differed based on gender and skin color of the pedestrian, and the estimated car cost at two midblock crosswalks in the Las Vegas metropolitan area.\nMethods\nOne white and one black female and one white and one black male crossed the intersection in a similar, prescribed manner. Crossings were video recorded. Driver yielding behavior was documented. The cost of car was estimated by cross referencing manufacturing websites and averaging the high and low values of estimated private sale. Generalized linear mixed model was applied, nesting within crossing attempt and within streets.\nResults\nOf 461 cars, 27.98% yielded to pedestrians. Cars yielded more frequently for females (31.33%) and whites (31.17%) compared to males (24.06%) and non-whites (24.78%). Cost of car was a significant predictor of driver yielding (OR = 0.97; p = 0.0307); odds of yielding decreased 3% per $1000 increase.\nDiscussion\nDriver yielding differed by cost of cars. Given previous findings, future research is needed to further examine gender and racial disparities in pedestrian crashes. Findings are significant for public health and pedestrian safety, especially given the upward trend in crash rates.","container-title":"Journal of Transport &amp; Health","DOI":"10.1016/j.jth.2020.100831","ISSN":"2214-1405","journalAbbreviation":"Journal of Transport &amp; Health","page":"100831","source":"ScienceDirect","title":"Estimated car cost as a predictor of driver yielding behaviors for pedestrians","volume":"16","author":[{"family":"Coughenour","given":"Courtney"},{"family":"Abelar","given":"James"},{"family":"Pharr","given":"Jennifer"},{"family":"Chien","given":"Lung-Chang"},{"family":"Singh","given":"Ashok"}],"issued":{"date-parts":[["2020",3,1]]}}}],"schema":"https://github.com/citation-style-language/schema/raw/master/csl-citation.json"} </w:instrText>
      </w:r>
      <w:r w:rsidRPr="006B15C8">
        <w:fldChar w:fldCharType="separate"/>
      </w:r>
      <w:r w:rsidRPr="006B15C8">
        <w:t>Coughenour et al. (2020)</w:t>
      </w:r>
      <w:r w:rsidRPr="006B15C8">
        <w:fldChar w:fldCharType="end"/>
      </w:r>
      <w:r w:rsidRPr="006B15C8">
        <w:t xml:space="preserve"> observed that drivers in expensive, high-status vehicles, often serving as a </w:t>
      </w:r>
      <w:r w:rsidRPr="006B15C8">
        <w:rPr>
          <w:rStyle w:val="Strong"/>
          <w:b w:val="0"/>
          <w:bCs w:val="0"/>
        </w:rPr>
        <w:t>proxy for social class,</w:t>
      </w:r>
      <w:r w:rsidRPr="006B15C8">
        <w:rPr>
          <w:rStyle w:val="Strong"/>
        </w:rPr>
        <w:t xml:space="preserve"> </w:t>
      </w:r>
      <w:r w:rsidR="00F627B8" w:rsidRPr="006B15C8">
        <w:t>had higher DUY rates</w:t>
      </w:r>
      <w:r w:rsidRPr="006B15C8">
        <w:t>, with</w:t>
      </w:r>
      <w:r w:rsidR="00F627B8" w:rsidRPr="006B15C8">
        <w:t xml:space="preserve"> DUY </w:t>
      </w:r>
      <w:r w:rsidRPr="006B15C8">
        <w:t xml:space="preserve">rates </w:t>
      </w:r>
      <w:r w:rsidR="00107AC0" w:rsidRPr="006B15C8">
        <w:t>in</w:t>
      </w:r>
      <w:r w:rsidRPr="006B15C8">
        <w:t xml:space="preserve">creasing by approximately 3% for every $1000 increase in vehicle price. However, </w:t>
      </w:r>
      <w:bookmarkStart w:id="62" w:name="_Hlk203652771"/>
      <w:r w:rsidRPr="006B15C8">
        <w:fldChar w:fldCharType="begin"/>
      </w:r>
      <w:r w:rsidR="00911EF4" w:rsidRPr="006B15C8">
        <w:instrText xml:space="preserve"> ADDIN ZOTERO_ITEM CSL_CITATION {"citationID":"ilJkd4KL","properties":{"formattedCitation":"(Greitemeyer, 2023)","plainCitation":"(Greitemeyer, 2023)","dontUpdate":true,"noteIndex":0},"citationItems":[{"id":321,"uris":["http://zotero.org/groups/5885221/items/V4GKF74R"],"itemData":{"id":321,"type":"article-journal","abstract":"Whereas some previous studies have shown that upper-class individuals are more unethical and less prosocial than lower-class individuals, other studies reported contradictory results. The present research provides two replication attempts by examining whether upper-class drivers would be more likely to cut off a pedestrian at a marked crosswalk (Study 1) and less likely to let a pedestrian cross an unmarked pedestrian crossing (Study 2) than lower-class drivers. In both studies, the vehicle status as an index of the social class of the driver was not significantly related to whether the driver let the pedestrian cross the street. Overall, it appears that the associations between social class and unethical behavior and prosocial behavior are less robust and generalizable than initially thought.","container-title":"Social Influence","DOI":"10.1080/15534510.2023.2203947","ISSN":"1553-4510","issue":"1","note":"publisher: Routledge\n_eprint: https://doi.org/10.1080/15534510.2023.2203947","page":"2203947","source":"Taylor and Francis+NEJM","title":"The relationship between social class and unethical and prosocial (traffic) behavior: two naturalistic replication studies","title-short":"The relationship between social class and unethical and prosocial (traffic) behavior","volume":"18","author":[{"family":"Greitemeyer","given":"Tobias"}],"issued":{"date-parts":[["2023",12,31]]}}}],"schema":"https://github.com/citation-style-language/schema/raw/master/csl-citation.json"} </w:instrText>
      </w:r>
      <w:r w:rsidRPr="006B15C8">
        <w:fldChar w:fldCharType="separate"/>
      </w:r>
      <w:r w:rsidRPr="006B15C8">
        <w:t>Greitemeyer (2023)</w:t>
      </w:r>
      <w:r w:rsidRPr="006B15C8">
        <w:fldChar w:fldCharType="end"/>
      </w:r>
      <w:r w:rsidRPr="006B15C8">
        <w:t xml:space="preserve"> </w:t>
      </w:r>
      <w:bookmarkEnd w:id="62"/>
      <w:r w:rsidRPr="006B15C8">
        <w:t xml:space="preserve">presented a contrasting view, noting that </w:t>
      </w:r>
      <w:r w:rsidRPr="006B15C8">
        <w:rPr>
          <w:rStyle w:val="Strong"/>
          <w:b w:val="0"/>
          <w:bCs w:val="0"/>
        </w:rPr>
        <w:t>vehicle status was not significantly related</w:t>
      </w:r>
      <w:r w:rsidRPr="006B15C8">
        <w:rPr>
          <w:b/>
          <w:bCs/>
        </w:rPr>
        <w:t xml:space="preserve"> </w:t>
      </w:r>
      <w:r w:rsidRPr="006B15C8">
        <w:t>to whether a driver yielded or drove through a crosswalk whe</w:t>
      </w:r>
      <w:r w:rsidR="0095180B" w:rsidRPr="006B15C8">
        <w:t>n</w:t>
      </w:r>
      <w:r w:rsidRPr="006B15C8">
        <w:t xml:space="preserve"> a pedestrian was waiting.</w:t>
      </w:r>
      <w:r w:rsidR="001E6EC4" w:rsidRPr="006B15C8">
        <w:t xml:space="preserve"> </w:t>
      </w:r>
      <w:r w:rsidR="00600870" w:rsidRPr="006B15C8">
        <w:t xml:space="preserve">Studies have </w:t>
      </w:r>
      <w:r w:rsidR="001E6EC4" w:rsidRPr="006B15C8">
        <w:t xml:space="preserve">also </w:t>
      </w:r>
      <w:r w:rsidR="00600870" w:rsidRPr="006B15C8">
        <w:t>found that drivers of larger or more powerful vehicles, such as SUVs, pickup trucks, and heavy vehicles, are generally less likely to yield to pedestrians (</w:t>
      </w:r>
      <w:r w:rsidR="00600870" w:rsidRPr="006B15C8">
        <w:fldChar w:fldCharType="begin"/>
      </w:r>
      <w:r w:rsidR="00911EF4" w:rsidRPr="006B15C8">
        <w:instrText xml:space="preserve"> ADDIN ZOTERO_ITEM CSL_CITATION {"citationID":"kyzSthHf","properties":{"formattedCitation":"(Dileep et al., 2016)","plainCitation":"(Dileep et al., 2016)","dontUpdate":true,"noteIndex":0},"citationItems":[{"id":146,"uris":["http://zotero.org/groups/5885221/items/L966HG5C"],"itemData":{"id":146,"type":"article-journal","abstract":"The basic mode of transportation from one place to other is to walk. In the present scenario where the focus is high on sustainability, walkability and multi-modal transportation in urban infrastructure; it is time to understand how well these will merge with the existing culture of the road users; both pedestrians as well as drivers. With this work the aim is to understand one aspect, the pedestrianvehicle interaction at unsignalized mid-block pedestrian crosswalks. An attempt to study the yielding behaviour of drivers to a pedestrian waiting to cross is made. The study is conducted in the undivided two lane city roads of Kochi. Four locations viz., three crosswalks at Park Avenue Road and one at NH 85 are chosen as part of the study. Video survey, radar gun and manual methods were used for data collection. The analysis is using non-parametric tests for the various variables which were coded and extracted from the collected data. Specific outcome of this study include analysis of the driver and pedestrian behaviour and the characteristics that contribute to yielding of drivers. The observations showed 28.71% soft or rolling yield and that yield of the driver depended on speed of the vehicle, and assertiveness of the pedestrian.","container-title":"International Journal of Scientific &amp; Engineering Research","issue":"9","language":"en","source":"Zotero","title":"Study on Driver Yielding to Pedestrians at Unsignalized Crosswalks","URL":"https://d1wqtxts1xzle7.cloudfront.net/76223189/Study-on-Driver-Yielding-to-Pedestrians-at-Unsignalized-Crosswalks-libre.pdf?1639421553=&amp;response-content-disposition=inline%3B+filename%3DStudy_on_Driver_Yielding_to_Pedestrians.pdf&amp;Expires=1745855506&amp;Signature=OeG9NpXY0DN2MQlLDsUm25KEn5Ge-Umk8Re4qs0o9hInWP~00tA-wCWURNjkHzPFCFB-4gskcNFvJFgB5-vRuBfiqJk7acewpBgD5L1c4FqMvut5wVkwEaBvla0LTHq93ojNiMwrudqTR~17LC8AFdsGvc5oqNXFXoNvrZSpnboUGVDg-nGssnVBxWHhY8Gw2lb8BdWKUCkcdc0cFwrGf5sG6kwjhH6Ig2kBs7jVm0wPjBEFXITsDtYZetiqsT8kIoSOfgz7KwNa9oInbI38Hmcw9zHzL3muyVqwm565K-kEirJ1Xxukck5PNW6VhU6Lm6anRDtVtffdqFSogSsVQw__&amp;Key-Pair-Id=APKAJLOHF5GGSLRBV4ZA","volume":"7","author":[{"family":"Dileep","given":"Reva"},{"family":"Koshy","given":"Dr Bino I"},{"family":"Sam","given":"Ebin"}],"issued":{"date-parts":[["2016"]]}}}],"schema":"https://github.com/citation-style-language/schema/raw/master/csl-citation.json"} </w:instrText>
      </w:r>
      <w:r w:rsidR="00600870" w:rsidRPr="006B15C8">
        <w:fldChar w:fldCharType="separate"/>
      </w:r>
      <w:r w:rsidR="00600870" w:rsidRPr="006B15C8">
        <w:t>Dileep et al., 2016</w:t>
      </w:r>
      <w:r w:rsidR="00600870" w:rsidRPr="006B15C8">
        <w:fldChar w:fldCharType="end"/>
      </w:r>
      <w:r w:rsidR="00600870" w:rsidRPr="006B15C8">
        <w:t xml:space="preserve">, and </w:t>
      </w:r>
      <w:r w:rsidR="00B4098C" w:rsidRPr="006B15C8">
        <w:fldChar w:fldCharType="begin"/>
      </w:r>
      <w:r w:rsidR="00911EF4" w:rsidRPr="006B15C8">
        <w:instrText xml:space="preserve"> ADDIN ZOTERO_ITEM CSL_CITATION {"citationID":"2VURthcC","properties":{"formattedCitation":"(Figliozzi &amp; Tipagornwong, 2016)","plainCitation":"(Figliozzi &amp; Tipagornwong, 2016)","dontUpdate":true,"noteIndex":0},"citationItems":[{"id":312,"uris":["http://zotero.org/groups/5885221/items/LJ9Z2H3M"],"itemData":{"id":312,"type":"article-journal","abstract":"Walking is encouraged by many transportation agencies as a sustainable mode that contributes to livable downtowns. Since pedestrians are the most vulnerable road users, safe and comfortable crosswalks are essential to ensure that pedestrian travel becomes an appealing alternative. In this context, the goal of this research is to study the traffic and vehicle trajectory factors that affect crosswalk law compliance and stopping distance from the crosswalk. The results of this research provide new insights into the relationships between traffic conditions, vehicle trajectory, and compliance rates. Results indicate that vehicle origin, vehicle type, stopping at upstream traffic lights, and changes in vehicle speed and headways are key factors to predict pedestrian crosswalk law compliance and stopping behavior; changes in vehicle speed and headways have the highest explanatory power.","container-title":"Accident Analysis &amp; Prevention","DOI":"10.1016/j.aap.2016.08.011","ISSN":"0001-4575","journalAbbreviation":"Accident Analysis &amp; Prevention","page":"169-179","source":"ScienceDirect","title":"Pedestrian Crosswalk Law: A study of traffic and trajectory factors that affect non-compliance and stopping distance","title-short":"Pedestrian Crosswalk Law","volume":"96","author":[{"family":"Figliozzi","given":"Miguel A."},{"family":"Tipagornwong","given":"Chawalit"}],"issued":{"date-parts":[["2016",11,1]]}}}],"schema":"https://github.com/citation-style-language/schema/raw/master/csl-citation.json"} </w:instrText>
      </w:r>
      <w:r w:rsidR="00B4098C" w:rsidRPr="006B15C8">
        <w:fldChar w:fldCharType="separate"/>
      </w:r>
      <w:r w:rsidR="00B4098C" w:rsidRPr="006B15C8">
        <w:t>Figliozzi and Tipagornwong</w:t>
      </w:r>
      <w:r w:rsidR="00600870" w:rsidRPr="006B15C8">
        <w:t>,</w:t>
      </w:r>
      <w:r w:rsidR="00B4098C" w:rsidRPr="006B15C8">
        <w:t xml:space="preserve"> 2016)</w:t>
      </w:r>
      <w:r w:rsidR="00B4098C" w:rsidRPr="006B15C8">
        <w:fldChar w:fldCharType="end"/>
      </w:r>
      <w:r w:rsidR="00C83D09" w:rsidRPr="006B15C8">
        <w:t xml:space="preserve">. These patterns may reflect </w:t>
      </w:r>
      <w:r w:rsidR="00B4098C" w:rsidRPr="006B15C8">
        <w:t xml:space="preserve">visibility </w:t>
      </w:r>
      <w:r w:rsidR="00C83D09" w:rsidRPr="006B15C8">
        <w:t>differences</w:t>
      </w:r>
      <w:r w:rsidR="00B4098C" w:rsidRPr="006B15C8">
        <w:t>, a sense of greater protection, or potentially different driving attitudes associated with these vehicle types.</w:t>
      </w:r>
    </w:p>
    <w:p w14:paraId="34127DF9" w14:textId="2CB553F7" w:rsidR="008C222F" w:rsidRPr="006B15C8" w:rsidRDefault="008C222F" w:rsidP="008C222F">
      <w:pPr>
        <w:jc w:val="left"/>
        <w:rPr>
          <w:b/>
          <w:bCs/>
          <w:sz w:val="22"/>
          <w:szCs w:val="22"/>
        </w:rPr>
      </w:pPr>
      <w:r w:rsidRPr="006B15C8">
        <w:rPr>
          <w:b/>
          <w:bCs/>
          <w:sz w:val="22"/>
          <w:szCs w:val="22"/>
        </w:rPr>
        <w:lastRenderedPageBreak/>
        <w:t xml:space="preserve">Table 1. Summary of Literature on </w:t>
      </w:r>
      <w:r w:rsidR="00107AC0" w:rsidRPr="006B15C8">
        <w:rPr>
          <w:b/>
          <w:bCs/>
          <w:sz w:val="22"/>
          <w:szCs w:val="22"/>
        </w:rPr>
        <w:t>Non-Compliant P</w:t>
      </w:r>
      <w:r w:rsidRPr="006B15C8">
        <w:rPr>
          <w:b/>
          <w:bCs/>
          <w:sz w:val="22"/>
          <w:szCs w:val="22"/>
        </w:rPr>
        <w:t xml:space="preserve">edestrian </w:t>
      </w:r>
      <w:r w:rsidR="00107AC0" w:rsidRPr="006B15C8">
        <w:rPr>
          <w:b/>
          <w:bCs/>
          <w:sz w:val="22"/>
          <w:szCs w:val="22"/>
        </w:rPr>
        <w:t>C</w:t>
      </w:r>
      <w:r w:rsidRPr="006B15C8">
        <w:rPr>
          <w:b/>
          <w:bCs/>
          <w:sz w:val="22"/>
          <w:szCs w:val="22"/>
        </w:rPr>
        <w:t xml:space="preserve">rossing </w:t>
      </w:r>
      <w:r w:rsidR="00107AC0" w:rsidRPr="006B15C8">
        <w:rPr>
          <w:b/>
          <w:bCs/>
          <w:sz w:val="22"/>
          <w:szCs w:val="22"/>
        </w:rPr>
        <w:t xml:space="preserve">(NCPC) </w:t>
      </w:r>
      <w:r w:rsidRPr="006B15C8">
        <w:rPr>
          <w:b/>
          <w:bCs/>
          <w:sz w:val="22"/>
          <w:szCs w:val="22"/>
        </w:rPr>
        <w:t xml:space="preserve">Behavior </w:t>
      </w:r>
    </w:p>
    <w:tbl>
      <w:tblPr>
        <w:tblpPr w:leftFromText="180" w:rightFromText="180" w:vertAnchor="text" w:tblpY="1"/>
        <w:tblOverlap w:val="never"/>
        <w:tblW w:w="4991"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0"/>
        <w:gridCol w:w="1288"/>
        <w:gridCol w:w="1279"/>
        <w:gridCol w:w="1796"/>
        <w:gridCol w:w="647"/>
        <w:gridCol w:w="2525"/>
        <w:gridCol w:w="607"/>
        <w:gridCol w:w="630"/>
        <w:gridCol w:w="540"/>
        <w:gridCol w:w="739"/>
        <w:gridCol w:w="776"/>
        <w:gridCol w:w="770"/>
        <w:gridCol w:w="630"/>
        <w:gridCol w:w="700"/>
      </w:tblGrid>
      <w:tr w:rsidR="003157CB" w:rsidRPr="006B15C8" w14:paraId="139876B4" w14:textId="77777777" w:rsidTr="004D553B">
        <w:trPr>
          <w:trHeight w:val="57"/>
          <w:tblHeader/>
        </w:trPr>
        <w:tc>
          <w:tcPr>
            <w:tcW w:w="402" w:type="pct"/>
            <w:vMerge w:val="restart"/>
            <w:tcBorders>
              <w:top w:val="double" w:sz="4" w:space="0" w:color="auto"/>
              <w:left w:val="double" w:sz="4" w:space="0" w:color="auto"/>
              <w:bottom w:val="double" w:sz="4" w:space="0" w:color="auto"/>
              <w:right w:val="single" w:sz="4" w:space="0" w:color="auto"/>
            </w:tcBorders>
            <w:shd w:val="clear" w:color="auto" w:fill="F2F2F2"/>
            <w:vAlign w:val="center"/>
            <w:hideMark/>
          </w:tcPr>
          <w:p w14:paraId="44778F8D" w14:textId="77777777" w:rsidR="008C222F" w:rsidRPr="006B15C8" w:rsidRDefault="008C222F" w:rsidP="004D553B">
            <w:pPr>
              <w:spacing w:line="240" w:lineRule="auto"/>
              <w:jc w:val="center"/>
              <w:rPr>
                <w:b/>
                <w:bCs/>
                <w:sz w:val="16"/>
                <w:szCs w:val="16"/>
              </w:rPr>
            </w:pPr>
            <w:r w:rsidRPr="006B15C8">
              <w:rPr>
                <w:b/>
                <w:bCs/>
                <w:sz w:val="16"/>
                <w:szCs w:val="16"/>
              </w:rPr>
              <w:t>Reference</w:t>
            </w:r>
          </w:p>
        </w:tc>
        <w:tc>
          <w:tcPr>
            <w:tcW w:w="458" w:type="pct"/>
            <w:vMerge w:val="restart"/>
            <w:tcBorders>
              <w:top w:val="double" w:sz="4" w:space="0" w:color="auto"/>
              <w:left w:val="single" w:sz="4" w:space="0" w:color="auto"/>
              <w:bottom w:val="double" w:sz="4" w:space="0" w:color="auto"/>
              <w:right w:val="single" w:sz="4" w:space="0" w:color="auto"/>
            </w:tcBorders>
            <w:shd w:val="clear" w:color="auto" w:fill="F2F2F2"/>
            <w:vAlign w:val="center"/>
            <w:hideMark/>
          </w:tcPr>
          <w:p w14:paraId="39CAE2C0" w14:textId="77777777" w:rsidR="008C222F" w:rsidRPr="006B15C8" w:rsidRDefault="008C222F" w:rsidP="004D553B">
            <w:pPr>
              <w:spacing w:line="240" w:lineRule="auto"/>
              <w:jc w:val="center"/>
              <w:rPr>
                <w:b/>
                <w:bCs/>
                <w:sz w:val="16"/>
                <w:szCs w:val="16"/>
              </w:rPr>
            </w:pPr>
            <w:r w:rsidRPr="006B15C8">
              <w:rPr>
                <w:b/>
                <w:bCs/>
                <w:sz w:val="16"/>
                <w:szCs w:val="16"/>
              </w:rPr>
              <w:t>Country/ Region</w:t>
            </w:r>
          </w:p>
        </w:tc>
        <w:tc>
          <w:tcPr>
            <w:tcW w:w="455" w:type="pct"/>
            <w:vMerge w:val="restart"/>
            <w:tcBorders>
              <w:top w:val="double" w:sz="4" w:space="0" w:color="auto"/>
              <w:left w:val="single" w:sz="4" w:space="0" w:color="auto"/>
              <w:bottom w:val="double" w:sz="4" w:space="0" w:color="auto"/>
              <w:right w:val="single" w:sz="4" w:space="0" w:color="auto"/>
            </w:tcBorders>
            <w:shd w:val="clear" w:color="auto" w:fill="F2F2F2"/>
            <w:vAlign w:val="center"/>
            <w:hideMark/>
          </w:tcPr>
          <w:p w14:paraId="3769A103" w14:textId="77777777" w:rsidR="008C222F" w:rsidRPr="006B15C8" w:rsidRDefault="008C222F" w:rsidP="004D553B">
            <w:pPr>
              <w:spacing w:line="240" w:lineRule="auto"/>
              <w:jc w:val="center"/>
              <w:rPr>
                <w:b/>
                <w:bCs/>
                <w:sz w:val="16"/>
                <w:szCs w:val="16"/>
              </w:rPr>
            </w:pPr>
            <w:r w:rsidRPr="006B15C8">
              <w:rPr>
                <w:b/>
                <w:bCs/>
                <w:sz w:val="16"/>
                <w:szCs w:val="16"/>
              </w:rPr>
              <w:t>Data collection duration</w:t>
            </w:r>
          </w:p>
        </w:tc>
        <w:tc>
          <w:tcPr>
            <w:tcW w:w="639" w:type="pct"/>
            <w:vMerge w:val="restart"/>
            <w:tcBorders>
              <w:top w:val="double" w:sz="4" w:space="0" w:color="auto"/>
              <w:left w:val="single" w:sz="4" w:space="0" w:color="auto"/>
              <w:bottom w:val="double" w:sz="4" w:space="0" w:color="auto"/>
              <w:right w:val="single" w:sz="4" w:space="0" w:color="auto"/>
            </w:tcBorders>
            <w:shd w:val="clear" w:color="auto" w:fill="F2F2F2"/>
            <w:vAlign w:val="center"/>
            <w:hideMark/>
          </w:tcPr>
          <w:p w14:paraId="6A52D1F2" w14:textId="77777777" w:rsidR="008C222F" w:rsidRPr="006B15C8" w:rsidRDefault="008C222F" w:rsidP="004D553B">
            <w:pPr>
              <w:spacing w:line="240" w:lineRule="auto"/>
              <w:jc w:val="center"/>
              <w:rPr>
                <w:b/>
                <w:bCs/>
                <w:sz w:val="16"/>
                <w:szCs w:val="16"/>
              </w:rPr>
            </w:pPr>
            <w:r w:rsidRPr="006B15C8">
              <w:rPr>
                <w:b/>
                <w:bCs/>
                <w:sz w:val="16"/>
                <w:szCs w:val="16"/>
              </w:rPr>
              <w:t>Locations (Type/ Number)</w:t>
            </w:r>
          </w:p>
        </w:tc>
        <w:tc>
          <w:tcPr>
            <w:tcW w:w="230" w:type="pct"/>
            <w:vMerge w:val="restart"/>
            <w:tcBorders>
              <w:top w:val="double" w:sz="4" w:space="0" w:color="auto"/>
              <w:left w:val="single" w:sz="4" w:space="0" w:color="auto"/>
              <w:bottom w:val="double" w:sz="4" w:space="0" w:color="auto"/>
              <w:right w:val="single" w:sz="4" w:space="0" w:color="auto"/>
            </w:tcBorders>
            <w:shd w:val="clear" w:color="auto" w:fill="F2F2F2"/>
            <w:vAlign w:val="center"/>
            <w:hideMark/>
          </w:tcPr>
          <w:p w14:paraId="064D134C" w14:textId="77777777" w:rsidR="008C222F" w:rsidRPr="006B15C8" w:rsidRDefault="008C222F" w:rsidP="004D553B">
            <w:pPr>
              <w:spacing w:line="240" w:lineRule="auto"/>
              <w:jc w:val="center"/>
              <w:rPr>
                <w:b/>
                <w:bCs/>
                <w:sz w:val="16"/>
                <w:szCs w:val="16"/>
              </w:rPr>
            </w:pPr>
            <w:r w:rsidRPr="006B15C8">
              <w:rPr>
                <w:b/>
                <w:bCs/>
                <w:sz w:val="16"/>
                <w:szCs w:val="16"/>
              </w:rPr>
              <w:t>No. of Obs.</w:t>
            </w:r>
          </w:p>
        </w:tc>
        <w:tc>
          <w:tcPr>
            <w:tcW w:w="898" w:type="pct"/>
            <w:vMerge w:val="restart"/>
            <w:tcBorders>
              <w:top w:val="double" w:sz="4" w:space="0" w:color="auto"/>
              <w:left w:val="single" w:sz="4" w:space="0" w:color="auto"/>
              <w:bottom w:val="double" w:sz="4" w:space="0" w:color="auto"/>
              <w:right w:val="double" w:sz="4" w:space="0" w:color="auto"/>
            </w:tcBorders>
            <w:shd w:val="clear" w:color="auto" w:fill="F2F2F2"/>
            <w:vAlign w:val="center"/>
            <w:hideMark/>
          </w:tcPr>
          <w:p w14:paraId="55EA110A" w14:textId="77777777" w:rsidR="008C222F" w:rsidRPr="006B15C8" w:rsidRDefault="008C222F" w:rsidP="004D553B">
            <w:pPr>
              <w:spacing w:line="240" w:lineRule="auto"/>
              <w:jc w:val="center"/>
              <w:rPr>
                <w:b/>
                <w:bCs/>
                <w:sz w:val="16"/>
                <w:szCs w:val="16"/>
              </w:rPr>
            </w:pPr>
            <w:r w:rsidRPr="006B15C8">
              <w:rPr>
                <w:b/>
                <w:bCs/>
                <w:sz w:val="16"/>
                <w:szCs w:val="16"/>
              </w:rPr>
              <w:t>Measured Outcomes</w:t>
            </w:r>
          </w:p>
        </w:tc>
        <w:tc>
          <w:tcPr>
            <w:tcW w:w="632" w:type="pct"/>
            <w:gridSpan w:val="3"/>
            <w:tcBorders>
              <w:top w:val="double" w:sz="4" w:space="0" w:color="auto"/>
              <w:left w:val="double" w:sz="4" w:space="0" w:color="auto"/>
              <w:bottom w:val="double" w:sz="4" w:space="0" w:color="auto"/>
              <w:right w:val="double" w:sz="4" w:space="0" w:color="auto"/>
            </w:tcBorders>
            <w:shd w:val="clear" w:color="auto" w:fill="F2F2F2"/>
            <w:vAlign w:val="center"/>
            <w:hideMark/>
          </w:tcPr>
          <w:p w14:paraId="0F9CA2F3" w14:textId="77777777" w:rsidR="008C222F" w:rsidRPr="006B15C8" w:rsidRDefault="008C222F" w:rsidP="004D553B">
            <w:pPr>
              <w:spacing w:line="240" w:lineRule="auto"/>
              <w:jc w:val="center"/>
              <w:rPr>
                <w:b/>
                <w:bCs/>
                <w:sz w:val="16"/>
                <w:szCs w:val="16"/>
              </w:rPr>
            </w:pPr>
            <w:r w:rsidRPr="006B15C8">
              <w:rPr>
                <w:b/>
                <w:bCs/>
                <w:sz w:val="16"/>
                <w:szCs w:val="16"/>
              </w:rPr>
              <w:t>Pedestrian Sociodemographics</w:t>
            </w:r>
          </w:p>
        </w:tc>
        <w:tc>
          <w:tcPr>
            <w:tcW w:w="813" w:type="pct"/>
            <w:gridSpan w:val="3"/>
            <w:tcBorders>
              <w:top w:val="double" w:sz="4" w:space="0" w:color="auto"/>
              <w:left w:val="double" w:sz="4" w:space="0" w:color="auto"/>
              <w:bottom w:val="double" w:sz="4" w:space="0" w:color="auto"/>
              <w:right w:val="double" w:sz="4" w:space="0" w:color="auto"/>
            </w:tcBorders>
            <w:shd w:val="clear" w:color="auto" w:fill="F2F2F2"/>
            <w:vAlign w:val="center"/>
            <w:hideMark/>
          </w:tcPr>
          <w:p w14:paraId="0723F07D" w14:textId="77777777" w:rsidR="008C222F" w:rsidRPr="006B15C8" w:rsidRDefault="008C222F" w:rsidP="004D553B">
            <w:pPr>
              <w:spacing w:line="240" w:lineRule="auto"/>
              <w:jc w:val="center"/>
              <w:rPr>
                <w:b/>
                <w:bCs/>
                <w:sz w:val="16"/>
                <w:szCs w:val="16"/>
              </w:rPr>
            </w:pPr>
            <w:r w:rsidRPr="006B15C8">
              <w:rPr>
                <w:b/>
                <w:bCs/>
                <w:sz w:val="16"/>
                <w:szCs w:val="16"/>
              </w:rPr>
              <w:t xml:space="preserve">Pedestrian Activity </w:t>
            </w:r>
            <w:r w:rsidR="001114DB" w:rsidRPr="006B15C8">
              <w:rPr>
                <w:b/>
                <w:bCs/>
                <w:sz w:val="16"/>
                <w:szCs w:val="16"/>
              </w:rPr>
              <w:t>and</w:t>
            </w:r>
            <w:r w:rsidRPr="006B15C8">
              <w:rPr>
                <w:b/>
                <w:bCs/>
                <w:sz w:val="16"/>
                <w:szCs w:val="16"/>
              </w:rPr>
              <w:t xml:space="preserve"> Context</w:t>
            </w:r>
          </w:p>
        </w:tc>
        <w:tc>
          <w:tcPr>
            <w:tcW w:w="473" w:type="pct"/>
            <w:gridSpan w:val="2"/>
            <w:tcBorders>
              <w:top w:val="double" w:sz="4" w:space="0" w:color="auto"/>
              <w:left w:val="double" w:sz="4" w:space="0" w:color="auto"/>
              <w:bottom w:val="double" w:sz="4" w:space="0" w:color="auto"/>
              <w:right w:val="double" w:sz="4" w:space="0" w:color="auto"/>
            </w:tcBorders>
            <w:shd w:val="clear" w:color="auto" w:fill="F2F2F2"/>
            <w:vAlign w:val="center"/>
            <w:hideMark/>
          </w:tcPr>
          <w:p w14:paraId="08CDA555" w14:textId="77777777" w:rsidR="008C222F" w:rsidRPr="006B15C8" w:rsidRDefault="008C222F" w:rsidP="004D553B">
            <w:pPr>
              <w:spacing w:line="240" w:lineRule="auto"/>
              <w:jc w:val="center"/>
              <w:rPr>
                <w:b/>
                <w:bCs/>
                <w:sz w:val="16"/>
                <w:szCs w:val="16"/>
              </w:rPr>
            </w:pPr>
            <w:r w:rsidRPr="006B15C8">
              <w:rPr>
                <w:b/>
                <w:bCs/>
                <w:sz w:val="16"/>
                <w:szCs w:val="16"/>
              </w:rPr>
              <w:t>Time-of-Day/</w:t>
            </w:r>
          </w:p>
          <w:p w14:paraId="544C7104" w14:textId="77777777" w:rsidR="008C222F" w:rsidRPr="006B15C8" w:rsidRDefault="008C222F" w:rsidP="004D553B">
            <w:pPr>
              <w:spacing w:line="240" w:lineRule="auto"/>
              <w:jc w:val="center"/>
              <w:rPr>
                <w:b/>
                <w:bCs/>
                <w:sz w:val="16"/>
                <w:szCs w:val="16"/>
              </w:rPr>
            </w:pPr>
            <w:r w:rsidRPr="006B15C8">
              <w:rPr>
                <w:b/>
                <w:bCs/>
                <w:sz w:val="16"/>
                <w:szCs w:val="16"/>
              </w:rPr>
              <w:t>Weather</w:t>
            </w:r>
          </w:p>
        </w:tc>
      </w:tr>
      <w:tr w:rsidR="003157CB" w:rsidRPr="006B15C8" w14:paraId="448A879A" w14:textId="77777777" w:rsidTr="004D553B">
        <w:trPr>
          <w:cantSplit/>
          <w:trHeight w:val="380"/>
          <w:tblHead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B0E9F78" w14:textId="77777777" w:rsidR="008C222F" w:rsidRPr="006B15C8" w:rsidRDefault="008C222F" w:rsidP="004D553B">
            <w:pPr>
              <w:spacing w:line="240" w:lineRule="auto"/>
              <w:jc w:val="left"/>
              <w:rPr>
                <w:b/>
                <w:bCs/>
                <w:sz w:val="16"/>
                <w:szCs w:val="16"/>
              </w:rPr>
            </w:pPr>
          </w:p>
        </w:tc>
        <w:tc>
          <w:tcPr>
            <w:tcW w:w="458" w:type="pct"/>
            <w:vMerge/>
            <w:tcBorders>
              <w:top w:val="double" w:sz="4" w:space="0" w:color="auto"/>
              <w:left w:val="single" w:sz="4" w:space="0" w:color="auto"/>
              <w:bottom w:val="double" w:sz="4" w:space="0" w:color="auto"/>
              <w:right w:val="single" w:sz="4" w:space="0" w:color="auto"/>
            </w:tcBorders>
            <w:vAlign w:val="center"/>
            <w:hideMark/>
          </w:tcPr>
          <w:p w14:paraId="5B08B4C1" w14:textId="77777777" w:rsidR="008C222F" w:rsidRPr="006B15C8" w:rsidRDefault="008C222F" w:rsidP="004D553B">
            <w:pPr>
              <w:spacing w:line="240" w:lineRule="auto"/>
              <w:jc w:val="left"/>
              <w:rPr>
                <w:b/>
                <w:bCs/>
                <w:sz w:val="16"/>
                <w:szCs w:val="16"/>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780B3B1C" w14:textId="77777777" w:rsidR="008C222F" w:rsidRPr="006B15C8" w:rsidRDefault="008C222F" w:rsidP="004D553B">
            <w:pPr>
              <w:spacing w:line="240" w:lineRule="auto"/>
              <w:jc w:val="left"/>
              <w:rPr>
                <w:b/>
                <w:bCs/>
                <w:sz w:val="16"/>
                <w:szCs w:val="16"/>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61E789B2" w14:textId="77777777" w:rsidR="008C222F" w:rsidRPr="006B15C8" w:rsidRDefault="008C222F" w:rsidP="004D553B">
            <w:pPr>
              <w:spacing w:line="240" w:lineRule="auto"/>
              <w:jc w:val="left"/>
              <w:rPr>
                <w:b/>
                <w:bCs/>
                <w:sz w:val="16"/>
                <w:szCs w:val="16"/>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0A9A5A7E" w14:textId="77777777" w:rsidR="008C222F" w:rsidRPr="006B15C8" w:rsidRDefault="008C222F" w:rsidP="004D553B">
            <w:pPr>
              <w:spacing w:line="240" w:lineRule="auto"/>
              <w:jc w:val="left"/>
              <w:rPr>
                <w:b/>
                <w:bCs/>
                <w:sz w:val="16"/>
                <w:szCs w:val="16"/>
              </w:rPr>
            </w:pPr>
          </w:p>
        </w:tc>
        <w:tc>
          <w:tcPr>
            <w:tcW w:w="898" w:type="pct"/>
            <w:vMerge/>
            <w:tcBorders>
              <w:top w:val="double" w:sz="4" w:space="0" w:color="auto"/>
              <w:left w:val="single" w:sz="4" w:space="0" w:color="auto"/>
              <w:bottom w:val="double" w:sz="4" w:space="0" w:color="auto"/>
              <w:right w:val="double" w:sz="4" w:space="0" w:color="auto"/>
            </w:tcBorders>
            <w:vAlign w:val="center"/>
            <w:hideMark/>
          </w:tcPr>
          <w:p w14:paraId="5E8E4BAB" w14:textId="77777777" w:rsidR="008C222F" w:rsidRPr="006B15C8" w:rsidRDefault="008C222F" w:rsidP="004D553B">
            <w:pPr>
              <w:spacing w:line="240" w:lineRule="auto"/>
              <w:jc w:val="left"/>
              <w:rPr>
                <w:b/>
                <w:bCs/>
                <w:sz w:val="16"/>
                <w:szCs w:val="16"/>
              </w:rPr>
            </w:pPr>
          </w:p>
        </w:tc>
        <w:tc>
          <w:tcPr>
            <w:tcW w:w="216" w:type="pct"/>
            <w:tcBorders>
              <w:top w:val="double" w:sz="4" w:space="0" w:color="auto"/>
              <w:left w:val="double" w:sz="4" w:space="0" w:color="auto"/>
              <w:bottom w:val="double" w:sz="4" w:space="0" w:color="auto"/>
              <w:right w:val="single" w:sz="4" w:space="0" w:color="auto"/>
            </w:tcBorders>
            <w:shd w:val="clear" w:color="auto" w:fill="F2F2F2"/>
            <w:vAlign w:val="center"/>
            <w:hideMark/>
          </w:tcPr>
          <w:p w14:paraId="13F9CC4B" w14:textId="77777777" w:rsidR="008C222F" w:rsidRPr="006B15C8" w:rsidRDefault="008C222F" w:rsidP="004D553B">
            <w:pPr>
              <w:spacing w:line="240" w:lineRule="auto"/>
              <w:jc w:val="center"/>
              <w:rPr>
                <w:b/>
                <w:bCs/>
                <w:sz w:val="16"/>
                <w:szCs w:val="16"/>
              </w:rPr>
            </w:pPr>
            <w:r w:rsidRPr="006B15C8">
              <w:rPr>
                <w:b/>
                <w:bCs/>
                <w:sz w:val="16"/>
                <w:szCs w:val="16"/>
              </w:rPr>
              <w:t>Gender</w:t>
            </w:r>
          </w:p>
        </w:tc>
        <w:tc>
          <w:tcPr>
            <w:tcW w:w="224" w:type="pct"/>
            <w:tcBorders>
              <w:top w:val="double" w:sz="4" w:space="0" w:color="auto"/>
              <w:left w:val="single" w:sz="4" w:space="0" w:color="auto"/>
              <w:bottom w:val="double" w:sz="4" w:space="0" w:color="auto"/>
              <w:right w:val="single" w:sz="4" w:space="0" w:color="auto"/>
            </w:tcBorders>
            <w:shd w:val="clear" w:color="auto" w:fill="F2F2F2"/>
            <w:vAlign w:val="center"/>
            <w:hideMark/>
          </w:tcPr>
          <w:p w14:paraId="711F25AC" w14:textId="77777777" w:rsidR="008C222F" w:rsidRPr="006B15C8" w:rsidRDefault="008C222F" w:rsidP="004D553B">
            <w:pPr>
              <w:spacing w:line="240" w:lineRule="auto"/>
              <w:jc w:val="center"/>
              <w:rPr>
                <w:b/>
                <w:bCs/>
                <w:sz w:val="16"/>
                <w:szCs w:val="16"/>
              </w:rPr>
            </w:pPr>
            <w:r w:rsidRPr="006B15C8">
              <w:rPr>
                <w:b/>
                <w:bCs/>
                <w:sz w:val="16"/>
                <w:szCs w:val="16"/>
              </w:rPr>
              <w:t>Age</w:t>
            </w:r>
          </w:p>
        </w:tc>
        <w:tc>
          <w:tcPr>
            <w:tcW w:w="192" w:type="pct"/>
            <w:tcBorders>
              <w:top w:val="double" w:sz="4" w:space="0" w:color="auto"/>
              <w:left w:val="single" w:sz="4" w:space="0" w:color="auto"/>
              <w:bottom w:val="double" w:sz="4" w:space="0" w:color="auto"/>
              <w:right w:val="double" w:sz="4" w:space="0" w:color="auto"/>
            </w:tcBorders>
            <w:shd w:val="clear" w:color="auto" w:fill="F2F2F2"/>
            <w:vAlign w:val="center"/>
            <w:hideMark/>
          </w:tcPr>
          <w:p w14:paraId="52F51BD0" w14:textId="77777777" w:rsidR="008C222F" w:rsidRPr="006B15C8" w:rsidRDefault="008C222F" w:rsidP="004D553B">
            <w:pPr>
              <w:spacing w:line="240" w:lineRule="auto"/>
              <w:jc w:val="center"/>
              <w:rPr>
                <w:b/>
                <w:bCs/>
                <w:sz w:val="16"/>
                <w:szCs w:val="16"/>
              </w:rPr>
            </w:pPr>
            <w:r w:rsidRPr="006B15C8">
              <w:rPr>
                <w:b/>
                <w:bCs/>
                <w:sz w:val="16"/>
                <w:szCs w:val="16"/>
              </w:rPr>
              <w:t>Race</w:t>
            </w:r>
          </w:p>
        </w:tc>
        <w:tc>
          <w:tcPr>
            <w:tcW w:w="263" w:type="pct"/>
            <w:tcBorders>
              <w:top w:val="double" w:sz="4" w:space="0" w:color="auto"/>
              <w:left w:val="double" w:sz="4" w:space="0" w:color="auto"/>
              <w:bottom w:val="double" w:sz="4" w:space="0" w:color="auto"/>
              <w:right w:val="single" w:sz="4" w:space="0" w:color="auto"/>
            </w:tcBorders>
            <w:shd w:val="clear" w:color="auto" w:fill="F2F2F2"/>
            <w:vAlign w:val="center"/>
            <w:hideMark/>
          </w:tcPr>
          <w:p w14:paraId="2038DCCC" w14:textId="77777777" w:rsidR="008C222F" w:rsidRPr="006B15C8" w:rsidRDefault="008C222F" w:rsidP="004D553B">
            <w:pPr>
              <w:spacing w:line="240" w:lineRule="auto"/>
              <w:jc w:val="center"/>
              <w:rPr>
                <w:b/>
                <w:bCs/>
                <w:sz w:val="16"/>
                <w:szCs w:val="16"/>
              </w:rPr>
            </w:pPr>
            <w:r w:rsidRPr="006B15C8">
              <w:rPr>
                <w:b/>
                <w:bCs/>
                <w:sz w:val="16"/>
                <w:szCs w:val="16"/>
              </w:rPr>
              <w:t>Social context</w:t>
            </w:r>
          </w:p>
        </w:tc>
        <w:tc>
          <w:tcPr>
            <w:tcW w:w="276" w:type="pct"/>
            <w:tcBorders>
              <w:top w:val="double" w:sz="4" w:space="0" w:color="auto"/>
              <w:left w:val="single" w:sz="4" w:space="0" w:color="auto"/>
              <w:bottom w:val="double" w:sz="4" w:space="0" w:color="auto"/>
              <w:right w:val="single" w:sz="4" w:space="0" w:color="auto"/>
            </w:tcBorders>
            <w:shd w:val="clear" w:color="auto" w:fill="F2F2F2"/>
            <w:vAlign w:val="center"/>
            <w:hideMark/>
          </w:tcPr>
          <w:p w14:paraId="407B369B" w14:textId="77777777" w:rsidR="008C222F" w:rsidRPr="006B15C8" w:rsidRDefault="008C222F" w:rsidP="004D553B">
            <w:pPr>
              <w:spacing w:line="240" w:lineRule="auto"/>
              <w:jc w:val="center"/>
              <w:rPr>
                <w:b/>
                <w:bCs/>
                <w:sz w:val="16"/>
                <w:szCs w:val="16"/>
              </w:rPr>
            </w:pPr>
            <w:r w:rsidRPr="006B15C8">
              <w:rPr>
                <w:b/>
                <w:bCs/>
                <w:sz w:val="16"/>
                <w:szCs w:val="16"/>
              </w:rPr>
              <w:t>Distraction</w:t>
            </w:r>
          </w:p>
        </w:tc>
        <w:tc>
          <w:tcPr>
            <w:tcW w:w="274" w:type="pct"/>
            <w:tcBorders>
              <w:top w:val="double" w:sz="4" w:space="0" w:color="auto"/>
              <w:left w:val="single" w:sz="4" w:space="0" w:color="auto"/>
              <w:bottom w:val="double" w:sz="4" w:space="0" w:color="auto"/>
              <w:right w:val="double" w:sz="4" w:space="0" w:color="auto"/>
            </w:tcBorders>
            <w:shd w:val="clear" w:color="auto" w:fill="F2F2F2"/>
            <w:vAlign w:val="center"/>
            <w:hideMark/>
          </w:tcPr>
          <w:p w14:paraId="51EAB080" w14:textId="77777777" w:rsidR="008C222F" w:rsidRPr="006B15C8" w:rsidRDefault="008C222F" w:rsidP="004D553B">
            <w:pPr>
              <w:spacing w:line="240" w:lineRule="auto"/>
              <w:jc w:val="center"/>
              <w:rPr>
                <w:b/>
                <w:bCs/>
                <w:sz w:val="16"/>
                <w:szCs w:val="16"/>
              </w:rPr>
            </w:pPr>
            <w:r w:rsidRPr="006B15C8">
              <w:rPr>
                <w:b/>
                <w:bCs/>
                <w:sz w:val="16"/>
                <w:szCs w:val="16"/>
              </w:rPr>
              <w:t>Carrying items/</w:t>
            </w:r>
          </w:p>
          <w:p w14:paraId="3381F053" w14:textId="77777777" w:rsidR="008C222F" w:rsidRPr="006B15C8" w:rsidRDefault="008C222F" w:rsidP="004D553B">
            <w:pPr>
              <w:spacing w:line="240" w:lineRule="auto"/>
              <w:jc w:val="center"/>
              <w:rPr>
                <w:b/>
                <w:bCs/>
                <w:sz w:val="16"/>
                <w:szCs w:val="16"/>
              </w:rPr>
            </w:pPr>
            <w:r w:rsidRPr="006B15C8">
              <w:rPr>
                <w:b/>
                <w:bCs/>
                <w:sz w:val="16"/>
                <w:szCs w:val="16"/>
              </w:rPr>
              <w:t>Other</w:t>
            </w:r>
            <w:r w:rsidRPr="006B15C8">
              <w:rPr>
                <w:b/>
                <w:bCs/>
                <w:sz w:val="16"/>
                <w:szCs w:val="16"/>
                <w:vertAlign w:val="superscript"/>
              </w:rPr>
              <w:t>*</w:t>
            </w:r>
          </w:p>
        </w:tc>
        <w:tc>
          <w:tcPr>
            <w:tcW w:w="224" w:type="pct"/>
            <w:tcBorders>
              <w:top w:val="double" w:sz="4" w:space="0" w:color="auto"/>
              <w:left w:val="double" w:sz="4" w:space="0" w:color="auto"/>
              <w:bottom w:val="double" w:sz="4" w:space="0" w:color="auto"/>
              <w:right w:val="single" w:sz="4" w:space="0" w:color="auto"/>
            </w:tcBorders>
            <w:shd w:val="clear" w:color="auto" w:fill="F2F2F2"/>
            <w:vAlign w:val="center"/>
            <w:hideMark/>
          </w:tcPr>
          <w:p w14:paraId="1AED611E" w14:textId="77777777" w:rsidR="008C222F" w:rsidRPr="006B15C8" w:rsidRDefault="008C222F" w:rsidP="004D553B">
            <w:pPr>
              <w:spacing w:line="240" w:lineRule="auto"/>
              <w:jc w:val="center"/>
              <w:rPr>
                <w:b/>
                <w:bCs/>
                <w:sz w:val="16"/>
                <w:szCs w:val="16"/>
              </w:rPr>
            </w:pPr>
            <w:r w:rsidRPr="006B15C8">
              <w:rPr>
                <w:b/>
                <w:bCs/>
                <w:sz w:val="16"/>
                <w:szCs w:val="16"/>
              </w:rPr>
              <w:t>Time-of-day</w:t>
            </w:r>
          </w:p>
        </w:tc>
        <w:tc>
          <w:tcPr>
            <w:tcW w:w="249" w:type="pct"/>
            <w:tcBorders>
              <w:top w:val="double" w:sz="4" w:space="0" w:color="auto"/>
              <w:left w:val="single" w:sz="4" w:space="0" w:color="auto"/>
              <w:bottom w:val="double" w:sz="4" w:space="0" w:color="auto"/>
              <w:right w:val="double" w:sz="4" w:space="0" w:color="auto"/>
            </w:tcBorders>
            <w:shd w:val="clear" w:color="auto" w:fill="F2F2F2"/>
            <w:vAlign w:val="center"/>
            <w:hideMark/>
          </w:tcPr>
          <w:p w14:paraId="1FB381E2" w14:textId="77777777" w:rsidR="008C222F" w:rsidRPr="006B15C8" w:rsidRDefault="008C222F" w:rsidP="004D553B">
            <w:pPr>
              <w:spacing w:line="240" w:lineRule="auto"/>
              <w:jc w:val="center"/>
              <w:rPr>
                <w:b/>
                <w:bCs/>
                <w:sz w:val="16"/>
                <w:szCs w:val="16"/>
              </w:rPr>
            </w:pPr>
            <w:r w:rsidRPr="006B15C8">
              <w:rPr>
                <w:b/>
                <w:bCs/>
                <w:sz w:val="16"/>
                <w:szCs w:val="16"/>
              </w:rPr>
              <w:t>Weather</w:t>
            </w:r>
          </w:p>
        </w:tc>
      </w:tr>
      <w:tr w:rsidR="008C222F" w:rsidRPr="006B15C8" w14:paraId="1E72CA90" w14:textId="77777777" w:rsidTr="004D553B">
        <w:tc>
          <w:tcPr>
            <w:tcW w:w="5000" w:type="pct"/>
            <w:gridSpan w:val="14"/>
            <w:tcBorders>
              <w:top w:val="double" w:sz="4" w:space="0" w:color="auto"/>
              <w:left w:val="double" w:sz="4" w:space="0" w:color="auto"/>
              <w:bottom w:val="double" w:sz="4" w:space="0" w:color="auto"/>
              <w:right w:val="double" w:sz="4" w:space="0" w:color="auto"/>
            </w:tcBorders>
            <w:shd w:val="clear" w:color="auto" w:fill="F2F2F2"/>
            <w:vAlign w:val="center"/>
            <w:hideMark/>
          </w:tcPr>
          <w:p w14:paraId="11810A3F" w14:textId="0FD72034" w:rsidR="008C222F" w:rsidRPr="006B15C8" w:rsidRDefault="008C222F" w:rsidP="004D553B">
            <w:pPr>
              <w:spacing w:line="240" w:lineRule="auto"/>
              <w:rPr>
                <w:sz w:val="22"/>
                <w:szCs w:val="22"/>
              </w:rPr>
            </w:pPr>
            <w:r w:rsidRPr="006B15C8">
              <w:rPr>
                <w:b/>
                <w:bCs/>
                <w:sz w:val="16"/>
                <w:szCs w:val="16"/>
              </w:rPr>
              <w:t>Studies conducted in the U</w:t>
            </w:r>
            <w:r w:rsidR="004D7D19">
              <w:rPr>
                <w:b/>
                <w:bCs/>
                <w:sz w:val="16"/>
                <w:szCs w:val="16"/>
              </w:rPr>
              <w:t>.</w:t>
            </w:r>
            <w:r w:rsidRPr="006B15C8">
              <w:rPr>
                <w:b/>
                <w:bCs/>
                <w:sz w:val="16"/>
                <w:szCs w:val="16"/>
              </w:rPr>
              <w:t>S.</w:t>
            </w:r>
          </w:p>
        </w:tc>
      </w:tr>
      <w:tr w:rsidR="003157CB" w:rsidRPr="006B15C8" w14:paraId="2A7FD904" w14:textId="77777777" w:rsidTr="00E00E8D">
        <w:tc>
          <w:tcPr>
            <w:tcW w:w="402" w:type="pct"/>
            <w:tcBorders>
              <w:top w:val="double" w:sz="4" w:space="0" w:color="auto"/>
              <w:left w:val="double" w:sz="4" w:space="0" w:color="auto"/>
              <w:bottom w:val="single" w:sz="4" w:space="0" w:color="auto"/>
              <w:right w:val="single" w:sz="4" w:space="0" w:color="auto"/>
            </w:tcBorders>
            <w:vAlign w:val="center"/>
            <w:hideMark/>
          </w:tcPr>
          <w:p w14:paraId="34D1A837" w14:textId="77777777" w:rsidR="008C222F" w:rsidRPr="006B15C8" w:rsidRDefault="008C222F" w:rsidP="00E00E8D">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{"citationID":"0CA0OKIq","properties":{"formattedCitation":"(Rafe et al., 2025)","plainCitation":"(Rafe et al., 2025)","dontUpdate":true,"noteIndex":0},"citationItems":[{"id":328,"uris":["http://zotero.org/groups/5885221/items/8TQZEC7Q"],"itemData":{"id":328,"type":"article-journal","abstract":"This study investigates pedestrian crossing behaviors at signalized intersections, focusing on spatial and temporal violations. Using a comprehensive dataset comprising 5,589 pedestrian crossing events at 47 crosswalks across 39 intersections in Utah, the research employs multilevel regression models to identify the factors influencing these violation behaviors. Key findings indicate that individual characteristics such as gender and mobility device use, environmental conditions including temperature and time of day, and social dynamics such as the presence of other pedestrians significantly impact violation behaviors. The study reveals that female-presenting pedestrians and those using mobility devices are generally more compliant, while higher temperatures and specific times-of-day are associated with increased violation rates. The analysis also highlights that longer waiting time is linked to a reduced likelihood of violations, and that social dynamics play a crucial role, with the presence of other pedestrians discouraging violations. Additionally, neighborhoods with larger shares of Hispanic or non-white populations have higher violation rates, and mid-block crossings see more temporal violations. These findings aim to enhance pedestrian safety and compliance at signalized intersections, ultimately reducing pedestrian fatalities and injuries.","container-title":"International Journal of Transportation Science and Technology","DOI":"10.1016/j.ijtst.2024.12.005","ISSN":"2046-0430","journalAbbreviation":"International Journal of Transportation Science and Technology","source":"ScienceDirect","title":"Pedestrian crossing behaviors at signalized intersections in Utah: Factors affecting spatial and temporal violations","title-short":"Pedestrian crossing behaviors at signalized intersections in Utah","URL":"https://www.sciencedirect.com/science/article/pii/S2046043025000024","author":[{"family":"Rafe","given":"Amir"},{"family":"Singleton","given":"Patrick A."},{"family":"Boyer","given":"Sadie"},{"family":"Mekker","given":"Michelle"}],"accessed":{"date-parts":[["2025",6,9]]},"issued":{"date-parts":[["2025",1,6]]}}}],"schema":"https://github.com/citation-style-language/schema/raw/master/csl-citation.json"} </w:instrText>
            </w:r>
            <w:r w:rsidRPr="006B15C8">
              <w:rPr>
                <w:sz w:val="16"/>
                <w:szCs w:val="16"/>
              </w:rPr>
              <w:fldChar w:fldCharType="separate"/>
            </w:r>
            <w:r w:rsidRPr="006B15C8">
              <w:rPr>
                <w:sz w:val="16"/>
                <w:szCs w:val="16"/>
              </w:rPr>
              <w:t>Rafe et al., 2025</w:t>
            </w:r>
            <w:r w:rsidRPr="006B15C8">
              <w:rPr>
                <w:sz w:val="16"/>
                <w:szCs w:val="16"/>
              </w:rPr>
              <w:fldChar w:fldCharType="end"/>
            </w:r>
          </w:p>
        </w:tc>
        <w:tc>
          <w:tcPr>
            <w:tcW w:w="458" w:type="pct"/>
            <w:tcBorders>
              <w:top w:val="double" w:sz="4" w:space="0" w:color="auto"/>
              <w:left w:val="single" w:sz="4" w:space="0" w:color="auto"/>
              <w:bottom w:val="single" w:sz="4" w:space="0" w:color="auto"/>
              <w:right w:val="single" w:sz="4" w:space="0" w:color="auto"/>
            </w:tcBorders>
            <w:vAlign w:val="center"/>
            <w:hideMark/>
          </w:tcPr>
          <w:p w14:paraId="6A2F1EC5" w14:textId="77777777" w:rsidR="008C222F" w:rsidRPr="006B15C8" w:rsidRDefault="008C222F" w:rsidP="00E00E8D">
            <w:pPr>
              <w:spacing w:line="240" w:lineRule="auto"/>
              <w:jc w:val="left"/>
              <w:rPr>
                <w:sz w:val="16"/>
                <w:szCs w:val="16"/>
              </w:rPr>
            </w:pPr>
            <w:r w:rsidRPr="006B15C8">
              <w:rPr>
                <w:sz w:val="16"/>
                <w:szCs w:val="16"/>
              </w:rPr>
              <w:t>Utah</w:t>
            </w:r>
          </w:p>
        </w:tc>
        <w:tc>
          <w:tcPr>
            <w:tcW w:w="455" w:type="pct"/>
            <w:tcBorders>
              <w:top w:val="double" w:sz="4" w:space="0" w:color="auto"/>
              <w:left w:val="single" w:sz="4" w:space="0" w:color="auto"/>
              <w:bottom w:val="single" w:sz="4" w:space="0" w:color="auto"/>
              <w:right w:val="single" w:sz="4" w:space="0" w:color="auto"/>
            </w:tcBorders>
            <w:vAlign w:val="center"/>
            <w:hideMark/>
          </w:tcPr>
          <w:p w14:paraId="2CBC4EC6" w14:textId="77777777" w:rsidR="008C222F" w:rsidRPr="006B15C8" w:rsidRDefault="008C222F" w:rsidP="00E00E8D">
            <w:pPr>
              <w:spacing w:line="240" w:lineRule="auto"/>
              <w:jc w:val="left"/>
              <w:rPr>
                <w:sz w:val="16"/>
                <w:szCs w:val="16"/>
              </w:rPr>
            </w:pPr>
            <w:r w:rsidRPr="006B15C8">
              <w:rPr>
                <w:sz w:val="16"/>
                <w:szCs w:val="16"/>
              </w:rPr>
              <w:t>24-60 hrs/site</w:t>
            </w:r>
          </w:p>
        </w:tc>
        <w:tc>
          <w:tcPr>
            <w:tcW w:w="639" w:type="pct"/>
            <w:tcBorders>
              <w:top w:val="double" w:sz="4" w:space="0" w:color="auto"/>
              <w:left w:val="single" w:sz="4" w:space="0" w:color="auto"/>
              <w:bottom w:val="single" w:sz="4" w:space="0" w:color="auto"/>
              <w:right w:val="single" w:sz="4" w:space="0" w:color="auto"/>
            </w:tcBorders>
            <w:vAlign w:val="center"/>
            <w:hideMark/>
          </w:tcPr>
          <w:p w14:paraId="4F26C849" w14:textId="77777777" w:rsidR="008C222F" w:rsidRPr="006B15C8" w:rsidRDefault="008C222F" w:rsidP="00E00E8D">
            <w:pPr>
              <w:spacing w:line="240" w:lineRule="auto"/>
              <w:jc w:val="left"/>
              <w:rPr>
                <w:sz w:val="16"/>
                <w:szCs w:val="16"/>
              </w:rPr>
            </w:pPr>
            <w:r w:rsidRPr="006B15C8">
              <w:rPr>
                <w:sz w:val="16"/>
                <w:szCs w:val="16"/>
              </w:rPr>
              <w:t>39 signalized intersections</w:t>
            </w:r>
          </w:p>
        </w:tc>
        <w:tc>
          <w:tcPr>
            <w:tcW w:w="230" w:type="pct"/>
            <w:tcBorders>
              <w:top w:val="double" w:sz="4" w:space="0" w:color="auto"/>
              <w:left w:val="single" w:sz="4" w:space="0" w:color="auto"/>
              <w:bottom w:val="single" w:sz="4" w:space="0" w:color="auto"/>
              <w:right w:val="single" w:sz="4" w:space="0" w:color="auto"/>
            </w:tcBorders>
            <w:vAlign w:val="center"/>
            <w:hideMark/>
          </w:tcPr>
          <w:p w14:paraId="1DDE87DE" w14:textId="77777777" w:rsidR="008C222F" w:rsidRPr="006B15C8" w:rsidRDefault="008C222F" w:rsidP="004D553B">
            <w:pPr>
              <w:spacing w:line="240" w:lineRule="auto"/>
              <w:jc w:val="center"/>
              <w:rPr>
                <w:sz w:val="16"/>
                <w:szCs w:val="16"/>
              </w:rPr>
            </w:pPr>
            <w:r w:rsidRPr="006B15C8">
              <w:rPr>
                <w:sz w:val="16"/>
                <w:szCs w:val="16"/>
              </w:rPr>
              <w:t>5,589</w:t>
            </w:r>
          </w:p>
        </w:tc>
        <w:tc>
          <w:tcPr>
            <w:tcW w:w="898" w:type="pct"/>
            <w:tcBorders>
              <w:top w:val="double" w:sz="4" w:space="0" w:color="auto"/>
              <w:left w:val="single" w:sz="4" w:space="0" w:color="auto"/>
              <w:bottom w:val="single" w:sz="4" w:space="0" w:color="auto"/>
              <w:right w:val="double" w:sz="4" w:space="0" w:color="auto"/>
            </w:tcBorders>
            <w:vAlign w:val="center"/>
            <w:hideMark/>
          </w:tcPr>
          <w:p w14:paraId="7D0EFFF9"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Spatial violation</w:t>
            </w:r>
          </w:p>
          <w:p w14:paraId="437EF9BB"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Temporal violation</w:t>
            </w:r>
          </w:p>
        </w:tc>
        <w:tc>
          <w:tcPr>
            <w:tcW w:w="216" w:type="pct"/>
            <w:tcBorders>
              <w:top w:val="double" w:sz="4" w:space="0" w:color="auto"/>
              <w:left w:val="double" w:sz="4" w:space="0" w:color="auto"/>
              <w:bottom w:val="single" w:sz="4" w:space="0" w:color="auto"/>
              <w:right w:val="single" w:sz="4" w:space="0" w:color="auto"/>
            </w:tcBorders>
            <w:vAlign w:val="center"/>
            <w:hideMark/>
          </w:tcPr>
          <w:p w14:paraId="793F4196" w14:textId="77777777" w:rsidR="008C222F" w:rsidRPr="006B15C8" w:rsidRDefault="008C222F" w:rsidP="004D553B">
            <w:pPr>
              <w:spacing w:line="240" w:lineRule="auto"/>
              <w:jc w:val="center"/>
              <w:rPr>
                <w:sz w:val="22"/>
                <w:szCs w:val="22"/>
              </w:rPr>
            </w:pPr>
            <w:r w:rsidRPr="006B15C8">
              <w:rPr>
                <w:sz w:val="22"/>
                <w:szCs w:val="22"/>
              </w:rPr>
              <w:t>×</w:t>
            </w:r>
          </w:p>
        </w:tc>
        <w:tc>
          <w:tcPr>
            <w:tcW w:w="224" w:type="pct"/>
            <w:tcBorders>
              <w:top w:val="double" w:sz="4" w:space="0" w:color="auto"/>
              <w:left w:val="single" w:sz="4" w:space="0" w:color="auto"/>
              <w:bottom w:val="single" w:sz="4" w:space="0" w:color="auto"/>
              <w:right w:val="single" w:sz="4" w:space="0" w:color="auto"/>
            </w:tcBorders>
            <w:vAlign w:val="center"/>
            <w:hideMark/>
          </w:tcPr>
          <w:p w14:paraId="0AC422B6" w14:textId="77777777" w:rsidR="008C222F" w:rsidRPr="006B15C8" w:rsidRDefault="008C222F" w:rsidP="004D553B">
            <w:pPr>
              <w:spacing w:line="240" w:lineRule="auto"/>
              <w:jc w:val="center"/>
              <w:rPr>
                <w:sz w:val="22"/>
                <w:szCs w:val="22"/>
              </w:rPr>
            </w:pPr>
            <w:r w:rsidRPr="006B15C8">
              <w:rPr>
                <w:sz w:val="22"/>
                <w:szCs w:val="22"/>
              </w:rPr>
              <w:t>×</w:t>
            </w:r>
          </w:p>
        </w:tc>
        <w:tc>
          <w:tcPr>
            <w:tcW w:w="192" w:type="pct"/>
            <w:tcBorders>
              <w:top w:val="double" w:sz="4" w:space="0" w:color="auto"/>
              <w:left w:val="single" w:sz="4" w:space="0" w:color="auto"/>
              <w:bottom w:val="single" w:sz="4" w:space="0" w:color="auto"/>
              <w:right w:val="double" w:sz="4" w:space="0" w:color="auto"/>
            </w:tcBorders>
            <w:vAlign w:val="center"/>
          </w:tcPr>
          <w:p w14:paraId="2174667A" w14:textId="77777777" w:rsidR="008C222F" w:rsidRPr="006B15C8" w:rsidRDefault="008C222F" w:rsidP="004D553B">
            <w:pPr>
              <w:spacing w:line="240" w:lineRule="auto"/>
              <w:jc w:val="center"/>
              <w:rPr>
                <w:sz w:val="16"/>
                <w:szCs w:val="16"/>
              </w:rPr>
            </w:pPr>
          </w:p>
        </w:tc>
        <w:tc>
          <w:tcPr>
            <w:tcW w:w="263" w:type="pct"/>
            <w:tcBorders>
              <w:top w:val="double" w:sz="4" w:space="0" w:color="auto"/>
              <w:left w:val="double" w:sz="4" w:space="0" w:color="auto"/>
              <w:bottom w:val="single" w:sz="4" w:space="0" w:color="auto"/>
              <w:right w:val="single" w:sz="4" w:space="0" w:color="auto"/>
            </w:tcBorders>
            <w:vAlign w:val="center"/>
            <w:hideMark/>
          </w:tcPr>
          <w:p w14:paraId="098C1F4E" w14:textId="77777777" w:rsidR="008C222F" w:rsidRPr="006B15C8" w:rsidRDefault="008C222F" w:rsidP="004D553B">
            <w:pPr>
              <w:spacing w:line="240" w:lineRule="auto"/>
              <w:jc w:val="center"/>
              <w:rPr>
                <w:sz w:val="22"/>
                <w:szCs w:val="22"/>
              </w:rPr>
            </w:pPr>
            <w:r w:rsidRPr="006B15C8">
              <w:rPr>
                <w:sz w:val="22"/>
                <w:szCs w:val="22"/>
              </w:rPr>
              <w:t>×</w:t>
            </w:r>
          </w:p>
        </w:tc>
        <w:tc>
          <w:tcPr>
            <w:tcW w:w="276" w:type="pct"/>
            <w:tcBorders>
              <w:top w:val="double" w:sz="4" w:space="0" w:color="auto"/>
              <w:left w:val="single" w:sz="4" w:space="0" w:color="auto"/>
              <w:bottom w:val="single" w:sz="4" w:space="0" w:color="auto"/>
              <w:right w:val="single" w:sz="4" w:space="0" w:color="auto"/>
            </w:tcBorders>
            <w:vAlign w:val="center"/>
          </w:tcPr>
          <w:p w14:paraId="5F99A3AA" w14:textId="77777777" w:rsidR="008C222F" w:rsidRPr="006B15C8" w:rsidRDefault="008C222F" w:rsidP="004D553B">
            <w:pPr>
              <w:spacing w:line="240" w:lineRule="auto"/>
              <w:jc w:val="center"/>
              <w:rPr>
                <w:sz w:val="16"/>
                <w:szCs w:val="16"/>
              </w:rPr>
            </w:pPr>
          </w:p>
        </w:tc>
        <w:tc>
          <w:tcPr>
            <w:tcW w:w="274" w:type="pct"/>
            <w:tcBorders>
              <w:top w:val="double" w:sz="4" w:space="0" w:color="auto"/>
              <w:left w:val="single" w:sz="4" w:space="0" w:color="auto"/>
              <w:bottom w:val="single" w:sz="4" w:space="0" w:color="auto"/>
              <w:right w:val="double" w:sz="4" w:space="0" w:color="auto"/>
            </w:tcBorders>
            <w:vAlign w:val="center"/>
            <w:hideMark/>
          </w:tcPr>
          <w:p w14:paraId="242890AB" w14:textId="77777777" w:rsidR="008C222F" w:rsidRPr="006B15C8" w:rsidRDefault="008C222F" w:rsidP="004D553B">
            <w:pPr>
              <w:spacing w:line="240" w:lineRule="auto"/>
              <w:jc w:val="center"/>
              <w:rPr>
                <w:sz w:val="16"/>
                <w:szCs w:val="16"/>
              </w:rPr>
            </w:pPr>
            <w:r w:rsidRPr="006B15C8">
              <w:rPr>
                <w:sz w:val="22"/>
                <w:szCs w:val="22"/>
              </w:rPr>
              <w:t>×</w:t>
            </w:r>
          </w:p>
        </w:tc>
        <w:tc>
          <w:tcPr>
            <w:tcW w:w="224" w:type="pct"/>
            <w:tcBorders>
              <w:top w:val="double" w:sz="4" w:space="0" w:color="auto"/>
              <w:left w:val="double" w:sz="4" w:space="0" w:color="auto"/>
              <w:bottom w:val="single" w:sz="4" w:space="0" w:color="auto"/>
              <w:right w:val="single" w:sz="4" w:space="0" w:color="auto"/>
            </w:tcBorders>
            <w:vAlign w:val="center"/>
            <w:hideMark/>
          </w:tcPr>
          <w:p w14:paraId="4342B6C7" w14:textId="77777777" w:rsidR="008C222F" w:rsidRPr="006B15C8" w:rsidRDefault="008C222F" w:rsidP="004D553B">
            <w:pPr>
              <w:spacing w:line="240" w:lineRule="auto"/>
              <w:jc w:val="center"/>
              <w:rPr>
                <w:sz w:val="22"/>
                <w:szCs w:val="22"/>
              </w:rPr>
            </w:pPr>
            <w:r w:rsidRPr="006B15C8">
              <w:rPr>
                <w:sz w:val="22"/>
                <w:szCs w:val="22"/>
              </w:rPr>
              <w:t>×</w:t>
            </w:r>
          </w:p>
        </w:tc>
        <w:tc>
          <w:tcPr>
            <w:tcW w:w="249" w:type="pct"/>
            <w:tcBorders>
              <w:top w:val="double" w:sz="4" w:space="0" w:color="auto"/>
              <w:left w:val="single" w:sz="4" w:space="0" w:color="auto"/>
              <w:bottom w:val="single" w:sz="4" w:space="0" w:color="auto"/>
              <w:right w:val="double" w:sz="4" w:space="0" w:color="auto"/>
            </w:tcBorders>
            <w:vAlign w:val="center"/>
            <w:hideMark/>
          </w:tcPr>
          <w:p w14:paraId="716AD525" w14:textId="77777777" w:rsidR="008C222F" w:rsidRPr="006B15C8" w:rsidRDefault="008C222F" w:rsidP="004D553B">
            <w:pPr>
              <w:spacing w:line="240" w:lineRule="auto"/>
              <w:jc w:val="center"/>
              <w:rPr>
                <w:sz w:val="22"/>
                <w:szCs w:val="22"/>
              </w:rPr>
            </w:pPr>
            <w:r w:rsidRPr="006B15C8">
              <w:rPr>
                <w:sz w:val="22"/>
                <w:szCs w:val="22"/>
              </w:rPr>
              <w:t>×</w:t>
            </w:r>
          </w:p>
        </w:tc>
      </w:tr>
      <w:tr w:rsidR="003157CB" w:rsidRPr="006B15C8" w14:paraId="3EB9B871" w14:textId="77777777" w:rsidTr="00E00E8D">
        <w:tc>
          <w:tcPr>
            <w:tcW w:w="402" w:type="pct"/>
            <w:tcBorders>
              <w:top w:val="single" w:sz="4" w:space="0" w:color="auto"/>
              <w:left w:val="double" w:sz="4" w:space="0" w:color="auto"/>
              <w:bottom w:val="single" w:sz="4" w:space="0" w:color="auto"/>
              <w:right w:val="single" w:sz="4" w:space="0" w:color="auto"/>
            </w:tcBorders>
            <w:vAlign w:val="center"/>
            <w:hideMark/>
          </w:tcPr>
          <w:p w14:paraId="05B52993" w14:textId="77777777" w:rsidR="008C222F" w:rsidRPr="006B15C8" w:rsidRDefault="008C222F" w:rsidP="00E00E8D">
            <w:pPr>
              <w:spacing w:line="240" w:lineRule="auto"/>
              <w:jc w:val="left"/>
              <w:rPr>
                <w:sz w:val="16"/>
                <w:szCs w:val="16"/>
              </w:rPr>
            </w:pPr>
            <w:r w:rsidRPr="006B15C8">
              <w:fldChar w:fldCharType="begin"/>
            </w:r>
            <w:r w:rsidR="00911EF4" w:rsidRPr="006B15C8">
              <w:rPr>
                <w:sz w:val="16"/>
                <w:szCs w:val="16"/>
              </w:rPr>
              <w:instrText xml:space="preserve"> ADDIN ZOTERO_ITEM CSL_CITATION {"citationID":"1h0Si8WX","properties":{"formattedCitation":"(Baker et al., 2022)","plainCitation":"(Baker et al., 2022)","dontUpdate":true,"noteIndex":0},"citationItems":[{"id":355,"uris":["http://zotero.org/groups/5885221/items/MHBDDACK"],"itemData":{"id":355,"type":"article-journal","abstract":"Gender differences in risky behavior and decision-making have been observed across a number of behavioral domains. Reviews of this literature have tended to overlook the question of whether specific objective situational factors that are relevant to a particular risky decision moderate observed gender differences within risk domains. The current work explores this question by employing a naturalistic observation method. Over 2,700 pedestrians were observed crossing a busy intersection adjacent to a college campus in the southeastern U.S. Observers noted the number of male and female pedestrians present during each cycle of the traffic signal as well as how many individuals of each gender either crossed when the ‘don’t walk’ sign was active or waited for the safer ‘walk’ signal in order to cross. Also noted was whether these pedestrians were crossing at a ‘low risk’ area of the intersection, where a concrete safety island was present, or a ‘high risk’ area, where there was no safety island. The oft-observed gender difference in physical risk-taking was observed, with men being substantially more likely to cross during a ‘don’t walk’ signal compared to women. However, this was only observed at the ‘low risk’ area of the intersection. In contrast, risk-taking did not differ by gender at the ‘high risk’ crossing area. Implications for the understanding of the nature of gender-differences in risk taking are discussed.","container-title":"Journal of Risk Research","DOI":"10.1080/13669877.2021.1962953","ISSN":"1366-9877","issue":"4","note":"publisher: Routledge\n_eprint: https://doi.org/10.1080/13669877.2021.1962953","page":"536-545","source":"Taylor and Francis+NEJM","title":"Boundary conditions for gender differences in risk taking","volume":"25","author":[{"family":"Baker","given":"Michael D."},{"family":"","given":"Owens ,Brittnie T."},{"family":"","given":"Utter ,Rachel L."},{"family":"","given":"Boachie ,Rebecca J."},{"family":"Keith","given":"Delaney R.","non-dropping-particle":"and"}],"issued":{"date-parts":[["2022",4,24]]}}}],"schema":"https://github.com/citation-style-language/schema/raw/master/csl-citation.json"} </w:instrText>
            </w:r>
            <w:r w:rsidRPr="006B15C8">
              <w:fldChar w:fldCharType="separate"/>
            </w:r>
            <w:r w:rsidRPr="006B15C8">
              <w:rPr>
                <w:sz w:val="16"/>
                <w:szCs w:val="16"/>
              </w:rPr>
              <w:t>Baker et al., 2022</w:t>
            </w:r>
            <w:r w:rsidRPr="006B15C8">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1208ABF2" w14:textId="77777777" w:rsidR="008C222F" w:rsidRPr="006B15C8" w:rsidRDefault="008C222F" w:rsidP="00E00E8D">
            <w:pPr>
              <w:spacing w:line="240" w:lineRule="auto"/>
              <w:jc w:val="left"/>
              <w:rPr>
                <w:sz w:val="16"/>
                <w:szCs w:val="16"/>
              </w:rPr>
            </w:pPr>
            <w:r w:rsidRPr="006B15C8">
              <w:rPr>
                <w:sz w:val="16"/>
                <w:szCs w:val="16"/>
              </w:rPr>
              <w:t>Campus of a southern American university</w:t>
            </w:r>
          </w:p>
        </w:tc>
        <w:tc>
          <w:tcPr>
            <w:tcW w:w="455" w:type="pct"/>
            <w:tcBorders>
              <w:top w:val="single" w:sz="4" w:space="0" w:color="auto"/>
              <w:left w:val="single" w:sz="4" w:space="0" w:color="auto"/>
              <w:bottom w:val="single" w:sz="4" w:space="0" w:color="auto"/>
              <w:right w:val="single" w:sz="4" w:space="0" w:color="auto"/>
            </w:tcBorders>
            <w:vAlign w:val="center"/>
            <w:hideMark/>
          </w:tcPr>
          <w:p w14:paraId="71B91796" w14:textId="77777777" w:rsidR="008C222F" w:rsidRPr="006B15C8" w:rsidRDefault="008C222F" w:rsidP="00E00E8D">
            <w:pPr>
              <w:spacing w:line="240" w:lineRule="auto"/>
              <w:jc w:val="left"/>
              <w:rPr>
                <w:sz w:val="16"/>
                <w:szCs w:val="16"/>
              </w:rPr>
            </w:pPr>
            <w:r w:rsidRPr="006B15C8">
              <w:rPr>
                <w:sz w:val="16"/>
                <w:szCs w:val="16"/>
              </w:rPr>
              <w:t>Two-weeks (~5 hrs/day/site)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64CAC9EE" w14:textId="77777777" w:rsidR="008C222F" w:rsidRPr="006B15C8" w:rsidRDefault="008C222F" w:rsidP="00E00E8D">
            <w:pPr>
              <w:spacing w:line="240" w:lineRule="auto"/>
              <w:jc w:val="left"/>
              <w:rPr>
                <w:sz w:val="16"/>
                <w:szCs w:val="16"/>
              </w:rPr>
            </w:pPr>
            <w:r w:rsidRPr="006B15C8">
              <w:rPr>
                <w:sz w:val="16"/>
                <w:szCs w:val="16"/>
              </w:rPr>
              <w:t xml:space="preserve">1 signalized intersection crossing </w:t>
            </w:r>
          </w:p>
        </w:tc>
        <w:tc>
          <w:tcPr>
            <w:tcW w:w="230" w:type="pct"/>
            <w:tcBorders>
              <w:top w:val="single" w:sz="4" w:space="0" w:color="auto"/>
              <w:left w:val="single" w:sz="4" w:space="0" w:color="auto"/>
              <w:bottom w:val="single" w:sz="4" w:space="0" w:color="auto"/>
              <w:right w:val="single" w:sz="4" w:space="0" w:color="auto"/>
            </w:tcBorders>
            <w:vAlign w:val="center"/>
            <w:hideMark/>
          </w:tcPr>
          <w:p w14:paraId="52B193CA" w14:textId="77777777" w:rsidR="008C222F" w:rsidRPr="006B15C8" w:rsidRDefault="008C222F" w:rsidP="004D553B">
            <w:pPr>
              <w:spacing w:line="240" w:lineRule="auto"/>
              <w:jc w:val="center"/>
              <w:rPr>
                <w:sz w:val="16"/>
                <w:szCs w:val="16"/>
              </w:rPr>
            </w:pPr>
            <w:r w:rsidRPr="006B15C8">
              <w:rPr>
                <w:sz w:val="16"/>
                <w:szCs w:val="16"/>
              </w:rPr>
              <w:t>2,707</w:t>
            </w:r>
          </w:p>
        </w:tc>
        <w:tc>
          <w:tcPr>
            <w:tcW w:w="898" w:type="pct"/>
            <w:tcBorders>
              <w:top w:val="single" w:sz="4" w:space="0" w:color="auto"/>
              <w:left w:val="single" w:sz="4" w:space="0" w:color="auto"/>
              <w:bottom w:val="single" w:sz="4" w:space="0" w:color="auto"/>
              <w:right w:val="double" w:sz="4" w:space="0" w:color="auto"/>
            </w:tcBorders>
            <w:vAlign w:val="center"/>
            <w:hideMark/>
          </w:tcPr>
          <w:p w14:paraId="017F8E8B"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Temporal violation</w:t>
            </w:r>
          </w:p>
        </w:tc>
        <w:tc>
          <w:tcPr>
            <w:tcW w:w="216" w:type="pct"/>
            <w:tcBorders>
              <w:top w:val="single" w:sz="4" w:space="0" w:color="auto"/>
              <w:left w:val="double" w:sz="4" w:space="0" w:color="auto"/>
              <w:bottom w:val="single" w:sz="4" w:space="0" w:color="auto"/>
              <w:right w:val="single" w:sz="4" w:space="0" w:color="auto"/>
            </w:tcBorders>
            <w:vAlign w:val="center"/>
            <w:hideMark/>
          </w:tcPr>
          <w:p w14:paraId="158C1C07" w14:textId="77777777" w:rsidR="008C222F" w:rsidRPr="006B15C8" w:rsidRDefault="008C222F" w:rsidP="004D553B">
            <w:pPr>
              <w:spacing w:line="240" w:lineRule="auto"/>
              <w:jc w:val="center"/>
              <w:rPr>
                <w:sz w:val="22"/>
                <w:szCs w:val="22"/>
              </w:rPr>
            </w:pPr>
            <w:r w:rsidRPr="006B15C8">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tcPr>
          <w:p w14:paraId="3B1BEE7E" w14:textId="77777777" w:rsidR="008C222F" w:rsidRPr="006B15C8" w:rsidRDefault="008C222F" w:rsidP="004D553B">
            <w:pPr>
              <w:spacing w:line="240" w:lineRule="auto"/>
              <w:jc w:val="center"/>
              <w:rPr>
                <w:sz w:val="22"/>
                <w:szCs w:val="22"/>
              </w:rPr>
            </w:pPr>
          </w:p>
        </w:tc>
        <w:tc>
          <w:tcPr>
            <w:tcW w:w="192" w:type="pct"/>
            <w:tcBorders>
              <w:top w:val="single" w:sz="4" w:space="0" w:color="auto"/>
              <w:left w:val="single" w:sz="4" w:space="0" w:color="auto"/>
              <w:bottom w:val="single" w:sz="4" w:space="0" w:color="auto"/>
              <w:right w:val="double" w:sz="4" w:space="0" w:color="auto"/>
            </w:tcBorders>
            <w:vAlign w:val="center"/>
          </w:tcPr>
          <w:p w14:paraId="399934B9" w14:textId="77777777" w:rsidR="008C222F" w:rsidRPr="006B15C8" w:rsidRDefault="008C222F" w:rsidP="004D553B">
            <w:pPr>
              <w:spacing w:line="240" w:lineRule="auto"/>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tcPr>
          <w:p w14:paraId="45887061" w14:textId="77777777" w:rsidR="008C222F" w:rsidRPr="006B15C8" w:rsidRDefault="008C222F" w:rsidP="004D553B">
            <w:pPr>
              <w:spacing w:line="240" w:lineRule="auto"/>
              <w:jc w:val="center"/>
              <w:rPr>
                <w:sz w:val="22"/>
                <w:szCs w:val="22"/>
              </w:rPr>
            </w:pPr>
          </w:p>
        </w:tc>
        <w:tc>
          <w:tcPr>
            <w:tcW w:w="276" w:type="pct"/>
            <w:tcBorders>
              <w:top w:val="single" w:sz="4" w:space="0" w:color="auto"/>
              <w:left w:val="single" w:sz="4" w:space="0" w:color="auto"/>
              <w:bottom w:val="single" w:sz="4" w:space="0" w:color="auto"/>
              <w:right w:val="single" w:sz="4" w:space="0" w:color="auto"/>
            </w:tcBorders>
            <w:vAlign w:val="center"/>
          </w:tcPr>
          <w:p w14:paraId="1E4C048B" w14:textId="77777777" w:rsidR="008C222F" w:rsidRPr="006B15C8" w:rsidRDefault="008C222F" w:rsidP="004D553B">
            <w:pPr>
              <w:spacing w:line="240" w:lineRule="auto"/>
              <w:jc w:val="center"/>
              <w:rPr>
                <w:sz w:val="16"/>
                <w:szCs w:val="16"/>
              </w:rPr>
            </w:pPr>
          </w:p>
        </w:tc>
        <w:tc>
          <w:tcPr>
            <w:tcW w:w="274" w:type="pct"/>
            <w:tcBorders>
              <w:top w:val="single" w:sz="4" w:space="0" w:color="auto"/>
              <w:left w:val="single" w:sz="4" w:space="0" w:color="auto"/>
              <w:bottom w:val="single" w:sz="4" w:space="0" w:color="auto"/>
              <w:right w:val="double" w:sz="4" w:space="0" w:color="auto"/>
            </w:tcBorders>
            <w:vAlign w:val="center"/>
          </w:tcPr>
          <w:p w14:paraId="65571106" w14:textId="77777777" w:rsidR="008C222F" w:rsidRPr="006B15C8" w:rsidRDefault="008C222F" w:rsidP="004D553B">
            <w:pPr>
              <w:spacing w:line="240" w:lineRule="auto"/>
              <w:jc w:val="center"/>
              <w:rPr>
                <w:sz w:val="16"/>
                <w:szCs w:val="16"/>
              </w:rPr>
            </w:pPr>
          </w:p>
        </w:tc>
        <w:tc>
          <w:tcPr>
            <w:tcW w:w="224" w:type="pct"/>
            <w:tcBorders>
              <w:top w:val="single" w:sz="4" w:space="0" w:color="auto"/>
              <w:left w:val="double" w:sz="4" w:space="0" w:color="auto"/>
              <w:bottom w:val="single" w:sz="4" w:space="0" w:color="auto"/>
              <w:right w:val="single" w:sz="4" w:space="0" w:color="auto"/>
            </w:tcBorders>
            <w:vAlign w:val="center"/>
          </w:tcPr>
          <w:p w14:paraId="58350CCA" w14:textId="77777777" w:rsidR="008C222F" w:rsidRPr="006B15C8" w:rsidRDefault="008C222F" w:rsidP="004D553B">
            <w:pPr>
              <w:spacing w:line="240" w:lineRule="auto"/>
              <w:jc w:val="center"/>
              <w:rPr>
                <w:sz w:val="22"/>
                <w:szCs w:val="22"/>
              </w:rPr>
            </w:pPr>
          </w:p>
        </w:tc>
        <w:tc>
          <w:tcPr>
            <w:tcW w:w="249" w:type="pct"/>
            <w:tcBorders>
              <w:top w:val="single" w:sz="4" w:space="0" w:color="auto"/>
              <w:left w:val="single" w:sz="4" w:space="0" w:color="auto"/>
              <w:bottom w:val="single" w:sz="4" w:space="0" w:color="auto"/>
              <w:right w:val="double" w:sz="4" w:space="0" w:color="auto"/>
            </w:tcBorders>
            <w:vAlign w:val="center"/>
          </w:tcPr>
          <w:p w14:paraId="063873A8" w14:textId="77777777" w:rsidR="008C222F" w:rsidRPr="006B15C8" w:rsidRDefault="008C222F" w:rsidP="004D553B">
            <w:pPr>
              <w:spacing w:line="240" w:lineRule="auto"/>
              <w:jc w:val="center"/>
              <w:rPr>
                <w:sz w:val="22"/>
                <w:szCs w:val="22"/>
              </w:rPr>
            </w:pPr>
          </w:p>
        </w:tc>
      </w:tr>
      <w:tr w:rsidR="003157CB" w:rsidRPr="006B15C8" w14:paraId="25CA9218" w14:textId="77777777" w:rsidTr="00E00E8D">
        <w:tc>
          <w:tcPr>
            <w:tcW w:w="402" w:type="pct"/>
            <w:tcBorders>
              <w:top w:val="single" w:sz="4" w:space="0" w:color="auto"/>
              <w:left w:val="double" w:sz="4" w:space="0" w:color="auto"/>
              <w:bottom w:val="single" w:sz="4" w:space="0" w:color="auto"/>
              <w:right w:val="single" w:sz="4" w:space="0" w:color="auto"/>
            </w:tcBorders>
            <w:vAlign w:val="center"/>
            <w:hideMark/>
          </w:tcPr>
          <w:p w14:paraId="75E59AAB" w14:textId="77777777" w:rsidR="008C222F" w:rsidRPr="006B15C8" w:rsidRDefault="008C222F" w:rsidP="00E00E8D">
            <w:pPr>
              <w:spacing w:line="240" w:lineRule="auto"/>
              <w:jc w:val="left"/>
              <w:rPr>
                <w:sz w:val="16"/>
                <w:szCs w:val="16"/>
              </w:rPr>
            </w:pPr>
            <w:r w:rsidRPr="006B15C8">
              <w:fldChar w:fldCharType="begin"/>
            </w:r>
            <w:r w:rsidR="00911EF4" w:rsidRPr="006B15C8">
              <w:rPr>
                <w:sz w:val="16"/>
                <w:szCs w:val="16"/>
              </w:rPr>
              <w:instrText xml:space="preserve"> ADDIN ZOTERO_ITEM CSL_CITATION {"citationID":"DASgj4KA","properties":{"formattedCitation":"(Schwebel et al., 2022)","plainCitation":"(Schwebel et al., 2022)","dontUpdate":true,"noteIndex":0},"citationItems":[{"id":348,"uris":["http://zotero.org/groups/5885221/items/VV25MGIV"],"itemData":{"id":348,"type":"article-journal","abstract":"OBJECTIVE: Pedestrian-related death rates are increasing in the United States, partly due to increased use of distracting smartphones by pedestrians. Previous research documents high frequency of smartphone use while crossing streets near college campuses and in downtown business districts, but little is known about distracted pedestrian behavior in other urban environments. The current study used observational methods to examine and compare distracted pedestrian behavior in four urban areas - near an urban college campus, in a downtown commercial business district, near middle and high schools, and in entertainment districts - as well as examining whether the occurrence of distraction was associated with unsafe crossing behaviors.\nMETHODS: We observed 112 intersections in 46 downtown, 30 school, 25 entertainment district, and 11 college campus-area intersections. Coders recorded distraction, crossing safety, pedestrian demographics, and traffic volume. Chi-square tests compared pedestrian characteristics by intersection type. Log binomial regressions estimated risk ratios (RRs) and associated 95% confidence intervals (CIs) for associations between pedestrians walking alone and traffic volume with distracted crossing behavior, adjusting for age and gender. Similar models examined risk of unsafe crossing behavior by distraction behavior. All models were stratified by intersection type.\nRESULTS: Distraction incidence was highest in campus locations (52.9%) and lowest in entertainment districts (16.2%). Walking alone was associated with a 45% higher risk of distraction (RR 1.45, 95% CI 1.30-1.62), although the increased association was limited to entertainment locations (RR 1.61, 95% CI 1.25-2.08) and was significantly decreased in all other locations. Higher traffic volume was associated with lower risk of distraction in downtown locations (RR 0.69, 95% CI 0.56-0.85) but higher distraction risk in entertainment locations (RR 1.71, 95% CI 1.27-2.31). Associations between distraction and unsafe crossing behaviors were minimal.\nCONCLUSION: Distracted pedestrian behavior occurs at different rates and in different circumstances, depending on the setting. These results offer valuable data to inform intervention programs that target appropriate populations in appropriate locations.","container-title":"Traffic Injury Prevention","DOI":"10.1080/15389588.2022.2076282","ISSN":"1538-957X","issue":"6","journalAbbreviation":"Traffic Inj Prev","language":"eng","note":"PMID: 35617465\nPMCID: PMC10413048","page":"346-351","source":"PubMed","title":"Distracted pedestrian behavior: An observational study of risk by situational environments","title-short":"Distracted pedestrian behavior","volume":"23","author":[{"family":"Schwebel","given":"David C."},{"family":"Canter","given":"Margaret F."},{"family":"Hasan","given":"Ragib"},{"family":"Griffin","given":"Russell"},{"family":"White","given":"Taylor R."},{"family":"Johnston","given":"Anna"}],"issued":{"date-parts":[["2022"]]}}}],"schema":"https://github.com/citation-style-language/schema/raw/master/csl-citation.json"} </w:instrText>
            </w:r>
            <w:r w:rsidRPr="006B15C8">
              <w:fldChar w:fldCharType="separate"/>
            </w:r>
            <w:r w:rsidRPr="006B15C8">
              <w:rPr>
                <w:sz w:val="16"/>
                <w:szCs w:val="16"/>
              </w:rPr>
              <w:t>Schwebel et al., 2022</w:t>
            </w:r>
            <w:r w:rsidRPr="006B15C8">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046B873D" w14:textId="77777777" w:rsidR="008C222F" w:rsidRPr="006B15C8" w:rsidRDefault="008C222F" w:rsidP="00E00E8D">
            <w:pPr>
              <w:spacing w:line="240" w:lineRule="auto"/>
              <w:jc w:val="left"/>
              <w:rPr>
                <w:sz w:val="16"/>
                <w:szCs w:val="16"/>
              </w:rPr>
            </w:pPr>
            <w:r w:rsidRPr="006B15C8">
              <w:rPr>
                <w:sz w:val="16"/>
                <w:szCs w:val="16"/>
              </w:rPr>
              <w:t>Alabama</w:t>
            </w:r>
          </w:p>
        </w:tc>
        <w:tc>
          <w:tcPr>
            <w:tcW w:w="455" w:type="pct"/>
            <w:tcBorders>
              <w:top w:val="single" w:sz="4" w:space="0" w:color="auto"/>
              <w:left w:val="single" w:sz="4" w:space="0" w:color="auto"/>
              <w:bottom w:val="single" w:sz="4" w:space="0" w:color="auto"/>
              <w:right w:val="single" w:sz="4" w:space="0" w:color="auto"/>
            </w:tcBorders>
            <w:vAlign w:val="center"/>
            <w:hideMark/>
          </w:tcPr>
          <w:p w14:paraId="2C2FDF0A" w14:textId="77777777" w:rsidR="008C222F" w:rsidRPr="006B15C8" w:rsidRDefault="008C222F" w:rsidP="00E00E8D">
            <w:pPr>
              <w:spacing w:line="240" w:lineRule="auto"/>
              <w:jc w:val="left"/>
              <w:rPr>
                <w:sz w:val="16"/>
                <w:szCs w:val="16"/>
              </w:rPr>
            </w:pPr>
            <w:r w:rsidRPr="006B15C8">
              <w:rPr>
                <w:sz w:val="16"/>
                <w:szCs w:val="16"/>
              </w:rPr>
              <w:t>~ 1 hr/site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438C5F18" w14:textId="76E4C789" w:rsidR="008C222F" w:rsidRPr="006B15C8" w:rsidRDefault="008C222F" w:rsidP="00E00E8D">
            <w:pPr>
              <w:spacing w:line="240" w:lineRule="auto"/>
              <w:jc w:val="left"/>
              <w:rPr>
                <w:sz w:val="16"/>
                <w:szCs w:val="16"/>
              </w:rPr>
            </w:pPr>
            <w:r w:rsidRPr="006B15C8">
              <w:rPr>
                <w:sz w:val="16"/>
                <w:szCs w:val="16"/>
              </w:rPr>
              <w:t xml:space="preserve">112 </w:t>
            </w:r>
            <w:r w:rsidR="00503F44" w:rsidRPr="006B15C8">
              <w:rPr>
                <w:sz w:val="16"/>
                <w:szCs w:val="16"/>
              </w:rPr>
              <w:t xml:space="preserve">(almost entirely signalized) </w:t>
            </w:r>
            <w:r w:rsidRPr="006B15C8">
              <w:rPr>
                <w:sz w:val="16"/>
                <w:szCs w:val="16"/>
              </w:rPr>
              <w:t>intersections</w:t>
            </w:r>
            <w:r w:rsidR="006119D4" w:rsidRPr="006B15C8">
              <w:rPr>
                <w:sz w:val="16"/>
                <w:szCs w:val="16"/>
              </w:rPr>
              <w:t xml:space="preserve"> (no differentiation between signalized and unsignalized intersections in analysis)</w:t>
            </w:r>
          </w:p>
        </w:tc>
        <w:tc>
          <w:tcPr>
            <w:tcW w:w="230" w:type="pct"/>
            <w:tcBorders>
              <w:top w:val="single" w:sz="4" w:space="0" w:color="auto"/>
              <w:left w:val="single" w:sz="4" w:space="0" w:color="auto"/>
              <w:bottom w:val="single" w:sz="4" w:space="0" w:color="auto"/>
              <w:right w:val="single" w:sz="4" w:space="0" w:color="auto"/>
            </w:tcBorders>
            <w:vAlign w:val="center"/>
            <w:hideMark/>
          </w:tcPr>
          <w:p w14:paraId="7B28FB19" w14:textId="77777777" w:rsidR="008C222F" w:rsidRPr="006B15C8" w:rsidRDefault="008C222F" w:rsidP="004D553B">
            <w:pPr>
              <w:spacing w:line="240" w:lineRule="auto"/>
              <w:jc w:val="center"/>
              <w:rPr>
                <w:sz w:val="16"/>
                <w:szCs w:val="16"/>
              </w:rPr>
            </w:pPr>
            <w:r w:rsidRPr="006B15C8">
              <w:rPr>
                <w:sz w:val="16"/>
                <w:szCs w:val="16"/>
              </w:rPr>
              <w:t xml:space="preserve">3,248 </w:t>
            </w:r>
          </w:p>
        </w:tc>
        <w:tc>
          <w:tcPr>
            <w:tcW w:w="898" w:type="pct"/>
            <w:tcBorders>
              <w:top w:val="single" w:sz="4" w:space="0" w:color="auto"/>
              <w:left w:val="single" w:sz="4" w:space="0" w:color="auto"/>
              <w:bottom w:val="single" w:sz="4" w:space="0" w:color="auto"/>
              <w:right w:val="double" w:sz="4" w:space="0" w:color="auto"/>
            </w:tcBorders>
            <w:vAlign w:val="center"/>
            <w:hideMark/>
          </w:tcPr>
          <w:p w14:paraId="6E35F70C"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Pedestrian unsafe crossing (did not look left/right; crossed against walk signal or outside crosswalk)</w:t>
            </w:r>
          </w:p>
          <w:p w14:paraId="27538910"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 xml:space="preserve">Pedestrian distracted crossing </w:t>
            </w:r>
          </w:p>
        </w:tc>
        <w:tc>
          <w:tcPr>
            <w:tcW w:w="216" w:type="pct"/>
            <w:tcBorders>
              <w:top w:val="single" w:sz="4" w:space="0" w:color="auto"/>
              <w:left w:val="double" w:sz="4" w:space="0" w:color="auto"/>
              <w:bottom w:val="single" w:sz="4" w:space="0" w:color="auto"/>
              <w:right w:val="single" w:sz="4" w:space="0" w:color="auto"/>
            </w:tcBorders>
            <w:vAlign w:val="center"/>
            <w:hideMark/>
          </w:tcPr>
          <w:p w14:paraId="4ABDEE79" w14:textId="77777777" w:rsidR="008C222F" w:rsidRPr="006B15C8" w:rsidRDefault="008C222F" w:rsidP="004D553B">
            <w:pPr>
              <w:spacing w:line="240" w:lineRule="auto"/>
              <w:jc w:val="center"/>
              <w:rPr>
                <w:sz w:val="22"/>
                <w:szCs w:val="22"/>
              </w:rPr>
            </w:pPr>
            <w:r w:rsidRPr="006B15C8">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7372729E" w14:textId="77777777" w:rsidR="008C222F" w:rsidRPr="006B15C8" w:rsidRDefault="008C222F" w:rsidP="004D553B">
            <w:pPr>
              <w:spacing w:line="240" w:lineRule="auto"/>
              <w:jc w:val="center"/>
              <w:rPr>
                <w:sz w:val="22"/>
                <w:szCs w:val="22"/>
              </w:rPr>
            </w:pPr>
            <w:r w:rsidRPr="006B15C8">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08A40F5D" w14:textId="77777777" w:rsidR="008C222F" w:rsidRPr="006B15C8" w:rsidRDefault="008C222F" w:rsidP="004D553B">
            <w:pPr>
              <w:spacing w:line="240" w:lineRule="auto"/>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18EE0EEC" w14:textId="77777777" w:rsidR="008C222F" w:rsidRPr="006B15C8" w:rsidRDefault="008C222F" w:rsidP="004D553B">
            <w:pPr>
              <w:spacing w:line="240" w:lineRule="auto"/>
              <w:jc w:val="center"/>
              <w:rPr>
                <w:sz w:val="22"/>
                <w:szCs w:val="22"/>
              </w:rPr>
            </w:pPr>
            <w:r w:rsidRPr="006B15C8">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7FBF26AF" w14:textId="77777777" w:rsidR="008C222F" w:rsidRPr="006B15C8" w:rsidRDefault="008C222F" w:rsidP="004D553B">
            <w:pPr>
              <w:spacing w:line="240" w:lineRule="auto"/>
              <w:jc w:val="center"/>
              <w:rPr>
                <w:sz w:val="16"/>
                <w:szCs w:val="16"/>
              </w:rPr>
            </w:pPr>
            <w:r w:rsidRPr="006B15C8">
              <w:rPr>
                <w:sz w:val="22"/>
                <w:szCs w:val="22"/>
              </w:rPr>
              <w:t>×</w:t>
            </w:r>
          </w:p>
        </w:tc>
        <w:tc>
          <w:tcPr>
            <w:tcW w:w="274" w:type="pct"/>
            <w:tcBorders>
              <w:top w:val="single" w:sz="4" w:space="0" w:color="auto"/>
              <w:left w:val="single" w:sz="4" w:space="0" w:color="auto"/>
              <w:bottom w:val="single" w:sz="4" w:space="0" w:color="auto"/>
              <w:right w:val="double" w:sz="4" w:space="0" w:color="auto"/>
            </w:tcBorders>
            <w:vAlign w:val="center"/>
            <w:hideMark/>
          </w:tcPr>
          <w:p w14:paraId="633BF531" w14:textId="77777777" w:rsidR="008C222F" w:rsidRPr="006B15C8" w:rsidRDefault="008C222F" w:rsidP="004D553B">
            <w:pPr>
              <w:spacing w:line="240" w:lineRule="auto"/>
              <w:jc w:val="center"/>
              <w:rPr>
                <w:sz w:val="16"/>
                <w:szCs w:val="16"/>
              </w:rPr>
            </w:pPr>
            <w:r w:rsidRPr="006B15C8">
              <w:rPr>
                <w:sz w:val="22"/>
                <w:szCs w:val="22"/>
              </w:rPr>
              <w:t>×</w:t>
            </w:r>
          </w:p>
        </w:tc>
        <w:tc>
          <w:tcPr>
            <w:tcW w:w="224" w:type="pct"/>
            <w:tcBorders>
              <w:top w:val="single" w:sz="4" w:space="0" w:color="auto"/>
              <w:left w:val="double" w:sz="4" w:space="0" w:color="auto"/>
              <w:bottom w:val="single" w:sz="4" w:space="0" w:color="auto"/>
              <w:right w:val="single" w:sz="4" w:space="0" w:color="auto"/>
            </w:tcBorders>
            <w:vAlign w:val="center"/>
          </w:tcPr>
          <w:p w14:paraId="0E3A4F1E" w14:textId="77777777" w:rsidR="008C222F" w:rsidRPr="006B15C8" w:rsidRDefault="008C222F" w:rsidP="004D553B">
            <w:pPr>
              <w:spacing w:line="240" w:lineRule="auto"/>
              <w:jc w:val="center"/>
              <w:rPr>
                <w:sz w:val="22"/>
                <w:szCs w:val="22"/>
              </w:rPr>
            </w:pPr>
          </w:p>
        </w:tc>
        <w:tc>
          <w:tcPr>
            <w:tcW w:w="249" w:type="pct"/>
            <w:tcBorders>
              <w:top w:val="single" w:sz="4" w:space="0" w:color="auto"/>
              <w:left w:val="single" w:sz="4" w:space="0" w:color="auto"/>
              <w:bottom w:val="single" w:sz="4" w:space="0" w:color="auto"/>
              <w:right w:val="double" w:sz="4" w:space="0" w:color="auto"/>
            </w:tcBorders>
            <w:vAlign w:val="center"/>
          </w:tcPr>
          <w:p w14:paraId="6DF9DE1B" w14:textId="77777777" w:rsidR="008C222F" w:rsidRPr="006B15C8" w:rsidRDefault="008C222F" w:rsidP="004D553B">
            <w:pPr>
              <w:spacing w:line="240" w:lineRule="auto"/>
              <w:jc w:val="center"/>
              <w:rPr>
                <w:sz w:val="22"/>
                <w:szCs w:val="22"/>
              </w:rPr>
            </w:pPr>
          </w:p>
        </w:tc>
      </w:tr>
      <w:tr w:rsidR="003157CB" w:rsidRPr="006B15C8" w14:paraId="4B4349DD" w14:textId="77777777" w:rsidTr="00E00E8D">
        <w:tc>
          <w:tcPr>
            <w:tcW w:w="402" w:type="pct"/>
            <w:tcBorders>
              <w:top w:val="single" w:sz="4" w:space="0" w:color="auto"/>
              <w:left w:val="double" w:sz="4" w:space="0" w:color="auto"/>
              <w:bottom w:val="single" w:sz="4" w:space="0" w:color="auto"/>
              <w:right w:val="single" w:sz="4" w:space="0" w:color="auto"/>
            </w:tcBorders>
            <w:vAlign w:val="center"/>
            <w:hideMark/>
          </w:tcPr>
          <w:p w14:paraId="675365ED" w14:textId="77777777" w:rsidR="008C222F" w:rsidRPr="006B15C8" w:rsidRDefault="008C222F" w:rsidP="00E00E8D">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{"citationID":"03QvC9cs","properties":{"formattedCitation":"(Russo et al., 2018)","plainCitation":"(Russo et al., 2018)","dontUpdate":true,"noteIndex":0},"citationItems":[{"id":158,"uris":["http://zotero.org/groups/5885221/items/2UK8YS2B"],"itemData":{"id":158,"type":"article-journal","abstract":"In the past two decades, cell phone and smartphone use in the United States has increased substantially. Although mobile phones provide a convenient way for people to communicate, the distraction caused by the use of these devices has led to unintended traffic safety and operational consequences. Although it is well recognized that distracted driving is extremely dangerous for all road users (including pedestrians), the potential impacts of distracted walking have not been as comprehensively studied. Although practitioners should design facilities with the safety, efficiency, and comfort of pedestrians in mind, it is still important to investigate certain pedestrian behaviors at existing facilities to minimize the risk of pedestrian–vehicle crashes, and to reduce behaviors that may unnecessarily increase delay at signalized intersections. To gain new insights into factors associated with distracted walking, pedestrian violations, and walking speed, 3,038 pedestrians were observed across four signalized intersections in New York and Arizona using high-definition video cameras. The video data were reduced and summarized, and an ordinary least squares (OLS) regression model was estimated to analyze factors affecting walking speeds. In addition, binary logit models were estimated to analyze both pedestrian distraction and pedestrian violations. Ultimately, several site- and pedestrian-specific variables were found to be significantly associated with pedestrian distraction, violation behavior, and walking speeds. The results provide important information for researchers, practitioners, and legislators, and may be useful in planning strategies to reduce or mitigate the impacts of pedestrian behavior that may be considered unsafe or potentially inefficient.","container-title":"Transportation Research Record","DOI":"10.1177/0361198118759949","ISSN":"0361-1981","issue":"35","language":"EN","note":"publisher: SAGE Publications Inc","page":"1-12","source":"SAGE Journals","title":"Pedestrian Behavior at Signalized Intersection Crosswalks: Observational Study of Factors Associated with Distracted Walking, Pedestrian Violations, and Walking Speed","title-short":"Pedestrian Behavior at Signalized Intersection Crosswalks","volume":"2672","author":[{"family":"Russo","given":"Brendan J."},{"family":"James","given":"Emmanuel"},{"family":"Aguilar","given":"Cristopher Y."},{"family":"Smaglik","given":"Edward J."}],"issued":{"date-parts":[["2018",12,1]]}}}],"schema":"https://github.com/citation-style-language/schema/raw/master/csl-citation.json"} </w:instrText>
            </w:r>
            <w:r w:rsidRPr="006B15C8">
              <w:rPr>
                <w:sz w:val="16"/>
                <w:szCs w:val="16"/>
              </w:rPr>
              <w:fldChar w:fldCharType="separate"/>
            </w:r>
            <w:r w:rsidRPr="006B15C8">
              <w:rPr>
                <w:sz w:val="16"/>
                <w:szCs w:val="16"/>
              </w:rPr>
              <w:t>Russo et al., 2018</w:t>
            </w:r>
            <w:r w:rsidRPr="006B15C8">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057A32AE" w14:textId="77777777" w:rsidR="008C222F" w:rsidRPr="006B15C8" w:rsidRDefault="008C222F" w:rsidP="00E00E8D">
            <w:pPr>
              <w:spacing w:line="240" w:lineRule="auto"/>
              <w:jc w:val="left"/>
              <w:rPr>
                <w:sz w:val="16"/>
                <w:szCs w:val="16"/>
              </w:rPr>
            </w:pPr>
            <w:r w:rsidRPr="006B15C8">
              <w:rPr>
                <w:sz w:val="16"/>
                <w:szCs w:val="16"/>
              </w:rPr>
              <w:t>New York and Arizona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3BF7012C" w14:textId="77777777" w:rsidR="008C222F" w:rsidRPr="006B15C8" w:rsidRDefault="008C222F" w:rsidP="00E00E8D">
            <w:pPr>
              <w:spacing w:line="240" w:lineRule="auto"/>
              <w:jc w:val="left"/>
              <w:rPr>
                <w:sz w:val="16"/>
                <w:szCs w:val="16"/>
              </w:rPr>
            </w:pPr>
            <w:r w:rsidRPr="006B15C8">
              <w:rPr>
                <w:sz w:val="16"/>
                <w:szCs w:val="16"/>
              </w:rPr>
              <w:t>3 hrs/site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0DF4C529" w14:textId="77777777" w:rsidR="008C222F" w:rsidRPr="006B15C8" w:rsidRDefault="008C222F" w:rsidP="00E00E8D">
            <w:pPr>
              <w:spacing w:line="240" w:lineRule="auto"/>
              <w:jc w:val="left"/>
              <w:rPr>
                <w:sz w:val="16"/>
                <w:szCs w:val="16"/>
              </w:rPr>
            </w:pPr>
            <w:r w:rsidRPr="006B15C8">
              <w:rPr>
                <w:sz w:val="16"/>
                <w:szCs w:val="16"/>
              </w:rPr>
              <w:t>4 signalized intersections</w:t>
            </w:r>
          </w:p>
        </w:tc>
        <w:tc>
          <w:tcPr>
            <w:tcW w:w="230" w:type="pct"/>
            <w:tcBorders>
              <w:top w:val="single" w:sz="4" w:space="0" w:color="auto"/>
              <w:left w:val="single" w:sz="4" w:space="0" w:color="auto"/>
              <w:bottom w:val="single" w:sz="4" w:space="0" w:color="auto"/>
              <w:right w:val="single" w:sz="4" w:space="0" w:color="auto"/>
            </w:tcBorders>
            <w:vAlign w:val="center"/>
            <w:hideMark/>
          </w:tcPr>
          <w:p w14:paraId="023C7703" w14:textId="77777777" w:rsidR="008C222F" w:rsidRPr="006B15C8" w:rsidRDefault="008C222F" w:rsidP="004D553B">
            <w:pPr>
              <w:spacing w:line="240" w:lineRule="auto"/>
              <w:jc w:val="center"/>
              <w:rPr>
                <w:sz w:val="16"/>
                <w:szCs w:val="16"/>
              </w:rPr>
            </w:pPr>
            <w:r w:rsidRPr="006B15C8">
              <w:rPr>
                <w:sz w:val="16"/>
                <w:szCs w:val="16"/>
              </w:rPr>
              <w:t>3,038</w:t>
            </w:r>
          </w:p>
        </w:tc>
        <w:tc>
          <w:tcPr>
            <w:tcW w:w="898" w:type="pct"/>
            <w:tcBorders>
              <w:top w:val="single" w:sz="4" w:space="0" w:color="auto"/>
              <w:left w:val="single" w:sz="4" w:space="0" w:color="auto"/>
              <w:bottom w:val="single" w:sz="4" w:space="0" w:color="auto"/>
              <w:right w:val="double" w:sz="4" w:space="0" w:color="auto"/>
            </w:tcBorders>
            <w:vAlign w:val="center"/>
            <w:hideMark/>
          </w:tcPr>
          <w:p w14:paraId="64AE5BA5"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Walking speed</w:t>
            </w:r>
          </w:p>
          <w:p w14:paraId="0FFEB392"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Pedestrian distraction</w:t>
            </w:r>
          </w:p>
          <w:p w14:paraId="393B9E5D"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Spatial violation</w:t>
            </w:r>
          </w:p>
          <w:p w14:paraId="3F3723B6"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Temporal violation</w:t>
            </w:r>
          </w:p>
        </w:tc>
        <w:tc>
          <w:tcPr>
            <w:tcW w:w="216" w:type="pct"/>
            <w:tcBorders>
              <w:top w:val="single" w:sz="4" w:space="0" w:color="auto"/>
              <w:left w:val="double" w:sz="4" w:space="0" w:color="auto"/>
              <w:bottom w:val="single" w:sz="4" w:space="0" w:color="auto"/>
              <w:right w:val="single" w:sz="4" w:space="0" w:color="auto"/>
            </w:tcBorders>
            <w:vAlign w:val="center"/>
            <w:hideMark/>
          </w:tcPr>
          <w:p w14:paraId="4161D35C" w14:textId="77777777" w:rsidR="008C222F" w:rsidRPr="006B15C8" w:rsidRDefault="008C222F" w:rsidP="004D553B">
            <w:pPr>
              <w:spacing w:line="240" w:lineRule="auto"/>
              <w:jc w:val="center"/>
              <w:rPr>
                <w:sz w:val="22"/>
                <w:szCs w:val="22"/>
              </w:rPr>
            </w:pPr>
            <w:r w:rsidRPr="006B15C8">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60F64CE2" w14:textId="77777777" w:rsidR="008C222F" w:rsidRPr="006B15C8" w:rsidRDefault="008C222F" w:rsidP="004D553B">
            <w:pPr>
              <w:spacing w:line="240" w:lineRule="auto"/>
              <w:jc w:val="center"/>
              <w:rPr>
                <w:sz w:val="22"/>
                <w:szCs w:val="22"/>
              </w:rPr>
            </w:pPr>
            <w:r w:rsidRPr="006B15C8">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63F0597C" w14:textId="77777777" w:rsidR="008C222F" w:rsidRPr="006B15C8" w:rsidRDefault="008C222F" w:rsidP="004D553B">
            <w:pPr>
              <w:spacing w:line="240" w:lineRule="auto"/>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16A5CCA8" w14:textId="77777777" w:rsidR="008C222F" w:rsidRPr="006B15C8" w:rsidRDefault="008C222F" w:rsidP="004D553B">
            <w:pPr>
              <w:spacing w:line="240" w:lineRule="auto"/>
              <w:jc w:val="center"/>
              <w:rPr>
                <w:sz w:val="22"/>
                <w:szCs w:val="22"/>
              </w:rPr>
            </w:pPr>
            <w:r w:rsidRPr="006B15C8">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71A8FE01" w14:textId="77777777" w:rsidR="008C222F" w:rsidRPr="006B15C8" w:rsidRDefault="008C222F" w:rsidP="004D553B">
            <w:pPr>
              <w:spacing w:line="240" w:lineRule="auto"/>
              <w:jc w:val="center"/>
              <w:rPr>
                <w:sz w:val="22"/>
                <w:szCs w:val="22"/>
              </w:rPr>
            </w:pPr>
            <w:r w:rsidRPr="006B15C8">
              <w:rPr>
                <w:sz w:val="22"/>
                <w:szCs w:val="22"/>
              </w:rPr>
              <w:t>×</w:t>
            </w:r>
          </w:p>
        </w:tc>
        <w:tc>
          <w:tcPr>
            <w:tcW w:w="274" w:type="pct"/>
            <w:tcBorders>
              <w:top w:val="single" w:sz="4" w:space="0" w:color="auto"/>
              <w:left w:val="single" w:sz="4" w:space="0" w:color="auto"/>
              <w:bottom w:val="single" w:sz="4" w:space="0" w:color="auto"/>
              <w:right w:val="double" w:sz="4" w:space="0" w:color="auto"/>
            </w:tcBorders>
            <w:vAlign w:val="center"/>
          </w:tcPr>
          <w:p w14:paraId="7B25564F" w14:textId="77777777" w:rsidR="008C222F" w:rsidRPr="006B15C8" w:rsidRDefault="008C222F" w:rsidP="004D553B">
            <w:pPr>
              <w:spacing w:line="240" w:lineRule="auto"/>
              <w:jc w:val="center"/>
              <w:rPr>
                <w:sz w:val="16"/>
                <w:szCs w:val="16"/>
              </w:rPr>
            </w:pPr>
          </w:p>
        </w:tc>
        <w:tc>
          <w:tcPr>
            <w:tcW w:w="224" w:type="pct"/>
            <w:tcBorders>
              <w:top w:val="single" w:sz="4" w:space="0" w:color="auto"/>
              <w:left w:val="double" w:sz="4" w:space="0" w:color="auto"/>
              <w:bottom w:val="single" w:sz="4" w:space="0" w:color="auto"/>
              <w:right w:val="single" w:sz="4" w:space="0" w:color="auto"/>
            </w:tcBorders>
            <w:vAlign w:val="center"/>
          </w:tcPr>
          <w:p w14:paraId="626D0EE8" w14:textId="77777777" w:rsidR="008C222F" w:rsidRPr="006B15C8" w:rsidRDefault="008C222F" w:rsidP="004D553B">
            <w:pPr>
              <w:spacing w:line="240" w:lineRule="auto"/>
              <w:jc w:val="center"/>
              <w:rPr>
                <w:sz w:val="22"/>
                <w:szCs w:val="22"/>
              </w:rPr>
            </w:pPr>
          </w:p>
        </w:tc>
        <w:tc>
          <w:tcPr>
            <w:tcW w:w="249" w:type="pct"/>
            <w:tcBorders>
              <w:top w:val="single" w:sz="4" w:space="0" w:color="auto"/>
              <w:left w:val="single" w:sz="4" w:space="0" w:color="auto"/>
              <w:bottom w:val="single" w:sz="4" w:space="0" w:color="auto"/>
              <w:right w:val="double" w:sz="4" w:space="0" w:color="auto"/>
            </w:tcBorders>
            <w:vAlign w:val="center"/>
          </w:tcPr>
          <w:p w14:paraId="0CE1BE04" w14:textId="77777777" w:rsidR="008C222F" w:rsidRPr="006B15C8" w:rsidRDefault="008C222F" w:rsidP="004D553B">
            <w:pPr>
              <w:spacing w:line="240" w:lineRule="auto"/>
              <w:jc w:val="center"/>
              <w:rPr>
                <w:sz w:val="22"/>
                <w:szCs w:val="22"/>
              </w:rPr>
            </w:pPr>
          </w:p>
        </w:tc>
      </w:tr>
      <w:tr w:rsidR="003157CB" w:rsidRPr="006B15C8" w14:paraId="2A2278AF" w14:textId="77777777" w:rsidTr="00E00E8D">
        <w:tc>
          <w:tcPr>
            <w:tcW w:w="402" w:type="pct"/>
            <w:tcBorders>
              <w:top w:val="single" w:sz="4" w:space="0" w:color="auto"/>
              <w:left w:val="double" w:sz="4" w:space="0" w:color="auto"/>
              <w:bottom w:val="double" w:sz="4" w:space="0" w:color="auto"/>
              <w:right w:val="single" w:sz="4" w:space="0" w:color="auto"/>
            </w:tcBorders>
            <w:vAlign w:val="center"/>
            <w:hideMark/>
          </w:tcPr>
          <w:p w14:paraId="6F7575C7" w14:textId="77777777" w:rsidR="008C222F" w:rsidRPr="006B15C8" w:rsidRDefault="008C222F" w:rsidP="00E00E8D">
            <w:pPr>
              <w:spacing w:line="240" w:lineRule="auto"/>
              <w:jc w:val="left"/>
              <w:rPr>
                <w:sz w:val="16"/>
                <w:szCs w:val="16"/>
              </w:rPr>
            </w:pPr>
            <w:r w:rsidRPr="006B15C8">
              <w:fldChar w:fldCharType="begin"/>
            </w:r>
            <w:r w:rsidR="00911EF4" w:rsidRPr="006B15C8">
              <w:rPr>
                <w:sz w:val="16"/>
                <w:szCs w:val="16"/>
              </w:rPr>
              <w:instrText xml:space="preserve"> ADDIN ZOTERO_ITEM CSL_CITATION {"citationID":"xn2sU0fE","properties":{"formattedCitation":"(Ivan et al., 2017)","plainCitation":"(Ivan et al., 2017)","dontUpdate":true,"noteIndex":0},"citationItems":[{"id":347,"uris":["http://zotero.org/groups/5885221/items/WVDXZF9M"],"itemData":{"id":347,"type":"article-journal","abstract":"This paper describes a comparison of pedestrian compliance at traffic signals with two types of pedestrian phasing: concurrent, where both pedestrians and vehicular traffic are directed to move in the same directions at the same time, and exclusive, where pedestrians are directed to move during their own dedicated phase while all vehicular traffic is stopped. Exclusive phasing is usually perceived to be safer, especially by senior and disabled advocacy groups, although these safety benefits depend upon pedestrians waiting for the walk signal. This paper investigates whether or not there are differences between pedestrian compliance at signals with exclusive pedestrian phasing and those with concurrent phasing and whether these differences continue to exist when compliance at exclusive phasing signals is evaluated as if they had concurrent phasing. Pedestrian behavior was observed at 42 signalized intersections in central Connecticut with both concurrent and exclusive pedestrian phasing. Binary regression models were estimated to predict pedestrian compliance as a function of the pedestrian phasing type and other intersection characteristics, such as vehicular and pedestrian volume, crossing distance and speed limit. We found that pedestrian compliance is significantly higher at intersections with concurrent pedestrian phasing than at those with exclusive pedestrian phasing, but this difference is not significant when compliance at exclusive phase intersections is evaluated as if it had concurrent phasing. This suggests that pedestrians treat exclusive phase intersections as though they have concurrent phasing, rendering the safety benefits of exclusive pedestrian phasing elusive. No differences were observed for senior or non-senior pedestrians.","container-title":"Accident Analysis &amp; Prevention","DOI":"10.1016/j.aap.2016.10.003","ISSN":"0001-4575","journalAbbreviation":"Accident Analysis &amp; Prevention","page":"157-166","source":"ScienceDirect","title":"A study of pedestrian compliance with traffic signals for exclusive and concurrent phasing","volume":"98","author":[{"family":"Ivan","given":"John N."},{"family":"McKernan","given":"Kevin"},{"family":"Zhang","given":"Yaohua"},{"family":"Ravishanker","given":"Nalini"},{"family":"Mamun","given":"Sha A."}],"issued":{"date-parts":[["2017",1,1]]}}}],"schema":"https://github.com/citation-style-language/schema/raw/master/csl-citation.json"} </w:instrText>
            </w:r>
            <w:r w:rsidRPr="006B15C8">
              <w:fldChar w:fldCharType="separate"/>
            </w:r>
            <w:r w:rsidRPr="006B15C8">
              <w:rPr>
                <w:sz w:val="16"/>
                <w:szCs w:val="16"/>
              </w:rPr>
              <w:t>Ivan et al., 2017</w:t>
            </w:r>
            <w:r w:rsidRPr="006B15C8">
              <w:fldChar w:fldCharType="end"/>
            </w:r>
          </w:p>
        </w:tc>
        <w:tc>
          <w:tcPr>
            <w:tcW w:w="458" w:type="pct"/>
            <w:tcBorders>
              <w:top w:val="single" w:sz="4" w:space="0" w:color="auto"/>
              <w:left w:val="single" w:sz="4" w:space="0" w:color="auto"/>
              <w:bottom w:val="double" w:sz="4" w:space="0" w:color="auto"/>
              <w:right w:val="single" w:sz="4" w:space="0" w:color="auto"/>
            </w:tcBorders>
            <w:vAlign w:val="center"/>
            <w:hideMark/>
          </w:tcPr>
          <w:p w14:paraId="083452F9" w14:textId="77777777" w:rsidR="008C222F" w:rsidRPr="006B15C8" w:rsidRDefault="008C222F" w:rsidP="00E00E8D">
            <w:pPr>
              <w:spacing w:line="240" w:lineRule="auto"/>
              <w:jc w:val="left"/>
              <w:rPr>
                <w:sz w:val="16"/>
                <w:szCs w:val="16"/>
              </w:rPr>
            </w:pPr>
            <w:r w:rsidRPr="006B15C8">
              <w:rPr>
                <w:sz w:val="16"/>
                <w:szCs w:val="16"/>
              </w:rPr>
              <w:t>Connecticut</w:t>
            </w:r>
          </w:p>
        </w:tc>
        <w:tc>
          <w:tcPr>
            <w:tcW w:w="455" w:type="pct"/>
            <w:tcBorders>
              <w:top w:val="single" w:sz="4" w:space="0" w:color="auto"/>
              <w:left w:val="single" w:sz="4" w:space="0" w:color="auto"/>
              <w:bottom w:val="double" w:sz="4" w:space="0" w:color="auto"/>
              <w:right w:val="single" w:sz="4" w:space="0" w:color="auto"/>
            </w:tcBorders>
            <w:vAlign w:val="center"/>
            <w:hideMark/>
          </w:tcPr>
          <w:p w14:paraId="5A5FE1B6" w14:textId="77777777" w:rsidR="008C222F" w:rsidRPr="006B15C8" w:rsidRDefault="008C222F" w:rsidP="00E00E8D">
            <w:pPr>
              <w:spacing w:line="240" w:lineRule="auto"/>
              <w:jc w:val="left"/>
              <w:rPr>
                <w:sz w:val="16"/>
                <w:szCs w:val="16"/>
              </w:rPr>
            </w:pPr>
            <w:r w:rsidRPr="006B15C8">
              <w:rPr>
                <w:sz w:val="16"/>
                <w:szCs w:val="16"/>
              </w:rPr>
              <w:t>216 hrs</w:t>
            </w:r>
          </w:p>
          <w:p w14:paraId="2B62F95B" w14:textId="77777777" w:rsidR="008C222F" w:rsidRPr="006B15C8" w:rsidRDefault="008C222F" w:rsidP="00E00E8D">
            <w:pPr>
              <w:spacing w:line="240" w:lineRule="auto"/>
              <w:jc w:val="left"/>
              <w:rPr>
                <w:sz w:val="16"/>
                <w:szCs w:val="16"/>
              </w:rPr>
            </w:pPr>
            <w:r w:rsidRPr="006B15C8">
              <w:rPr>
                <w:sz w:val="16"/>
                <w:szCs w:val="16"/>
              </w:rPr>
              <w:t>(~6 hrs/site)</w:t>
            </w:r>
          </w:p>
        </w:tc>
        <w:tc>
          <w:tcPr>
            <w:tcW w:w="639" w:type="pct"/>
            <w:tcBorders>
              <w:top w:val="single" w:sz="4" w:space="0" w:color="auto"/>
              <w:left w:val="single" w:sz="4" w:space="0" w:color="auto"/>
              <w:bottom w:val="double" w:sz="4" w:space="0" w:color="auto"/>
              <w:right w:val="single" w:sz="4" w:space="0" w:color="auto"/>
            </w:tcBorders>
            <w:vAlign w:val="center"/>
            <w:hideMark/>
          </w:tcPr>
          <w:p w14:paraId="0F04E3AA" w14:textId="77777777" w:rsidR="008C222F" w:rsidRPr="006B15C8" w:rsidRDefault="008C222F" w:rsidP="00E00E8D">
            <w:pPr>
              <w:spacing w:line="240" w:lineRule="auto"/>
              <w:jc w:val="left"/>
              <w:rPr>
                <w:sz w:val="16"/>
                <w:szCs w:val="16"/>
              </w:rPr>
            </w:pPr>
            <w:r w:rsidRPr="006B15C8">
              <w:rPr>
                <w:sz w:val="16"/>
                <w:szCs w:val="16"/>
              </w:rPr>
              <w:t xml:space="preserve">42 </w:t>
            </w:r>
            <w:r w:rsidR="00503F44" w:rsidRPr="006B15C8">
              <w:rPr>
                <w:sz w:val="16"/>
                <w:szCs w:val="16"/>
              </w:rPr>
              <w:t xml:space="preserve">signalized </w:t>
            </w:r>
            <w:r w:rsidRPr="006B15C8">
              <w:rPr>
                <w:sz w:val="16"/>
                <w:szCs w:val="16"/>
              </w:rPr>
              <w:t>intersections</w:t>
            </w:r>
          </w:p>
        </w:tc>
        <w:tc>
          <w:tcPr>
            <w:tcW w:w="230" w:type="pct"/>
            <w:tcBorders>
              <w:top w:val="single" w:sz="4" w:space="0" w:color="auto"/>
              <w:left w:val="single" w:sz="4" w:space="0" w:color="auto"/>
              <w:bottom w:val="double" w:sz="4" w:space="0" w:color="auto"/>
              <w:right w:val="single" w:sz="4" w:space="0" w:color="auto"/>
            </w:tcBorders>
            <w:vAlign w:val="center"/>
            <w:hideMark/>
          </w:tcPr>
          <w:p w14:paraId="499EAECC" w14:textId="77777777" w:rsidR="008C222F" w:rsidRPr="006B15C8" w:rsidRDefault="008C222F" w:rsidP="004D553B">
            <w:pPr>
              <w:spacing w:line="240" w:lineRule="auto"/>
              <w:jc w:val="center"/>
              <w:rPr>
                <w:sz w:val="16"/>
                <w:szCs w:val="16"/>
              </w:rPr>
            </w:pPr>
            <w:r w:rsidRPr="006B15C8">
              <w:rPr>
                <w:sz w:val="16"/>
                <w:szCs w:val="16"/>
              </w:rPr>
              <w:t xml:space="preserve">14,838 </w:t>
            </w:r>
          </w:p>
        </w:tc>
        <w:tc>
          <w:tcPr>
            <w:tcW w:w="898" w:type="pct"/>
            <w:tcBorders>
              <w:top w:val="single" w:sz="4" w:space="0" w:color="auto"/>
              <w:left w:val="single" w:sz="4" w:space="0" w:color="auto"/>
              <w:bottom w:val="double" w:sz="4" w:space="0" w:color="auto"/>
              <w:right w:val="double" w:sz="4" w:space="0" w:color="auto"/>
            </w:tcBorders>
            <w:vAlign w:val="center"/>
            <w:hideMark/>
          </w:tcPr>
          <w:p w14:paraId="67A4B13B"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Temporal violation</w:t>
            </w:r>
          </w:p>
        </w:tc>
        <w:tc>
          <w:tcPr>
            <w:tcW w:w="216" w:type="pct"/>
            <w:tcBorders>
              <w:top w:val="single" w:sz="4" w:space="0" w:color="auto"/>
              <w:left w:val="double" w:sz="4" w:space="0" w:color="auto"/>
              <w:bottom w:val="double" w:sz="4" w:space="0" w:color="auto"/>
              <w:right w:val="single" w:sz="4" w:space="0" w:color="auto"/>
            </w:tcBorders>
            <w:vAlign w:val="center"/>
          </w:tcPr>
          <w:p w14:paraId="34301E91" w14:textId="77777777" w:rsidR="008C222F" w:rsidRPr="006B15C8" w:rsidRDefault="008C222F" w:rsidP="004D553B">
            <w:pPr>
              <w:spacing w:line="240" w:lineRule="auto"/>
              <w:jc w:val="center"/>
              <w:rPr>
                <w:sz w:val="22"/>
                <w:szCs w:val="22"/>
              </w:rPr>
            </w:pPr>
          </w:p>
        </w:tc>
        <w:tc>
          <w:tcPr>
            <w:tcW w:w="224" w:type="pct"/>
            <w:tcBorders>
              <w:top w:val="single" w:sz="4" w:space="0" w:color="auto"/>
              <w:left w:val="single" w:sz="4" w:space="0" w:color="auto"/>
              <w:bottom w:val="double" w:sz="4" w:space="0" w:color="auto"/>
              <w:right w:val="single" w:sz="4" w:space="0" w:color="auto"/>
            </w:tcBorders>
            <w:vAlign w:val="center"/>
            <w:hideMark/>
          </w:tcPr>
          <w:p w14:paraId="35117D5D" w14:textId="77777777" w:rsidR="008C222F" w:rsidRPr="006B15C8" w:rsidRDefault="008C222F" w:rsidP="004D553B">
            <w:pPr>
              <w:spacing w:line="240" w:lineRule="auto"/>
              <w:jc w:val="center"/>
              <w:rPr>
                <w:sz w:val="22"/>
                <w:szCs w:val="22"/>
              </w:rPr>
            </w:pPr>
            <w:r w:rsidRPr="006B15C8">
              <w:rPr>
                <w:sz w:val="22"/>
                <w:szCs w:val="22"/>
              </w:rPr>
              <w:t>×</w:t>
            </w:r>
          </w:p>
        </w:tc>
        <w:tc>
          <w:tcPr>
            <w:tcW w:w="192" w:type="pct"/>
            <w:tcBorders>
              <w:top w:val="single" w:sz="4" w:space="0" w:color="auto"/>
              <w:left w:val="single" w:sz="4" w:space="0" w:color="auto"/>
              <w:bottom w:val="double" w:sz="4" w:space="0" w:color="auto"/>
              <w:right w:val="double" w:sz="4" w:space="0" w:color="auto"/>
            </w:tcBorders>
            <w:vAlign w:val="center"/>
          </w:tcPr>
          <w:p w14:paraId="7B0326B5" w14:textId="77777777" w:rsidR="008C222F" w:rsidRPr="006B15C8" w:rsidRDefault="008C222F" w:rsidP="004D553B">
            <w:pPr>
              <w:spacing w:line="240" w:lineRule="auto"/>
              <w:jc w:val="center"/>
              <w:rPr>
                <w:sz w:val="16"/>
                <w:szCs w:val="16"/>
              </w:rPr>
            </w:pPr>
          </w:p>
        </w:tc>
        <w:tc>
          <w:tcPr>
            <w:tcW w:w="263" w:type="pct"/>
            <w:tcBorders>
              <w:top w:val="single" w:sz="4" w:space="0" w:color="auto"/>
              <w:left w:val="double" w:sz="4" w:space="0" w:color="auto"/>
              <w:bottom w:val="double" w:sz="4" w:space="0" w:color="auto"/>
              <w:right w:val="single" w:sz="4" w:space="0" w:color="auto"/>
            </w:tcBorders>
            <w:vAlign w:val="center"/>
          </w:tcPr>
          <w:p w14:paraId="42F0EA5C" w14:textId="77777777" w:rsidR="008C222F" w:rsidRPr="006B15C8" w:rsidRDefault="008C222F" w:rsidP="004D553B">
            <w:pPr>
              <w:spacing w:line="240" w:lineRule="auto"/>
              <w:jc w:val="center"/>
              <w:rPr>
                <w:sz w:val="22"/>
                <w:szCs w:val="22"/>
              </w:rPr>
            </w:pPr>
          </w:p>
        </w:tc>
        <w:tc>
          <w:tcPr>
            <w:tcW w:w="276" w:type="pct"/>
            <w:tcBorders>
              <w:top w:val="single" w:sz="4" w:space="0" w:color="auto"/>
              <w:left w:val="single" w:sz="4" w:space="0" w:color="auto"/>
              <w:bottom w:val="double" w:sz="4" w:space="0" w:color="auto"/>
              <w:right w:val="single" w:sz="4" w:space="0" w:color="auto"/>
            </w:tcBorders>
            <w:vAlign w:val="center"/>
          </w:tcPr>
          <w:p w14:paraId="2F5BA7F6" w14:textId="77777777" w:rsidR="008C222F" w:rsidRPr="006B15C8" w:rsidRDefault="008C222F" w:rsidP="004D553B">
            <w:pPr>
              <w:spacing w:line="240" w:lineRule="auto"/>
              <w:jc w:val="center"/>
              <w:rPr>
                <w:sz w:val="16"/>
                <w:szCs w:val="16"/>
              </w:rPr>
            </w:pPr>
          </w:p>
        </w:tc>
        <w:tc>
          <w:tcPr>
            <w:tcW w:w="274" w:type="pct"/>
            <w:tcBorders>
              <w:top w:val="single" w:sz="4" w:space="0" w:color="auto"/>
              <w:left w:val="single" w:sz="4" w:space="0" w:color="auto"/>
              <w:bottom w:val="double" w:sz="4" w:space="0" w:color="auto"/>
              <w:right w:val="double" w:sz="4" w:space="0" w:color="auto"/>
            </w:tcBorders>
            <w:vAlign w:val="center"/>
          </w:tcPr>
          <w:p w14:paraId="6A47485B" w14:textId="77777777" w:rsidR="008C222F" w:rsidRPr="006B15C8" w:rsidRDefault="008C222F" w:rsidP="004D553B">
            <w:pPr>
              <w:spacing w:line="240" w:lineRule="auto"/>
              <w:jc w:val="center"/>
              <w:rPr>
                <w:sz w:val="16"/>
                <w:szCs w:val="16"/>
              </w:rPr>
            </w:pPr>
          </w:p>
        </w:tc>
        <w:tc>
          <w:tcPr>
            <w:tcW w:w="224" w:type="pct"/>
            <w:tcBorders>
              <w:top w:val="single" w:sz="4" w:space="0" w:color="auto"/>
              <w:left w:val="double" w:sz="4" w:space="0" w:color="auto"/>
              <w:bottom w:val="double" w:sz="4" w:space="0" w:color="auto"/>
              <w:right w:val="single" w:sz="4" w:space="0" w:color="auto"/>
            </w:tcBorders>
            <w:vAlign w:val="center"/>
            <w:hideMark/>
          </w:tcPr>
          <w:p w14:paraId="4BAFA98B" w14:textId="77777777" w:rsidR="008C222F" w:rsidRPr="006B15C8" w:rsidRDefault="008C222F" w:rsidP="004D553B">
            <w:pPr>
              <w:spacing w:line="240" w:lineRule="auto"/>
              <w:jc w:val="center"/>
              <w:rPr>
                <w:sz w:val="22"/>
                <w:szCs w:val="22"/>
              </w:rPr>
            </w:pPr>
            <w:r w:rsidRPr="006B15C8">
              <w:rPr>
                <w:sz w:val="22"/>
                <w:szCs w:val="22"/>
              </w:rPr>
              <w:t>×</w:t>
            </w:r>
          </w:p>
        </w:tc>
        <w:tc>
          <w:tcPr>
            <w:tcW w:w="249" w:type="pct"/>
            <w:tcBorders>
              <w:top w:val="single" w:sz="4" w:space="0" w:color="auto"/>
              <w:left w:val="single" w:sz="4" w:space="0" w:color="auto"/>
              <w:bottom w:val="double" w:sz="4" w:space="0" w:color="auto"/>
              <w:right w:val="double" w:sz="4" w:space="0" w:color="auto"/>
            </w:tcBorders>
            <w:vAlign w:val="center"/>
            <w:hideMark/>
          </w:tcPr>
          <w:p w14:paraId="2D081536" w14:textId="77777777" w:rsidR="008C222F" w:rsidRPr="006B15C8" w:rsidRDefault="008C222F" w:rsidP="004D553B">
            <w:pPr>
              <w:spacing w:line="240" w:lineRule="auto"/>
              <w:jc w:val="center"/>
              <w:rPr>
                <w:sz w:val="22"/>
                <w:szCs w:val="22"/>
              </w:rPr>
            </w:pPr>
            <w:r w:rsidRPr="006B15C8">
              <w:rPr>
                <w:sz w:val="22"/>
                <w:szCs w:val="22"/>
              </w:rPr>
              <w:t>×</w:t>
            </w:r>
          </w:p>
        </w:tc>
      </w:tr>
      <w:tr w:rsidR="008C222F" w:rsidRPr="006B15C8" w14:paraId="50C6A159" w14:textId="77777777" w:rsidTr="004D553B">
        <w:tc>
          <w:tcPr>
            <w:tcW w:w="5000" w:type="pct"/>
            <w:gridSpan w:val="14"/>
            <w:tcBorders>
              <w:top w:val="double" w:sz="4" w:space="0" w:color="auto"/>
              <w:left w:val="double" w:sz="4" w:space="0" w:color="auto"/>
              <w:bottom w:val="single" w:sz="4" w:space="0" w:color="auto"/>
              <w:right w:val="double" w:sz="4" w:space="0" w:color="auto"/>
            </w:tcBorders>
            <w:shd w:val="clear" w:color="auto" w:fill="F2F2F2"/>
            <w:vAlign w:val="center"/>
            <w:hideMark/>
          </w:tcPr>
          <w:p w14:paraId="077C90AB" w14:textId="4AFB1E37" w:rsidR="008C222F" w:rsidRPr="006B15C8" w:rsidRDefault="008C222F" w:rsidP="004D553B">
            <w:pPr>
              <w:spacing w:line="240" w:lineRule="auto"/>
              <w:rPr>
                <w:sz w:val="22"/>
                <w:szCs w:val="22"/>
              </w:rPr>
            </w:pPr>
            <w:r w:rsidRPr="006B15C8">
              <w:rPr>
                <w:b/>
                <w:bCs/>
                <w:sz w:val="16"/>
                <w:szCs w:val="16"/>
              </w:rPr>
              <w:t>Studies conducted outside the U</w:t>
            </w:r>
            <w:r w:rsidR="004D7D19">
              <w:rPr>
                <w:b/>
                <w:bCs/>
                <w:sz w:val="16"/>
                <w:szCs w:val="16"/>
              </w:rPr>
              <w:t>.</w:t>
            </w:r>
            <w:r w:rsidRPr="006B15C8">
              <w:rPr>
                <w:b/>
                <w:bCs/>
                <w:sz w:val="16"/>
                <w:szCs w:val="16"/>
              </w:rPr>
              <w:t>S.</w:t>
            </w:r>
          </w:p>
        </w:tc>
      </w:tr>
      <w:tr w:rsidR="003157CB" w:rsidRPr="006B15C8" w14:paraId="27030187" w14:textId="77777777" w:rsidTr="00E00E8D">
        <w:tc>
          <w:tcPr>
            <w:tcW w:w="402" w:type="pct"/>
            <w:tcBorders>
              <w:top w:val="double" w:sz="4" w:space="0" w:color="auto"/>
              <w:left w:val="double" w:sz="4" w:space="0" w:color="auto"/>
              <w:bottom w:val="single" w:sz="4" w:space="0" w:color="auto"/>
              <w:right w:val="single" w:sz="4" w:space="0" w:color="auto"/>
            </w:tcBorders>
            <w:vAlign w:val="center"/>
            <w:hideMark/>
          </w:tcPr>
          <w:p w14:paraId="6F28BA22" w14:textId="77777777" w:rsidR="008C222F" w:rsidRPr="006B15C8" w:rsidRDefault="008C222F" w:rsidP="00E00E8D">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{"citationID":"nR3Nou3j","properties":{"formattedCitation":"(Miladi et al., 2025)","plainCitation":"(Miladi et al., 2025)","dontUpdate":true,"noteIndex":0},"citationItems":[{"id":345,"uris":["http://zotero.org/groups/5885221/items/ZVDCVKPE"],"itemData":{"id":345,"type":"article-journal","abstract":"Pedestrian-vehicle conflicts at intersections are considered as a major source of injuries and fatalities. Intersections are a critical part of roadway design since pedestrians are exposed to different and potentially dangerous activities due to how an intersection is designed, but also what the pedestrian is doing and where in the city they are. In this study, various influences on risky crossing behaviour are examined. At the individual level, the influence of distractions and where people are looking before crossing are tested. Further, various intersection design variables including wait time, intersection size and speed limits, and contextual variables such as the built environment nearby and traffic flow are examined. The data was gathered by observing pedestrians at 24 intersections in Montreal and Quebec City (12 each). Logistic regression models were estimated to determine the influencing variables on four dangerous behaviours: a) start on red, b) finish on red, c) finish on red having started on green, and d) cross completely on red. Results demonstrate the importance of wait time on risky crossing behaviour with short wait times (&lt; 30s) decreasing the likelihood of such behaviours considerably. For individual behaviour, having a cellphone in one's hand reduces the likelihood of starting to cross on red. In contrast, looking at traffic was over four times more associated with crossing illegally.","container-title":"IATSS Research","DOI":"10.1016/j.iatssr.2025.05.001","ISSN":"0386-1112","issue":"2","journalAbbreviation":"IATSS Research","page":"220-230","source":"ScienceDirect","title":"Distractions or long waits? Impacts on risky crossing behaviour","title-short":"Distractions or long waits?","volume":"49","author":[{"family":"Miladi","given":"Mohsen"},{"family":"Waygood","given":"E. Owen D."},{"family":"Cloutier","given":"Marie-Soleil"},{"family":"Bobin","given":"Wang"},{"family":"Ali Yas","given":"Zeinab"}],"issued":{"date-parts":[["2025",7,1]]}}}],"schema":"https://github.com/citation-style-language/schema/raw/master/csl-citation.json"} </w:instrText>
            </w:r>
            <w:r w:rsidRPr="006B15C8">
              <w:rPr>
                <w:sz w:val="16"/>
                <w:szCs w:val="16"/>
              </w:rPr>
              <w:fldChar w:fldCharType="separate"/>
            </w:r>
            <w:r w:rsidRPr="006B15C8">
              <w:rPr>
                <w:sz w:val="16"/>
                <w:szCs w:val="16"/>
              </w:rPr>
              <w:t>Miladi et al., 2025</w:t>
            </w:r>
            <w:r w:rsidRPr="006B15C8">
              <w:rPr>
                <w:sz w:val="16"/>
                <w:szCs w:val="16"/>
              </w:rPr>
              <w:fldChar w:fldCharType="end"/>
            </w:r>
          </w:p>
        </w:tc>
        <w:tc>
          <w:tcPr>
            <w:tcW w:w="458" w:type="pct"/>
            <w:tcBorders>
              <w:top w:val="double" w:sz="4" w:space="0" w:color="auto"/>
              <w:left w:val="single" w:sz="4" w:space="0" w:color="auto"/>
              <w:bottom w:val="single" w:sz="4" w:space="0" w:color="auto"/>
              <w:right w:val="single" w:sz="4" w:space="0" w:color="auto"/>
            </w:tcBorders>
            <w:vAlign w:val="center"/>
            <w:hideMark/>
          </w:tcPr>
          <w:p w14:paraId="08798C49" w14:textId="77777777" w:rsidR="008C222F" w:rsidRPr="006B15C8" w:rsidRDefault="008C222F" w:rsidP="00E00E8D">
            <w:pPr>
              <w:spacing w:line="240" w:lineRule="auto"/>
              <w:jc w:val="left"/>
              <w:rPr>
                <w:sz w:val="16"/>
                <w:szCs w:val="16"/>
              </w:rPr>
            </w:pPr>
            <w:r w:rsidRPr="006B15C8">
              <w:rPr>
                <w:sz w:val="16"/>
                <w:szCs w:val="16"/>
              </w:rPr>
              <w:t>Canada</w:t>
            </w:r>
          </w:p>
        </w:tc>
        <w:tc>
          <w:tcPr>
            <w:tcW w:w="455" w:type="pct"/>
            <w:tcBorders>
              <w:top w:val="double" w:sz="4" w:space="0" w:color="auto"/>
              <w:left w:val="single" w:sz="4" w:space="0" w:color="auto"/>
              <w:bottom w:val="single" w:sz="4" w:space="0" w:color="auto"/>
              <w:right w:val="single" w:sz="4" w:space="0" w:color="auto"/>
            </w:tcBorders>
            <w:vAlign w:val="center"/>
            <w:hideMark/>
          </w:tcPr>
          <w:p w14:paraId="3A078F95" w14:textId="77777777" w:rsidR="008C222F" w:rsidRPr="006B15C8" w:rsidRDefault="008C222F" w:rsidP="00E00E8D">
            <w:pPr>
              <w:spacing w:line="240" w:lineRule="auto"/>
              <w:jc w:val="left"/>
              <w:rPr>
                <w:sz w:val="16"/>
                <w:szCs w:val="16"/>
              </w:rPr>
            </w:pPr>
            <w:r w:rsidRPr="006B15C8">
              <w:rPr>
                <w:sz w:val="16"/>
                <w:szCs w:val="16"/>
              </w:rPr>
              <w:t>9 hrs/site</w:t>
            </w:r>
          </w:p>
        </w:tc>
        <w:tc>
          <w:tcPr>
            <w:tcW w:w="639" w:type="pct"/>
            <w:tcBorders>
              <w:top w:val="double" w:sz="4" w:space="0" w:color="auto"/>
              <w:left w:val="single" w:sz="4" w:space="0" w:color="auto"/>
              <w:bottom w:val="single" w:sz="4" w:space="0" w:color="auto"/>
              <w:right w:val="single" w:sz="4" w:space="0" w:color="auto"/>
            </w:tcBorders>
            <w:vAlign w:val="center"/>
            <w:hideMark/>
          </w:tcPr>
          <w:p w14:paraId="4F1C1068" w14:textId="77777777" w:rsidR="008C222F" w:rsidRPr="006B15C8" w:rsidRDefault="008C222F" w:rsidP="00E00E8D">
            <w:pPr>
              <w:spacing w:line="240" w:lineRule="auto"/>
              <w:jc w:val="left"/>
              <w:rPr>
                <w:sz w:val="16"/>
                <w:szCs w:val="16"/>
              </w:rPr>
            </w:pPr>
            <w:r w:rsidRPr="006B15C8">
              <w:rPr>
                <w:sz w:val="16"/>
                <w:szCs w:val="16"/>
              </w:rPr>
              <w:t>24 signalized intersections</w:t>
            </w:r>
          </w:p>
        </w:tc>
        <w:tc>
          <w:tcPr>
            <w:tcW w:w="230" w:type="pct"/>
            <w:tcBorders>
              <w:top w:val="double" w:sz="4" w:space="0" w:color="auto"/>
              <w:left w:val="single" w:sz="4" w:space="0" w:color="auto"/>
              <w:bottom w:val="single" w:sz="4" w:space="0" w:color="auto"/>
              <w:right w:val="single" w:sz="4" w:space="0" w:color="auto"/>
            </w:tcBorders>
            <w:vAlign w:val="center"/>
            <w:hideMark/>
          </w:tcPr>
          <w:p w14:paraId="02AE585A" w14:textId="77777777" w:rsidR="008C222F" w:rsidRPr="006B15C8" w:rsidRDefault="008C222F" w:rsidP="004D553B">
            <w:pPr>
              <w:spacing w:line="240" w:lineRule="auto"/>
              <w:jc w:val="center"/>
              <w:rPr>
                <w:sz w:val="16"/>
                <w:szCs w:val="16"/>
              </w:rPr>
            </w:pPr>
            <w:r w:rsidRPr="006B15C8">
              <w:rPr>
                <w:sz w:val="16"/>
                <w:szCs w:val="16"/>
              </w:rPr>
              <w:t>4,711</w:t>
            </w:r>
          </w:p>
        </w:tc>
        <w:tc>
          <w:tcPr>
            <w:tcW w:w="898" w:type="pct"/>
            <w:tcBorders>
              <w:top w:val="double" w:sz="4" w:space="0" w:color="auto"/>
              <w:left w:val="single" w:sz="4" w:space="0" w:color="auto"/>
              <w:bottom w:val="single" w:sz="4" w:space="0" w:color="auto"/>
              <w:right w:val="double" w:sz="4" w:space="0" w:color="auto"/>
            </w:tcBorders>
            <w:vAlign w:val="center"/>
            <w:hideMark/>
          </w:tcPr>
          <w:p w14:paraId="75801DC1"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Pedestrian crossing start on red</w:t>
            </w:r>
          </w:p>
          <w:p w14:paraId="4F0263A2"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Pedestrian crossing finish on red</w:t>
            </w:r>
          </w:p>
          <w:p w14:paraId="29B52BA0"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 xml:space="preserve">Pedestrian crossing finish on red/started on green </w:t>
            </w:r>
          </w:p>
          <w:p w14:paraId="26575093"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Pedestrian crossing completely on red</w:t>
            </w:r>
          </w:p>
        </w:tc>
        <w:tc>
          <w:tcPr>
            <w:tcW w:w="216" w:type="pct"/>
            <w:tcBorders>
              <w:top w:val="double" w:sz="4" w:space="0" w:color="auto"/>
              <w:left w:val="double" w:sz="4" w:space="0" w:color="auto"/>
              <w:bottom w:val="single" w:sz="4" w:space="0" w:color="auto"/>
              <w:right w:val="single" w:sz="4" w:space="0" w:color="auto"/>
            </w:tcBorders>
            <w:vAlign w:val="center"/>
            <w:hideMark/>
          </w:tcPr>
          <w:p w14:paraId="7EBADAC2" w14:textId="77777777" w:rsidR="008C222F" w:rsidRPr="006B15C8" w:rsidRDefault="008C222F" w:rsidP="00E00E8D">
            <w:pPr>
              <w:spacing w:line="240" w:lineRule="auto"/>
              <w:jc w:val="center"/>
              <w:rPr>
                <w:sz w:val="22"/>
                <w:szCs w:val="22"/>
              </w:rPr>
            </w:pPr>
            <w:r w:rsidRPr="006B15C8">
              <w:rPr>
                <w:sz w:val="22"/>
                <w:szCs w:val="22"/>
              </w:rPr>
              <w:t>×</w:t>
            </w:r>
          </w:p>
        </w:tc>
        <w:tc>
          <w:tcPr>
            <w:tcW w:w="224" w:type="pct"/>
            <w:tcBorders>
              <w:top w:val="double" w:sz="4" w:space="0" w:color="auto"/>
              <w:left w:val="single" w:sz="4" w:space="0" w:color="auto"/>
              <w:bottom w:val="single" w:sz="4" w:space="0" w:color="auto"/>
              <w:right w:val="single" w:sz="4" w:space="0" w:color="auto"/>
            </w:tcBorders>
            <w:vAlign w:val="center"/>
            <w:hideMark/>
          </w:tcPr>
          <w:p w14:paraId="61674FFE" w14:textId="77777777" w:rsidR="008C222F" w:rsidRPr="006B15C8" w:rsidRDefault="008C222F" w:rsidP="00E00E8D">
            <w:pPr>
              <w:spacing w:line="240" w:lineRule="auto"/>
              <w:jc w:val="center"/>
              <w:rPr>
                <w:sz w:val="22"/>
                <w:szCs w:val="22"/>
              </w:rPr>
            </w:pPr>
            <w:r w:rsidRPr="006B15C8">
              <w:rPr>
                <w:sz w:val="22"/>
                <w:szCs w:val="22"/>
              </w:rPr>
              <w:t>×</w:t>
            </w:r>
          </w:p>
        </w:tc>
        <w:tc>
          <w:tcPr>
            <w:tcW w:w="192" w:type="pct"/>
            <w:tcBorders>
              <w:top w:val="double" w:sz="4" w:space="0" w:color="auto"/>
              <w:left w:val="single" w:sz="4" w:space="0" w:color="auto"/>
              <w:bottom w:val="single" w:sz="4" w:space="0" w:color="auto"/>
              <w:right w:val="double" w:sz="4" w:space="0" w:color="auto"/>
            </w:tcBorders>
            <w:vAlign w:val="center"/>
          </w:tcPr>
          <w:p w14:paraId="5374A581" w14:textId="77777777" w:rsidR="008C222F" w:rsidRPr="006B15C8" w:rsidRDefault="008C222F" w:rsidP="00E00E8D">
            <w:pPr>
              <w:spacing w:line="240" w:lineRule="auto"/>
              <w:jc w:val="center"/>
              <w:rPr>
                <w:sz w:val="16"/>
                <w:szCs w:val="16"/>
              </w:rPr>
            </w:pPr>
          </w:p>
        </w:tc>
        <w:tc>
          <w:tcPr>
            <w:tcW w:w="263" w:type="pct"/>
            <w:tcBorders>
              <w:top w:val="double" w:sz="4" w:space="0" w:color="auto"/>
              <w:left w:val="double" w:sz="4" w:space="0" w:color="auto"/>
              <w:bottom w:val="single" w:sz="4" w:space="0" w:color="auto"/>
              <w:right w:val="single" w:sz="4" w:space="0" w:color="auto"/>
            </w:tcBorders>
            <w:vAlign w:val="center"/>
          </w:tcPr>
          <w:p w14:paraId="3CFE24B9" w14:textId="77777777" w:rsidR="008C222F" w:rsidRPr="006B15C8" w:rsidRDefault="008C222F" w:rsidP="00E00E8D">
            <w:pPr>
              <w:spacing w:line="240" w:lineRule="auto"/>
              <w:jc w:val="center"/>
              <w:rPr>
                <w:sz w:val="22"/>
                <w:szCs w:val="22"/>
              </w:rPr>
            </w:pPr>
          </w:p>
        </w:tc>
        <w:tc>
          <w:tcPr>
            <w:tcW w:w="276" w:type="pct"/>
            <w:tcBorders>
              <w:top w:val="double" w:sz="4" w:space="0" w:color="auto"/>
              <w:left w:val="single" w:sz="4" w:space="0" w:color="auto"/>
              <w:bottom w:val="single" w:sz="4" w:space="0" w:color="auto"/>
              <w:right w:val="single" w:sz="4" w:space="0" w:color="auto"/>
            </w:tcBorders>
            <w:vAlign w:val="center"/>
            <w:hideMark/>
          </w:tcPr>
          <w:p w14:paraId="7CD3A565" w14:textId="77777777" w:rsidR="008C222F" w:rsidRPr="006B15C8" w:rsidRDefault="008C222F" w:rsidP="00E00E8D">
            <w:pPr>
              <w:spacing w:line="240" w:lineRule="auto"/>
              <w:jc w:val="center"/>
              <w:rPr>
                <w:sz w:val="16"/>
                <w:szCs w:val="16"/>
              </w:rPr>
            </w:pPr>
            <w:r w:rsidRPr="006B15C8">
              <w:rPr>
                <w:sz w:val="22"/>
                <w:szCs w:val="22"/>
              </w:rPr>
              <w:t>×</w:t>
            </w:r>
          </w:p>
        </w:tc>
        <w:tc>
          <w:tcPr>
            <w:tcW w:w="274" w:type="pct"/>
            <w:tcBorders>
              <w:top w:val="double" w:sz="4" w:space="0" w:color="auto"/>
              <w:left w:val="single" w:sz="4" w:space="0" w:color="auto"/>
              <w:bottom w:val="single" w:sz="4" w:space="0" w:color="auto"/>
              <w:right w:val="double" w:sz="4" w:space="0" w:color="auto"/>
            </w:tcBorders>
            <w:vAlign w:val="center"/>
            <w:hideMark/>
          </w:tcPr>
          <w:p w14:paraId="5E7D0BE0" w14:textId="5E5FB056"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double" w:sz="4" w:space="0" w:color="auto"/>
              <w:left w:val="double" w:sz="4" w:space="0" w:color="auto"/>
              <w:bottom w:val="single" w:sz="4" w:space="0" w:color="auto"/>
              <w:right w:val="single" w:sz="4" w:space="0" w:color="auto"/>
            </w:tcBorders>
            <w:vAlign w:val="center"/>
          </w:tcPr>
          <w:p w14:paraId="7E3D77B3" w14:textId="77777777" w:rsidR="008C222F" w:rsidRPr="006B15C8" w:rsidRDefault="008C222F" w:rsidP="00E00E8D">
            <w:pPr>
              <w:spacing w:line="240" w:lineRule="auto"/>
              <w:jc w:val="center"/>
              <w:rPr>
                <w:sz w:val="22"/>
                <w:szCs w:val="22"/>
              </w:rPr>
            </w:pPr>
          </w:p>
        </w:tc>
        <w:tc>
          <w:tcPr>
            <w:tcW w:w="249" w:type="pct"/>
            <w:tcBorders>
              <w:top w:val="double" w:sz="4" w:space="0" w:color="auto"/>
              <w:left w:val="single" w:sz="4" w:space="0" w:color="auto"/>
              <w:bottom w:val="single" w:sz="4" w:space="0" w:color="auto"/>
              <w:right w:val="double" w:sz="4" w:space="0" w:color="auto"/>
            </w:tcBorders>
            <w:vAlign w:val="center"/>
            <w:hideMark/>
          </w:tcPr>
          <w:p w14:paraId="1725FA60" w14:textId="77777777" w:rsidR="008C222F" w:rsidRPr="006B15C8" w:rsidRDefault="008C222F" w:rsidP="00E00E8D">
            <w:pPr>
              <w:spacing w:line="240" w:lineRule="auto"/>
              <w:jc w:val="center"/>
              <w:rPr>
                <w:sz w:val="22"/>
                <w:szCs w:val="22"/>
              </w:rPr>
            </w:pPr>
            <w:r w:rsidRPr="006B15C8">
              <w:rPr>
                <w:sz w:val="22"/>
                <w:szCs w:val="22"/>
              </w:rPr>
              <w:t>×</w:t>
            </w:r>
          </w:p>
        </w:tc>
      </w:tr>
      <w:tr w:rsidR="003157CB" w:rsidRPr="006B15C8" w14:paraId="26A506CE" w14:textId="77777777" w:rsidTr="00E00E8D">
        <w:tc>
          <w:tcPr>
            <w:tcW w:w="402" w:type="pct"/>
            <w:tcBorders>
              <w:top w:val="single" w:sz="4" w:space="0" w:color="auto"/>
              <w:left w:val="double" w:sz="4" w:space="0" w:color="auto"/>
              <w:bottom w:val="single" w:sz="4" w:space="0" w:color="auto"/>
              <w:right w:val="single" w:sz="4" w:space="0" w:color="auto"/>
            </w:tcBorders>
            <w:vAlign w:val="center"/>
            <w:hideMark/>
          </w:tcPr>
          <w:p w14:paraId="395E6AEA" w14:textId="77777777" w:rsidR="008C222F" w:rsidRPr="006B15C8" w:rsidRDefault="008C222F" w:rsidP="00E00E8D">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{"citationID":"ROJeBoDg","properties":{"formattedCitation":"(Zhang et al., 2023)","plainCitation":"(Zhang et al., 2023)","dontUpdate":true,"noteIndex":0},"citationItems":[{"id":330,"uris":["http://zotero.org/groups/5885221/items/Q3HG2ZXZ"],"itemData":{"id":330,"type":"article-journal","abstract":"Pedestrian violations are a major cause of pedestrian accidents. Considering that pedestrians are vulnerable to mortality and severe injury in traffic accidents, it is necessary to conduct a study of the factors influencing the occurrence of unmarked street crossing violations and to improve pedestrian safety in a targeted manner. This paper investigated pedestrian spatial violations on unmarked roadways at six high-traffic locations in Hefei and examined the effects of the road environment, pedestrian crossing behaviour, and pedestrian characteristics on pedestrian spatial violation decisions. Thirty variables with a total of 723 samples were obtained by an unmanned aerial vehicle (UAV) and a camera. The purpose of this study was to gain an understanding of pedestrian spatial crossing violations at unmarked roadways. A random parameter logit model was used to establish a pedestrian crossing decision model for roadway violations. The results indicate that males are more likely to violate than females; the probability of violation with companions is higher than that of crossing alone; when pedestrians cross with other strangers in the same direction, the rate will decrease; and shorter intersection spacing, a higher vehicle flow, and a longer pedestrian crossing length all reduce the illegal crossing propensity. The findings should be indicative to help traffic road construction departments and traffic participants take effective measures to improve road safety.","container-title":"Transportation Research Part F: Traffic Psychology and Behaviour","DOI":"10.1016/j.trf.2023.10.022","ISSN":"1369-8478","journalAbbreviation":"Transportation Research Part F: Traffic Psychology and Behaviour","page":"339-355","source":"ScienceDirect","title":"Analysis of pedestrian illegal crossing at unmarked segments: Environmental factors, pedestrian characteristics and crossing behaviours","title-short":"Analysis of pedestrian illegal crossing at unmarked segments","volume":"99","author":[{"family":"Zhang","given":"Weihua"},{"family":"Guo","given":"Haonan"},{"family":"Wang","given":"Cheng"},{"family":"Wang","given":"Kun"},{"family":"Huang","given":"Wenjuan"},{"family":"Xu","given":"Qingyang"},{"family":"Tang","given":"Hongya"},{"family":"Yang","given":"Bo"},{"family":"Yan","given":"Ran"}],"issued":{"date-parts":[["2023",11,1]]}}}],"schema":"https://github.com/citation-style-language/schema/raw/master/csl-citation.json"} </w:instrText>
            </w:r>
            <w:r w:rsidRPr="006B15C8">
              <w:rPr>
                <w:sz w:val="16"/>
                <w:szCs w:val="16"/>
              </w:rPr>
              <w:fldChar w:fldCharType="separate"/>
            </w:r>
            <w:r w:rsidRPr="006B15C8">
              <w:rPr>
                <w:sz w:val="16"/>
                <w:szCs w:val="16"/>
              </w:rPr>
              <w:t>Zhang et al., 2023</w:t>
            </w:r>
            <w:r w:rsidRPr="006B15C8">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763868CC" w14:textId="77777777" w:rsidR="008C222F" w:rsidRPr="006B15C8" w:rsidRDefault="008C222F" w:rsidP="00E00E8D">
            <w:pPr>
              <w:spacing w:line="240" w:lineRule="auto"/>
              <w:jc w:val="left"/>
              <w:rPr>
                <w:sz w:val="16"/>
                <w:szCs w:val="16"/>
              </w:rPr>
            </w:pPr>
            <w:r w:rsidRPr="006B15C8">
              <w:rPr>
                <w:sz w:val="16"/>
                <w:szCs w:val="16"/>
              </w:rPr>
              <w:t>China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6D19597C" w14:textId="77777777" w:rsidR="008C222F" w:rsidRPr="006B15C8" w:rsidRDefault="008C222F" w:rsidP="00E00E8D">
            <w:pPr>
              <w:spacing w:line="240" w:lineRule="auto"/>
              <w:jc w:val="left"/>
              <w:rPr>
                <w:sz w:val="16"/>
                <w:szCs w:val="16"/>
              </w:rPr>
            </w:pPr>
            <w:r w:rsidRPr="006B15C8">
              <w:rPr>
                <w:sz w:val="16"/>
                <w:szCs w:val="16"/>
              </w:rPr>
              <w:t>0.5 hrs/site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008AE229" w14:textId="77777777" w:rsidR="008C222F" w:rsidRPr="006B15C8" w:rsidRDefault="008C222F" w:rsidP="00E00E8D">
            <w:pPr>
              <w:spacing w:line="240" w:lineRule="auto"/>
              <w:jc w:val="left"/>
              <w:rPr>
                <w:sz w:val="16"/>
                <w:szCs w:val="16"/>
              </w:rPr>
            </w:pPr>
            <w:r w:rsidRPr="006B15C8">
              <w:rPr>
                <w:sz w:val="16"/>
                <w:szCs w:val="16"/>
              </w:rPr>
              <w:t>6 4-lane two-way</w:t>
            </w:r>
          </w:p>
          <w:p w14:paraId="6B12F8F6" w14:textId="77777777" w:rsidR="008C222F" w:rsidRPr="006B15C8" w:rsidRDefault="008C222F" w:rsidP="00E00E8D">
            <w:pPr>
              <w:spacing w:line="240" w:lineRule="auto"/>
              <w:jc w:val="left"/>
              <w:rPr>
                <w:sz w:val="16"/>
                <w:szCs w:val="16"/>
              </w:rPr>
            </w:pPr>
            <w:r w:rsidRPr="006B15C8">
              <w:rPr>
                <w:sz w:val="16"/>
                <w:szCs w:val="16"/>
              </w:rPr>
              <w:t>road segments</w:t>
            </w:r>
          </w:p>
        </w:tc>
        <w:tc>
          <w:tcPr>
            <w:tcW w:w="230" w:type="pct"/>
            <w:tcBorders>
              <w:top w:val="single" w:sz="4" w:space="0" w:color="auto"/>
              <w:left w:val="single" w:sz="4" w:space="0" w:color="auto"/>
              <w:bottom w:val="single" w:sz="4" w:space="0" w:color="auto"/>
              <w:right w:val="single" w:sz="4" w:space="0" w:color="auto"/>
            </w:tcBorders>
            <w:vAlign w:val="center"/>
            <w:hideMark/>
          </w:tcPr>
          <w:p w14:paraId="51E5ECCE" w14:textId="77777777" w:rsidR="008C222F" w:rsidRPr="006B15C8" w:rsidRDefault="008C222F" w:rsidP="004D553B">
            <w:pPr>
              <w:spacing w:line="240" w:lineRule="auto"/>
              <w:jc w:val="center"/>
              <w:rPr>
                <w:sz w:val="16"/>
                <w:szCs w:val="16"/>
              </w:rPr>
            </w:pPr>
            <w:r w:rsidRPr="006B15C8">
              <w:rPr>
                <w:sz w:val="16"/>
                <w:szCs w:val="16"/>
              </w:rPr>
              <w:t>723</w:t>
            </w:r>
          </w:p>
        </w:tc>
        <w:tc>
          <w:tcPr>
            <w:tcW w:w="898" w:type="pct"/>
            <w:tcBorders>
              <w:top w:val="single" w:sz="4" w:space="0" w:color="auto"/>
              <w:left w:val="single" w:sz="4" w:space="0" w:color="auto"/>
              <w:bottom w:val="single" w:sz="4" w:space="0" w:color="auto"/>
              <w:right w:val="double" w:sz="4" w:space="0" w:color="auto"/>
            </w:tcBorders>
            <w:vAlign w:val="center"/>
            <w:hideMark/>
          </w:tcPr>
          <w:p w14:paraId="7CBA6E61"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 xml:space="preserve">Spatial violation </w:t>
            </w:r>
          </w:p>
        </w:tc>
        <w:tc>
          <w:tcPr>
            <w:tcW w:w="216" w:type="pct"/>
            <w:tcBorders>
              <w:top w:val="single" w:sz="4" w:space="0" w:color="auto"/>
              <w:left w:val="double" w:sz="4" w:space="0" w:color="auto"/>
              <w:bottom w:val="single" w:sz="4" w:space="0" w:color="auto"/>
              <w:right w:val="single" w:sz="4" w:space="0" w:color="auto"/>
            </w:tcBorders>
            <w:vAlign w:val="center"/>
            <w:hideMark/>
          </w:tcPr>
          <w:p w14:paraId="17296D63" w14:textId="77777777"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2B56230B" w14:textId="77777777" w:rsidR="008C222F" w:rsidRPr="006B15C8" w:rsidRDefault="008C222F" w:rsidP="00E00E8D">
            <w:pPr>
              <w:spacing w:line="240" w:lineRule="auto"/>
              <w:jc w:val="center"/>
              <w:rPr>
                <w:sz w:val="16"/>
                <w:szCs w:val="16"/>
              </w:rPr>
            </w:pPr>
            <w:r w:rsidRPr="006B15C8">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228B19B1" w14:textId="77777777" w:rsidR="008C222F" w:rsidRPr="006B15C8" w:rsidRDefault="008C222F" w:rsidP="00E00E8D">
            <w:pPr>
              <w:spacing w:line="240" w:lineRule="auto"/>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4D6553B9" w14:textId="77777777" w:rsidR="008C222F" w:rsidRPr="006B15C8" w:rsidRDefault="008C222F" w:rsidP="00E00E8D">
            <w:pPr>
              <w:spacing w:line="240" w:lineRule="auto"/>
              <w:jc w:val="center"/>
              <w:rPr>
                <w:sz w:val="16"/>
                <w:szCs w:val="16"/>
              </w:rPr>
            </w:pPr>
            <w:r w:rsidRPr="006B15C8">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tcPr>
          <w:p w14:paraId="4349B16E" w14:textId="77777777" w:rsidR="008C222F" w:rsidRPr="006B15C8" w:rsidRDefault="008C222F" w:rsidP="00E00E8D">
            <w:pPr>
              <w:spacing w:line="240" w:lineRule="auto"/>
              <w:jc w:val="center"/>
              <w:rPr>
                <w:sz w:val="16"/>
                <w:szCs w:val="16"/>
              </w:rPr>
            </w:pPr>
          </w:p>
        </w:tc>
        <w:tc>
          <w:tcPr>
            <w:tcW w:w="274" w:type="pct"/>
            <w:tcBorders>
              <w:top w:val="single" w:sz="4" w:space="0" w:color="auto"/>
              <w:left w:val="single" w:sz="4" w:space="0" w:color="auto"/>
              <w:bottom w:val="single" w:sz="4" w:space="0" w:color="auto"/>
              <w:right w:val="double" w:sz="4" w:space="0" w:color="auto"/>
            </w:tcBorders>
            <w:vAlign w:val="center"/>
            <w:hideMark/>
          </w:tcPr>
          <w:p w14:paraId="7D289EE6" w14:textId="77777777"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single" w:sz="4" w:space="0" w:color="auto"/>
              <w:left w:val="double" w:sz="4" w:space="0" w:color="auto"/>
              <w:bottom w:val="single" w:sz="4" w:space="0" w:color="auto"/>
              <w:right w:val="single" w:sz="4" w:space="0" w:color="auto"/>
            </w:tcBorders>
            <w:vAlign w:val="center"/>
          </w:tcPr>
          <w:p w14:paraId="1A64EADF" w14:textId="77777777" w:rsidR="008C222F" w:rsidRPr="006B15C8" w:rsidRDefault="008C222F" w:rsidP="00E00E8D">
            <w:pPr>
              <w:spacing w:line="240" w:lineRule="auto"/>
              <w:jc w:val="center"/>
              <w:rPr>
                <w:sz w:val="16"/>
                <w:szCs w:val="16"/>
              </w:rPr>
            </w:pPr>
          </w:p>
        </w:tc>
        <w:tc>
          <w:tcPr>
            <w:tcW w:w="249" w:type="pct"/>
            <w:tcBorders>
              <w:top w:val="single" w:sz="4" w:space="0" w:color="auto"/>
              <w:left w:val="single" w:sz="4" w:space="0" w:color="auto"/>
              <w:bottom w:val="single" w:sz="4" w:space="0" w:color="auto"/>
              <w:right w:val="double" w:sz="4" w:space="0" w:color="auto"/>
            </w:tcBorders>
            <w:vAlign w:val="center"/>
          </w:tcPr>
          <w:p w14:paraId="2C9336AB" w14:textId="77777777" w:rsidR="008C222F" w:rsidRPr="006B15C8" w:rsidRDefault="008C222F" w:rsidP="00E00E8D">
            <w:pPr>
              <w:spacing w:line="240" w:lineRule="auto"/>
              <w:jc w:val="center"/>
              <w:rPr>
                <w:sz w:val="16"/>
                <w:szCs w:val="16"/>
              </w:rPr>
            </w:pPr>
          </w:p>
        </w:tc>
      </w:tr>
      <w:tr w:rsidR="003157CB" w:rsidRPr="006B15C8" w14:paraId="70B27C2E" w14:textId="77777777" w:rsidTr="00E00E8D">
        <w:trPr>
          <w:trHeight w:val="346"/>
        </w:trPr>
        <w:tc>
          <w:tcPr>
            <w:tcW w:w="402" w:type="pct"/>
            <w:tcBorders>
              <w:top w:val="single" w:sz="4" w:space="0" w:color="auto"/>
              <w:left w:val="double" w:sz="4" w:space="0" w:color="auto"/>
              <w:bottom w:val="single" w:sz="4" w:space="0" w:color="auto"/>
              <w:right w:val="single" w:sz="4" w:space="0" w:color="auto"/>
            </w:tcBorders>
            <w:vAlign w:val="center"/>
            <w:hideMark/>
          </w:tcPr>
          <w:p w14:paraId="2402C7A8" w14:textId="77777777" w:rsidR="008C222F" w:rsidRPr="006B15C8" w:rsidRDefault="008C222F" w:rsidP="00E00E8D">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{"citationID":"a3hliJzk","properties":{"formattedCitation":"(Fu et al., 2022)","plainCitation":"(Fu et al., 2022)","dontUpdate":true,"noteIndex":0},"citationItems":[{"id":86,"uris":["http://zotero.org/groups/5885221/items/KQINRWRT"],"itemData":{"id":86,"type":"article-journal","abstract":"Investigating pedestrian crossing and driver yielding decisions should be an important focus considering the high risks of pedestrians in exposed to motorized traffic. Limitations, however, exist in previous studies – variables considered previously have been limited; how their behavior affect each other (defined as interactive impacts) were not sufficiently considered. This paper aims to provide a methodological approach for pedestrian crossing and driver yielding decisions during their interactions, considering of different variable types including interactive impact variables, traffic condition variables, road design variables, and environment variables. A Distance-Velocity (DV) framework proposed in an earlier study is introduced for definitions and concepts in studying pedestrian-vehicle interactions. Logistic regression, support vector machines, neural networks and random forests, are introduced as candidate models. A case study involving six crosswalk locations is conducted, focusing on interactions between pedestrians and right-turn vehicles. The proposed methodological approach is applied, with the performance of the four machine learning methods compared in terms of model generalization and confusion matrix. The model with the best performance is further compared to the typical gap-based model. Results show that random forest and logistic regression models performed the best in modeling pedestrian crossing and driver yielding decisions respective, in terms of model generalization. Besides, the DV-based modeling method (average accuracy of over 90% for pedestrians and 80% for drivers) outperformed the traditional gap-based method in all test seeds. As a key finding, interactive impacts from each other (the pedestrian and the driver) act as a key contributing variable on their decisions.","container-title":"Transportation Research Part F: Traffic Psychology and Behaviour","DOI":"10.1016/j.trf.2022.05.005","ISSN":"1369-8478","journalAbbreviation":"Transportation Research Part F: Traffic Psychology and Behaviour","page":"37-53","source":"ScienceDirect","title":"A method in modeling interactive pedestrian crossing and driver yielding decisions during their interactions at intersections","volume":"88","author":[{"family":"Fu","given":"Ting"},{"family":"Yu","given":"Xiaochen"},{"family":"Xiong","given":"Binglei"},{"family":"Jiang","given":"Chaozhe"},{"family":"Wang","given":"Junhua"},{"family":"Shangguan","given":"Qiangqiang"},{"family":"Xu","given":"Wenxiang"}],"issued":{"date-parts":[["2022",7,1]]}}}],"schema":"https://github.com/citation-style-language/schema/raw/master/csl-citation.json"} </w:instrText>
            </w:r>
            <w:r w:rsidRPr="006B15C8">
              <w:rPr>
                <w:sz w:val="16"/>
                <w:szCs w:val="16"/>
              </w:rPr>
              <w:fldChar w:fldCharType="separate"/>
            </w:r>
            <w:r w:rsidRPr="006B15C8">
              <w:rPr>
                <w:sz w:val="16"/>
                <w:szCs w:val="16"/>
              </w:rPr>
              <w:t>Fu et al., 2022</w:t>
            </w:r>
            <w:r w:rsidRPr="006B15C8">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19B24210" w14:textId="77777777" w:rsidR="008C222F" w:rsidRPr="006B15C8" w:rsidRDefault="008C222F" w:rsidP="00E00E8D">
            <w:pPr>
              <w:spacing w:line="240" w:lineRule="auto"/>
              <w:jc w:val="left"/>
              <w:rPr>
                <w:sz w:val="16"/>
                <w:szCs w:val="16"/>
              </w:rPr>
            </w:pPr>
            <w:r w:rsidRPr="006B15C8">
              <w:rPr>
                <w:sz w:val="16"/>
                <w:szCs w:val="16"/>
              </w:rPr>
              <w:t>China</w:t>
            </w:r>
          </w:p>
        </w:tc>
        <w:tc>
          <w:tcPr>
            <w:tcW w:w="455" w:type="pct"/>
            <w:tcBorders>
              <w:top w:val="single" w:sz="4" w:space="0" w:color="auto"/>
              <w:left w:val="single" w:sz="4" w:space="0" w:color="auto"/>
              <w:bottom w:val="single" w:sz="4" w:space="0" w:color="auto"/>
              <w:right w:val="single" w:sz="4" w:space="0" w:color="auto"/>
            </w:tcBorders>
            <w:vAlign w:val="center"/>
            <w:hideMark/>
          </w:tcPr>
          <w:p w14:paraId="669D24F8" w14:textId="77777777" w:rsidR="008C222F" w:rsidRPr="006B15C8" w:rsidRDefault="008C222F" w:rsidP="00E00E8D">
            <w:pPr>
              <w:spacing w:line="240" w:lineRule="auto"/>
              <w:jc w:val="left"/>
              <w:rPr>
                <w:sz w:val="16"/>
                <w:szCs w:val="16"/>
              </w:rPr>
            </w:pPr>
            <w:r w:rsidRPr="006B15C8">
              <w:rPr>
                <w:sz w:val="16"/>
                <w:szCs w:val="16"/>
              </w:rPr>
              <w:t>54 hrs</w:t>
            </w:r>
          </w:p>
          <w:p w14:paraId="35A03109" w14:textId="77777777" w:rsidR="008C222F" w:rsidRPr="006B15C8" w:rsidRDefault="008C222F" w:rsidP="00E00E8D">
            <w:pPr>
              <w:spacing w:line="240" w:lineRule="auto"/>
              <w:jc w:val="left"/>
              <w:rPr>
                <w:sz w:val="16"/>
                <w:szCs w:val="16"/>
              </w:rPr>
            </w:pPr>
            <w:r w:rsidRPr="006B15C8">
              <w:rPr>
                <w:sz w:val="16"/>
                <w:szCs w:val="16"/>
              </w:rPr>
              <w:t>(9 hrs/site)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5D85F22C" w14:textId="77777777" w:rsidR="008C222F" w:rsidRPr="006B15C8" w:rsidRDefault="008C222F" w:rsidP="00E00E8D">
            <w:pPr>
              <w:spacing w:line="240" w:lineRule="auto"/>
              <w:jc w:val="left"/>
              <w:rPr>
                <w:sz w:val="16"/>
                <w:szCs w:val="16"/>
              </w:rPr>
            </w:pPr>
            <w:r w:rsidRPr="006B15C8">
              <w:rPr>
                <w:sz w:val="16"/>
                <w:szCs w:val="16"/>
              </w:rPr>
              <w:t>6 crosswalks adjacent to right-turning vehicles at signalized intersections</w:t>
            </w:r>
          </w:p>
        </w:tc>
        <w:tc>
          <w:tcPr>
            <w:tcW w:w="230" w:type="pct"/>
            <w:tcBorders>
              <w:top w:val="single" w:sz="4" w:space="0" w:color="auto"/>
              <w:left w:val="single" w:sz="4" w:space="0" w:color="auto"/>
              <w:bottom w:val="single" w:sz="4" w:space="0" w:color="auto"/>
              <w:right w:val="single" w:sz="4" w:space="0" w:color="auto"/>
            </w:tcBorders>
            <w:vAlign w:val="center"/>
            <w:hideMark/>
          </w:tcPr>
          <w:p w14:paraId="76A85BE5" w14:textId="77777777" w:rsidR="008C222F" w:rsidRPr="006B15C8" w:rsidRDefault="008C222F" w:rsidP="004D553B">
            <w:pPr>
              <w:spacing w:line="240" w:lineRule="auto"/>
              <w:jc w:val="center"/>
              <w:rPr>
                <w:sz w:val="16"/>
                <w:szCs w:val="16"/>
              </w:rPr>
            </w:pPr>
            <w:r w:rsidRPr="006B15C8">
              <w:rPr>
                <w:sz w:val="16"/>
                <w:szCs w:val="16"/>
              </w:rPr>
              <w:t>518</w:t>
            </w:r>
          </w:p>
        </w:tc>
        <w:tc>
          <w:tcPr>
            <w:tcW w:w="898" w:type="pct"/>
            <w:tcBorders>
              <w:top w:val="single" w:sz="4" w:space="0" w:color="auto"/>
              <w:left w:val="single" w:sz="4" w:space="0" w:color="auto"/>
              <w:bottom w:val="single" w:sz="4" w:space="0" w:color="auto"/>
              <w:right w:val="double" w:sz="4" w:space="0" w:color="auto"/>
            </w:tcBorders>
            <w:vAlign w:val="center"/>
            <w:hideMark/>
          </w:tcPr>
          <w:p w14:paraId="33DA5F32"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Pedestrian crossing decisions: cross vs. not cross</w:t>
            </w:r>
          </w:p>
        </w:tc>
        <w:tc>
          <w:tcPr>
            <w:tcW w:w="216" w:type="pct"/>
            <w:tcBorders>
              <w:top w:val="single" w:sz="4" w:space="0" w:color="auto"/>
              <w:left w:val="double" w:sz="4" w:space="0" w:color="auto"/>
              <w:bottom w:val="single" w:sz="4" w:space="0" w:color="auto"/>
              <w:right w:val="single" w:sz="4" w:space="0" w:color="auto"/>
            </w:tcBorders>
            <w:vAlign w:val="center"/>
          </w:tcPr>
          <w:p w14:paraId="5B82D682" w14:textId="77777777" w:rsidR="008C222F" w:rsidRPr="006B15C8" w:rsidRDefault="008C222F" w:rsidP="00E00E8D">
            <w:pPr>
              <w:spacing w:line="240" w:lineRule="auto"/>
              <w:jc w:val="center"/>
              <w:rPr>
                <w:sz w:val="16"/>
                <w:szCs w:val="16"/>
              </w:rPr>
            </w:pPr>
          </w:p>
        </w:tc>
        <w:tc>
          <w:tcPr>
            <w:tcW w:w="224" w:type="pct"/>
            <w:tcBorders>
              <w:top w:val="single" w:sz="4" w:space="0" w:color="auto"/>
              <w:left w:val="single" w:sz="4" w:space="0" w:color="auto"/>
              <w:bottom w:val="single" w:sz="4" w:space="0" w:color="auto"/>
              <w:right w:val="single" w:sz="4" w:space="0" w:color="auto"/>
            </w:tcBorders>
            <w:vAlign w:val="center"/>
          </w:tcPr>
          <w:p w14:paraId="456C0ECB" w14:textId="77777777" w:rsidR="008C222F" w:rsidRPr="006B15C8" w:rsidRDefault="008C222F" w:rsidP="00E00E8D">
            <w:pPr>
              <w:spacing w:line="240" w:lineRule="auto"/>
              <w:jc w:val="center"/>
              <w:rPr>
                <w:sz w:val="16"/>
                <w:szCs w:val="16"/>
              </w:rPr>
            </w:pPr>
          </w:p>
        </w:tc>
        <w:tc>
          <w:tcPr>
            <w:tcW w:w="192" w:type="pct"/>
            <w:tcBorders>
              <w:top w:val="single" w:sz="4" w:space="0" w:color="auto"/>
              <w:left w:val="single" w:sz="4" w:space="0" w:color="auto"/>
              <w:bottom w:val="single" w:sz="4" w:space="0" w:color="auto"/>
              <w:right w:val="double" w:sz="4" w:space="0" w:color="auto"/>
            </w:tcBorders>
            <w:vAlign w:val="center"/>
          </w:tcPr>
          <w:p w14:paraId="5D806C38" w14:textId="77777777" w:rsidR="008C222F" w:rsidRPr="006B15C8" w:rsidRDefault="008C222F" w:rsidP="00E00E8D">
            <w:pPr>
              <w:spacing w:line="240" w:lineRule="auto"/>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22C47E75" w14:textId="77777777" w:rsidR="008C222F" w:rsidRPr="006B15C8" w:rsidRDefault="008C222F" w:rsidP="00E00E8D">
            <w:pPr>
              <w:spacing w:line="240" w:lineRule="auto"/>
              <w:jc w:val="center"/>
              <w:rPr>
                <w:sz w:val="16"/>
                <w:szCs w:val="16"/>
              </w:rPr>
            </w:pPr>
            <w:r w:rsidRPr="006B15C8">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tcPr>
          <w:p w14:paraId="6734075F" w14:textId="77777777" w:rsidR="008C222F" w:rsidRPr="006B15C8" w:rsidRDefault="008C222F" w:rsidP="00E00E8D">
            <w:pPr>
              <w:spacing w:line="240" w:lineRule="auto"/>
              <w:jc w:val="center"/>
              <w:rPr>
                <w:sz w:val="16"/>
                <w:szCs w:val="16"/>
              </w:rPr>
            </w:pPr>
          </w:p>
        </w:tc>
        <w:tc>
          <w:tcPr>
            <w:tcW w:w="274" w:type="pct"/>
            <w:tcBorders>
              <w:top w:val="single" w:sz="4" w:space="0" w:color="auto"/>
              <w:left w:val="single" w:sz="4" w:space="0" w:color="auto"/>
              <w:bottom w:val="single" w:sz="4" w:space="0" w:color="auto"/>
              <w:right w:val="double" w:sz="4" w:space="0" w:color="auto"/>
            </w:tcBorders>
            <w:vAlign w:val="center"/>
          </w:tcPr>
          <w:p w14:paraId="520BC28B" w14:textId="77777777" w:rsidR="008C222F" w:rsidRPr="006B15C8" w:rsidRDefault="008C222F" w:rsidP="00E00E8D">
            <w:pPr>
              <w:spacing w:line="240" w:lineRule="auto"/>
              <w:jc w:val="center"/>
              <w:rPr>
                <w:sz w:val="16"/>
                <w:szCs w:val="16"/>
              </w:rPr>
            </w:pPr>
          </w:p>
        </w:tc>
        <w:tc>
          <w:tcPr>
            <w:tcW w:w="224" w:type="pct"/>
            <w:tcBorders>
              <w:top w:val="single" w:sz="4" w:space="0" w:color="auto"/>
              <w:left w:val="double" w:sz="4" w:space="0" w:color="auto"/>
              <w:bottom w:val="single" w:sz="4" w:space="0" w:color="auto"/>
              <w:right w:val="single" w:sz="4" w:space="0" w:color="auto"/>
            </w:tcBorders>
            <w:vAlign w:val="center"/>
            <w:hideMark/>
          </w:tcPr>
          <w:p w14:paraId="28333214" w14:textId="77777777" w:rsidR="008C222F" w:rsidRPr="006B15C8" w:rsidRDefault="008C222F" w:rsidP="00E00E8D">
            <w:pPr>
              <w:spacing w:line="240" w:lineRule="auto"/>
              <w:jc w:val="center"/>
              <w:rPr>
                <w:sz w:val="16"/>
                <w:szCs w:val="16"/>
              </w:rPr>
            </w:pPr>
            <w:r w:rsidRPr="006B15C8">
              <w:rPr>
                <w:sz w:val="22"/>
                <w:szCs w:val="22"/>
              </w:rPr>
              <w:t>×</w:t>
            </w:r>
          </w:p>
        </w:tc>
        <w:tc>
          <w:tcPr>
            <w:tcW w:w="249" w:type="pct"/>
            <w:tcBorders>
              <w:top w:val="single" w:sz="4" w:space="0" w:color="auto"/>
              <w:left w:val="single" w:sz="4" w:space="0" w:color="auto"/>
              <w:bottom w:val="single" w:sz="4" w:space="0" w:color="auto"/>
              <w:right w:val="double" w:sz="4" w:space="0" w:color="auto"/>
            </w:tcBorders>
            <w:vAlign w:val="center"/>
          </w:tcPr>
          <w:p w14:paraId="4F14EC1A" w14:textId="77777777" w:rsidR="008C222F" w:rsidRPr="006B15C8" w:rsidRDefault="008C222F" w:rsidP="00E00E8D">
            <w:pPr>
              <w:spacing w:line="240" w:lineRule="auto"/>
              <w:jc w:val="center"/>
              <w:rPr>
                <w:sz w:val="16"/>
                <w:szCs w:val="16"/>
              </w:rPr>
            </w:pPr>
          </w:p>
        </w:tc>
      </w:tr>
      <w:tr w:rsidR="003157CB" w:rsidRPr="006B15C8" w14:paraId="2BCB11DB" w14:textId="77777777" w:rsidTr="00E00E8D">
        <w:tc>
          <w:tcPr>
            <w:tcW w:w="402" w:type="pct"/>
            <w:tcBorders>
              <w:top w:val="single" w:sz="4" w:space="0" w:color="auto"/>
              <w:left w:val="double" w:sz="4" w:space="0" w:color="auto"/>
              <w:bottom w:val="single" w:sz="4" w:space="0" w:color="auto"/>
              <w:right w:val="single" w:sz="4" w:space="0" w:color="auto"/>
            </w:tcBorders>
            <w:vAlign w:val="center"/>
            <w:hideMark/>
          </w:tcPr>
          <w:p w14:paraId="0A52EFA5" w14:textId="77777777" w:rsidR="008C222F" w:rsidRPr="006B15C8" w:rsidRDefault="008C222F" w:rsidP="00E00E8D">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{"citationID":"amSimWhy","properties":{"formattedCitation":"(Aghabayk et al., 2021)","plainCitation":"(Aghabayk et al., 2021)","dontUpdate":true,"noteIndex":0},"citationItems":[{"id":97,"uris":["http://zotero.org/groups/5885221/items/T2UPR4SI"],"itemData":{"id":97,"type":"article-journal","abstract":"Despite many studies on exploring the behaviors of pedestrians crossing the road, there is a need for comprehensive studies that identify the factors that may influence pedestrians crossing behavior at signalized and unsignalized intersections. This study aims to comprehensively examine the influence of gender, age group, group-crossing, technological devices and carrying items on pedestrians crossing behaviors at signalized and unsignalized crosswalks simultaneously. Observational data of 552 pedestrians at two signalized and two unsignalized crosswalks in Tehran were collected. Temporal and spatial violations, conflict experience and collision avoidance, situational awareness, and pedestrians crossing speed were used as pedestrians crossing behaviors indicators. To model crossing behaviors, linear mixed models (LMMs) and Generalized linear mixed models (GLMMs) with fixed-effect approach were applied for the continuous outcome (pedestrians’ crossing speed) and binary outcomes, respectively. Phi and Cramer's V coefficients were used to avoid multicollinearity. Results showed that traffic checks before and while crossing showed a high positive correlation with crossing at “don’t walk” and flashing “don’t walk” signals and conflict experience at signalized crosswalks. As compared to females, males started their crossing more on flashing “don’t walk” signal and crossed the crosswalk faster. Older pedestrians exhibited more cautious behaviors at signalized intersections but less in unsignalized intersections. Alone pedestrians behaved more cautiously than groups and crossed the crosswalk more quickly. Using technological devices, regardless of their types, caused pedestrians to not exhibit one or more safe crossing indicators considered in this study. Pedestrians talking on their phones had the least cautious behaviors. Pedestrians listening to music mostly looked at the ground or straight direction rather than looking left-right for traffic. The findings from this study are a valuable resource to road authorities and policy makers to develop appropriate targeted strategies to prevent pedestrians’ injuries and fatalities and improve crosswalks safety.","container-title":"Accident Analysis &amp; Prevention","DOI":"10.1016/j.aap.2021.105990","ISSN":"0001-4575","journalAbbreviation":"Accident Analysis &amp; Prevention","page":"105990","source":"ScienceDirect","title":"Observational-based study to explore pedestrian crossing behaviors at signalized and unsignalized crosswalks","volume":"151","author":[{"family":"Aghabayk","given":"Kayvan"},{"family":"Esmailpour","given":"Javad"},{"family":"Jafari","given":"Ahmad"},{"family":"Shiwakoti","given":"Nirajan"}],"issued":{"date-parts":[["2021",3,1]]}}}],"schema":"https://github.com/citation-style-language/schema/raw/master/csl-citation.json"} </w:instrText>
            </w:r>
            <w:r w:rsidRPr="006B15C8">
              <w:rPr>
                <w:sz w:val="16"/>
                <w:szCs w:val="16"/>
              </w:rPr>
              <w:fldChar w:fldCharType="separate"/>
            </w:r>
            <w:r w:rsidRPr="006B15C8">
              <w:rPr>
                <w:sz w:val="16"/>
              </w:rPr>
              <w:t>Aghabayk et al., 2021</w:t>
            </w:r>
            <w:r w:rsidRPr="006B15C8">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2AC03508" w14:textId="77777777" w:rsidR="008C222F" w:rsidRPr="006B15C8" w:rsidRDefault="008C222F" w:rsidP="00E00E8D">
            <w:pPr>
              <w:spacing w:line="240" w:lineRule="auto"/>
              <w:jc w:val="left"/>
              <w:rPr>
                <w:sz w:val="16"/>
                <w:szCs w:val="16"/>
              </w:rPr>
            </w:pPr>
            <w:r w:rsidRPr="006B15C8">
              <w:rPr>
                <w:sz w:val="16"/>
                <w:szCs w:val="16"/>
              </w:rPr>
              <w:t>Iran</w:t>
            </w:r>
          </w:p>
        </w:tc>
        <w:tc>
          <w:tcPr>
            <w:tcW w:w="455" w:type="pct"/>
            <w:tcBorders>
              <w:top w:val="single" w:sz="4" w:space="0" w:color="auto"/>
              <w:left w:val="single" w:sz="4" w:space="0" w:color="auto"/>
              <w:bottom w:val="single" w:sz="4" w:space="0" w:color="auto"/>
              <w:right w:val="single" w:sz="4" w:space="0" w:color="auto"/>
            </w:tcBorders>
            <w:vAlign w:val="center"/>
            <w:hideMark/>
          </w:tcPr>
          <w:p w14:paraId="2ABF2E34" w14:textId="77777777" w:rsidR="008C222F" w:rsidRPr="006B15C8" w:rsidRDefault="008C222F" w:rsidP="00E00E8D">
            <w:pPr>
              <w:spacing w:line="240" w:lineRule="auto"/>
              <w:jc w:val="left"/>
              <w:rPr>
                <w:sz w:val="16"/>
                <w:szCs w:val="16"/>
              </w:rPr>
            </w:pPr>
            <w:r w:rsidRPr="006B15C8">
              <w:rPr>
                <w:sz w:val="16"/>
                <w:szCs w:val="16"/>
              </w:rPr>
              <w:t>4 hrs/site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035C4082" w14:textId="77777777" w:rsidR="008C222F" w:rsidRPr="006B15C8" w:rsidRDefault="008C222F" w:rsidP="00E00E8D">
            <w:pPr>
              <w:spacing w:line="240" w:lineRule="auto"/>
              <w:jc w:val="left"/>
              <w:rPr>
                <w:sz w:val="16"/>
                <w:szCs w:val="16"/>
              </w:rPr>
            </w:pPr>
            <w:r w:rsidRPr="006B15C8">
              <w:rPr>
                <w:sz w:val="16"/>
                <w:szCs w:val="16"/>
              </w:rPr>
              <w:t>2 signalized and 2 unsignalized intersection</w:t>
            </w:r>
          </w:p>
        </w:tc>
        <w:tc>
          <w:tcPr>
            <w:tcW w:w="230" w:type="pct"/>
            <w:tcBorders>
              <w:top w:val="single" w:sz="4" w:space="0" w:color="auto"/>
              <w:left w:val="single" w:sz="4" w:space="0" w:color="auto"/>
              <w:bottom w:val="single" w:sz="4" w:space="0" w:color="auto"/>
              <w:right w:val="single" w:sz="4" w:space="0" w:color="auto"/>
            </w:tcBorders>
            <w:vAlign w:val="center"/>
            <w:hideMark/>
          </w:tcPr>
          <w:p w14:paraId="052376E0" w14:textId="77777777" w:rsidR="008C222F" w:rsidRPr="006B15C8" w:rsidRDefault="008C222F" w:rsidP="004D553B">
            <w:pPr>
              <w:spacing w:line="240" w:lineRule="auto"/>
              <w:jc w:val="center"/>
              <w:rPr>
                <w:sz w:val="16"/>
                <w:szCs w:val="16"/>
              </w:rPr>
            </w:pPr>
            <w:r w:rsidRPr="006B15C8">
              <w:rPr>
                <w:sz w:val="16"/>
                <w:szCs w:val="16"/>
              </w:rPr>
              <w:t xml:space="preserve">552 </w:t>
            </w:r>
          </w:p>
        </w:tc>
        <w:tc>
          <w:tcPr>
            <w:tcW w:w="898" w:type="pct"/>
            <w:tcBorders>
              <w:top w:val="single" w:sz="4" w:space="0" w:color="auto"/>
              <w:left w:val="single" w:sz="4" w:space="0" w:color="auto"/>
              <w:bottom w:val="single" w:sz="4" w:space="0" w:color="auto"/>
              <w:right w:val="double" w:sz="4" w:space="0" w:color="auto"/>
            </w:tcBorders>
            <w:vAlign w:val="center"/>
            <w:hideMark/>
          </w:tcPr>
          <w:p w14:paraId="3C9412F7"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Temporal violation</w:t>
            </w:r>
          </w:p>
          <w:p w14:paraId="17A87249"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Looking left-right for traffic before/while crossing</w:t>
            </w:r>
          </w:p>
        </w:tc>
        <w:tc>
          <w:tcPr>
            <w:tcW w:w="216" w:type="pct"/>
            <w:tcBorders>
              <w:top w:val="single" w:sz="4" w:space="0" w:color="auto"/>
              <w:left w:val="double" w:sz="4" w:space="0" w:color="auto"/>
              <w:bottom w:val="single" w:sz="4" w:space="0" w:color="auto"/>
              <w:right w:val="single" w:sz="4" w:space="0" w:color="auto"/>
            </w:tcBorders>
            <w:vAlign w:val="center"/>
            <w:hideMark/>
          </w:tcPr>
          <w:p w14:paraId="34352B38" w14:textId="77777777"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76C7CEDE" w14:textId="77777777" w:rsidR="008C222F" w:rsidRPr="006B15C8" w:rsidRDefault="008C222F" w:rsidP="00E00E8D">
            <w:pPr>
              <w:spacing w:line="240" w:lineRule="auto"/>
              <w:jc w:val="center"/>
              <w:rPr>
                <w:sz w:val="16"/>
                <w:szCs w:val="16"/>
              </w:rPr>
            </w:pPr>
            <w:r w:rsidRPr="006B15C8">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6A581E72" w14:textId="77777777" w:rsidR="008C222F" w:rsidRPr="006B15C8" w:rsidRDefault="008C222F" w:rsidP="00E00E8D">
            <w:pPr>
              <w:spacing w:line="240" w:lineRule="auto"/>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5194E8BC" w14:textId="77777777" w:rsidR="008C222F" w:rsidRPr="006B15C8" w:rsidRDefault="008C222F" w:rsidP="00E00E8D">
            <w:pPr>
              <w:spacing w:line="240" w:lineRule="auto"/>
              <w:jc w:val="center"/>
              <w:rPr>
                <w:sz w:val="16"/>
                <w:szCs w:val="16"/>
              </w:rPr>
            </w:pPr>
            <w:r w:rsidRPr="006B15C8">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58B14EA9" w14:textId="77777777" w:rsidR="008C222F" w:rsidRPr="006B15C8" w:rsidRDefault="008C222F" w:rsidP="00E00E8D">
            <w:pPr>
              <w:spacing w:line="240" w:lineRule="auto"/>
              <w:jc w:val="center"/>
              <w:rPr>
                <w:sz w:val="16"/>
                <w:szCs w:val="16"/>
              </w:rPr>
            </w:pPr>
            <w:r w:rsidRPr="006B15C8">
              <w:rPr>
                <w:sz w:val="22"/>
                <w:szCs w:val="22"/>
              </w:rPr>
              <w:t>×</w:t>
            </w:r>
          </w:p>
        </w:tc>
        <w:tc>
          <w:tcPr>
            <w:tcW w:w="274" w:type="pct"/>
            <w:tcBorders>
              <w:top w:val="single" w:sz="4" w:space="0" w:color="auto"/>
              <w:left w:val="single" w:sz="4" w:space="0" w:color="auto"/>
              <w:bottom w:val="single" w:sz="4" w:space="0" w:color="auto"/>
              <w:right w:val="double" w:sz="4" w:space="0" w:color="auto"/>
            </w:tcBorders>
            <w:vAlign w:val="center"/>
            <w:hideMark/>
          </w:tcPr>
          <w:p w14:paraId="2523857C" w14:textId="77777777"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single" w:sz="4" w:space="0" w:color="auto"/>
              <w:left w:val="double" w:sz="4" w:space="0" w:color="auto"/>
              <w:bottom w:val="single" w:sz="4" w:space="0" w:color="auto"/>
              <w:right w:val="single" w:sz="4" w:space="0" w:color="auto"/>
            </w:tcBorders>
            <w:vAlign w:val="center"/>
          </w:tcPr>
          <w:p w14:paraId="5EC4A296" w14:textId="77777777" w:rsidR="008C222F" w:rsidRPr="006B15C8" w:rsidRDefault="008C222F" w:rsidP="00E00E8D">
            <w:pPr>
              <w:spacing w:line="240" w:lineRule="auto"/>
              <w:jc w:val="center"/>
              <w:rPr>
                <w:sz w:val="16"/>
                <w:szCs w:val="16"/>
              </w:rPr>
            </w:pPr>
          </w:p>
        </w:tc>
        <w:tc>
          <w:tcPr>
            <w:tcW w:w="249" w:type="pct"/>
            <w:tcBorders>
              <w:top w:val="single" w:sz="4" w:space="0" w:color="auto"/>
              <w:left w:val="single" w:sz="4" w:space="0" w:color="auto"/>
              <w:bottom w:val="single" w:sz="4" w:space="0" w:color="auto"/>
              <w:right w:val="double" w:sz="4" w:space="0" w:color="auto"/>
            </w:tcBorders>
            <w:vAlign w:val="center"/>
          </w:tcPr>
          <w:p w14:paraId="389E4BB4" w14:textId="77777777" w:rsidR="008C222F" w:rsidRPr="006B15C8" w:rsidRDefault="008C222F" w:rsidP="00E00E8D">
            <w:pPr>
              <w:spacing w:line="240" w:lineRule="auto"/>
              <w:jc w:val="center"/>
              <w:rPr>
                <w:sz w:val="16"/>
                <w:szCs w:val="16"/>
              </w:rPr>
            </w:pPr>
          </w:p>
        </w:tc>
      </w:tr>
      <w:tr w:rsidR="003157CB" w:rsidRPr="006B15C8" w14:paraId="2228492F" w14:textId="77777777" w:rsidTr="00E00E8D">
        <w:trPr>
          <w:trHeight w:val="569"/>
        </w:trPr>
        <w:tc>
          <w:tcPr>
            <w:tcW w:w="402" w:type="pct"/>
            <w:tcBorders>
              <w:top w:val="single" w:sz="4" w:space="0" w:color="auto"/>
              <w:left w:val="double" w:sz="4" w:space="0" w:color="auto"/>
              <w:bottom w:val="single" w:sz="4" w:space="0" w:color="auto"/>
              <w:right w:val="single" w:sz="4" w:space="0" w:color="auto"/>
            </w:tcBorders>
            <w:vAlign w:val="center"/>
            <w:hideMark/>
          </w:tcPr>
          <w:p w14:paraId="2878D3C1" w14:textId="77777777" w:rsidR="008C222F" w:rsidRPr="006B15C8" w:rsidRDefault="008C222F" w:rsidP="00E00E8D">
            <w:pPr>
              <w:spacing w:line="240" w:lineRule="auto"/>
              <w:jc w:val="left"/>
              <w:rPr>
                <w:sz w:val="16"/>
                <w:szCs w:val="16"/>
                <w:highlight w:val="yellow"/>
              </w:rPr>
            </w:pPr>
            <w:r w:rsidRPr="006B15C8">
              <w:rPr>
                <w:sz w:val="16"/>
                <w:szCs w:val="16"/>
              </w:rPr>
              <w:fldChar w:fldCharType="begin"/>
            </w:r>
            <w:r w:rsidR="00911EF4" w:rsidRPr="006B15C8">
              <w:rPr>
                <w:sz w:val="16"/>
                <w:szCs w:val="16"/>
              </w:rPr>
              <w:instrText xml:space="preserve"> ADDIN ZOTERO_ITEM CSL_CITATION {"citationID":"MT9yNed9","properties":{"formattedCitation":"(Bendak et al., 2021)","plainCitation":"(Bendak et al., 2021)","dontUpdate":true,"noteIndex":0},"citationItems":[{"id":331,"uris":["http://zotero.org/groups/5885221/items/MBPYK37X"],"itemData":{"id":331,"type":"article-journal","abstract":"Introduction: Safety of pedestrians depends, among other factors, on their behavior while crossing the road. This study aims to assess behaviors of pedestrians at signalized crosswalks. Method: Following a literature review and a pilot study, 25 vital pedestrian crossing factors and behaviors were determined. Then data was randomly collected for 708 pedestrians at 10 lighted crossings in Sharjah (UAE), five at road intersections and five mid-block crossings. Results: Results indicated that 17.4% of pedestrians observed crossed partly or fully on red and that crossing speed was 1.22 m/s, on the average, which is slightly faster than most speeds recorded in the literature. Moreover, female pedestrians were more likely to cross while chatting with others, less likely to cross on red, and more likely to walk slower than male pedestrians. Results also showed that pedestrians who crossed at road intersections walked slower than those who crossed at mid-block crossings. It was also found that longer red pedestrian times and narrower roads tended to encourage pedestrians to cross on red and that the majority of pedestrians did not look around before crossing. Practical implications: Use of the Health Belief Model for pedestrian safety are discussed.","container-title":"Journal of Safety Research","DOI":"10.1016/j.jsr.2020.12.019","ISSN":"0022-4375","journalAbbreviation":"Journal of Safety Research","page":"269-275","source":"ScienceDirect","title":"Factors affecting pedestrian behaviors at signalized crosswalks: An empirical study","title-short":"Factors affecting pedestrian behaviors at signalized crosswalks","volume":"76","author":[{"family":"Bendak","given":"Salaheddine"},{"family":"Alnaqbi","given":"Asayel M."},{"family":"Alzarooni","given":"Muna Y."},{"family":"Aljanaahi","given":"Sara M."},{"family":"Alsuwaidi","given":"Shaikha J."}],"issued":{"date-parts":[["2021",2,1]]}}}],"schema":"https://github.com/citation-style-language/schema/raw/master/csl-citation.json"} </w:instrText>
            </w:r>
            <w:r w:rsidRPr="006B15C8">
              <w:rPr>
                <w:sz w:val="16"/>
                <w:szCs w:val="16"/>
              </w:rPr>
              <w:fldChar w:fldCharType="separate"/>
            </w:r>
            <w:r w:rsidRPr="006B15C8">
              <w:rPr>
                <w:sz w:val="16"/>
                <w:szCs w:val="16"/>
              </w:rPr>
              <w:t>Bendak et al., 2021</w:t>
            </w:r>
            <w:r w:rsidRPr="006B15C8">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3E605ABF" w14:textId="77777777" w:rsidR="008C222F" w:rsidRPr="006B15C8" w:rsidRDefault="008C222F" w:rsidP="00E00E8D">
            <w:pPr>
              <w:spacing w:line="240" w:lineRule="auto"/>
              <w:jc w:val="left"/>
              <w:rPr>
                <w:sz w:val="16"/>
                <w:szCs w:val="16"/>
                <w:highlight w:val="yellow"/>
              </w:rPr>
            </w:pPr>
            <w:r w:rsidRPr="006B15C8">
              <w:rPr>
                <w:sz w:val="16"/>
                <w:szCs w:val="16"/>
              </w:rPr>
              <w:t>United Arab Emirates</w:t>
            </w:r>
          </w:p>
        </w:tc>
        <w:tc>
          <w:tcPr>
            <w:tcW w:w="455" w:type="pct"/>
            <w:tcBorders>
              <w:top w:val="single" w:sz="4" w:space="0" w:color="auto"/>
              <w:left w:val="single" w:sz="4" w:space="0" w:color="auto"/>
              <w:bottom w:val="single" w:sz="4" w:space="0" w:color="auto"/>
              <w:right w:val="single" w:sz="4" w:space="0" w:color="auto"/>
            </w:tcBorders>
            <w:vAlign w:val="center"/>
            <w:hideMark/>
          </w:tcPr>
          <w:p w14:paraId="11861DBE" w14:textId="77777777" w:rsidR="008C222F" w:rsidRPr="006B15C8" w:rsidRDefault="008C222F" w:rsidP="00E00E8D">
            <w:pPr>
              <w:spacing w:line="240" w:lineRule="auto"/>
              <w:jc w:val="left"/>
              <w:rPr>
                <w:sz w:val="16"/>
                <w:szCs w:val="16"/>
                <w:highlight w:val="yellow"/>
              </w:rPr>
            </w:pPr>
            <w:r w:rsidRPr="006B15C8">
              <w:rPr>
                <w:sz w:val="16"/>
                <w:szCs w:val="16"/>
              </w:rPr>
              <w:t>0.5 hrs/site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612FB905" w14:textId="77777777" w:rsidR="008C222F" w:rsidRPr="006B15C8" w:rsidRDefault="008C222F" w:rsidP="00E00E8D">
            <w:pPr>
              <w:spacing w:line="240" w:lineRule="auto"/>
              <w:jc w:val="left"/>
              <w:rPr>
                <w:sz w:val="16"/>
                <w:szCs w:val="16"/>
                <w:highlight w:val="yellow"/>
              </w:rPr>
            </w:pPr>
            <w:r w:rsidRPr="006B15C8">
              <w:rPr>
                <w:sz w:val="16"/>
                <w:szCs w:val="16"/>
              </w:rPr>
              <w:t>5 signalized intersections and 5 signalized midblock crossings</w:t>
            </w:r>
          </w:p>
        </w:tc>
        <w:tc>
          <w:tcPr>
            <w:tcW w:w="230" w:type="pct"/>
            <w:tcBorders>
              <w:top w:val="single" w:sz="4" w:space="0" w:color="auto"/>
              <w:left w:val="single" w:sz="4" w:space="0" w:color="auto"/>
              <w:bottom w:val="single" w:sz="4" w:space="0" w:color="auto"/>
              <w:right w:val="single" w:sz="4" w:space="0" w:color="auto"/>
            </w:tcBorders>
            <w:vAlign w:val="center"/>
            <w:hideMark/>
          </w:tcPr>
          <w:p w14:paraId="7ED9DB17" w14:textId="77777777" w:rsidR="008C222F" w:rsidRPr="006B15C8" w:rsidRDefault="008C222F" w:rsidP="004D553B">
            <w:pPr>
              <w:spacing w:line="240" w:lineRule="auto"/>
              <w:jc w:val="center"/>
              <w:rPr>
                <w:sz w:val="16"/>
                <w:szCs w:val="16"/>
                <w:highlight w:val="yellow"/>
              </w:rPr>
            </w:pPr>
            <w:r w:rsidRPr="006B15C8">
              <w:rPr>
                <w:sz w:val="16"/>
                <w:szCs w:val="16"/>
              </w:rPr>
              <w:t xml:space="preserve">708 </w:t>
            </w:r>
          </w:p>
        </w:tc>
        <w:tc>
          <w:tcPr>
            <w:tcW w:w="898" w:type="pct"/>
            <w:tcBorders>
              <w:top w:val="single" w:sz="4" w:space="0" w:color="auto"/>
              <w:left w:val="single" w:sz="4" w:space="0" w:color="auto"/>
              <w:bottom w:val="single" w:sz="4" w:space="0" w:color="auto"/>
              <w:right w:val="double" w:sz="4" w:space="0" w:color="auto"/>
            </w:tcBorders>
            <w:vAlign w:val="center"/>
            <w:hideMark/>
          </w:tcPr>
          <w:p w14:paraId="06B6FF3D"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Temporal violation</w:t>
            </w:r>
          </w:p>
          <w:p w14:paraId="356A80A2"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Spatial violation</w:t>
            </w:r>
          </w:p>
          <w:p w14:paraId="51D5868A"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Looking left-right before crossing</w:t>
            </w:r>
          </w:p>
          <w:p w14:paraId="0797451C"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Crossing speed</w:t>
            </w:r>
          </w:p>
        </w:tc>
        <w:tc>
          <w:tcPr>
            <w:tcW w:w="216" w:type="pct"/>
            <w:tcBorders>
              <w:top w:val="single" w:sz="4" w:space="0" w:color="auto"/>
              <w:left w:val="double" w:sz="4" w:space="0" w:color="auto"/>
              <w:bottom w:val="single" w:sz="4" w:space="0" w:color="auto"/>
              <w:right w:val="single" w:sz="4" w:space="0" w:color="auto"/>
            </w:tcBorders>
            <w:vAlign w:val="center"/>
            <w:hideMark/>
          </w:tcPr>
          <w:p w14:paraId="51430901" w14:textId="77777777"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13BD504B" w14:textId="77777777" w:rsidR="008C222F" w:rsidRPr="006B15C8" w:rsidRDefault="008C222F" w:rsidP="00E00E8D">
            <w:pPr>
              <w:spacing w:line="240" w:lineRule="auto"/>
              <w:jc w:val="center"/>
              <w:rPr>
                <w:sz w:val="16"/>
                <w:szCs w:val="16"/>
              </w:rPr>
            </w:pPr>
            <w:r w:rsidRPr="006B15C8">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60BE1A6C" w14:textId="77777777" w:rsidR="008C222F" w:rsidRPr="006B15C8" w:rsidRDefault="008C222F" w:rsidP="00E00E8D">
            <w:pPr>
              <w:spacing w:line="240" w:lineRule="auto"/>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78087E84" w14:textId="77777777" w:rsidR="008C222F" w:rsidRPr="006B15C8" w:rsidRDefault="008C222F" w:rsidP="00E00E8D">
            <w:pPr>
              <w:spacing w:line="240" w:lineRule="auto"/>
              <w:jc w:val="center"/>
              <w:rPr>
                <w:sz w:val="16"/>
                <w:szCs w:val="16"/>
              </w:rPr>
            </w:pPr>
            <w:r w:rsidRPr="006B15C8">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78EA939F" w14:textId="77777777" w:rsidR="008C222F" w:rsidRPr="006B15C8" w:rsidRDefault="008C222F" w:rsidP="00E00E8D">
            <w:pPr>
              <w:spacing w:line="240" w:lineRule="auto"/>
              <w:jc w:val="center"/>
              <w:rPr>
                <w:sz w:val="16"/>
                <w:szCs w:val="16"/>
              </w:rPr>
            </w:pPr>
            <w:r w:rsidRPr="006B15C8">
              <w:rPr>
                <w:sz w:val="22"/>
                <w:szCs w:val="22"/>
              </w:rPr>
              <w:t>×</w:t>
            </w:r>
          </w:p>
        </w:tc>
        <w:tc>
          <w:tcPr>
            <w:tcW w:w="274" w:type="pct"/>
            <w:tcBorders>
              <w:top w:val="single" w:sz="4" w:space="0" w:color="auto"/>
              <w:left w:val="single" w:sz="4" w:space="0" w:color="auto"/>
              <w:bottom w:val="single" w:sz="4" w:space="0" w:color="auto"/>
              <w:right w:val="double" w:sz="4" w:space="0" w:color="auto"/>
            </w:tcBorders>
            <w:vAlign w:val="center"/>
            <w:hideMark/>
          </w:tcPr>
          <w:p w14:paraId="5A2E3CC3" w14:textId="77777777"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single" w:sz="4" w:space="0" w:color="auto"/>
              <w:left w:val="double" w:sz="4" w:space="0" w:color="auto"/>
              <w:bottom w:val="single" w:sz="4" w:space="0" w:color="auto"/>
              <w:right w:val="single" w:sz="4" w:space="0" w:color="auto"/>
            </w:tcBorders>
            <w:vAlign w:val="center"/>
          </w:tcPr>
          <w:p w14:paraId="3ADDE460" w14:textId="77777777" w:rsidR="008C222F" w:rsidRPr="006B15C8" w:rsidRDefault="008C222F" w:rsidP="00E00E8D">
            <w:pPr>
              <w:spacing w:line="240" w:lineRule="auto"/>
              <w:jc w:val="center"/>
              <w:rPr>
                <w:sz w:val="16"/>
                <w:szCs w:val="16"/>
              </w:rPr>
            </w:pPr>
          </w:p>
        </w:tc>
        <w:tc>
          <w:tcPr>
            <w:tcW w:w="249" w:type="pct"/>
            <w:tcBorders>
              <w:top w:val="single" w:sz="4" w:space="0" w:color="auto"/>
              <w:left w:val="single" w:sz="4" w:space="0" w:color="auto"/>
              <w:bottom w:val="single" w:sz="4" w:space="0" w:color="auto"/>
              <w:right w:val="double" w:sz="4" w:space="0" w:color="auto"/>
            </w:tcBorders>
            <w:vAlign w:val="center"/>
            <w:hideMark/>
          </w:tcPr>
          <w:p w14:paraId="6D8F010D" w14:textId="77777777" w:rsidR="008C222F" w:rsidRPr="006B15C8" w:rsidRDefault="008C222F" w:rsidP="00E00E8D">
            <w:pPr>
              <w:spacing w:line="240" w:lineRule="auto"/>
              <w:jc w:val="center"/>
              <w:rPr>
                <w:sz w:val="16"/>
                <w:szCs w:val="16"/>
              </w:rPr>
            </w:pPr>
            <w:r w:rsidRPr="006B15C8">
              <w:rPr>
                <w:sz w:val="22"/>
                <w:szCs w:val="22"/>
              </w:rPr>
              <w:t>×</w:t>
            </w:r>
          </w:p>
        </w:tc>
      </w:tr>
      <w:tr w:rsidR="003157CB" w:rsidRPr="006B15C8" w14:paraId="646C0E4F" w14:textId="77777777" w:rsidTr="00E00E8D">
        <w:tc>
          <w:tcPr>
            <w:tcW w:w="402" w:type="pct"/>
            <w:tcBorders>
              <w:top w:val="single" w:sz="4" w:space="0" w:color="auto"/>
              <w:left w:val="double" w:sz="4" w:space="0" w:color="auto"/>
              <w:bottom w:val="single" w:sz="4" w:space="0" w:color="auto"/>
              <w:right w:val="single" w:sz="4" w:space="0" w:color="auto"/>
            </w:tcBorders>
            <w:vAlign w:val="center"/>
            <w:hideMark/>
          </w:tcPr>
          <w:p w14:paraId="7E8C547B" w14:textId="77777777" w:rsidR="008C222F" w:rsidRPr="006B15C8" w:rsidRDefault="008C222F" w:rsidP="00E00E8D">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{"citationID":"aUSTI9px","properties":{"formattedCitation":"(Zhu et al., 2021)","plainCitation":"(Zhu et al., 2021)","dontUpdate":true,"noteIndex":0},"citationItems":[{"id":155,"uris":["http://zotero.org/groups/5885221/items/9M8ML4RE"],"itemData":{"id":155,"type":"article-journal","abstract":"Pedestrian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Pr="006B15C8">
              <w:rPr>
                <w:sz w:val="16"/>
                <w:szCs w:val="16"/>
              </w:rPr>
              <w:fldChar w:fldCharType="separate"/>
            </w:r>
            <w:r w:rsidRPr="006B15C8">
              <w:rPr>
                <w:sz w:val="16"/>
                <w:szCs w:val="16"/>
              </w:rPr>
              <w:t>Zhu et al., 2021</w:t>
            </w:r>
            <w:r w:rsidRPr="006B15C8">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6891ECAA" w14:textId="77777777" w:rsidR="008C222F" w:rsidRPr="006B15C8" w:rsidRDefault="008C222F" w:rsidP="00E00E8D">
            <w:pPr>
              <w:spacing w:line="240" w:lineRule="auto"/>
              <w:jc w:val="left"/>
              <w:rPr>
                <w:sz w:val="16"/>
                <w:szCs w:val="16"/>
              </w:rPr>
            </w:pPr>
            <w:r w:rsidRPr="006B15C8">
              <w:rPr>
                <w:sz w:val="16"/>
                <w:szCs w:val="16"/>
              </w:rPr>
              <w:t>Hong Kong</w:t>
            </w:r>
          </w:p>
        </w:tc>
        <w:tc>
          <w:tcPr>
            <w:tcW w:w="455" w:type="pct"/>
            <w:tcBorders>
              <w:top w:val="single" w:sz="4" w:space="0" w:color="auto"/>
              <w:left w:val="single" w:sz="4" w:space="0" w:color="auto"/>
              <w:bottom w:val="single" w:sz="4" w:space="0" w:color="auto"/>
              <w:right w:val="single" w:sz="4" w:space="0" w:color="auto"/>
            </w:tcBorders>
            <w:vAlign w:val="center"/>
            <w:hideMark/>
          </w:tcPr>
          <w:p w14:paraId="41312ADF" w14:textId="77777777" w:rsidR="008C222F" w:rsidRPr="006B15C8" w:rsidRDefault="008C222F" w:rsidP="00E00E8D">
            <w:pPr>
              <w:spacing w:line="240" w:lineRule="auto"/>
              <w:jc w:val="left"/>
              <w:rPr>
                <w:sz w:val="16"/>
                <w:szCs w:val="16"/>
              </w:rPr>
            </w:pPr>
            <w:r w:rsidRPr="006B15C8">
              <w:rPr>
                <w:sz w:val="16"/>
                <w:szCs w:val="16"/>
              </w:rPr>
              <w:t>5 hrs/site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1646832F" w14:textId="77777777" w:rsidR="008C222F" w:rsidRPr="006B15C8" w:rsidRDefault="008C222F" w:rsidP="00E00E8D">
            <w:pPr>
              <w:spacing w:line="240" w:lineRule="auto"/>
              <w:jc w:val="left"/>
              <w:rPr>
                <w:sz w:val="16"/>
                <w:szCs w:val="16"/>
              </w:rPr>
            </w:pPr>
            <w:r w:rsidRPr="006B15C8">
              <w:rPr>
                <w:sz w:val="16"/>
                <w:szCs w:val="16"/>
              </w:rPr>
              <w:t xml:space="preserve">6 signalized crosswalks </w:t>
            </w:r>
          </w:p>
        </w:tc>
        <w:tc>
          <w:tcPr>
            <w:tcW w:w="230" w:type="pct"/>
            <w:tcBorders>
              <w:top w:val="single" w:sz="4" w:space="0" w:color="auto"/>
              <w:left w:val="single" w:sz="4" w:space="0" w:color="auto"/>
              <w:bottom w:val="single" w:sz="4" w:space="0" w:color="auto"/>
              <w:right w:val="single" w:sz="4" w:space="0" w:color="auto"/>
            </w:tcBorders>
            <w:vAlign w:val="center"/>
            <w:hideMark/>
          </w:tcPr>
          <w:p w14:paraId="2A235135" w14:textId="77777777" w:rsidR="008C222F" w:rsidRPr="006B15C8" w:rsidRDefault="008C222F" w:rsidP="004D553B">
            <w:pPr>
              <w:spacing w:line="240" w:lineRule="auto"/>
              <w:jc w:val="center"/>
              <w:rPr>
                <w:sz w:val="16"/>
                <w:szCs w:val="16"/>
              </w:rPr>
            </w:pPr>
            <w:r w:rsidRPr="006B15C8">
              <w:rPr>
                <w:sz w:val="16"/>
                <w:szCs w:val="16"/>
              </w:rPr>
              <w:t>6,320</w:t>
            </w:r>
          </w:p>
        </w:tc>
        <w:tc>
          <w:tcPr>
            <w:tcW w:w="898" w:type="pct"/>
            <w:tcBorders>
              <w:top w:val="single" w:sz="4" w:space="0" w:color="auto"/>
              <w:left w:val="single" w:sz="4" w:space="0" w:color="auto"/>
              <w:bottom w:val="single" w:sz="4" w:space="0" w:color="auto"/>
              <w:right w:val="double" w:sz="4" w:space="0" w:color="auto"/>
            </w:tcBorders>
            <w:vAlign w:val="center"/>
            <w:hideMark/>
          </w:tcPr>
          <w:p w14:paraId="27EF1B66"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Temporal violation</w:t>
            </w:r>
          </w:p>
        </w:tc>
        <w:tc>
          <w:tcPr>
            <w:tcW w:w="216" w:type="pct"/>
            <w:tcBorders>
              <w:top w:val="single" w:sz="4" w:space="0" w:color="auto"/>
              <w:left w:val="double" w:sz="4" w:space="0" w:color="auto"/>
              <w:bottom w:val="single" w:sz="4" w:space="0" w:color="auto"/>
              <w:right w:val="single" w:sz="4" w:space="0" w:color="auto"/>
            </w:tcBorders>
            <w:vAlign w:val="center"/>
            <w:hideMark/>
          </w:tcPr>
          <w:p w14:paraId="1AFAD3ED" w14:textId="77777777"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23A0E398" w14:textId="77777777" w:rsidR="008C222F" w:rsidRPr="006B15C8" w:rsidRDefault="008C222F" w:rsidP="00E00E8D">
            <w:pPr>
              <w:spacing w:line="240" w:lineRule="auto"/>
              <w:jc w:val="center"/>
              <w:rPr>
                <w:sz w:val="16"/>
                <w:szCs w:val="16"/>
              </w:rPr>
            </w:pPr>
            <w:r w:rsidRPr="006B15C8">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6E481668" w14:textId="77777777" w:rsidR="008C222F" w:rsidRPr="006B15C8" w:rsidRDefault="008C222F" w:rsidP="00E00E8D">
            <w:pPr>
              <w:spacing w:line="240" w:lineRule="auto"/>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hideMark/>
          </w:tcPr>
          <w:p w14:paraId="5E908BF7" w14:textId="77777777" w:rsidR="008C222F" w:rsidRPr="006B15C8" w:rsidRDefault="008C222F" w:rsidP="00E00E8D">
            <w:pPr>
              <w:spacing w:line="240" w:lineRule="auto"/>
              <w:jc w:val="center"/>
              <w:rPr>
                <w:sz w:val="16"/>
                <w:szCs w:val="16"/>
              </w:rPr>
            </w:pPr>
            <w:r w:rsidRPr="006B15C8">
              <w:rPr>
                <w:sz w:val="22"/>
                <w:szCs w:val="22"/>
              </w:rPr>
              <w:t>×</w:t>
            </w:r>
          </w:p>
        </w:tc>
        <w:tc>
          <w:tcPr>
            <w:tcW w:w="276" w:type="pct"/>
            <w:tcBorders>
              <w:top w:val="single" w:sz="4" w:space="0" w:color="auto"/>
              <w:left w:val="single" w:sz="4" w:space="0" w:color="auto"/>
              <w:bottom w:val="single" w:sz="4" w:space="0" w:color="auto"/>
              <w:right w:val="single" w:sz="4" w:space="0" w:color="auto"/>
            </w:tcBorders>
            <w:vAlign w:val="center"/>
          </w:tcPr>
          <w:p w14:paraId="6A566A0E" w14:textId="77777777" w:rsidR="008C222F" w:rsidRPr="006B15C8" w:rsidRDefault="008C222F" w:rsidP="00E00E8D">
            <w:pPr>
              <w:spacing w:line="240" w:lineRule="auto"/>
              <w:jc w:val="center"/>
              <w:rPr>
                <w:sz w:val="16"/>
                <w:szCs w:val="16"/>
              </w:rPr>
            </w:pPr>
          </w:p>
        </w:tc>
        <w:tc>
          <w:tcPr>
            <w:tcW w:w="274" w:type="pct"/>
            <w:tcBorders>
              <w:top w:val="single" w:sz="4" w:space="0" w:color="auto"/>
              <w:left w:val="single" w:sz="4" w:space="0" w:color="auto"/>
              <w:bottom w:val="single" w:sz="4" w:space="0" w:color="auto"/>
              <w:right w:val="double" w:sz="4" w:space="0" w:color="auto"/>
            </w:tcBorders>
            <w:vAlign w:val="center"/>
            <w:hideMark/>
          </w:tcPr>
          <w:p w14:paraId="102F876F" w14:textId="77777777"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single" w:sz="4" w:space="0" w:color="auto"/>
              <w:left w:val="double" w:sz="4" w:space="0" w:color="auto"/>
              <w:bottom w:val="single" w:sz="4" w:space="0" w:color="auto"/>
              <w:right w:val="single" w:sz="4" w:space="0" w:color="auto"/>
            </w:tcBorders>
            <w:vAlign w:val="center"/>
          </w:tcPr>
          <w:p w14:paraId="0A6B79D4" w14:textId="77777777" w:rsidR="008C222F" w:rsidRPr="006B15C8" w:rsidRDefault="008C222F" w:rsidP="00E00E8D">
            <w:pPr>
              <w:spacing w:line="240" w:lineRule="auto"/>
              <w:jc w:val="center"/>
              <w:rPr>
                <w:sz w:val="16"/>
                <w:szCs w:val="16"/>
              </w:rPr>
            </w:pPr>
          </w:p>
        </w:tc>
        <w:tc>
          <w:tcPr>
            <w:tcW w:w="249" w:type="pct"/>
            <w:tcBorders>
              <w:top w:val="single" w:sz="4" w:space="0" w:color="auto"/>
              <w:left w:val="single" w:sz="4" w:space="0" w:color="auto"/>
              <w:bottom w:val="single" w:sz="4" w:space="0" w:color="auto"/>
              <w:right w:val="double" w:sz="4" w:space="0" w:color="auto"/>
            </w:tcBorders>
            <w:vAlign w:val="center"/>
          </w:tcPr>
          <w:p w14:paraId="582D7EF3" w14:textId="77777777" w:rsidR="008C222F" w:rsidRPr="006B15C8" w:rsidRDefault="008C222F" w:rsidP="00E00E8D">
            <w:pPr>
              <w:spacing w:line="240" w:lineRule="auto"/>
              <w:jc w:val="center"/>
              <w:rPr>
                <w:sz w:val="16"/>
                <w:szCs w:val="16"/>
              </w:rPr>
            </w:pPr>
          </w:p>
        </w:tc>
      </w:tr>
      <w:tr w:rsidR="003157CB" w:rsidRPr="006B15C8" w14:paraId="04032388" w14:textId="77777777" w:rsidTr="00E00E8D">
        <w:tc>
          <w:tcPr>
            <w:tcW w:w="402" w:type="pct"/>
            <w:tcBorders>
              <w:top w:val="single" w:sz="4" w:space="0" w:color="auto"/>
              <w:left w:val="double" w:sz="4" w:space="0" w:color="auto"/>
              <w:bottom w:val="single" w:sz="4" w:space="0" w:color="auto"/>
              <w:right w:val="single" w:sz="4" w:space="0" w:color="auto"/>
            </w:tcBorders>
            <w:vAlign w:val="center"/>
            <w:hideMark/>
          </w:tcPr>
          <w:p w14:paraId="206DEB55" w14:textId="77777777" w:rsidR="008C222F" w:rsidRPr="006B15C8" w:rsidRDefault="008C222F" w:rsidP="00E00E8D">
            <w:pPr>
              <w:spacing w:line="240" w:lineRule="auto"/>
              <w:jc w:val="left"/>
              <w:rPr>
                <w:sz w:val="16"/>
                <w:szCs w:val="16"/>
              </w:rPr>
            </w:pPr>
            <w:r w:rsidRPr="006B15C8">
              <w:rPr>
                <w:sz w:val="16"/>
                <w:szCs w:val="16"/>
              </w:rPr>
              <w:fldChar w:fldCharType="begin"/>
            </w:r>
            <w:r w:rsidR="003F5890" w:rsidRPr="006B15C8">
              <w:rPr>
                <w:sz w:val="16"/>
                <w:szCs w:val="16"/>
              </w:rPr>
              <w:instrText xml:space="preserve"> ADDIN ZOTERO_ITEM CSL_CITATION {"citationID":"4oVNFYr1","properties":{"formattedCitation":"(M. Xie et al., 2018)","plainCitation":"(M. Xie et al., 2018)","dontUpdate":true,"noteIndex":0},"citationItems":[{"id":"ReAbCZ5Q/W3khcGv1","uris":["http://zotero.org/groups/5098585/items/LMITDHLF"],"itemData":{"id":1718,"type":"article-journal","abstract":"Objective: Most of the extensive research dedicated to identifying the influential factors of hit-and-run (HR) crashes has utilized typical maximum likelihood estimation binary logit models, and none have employed real-time traffic data. To fill this gap, this study focused on investigating factors contributing to HR crashes, as well as the severity levels of HR.Methods: This study analyzed 4-year crash and real-time loop detector data by employing hierarchical Bayesian models with random effects within a sequential logit structure. In addition to evaluation of the impact of random effects on model fitness and complexity, the prediction capability of the models was examined. Stepwise incremental sensitivity and specificity were calculated and receiver operating characteristic (ROC) curves were utilized to graphically illustrate the predictive performance of the model.Results: Among the real-time flow variables, the average occupancy and speed from the upstream detector were observed to be positively correlated with HR crash possibility. The average upstream speed and speed difference between upstream and downstream speeds were correlated with the occurrence of severe HR crashes. In addition to real-time factors, other variables found influential for HR and severe HR crashes were length of segment, adverse weather conditions, dark lighting conditions with malfunctioning street lights, driving under the influence of alcohol, width of inner shoulder, and nighttime.Conclusions: This study suggests the potential traffic conditions of HR and severe HR occurrence, which refer to relatively congested upstream traffic conditions with high upstream speed and significant speed deviations on long segments. The above findings suggest that traffic enforcement should be directed toward mitigating risky driving under the aforementioned traffic conditions. Moreover, enforcement agencies may employ alcohol checkpoints to counter driving under the influence (DUI) at night. With regard to engineering improvements, wider inner shoulders may be constructed to potentially reduce HR cases and street lights should be installed and maintained in working condition to make roads less prone to such crashes.","container-title":"Traffic Injury Prevention","DOI":"10.1080/15389588.2017.1371302","ISSN":"1538-9588","issue":"2","note":"publisher: Taylor &amp; Francis\n_eprint: https://doi.org/10.1080/15389588.2017.1371302\nPMID: 28837362","page":"207-213","source":"Taylor and Francis+NEJM","title":"Investigation of hit-and-run crash occurrence and severity using real-time loop detector data and hierarchical Bayesian binary logit model with random effects","volume":"19","author":[{"family":"Xie","given":"Meiquan"},{"family":"Cheng","given":"Wen"},{"family":"Gill","given":"Gurdiljot Singh"},{"family":"Zhou","given":"Jiao"},{"family":"Jia","given":"Xudong"},{"family":"Choi","given":"Simon"}],"issued":{"date-parts":[["2018",2,17]]}}}],"schema":"https://github.com/citation-style-language/schema/raw/master/csl-citation.json"} </w:instrText>
            </w:r>
            <w:r w:rsidRPr="006B15C8">
              <w:rPr>
                <w:sz w:val="16"/>
                <w:szCs w:val="16"/>
              </w:rPr>
              <w:fldChar w:fldCharType="separate"/>
            </w:r>
            <w:r w:rsidRPr="006B15C8">
              <w:rPr>
                <w:sz w:val="16"/>
                <w:szCs w:val="16"/>
              </w:rPr>
              <w:t>Xie et al., 2018</w:t>
            </w:r>
            <w:r w:rsidRPr="006B15C8">
              <w:rPr>
                <w:sz w:val="16"/>
                <w:szCs w:val="16"/>
              </w:rPr>
              <w:fldChar w:fldCharType="end"/>
            </w:r>
          </w:p>
        </w:tc>
        <w:tc>
          <w:tcPr>
            <w:tcW w:w="458" w:type="pct"/>
            <w:tcBorders>
              <w:top w:val="single" w:sz="4" w:space="0" w:color="auto"/>
              <w:left w:val="single" w:sz="4" w:space="0" w:color="auto"/>
              <w:bottom w:val="single" w:sz="4" w:space="0" w:color="auto"/>
              <w:right w:val="single" w:sz="4" w:space="0" w:color="auto"/>
            </w:tcBorders>
            <w:vAlign w:val="center"/>
            <w:hideMark/>
          </w:tcPr>
          <w:p w14:paraId="33E9CE4F" w14:textId="77777777" w:rsidR="008C222F" w:rsidRPr="006B15C8" w:rsidRDefault="008C222F" w:rsidP="00E00E8D">
            <w:pPr>
              <w:spacing w:line="240" w:lineRule="auto"/>
              <w:jc w:val="left"/>
              <w:rPr>
                <w:sz w:val="16"/>
                <w:szCs w:val="16"/>
              </w:rPr>
            </w:pPr>
            <w:r w:rsidRPr="006B15C8">
              <w:rPr>
                <w:sz w:val="16"/>
                <w:szCs w:val="16"/>
              </w:rPr>
              <w:t>Hong Kong</w:t>
            </w:r>
          </w:p>
        </w:tc>
        <w:tc>
          <w:tcPr>
            <w:tcW w:w="455" w:type="pct"/>
            <w:tcBorders>
              <w:top w:val="single" w:sz="4" w:space="0" w:color="auto"/>
              <w:left w:val="single" w:sz="4" w:space="0" w:color="auto"/>
              <w:bottom w:val="single" w:sz="4" w:space="0" w:color="auto"/>
              <w:right w:val="single" w:sz="4" w:space="0" w:color="auto"/>
            </w:tcBorders>
            <w:vAlign w:val="center"/>
            <w:hideMark/>
          </w:tcPr>
          <w:p w14:paraId="2B9C698B" w14:textId="77777777" w:rsidR="008C222F" w:rsidRPr="006B15C8" w:rsidRDefault="008C222F" w:rsidP="00E00E8D">
            <w:pPr>
              <w:spacing w:line="240" w:lineRule="auto"/>
              <w:jc w:val="left"/>
              <w:rPr>
                <w:sz w:val="16"/>
                <w:szCs w:val="16"/>
              </w:rPr>
            </w:pPr>
            <w:r w:rsidRPr="006B15C8">
              <w:rPr>
                <w:sz w:val="16"/>
                <w:szCs w:val="16"/>
              </w:rPr>
              <w:t>1.5 hrs/site</w:t>
            </w:r>
          </w:p>
        </w:tc>
        <w:tc>
          <w:tcPr>
            <w:tcW w:w="639" w:type="pct"/>
            <w:tcBorders>
              <w:top w:val="single" w:sz="4" w:space="0" w:color="auto"/>
              <w:left w:val="single" w:sz="4" w:space="0" w:color="auto"/>
              <w:bottom w:val="single" w:sz="4" w:space="0" w:color="auto"/>
              <w:right w:val="single" w:sz="4" w:space="0" w:color="auto"/>
            </w:tcBorders>
            <w:vAlign w:val="center"/>
            <w:hideMark/>
          </w:tcPr>
          <w:p w14:paraId="2A89BFDB" w14:textId="77777777" w:rsidR="008C222F" w:rsidRPr="006B15C8" w:rsidRDefault="008C222F" w:rsidP="00E00E8D">
            <w:pPr>
              <w:spacing w:line="240" w:lineRule="auto"/>
              <w:jc w:val="left"/>
              <w:rPr>
                <w:sz w:val="16"/>
                <w:szCs w:val="16"/>
              </w:rPr>
            </w:pPr>
            <w:r w:rsidRPr="006B15C8">
              <w:rPr>
                <w:sz w:val="16"/>
                <w:szCs w:val="16"/>
              </w:rPr>
              <w:t>7 signalized intersections</w:t>
            </w:r>
          </w:p>
        </w:tc>
        <w:tc>
          <w:tcPr>
            <w:tcW w:w="230" w:type="pct"/>
            <w:tcBorders>
              <w:top w:val="single" w:sz="4" w:space="0" w:color="auto"/>
              <w:left w:val="single" w:sz="4" w:space="0" w:color="auto"/>
              <w:bottom w:val="single" w:sz="4" w:space="0" w:color="auto"/>
              <w:right w:val="single" w:sz="4" w:space="0" w:color="auto"/>
            </w:tcBorders>
            <w:vAlign w:val="center"/>
            <w:hideMark/>
          </w:tcPr>
          <w:p w14:paraId="0191FD8B" w14:textId="77777777" w:rsidR="008C222F" w:rsidRPr="006B15C8" w:rsidRDefault="008C222F" w:rsidP="004D553B">
            <w:pPr>
              <w:spacing w:line="240" w:lineRule="auto"/>
              <w:jc w:val="center"/>
              <w:rPr>
                <w:sz w:val="16"/>
                <w:szCs w:val="16"/>
              </w:rPr>
            </w:pPr>
            <w:r w:rsidRPr="006B15C8">
              <w:rPr>
                <w:sz w:val="16"/>
                <w:szCs w:val="16"/>
              </w:rPr>
              <w:t>7,230</w:t>
            </w:r>
          </w:p>
        </w:tc>
        <w:tc>
          <w:tcPr>
            <w:tcW w:w="898" w:type="pct"/>
            <w:tcBorders>
              <w:top w:val="single" w:sz="4" w:space="0" w:color="auto"/>
              <w:left w:val="single" w:sz="4" w:space="0" w:color="auto"/>
              <w:bottom w:val="single" w:sz="4" w:space="0" w:color="auto"/>
              <w:right w:val="double" w:sz="4" w:space="0" w:color="auto"/>
            </w:tcBorders>
            <w:vAlign w:val="center"/>
            <w:hideMark/>
          </w:tcPr>
          <w:p w14:paraId="58B86DD3"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Temporal violation</w:t>
            </w:r>
          </w:p>
        </w:tc>
        <w:tc>
          <w:tcPr>
            <w:tcW w:w="216" w:type="pct"/>
            <w:tcBorders>
              <w:top w:val="single" w:sz="4" w:space="0" w:color="auto"/>
              <w:left w:val="double" w:sz="4" w:space="0" w:color="auto"/>
              <w:bottom w:val="single" w:sz="4" w:space="0" w:color="auto"/>
              <w:right w:val="single" w:sz="4" w:space="0" w:color="auto"/>
            </w:tcBorders>
            <w:vAlign w:val="center"/>
            <w:hideMark/>
          </w:tcPr>
          <w:p w14:paraId="365A1790" w14:textId="77777777"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3946C16F" w14:textId="77777777" w:rsidR="008C222F" w:rsidRPr="006B15C8" w:rsidRDefault="008C222F" w:rsidP="00E00E8D">
            <w:pPr>
              <w:spacing w:line="240" w:lineRule="auto"/>
              <w:jc w:val="center"/>
              <w:rPr>
                <w:sz w:val="16"/>
                <w:szCs w:val="16"/>
              </w:rPr>
            </w:pPr>
            <w:r w:rsidRPr="006B15C8">
              <w:rPr>
                <w:sz w:val="22"/>
                <w:szCs w:val="22"/>
              </w:rPr>
              <w:t>×</w:t>
            </w:r>
          </w:p>
        </w:tc>
        <w:tc>
          <w:tcPr>
            <w:tcW w:w="192" w:type="pct"/>
            <w:tcBorders>
              <w:top w:val="single" w:sz="4" w:space="0" w:color="auto"/>
              <w:left w:val="single" w:sz="4" w:space="0" w:color="auto"/>
              <w:bottom w:val="single" w:sz="4" w:space="0" w:color="auto"/>
              <w:right w:val="double" w:sz="4" w:space="0" w:color="auto"/>
            </w:tcBorders>
            <w:vAlign w:val="center"/>
          </w:tcPr>
          <w:p w14:paraId="6A779C28" w14:textId="77777777" w:rsidR="008C222F" w:rsidRPr="006B15C8" w:rsidRDefault="008C222F" w:rsidP="00E00E8D">
            <w:pPr>
              <w:spacing w:line="240" w:lineRule="auto"/>
              <w:jc w:val="center"/>
              <w:rPr>
                <w:sz w:val="16"/>
                <w:szCs w:val="16"/>
              </w:rPr>
            </w:pPr>
          </w:p>
        </w:tc>
        <w:tc>
          <w:tcPr>
            <w:tcW w:w="263" w:type="pct"/>
            <w:tcBorders>
              <w:top w:val="single" w:sz="4" w:space="0" w:color="auto"/>
              <w:left w:val="double" w:sz="4" w:space="0" w:color="auto"/>
              <w:bottom w:val="single" w:sz="4" w:space="0" w:color="auto"/>
              <w:right w:val="single" w:sz="4" w:space="0" w:color="auto"/>
            </w:tcBorders>
            <w:vAlign w:val="center"/>
          </w:tcPr>
          <w:p w14:paraId="09AEACC3" w14:textId="77777777" w:rsidR="008C222F" w:rsidRPr="006B15C8" w:rsidRDefault="008C222F" w:rsidP="00E00E8D">
            <w:pPr>
              <w:spacing w:line="240" w:lineRule="auto"/>
              <w:jc w:val="center"/>
              <w:rPr>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0D265C7B" w14:textId="77777777" w:rsidR="008C222F" w:rsidRPr="006B15C8" w:rsidRDefault="008C222F" w:rsidP="00E00E8D">
            <w:pPr>
              <w:spacing w:line="240" w:lineRule="auto"/>
              <w:jc w:val="center"/>
              <w:rPr>
                <w:sz w:val="16"/>
                <w:szCs w:val="16"/>
              </w:rPr>
            </w:pPr>
          </w:p>
        </w:tc>
        <w:tc>
          <w:tcPr>
            <w:tcW w:w="274" w:type="pct"/>
            <w:tcBorders>
              <w:top w:val="single" w:sz="4" w:space="0" w:color="auto"/>
              <w:left w:val="single" w:sz="4" w:space="0" w:color="auto"/>
              <w:bottom w:val="single" w:sz="4" w:space="0" w:color="auto"/>
              <w:right w:val="double" w:sz="4" w:space="0" w:color="auto"/>
            </w:tcBorders>
            <w:vAlign w:val="center"/>
          </w:tcPr>
          <w:p w14:paraId="13B69189" w14:textId="77777777" w:rsidR="008C222F" w:rsidRPr="006B15C8" w:rsidRDefault="008C222F" w:rsidP="00E00E8D">
            <w:pPr>
              <w:spacing w:line="240" w:lineRule="auto"/>
              <w:jc w:val="center"/>
              <w:rPr>
                <w:sz w:val="16"/>
                <w:szCs w:val="16"/>
              </w:rPr>
            </w:pPr>
          </w:p>
        </w:tc>
        <w:tc>
          <w:tcPr>
            <w:tcW w:w="224" w:type="pct"/>
            <w:tcBorders>
              <w:top w:val="single" w:sz="4" w:space="0" w:color="auto"/>
              <w:left w:val="double" w:sz="4" w:space="0" w:color="auto"/>
              <w:bottom w:val="single" w:sz="4" w:space="0" w:color="auto"/>
              <w:right w:val="single" w:sz="4" w:space="0" w:color="auto"/>
            </w:tcBorders>
            <w:vAlign w:val="center"/>
          </w:tcPr>
          <w:p w14:paraId="5DF9E6BF" w14:textId="77777777" w:rsidR="008C222F" w:rsidRPr="006B15C8" w:rsidRDefault="008C222F" w:rsidP="00E00E8D">
            <w:pPr>
              <w:spacing w:line="240" w:lineRule="auto"/>
              <w:jc w:val="center"/>
              <w:rPr>
                <w:sz w:val="16"/>
                <w:szCs w:val="16"/>
              </w:rPr>
            </w:pPr>
          </w:p>
        </w:tc>
        <w:tc>
          <w:tcPr>
            <w:tcW w:w="249" w:type="pct"/>
            <w:tcBorders>
              <w:top w:val="single" w:sz="4" w:space="0" w:color="auto"/>
              <w:left w:val="single" w:sz="4" w:space="0" w:color="auto"/>
              <w:bottom w:val="single" w:sz="4" w:space="0" w:color="auto"/>
              <w:right w:val="double" w:sz="4" w:space="0" w:color="auto"/>
            </w:tcBorders>
            <w:vAlign w:val="center"/>
          </w:tcPr>
          <w:p w14:paraId="57160D25" w14:textId="77777777" w:rsidR="008C222F" w:rsidRPr="006B15C8" w:rsidRDefault="008C222F" w:rsidP="00E00E8D">
            <w:pPr>
              <w:spacing w:line="240" w:lineRule="auto"/>
              <w:jc w:val="center"/>
              <w:rPr>
                <w:sz w:val="16"/>
                <w:szCs w:val="16"/>
              </w:rPr>
            </w:pPr>
          </w:p>
        </w:tc>
      </w:tr>
      <w:tr w:rsidR="003157CB" w:rsidRPr="006B15C8" w14:paraId="6876974D" w14:textId="77777777" w:rsidTr="00E00E8D">
        <w:trPr>
          <w:trHeight w:val="575"/>
        </w:trPr>
        <w:tc>
          <w:tcPr>
            <w:tcW w:w="402" w:type="pct"/>
            <w:tcBorders>
              <w:top w:val="single" w:sz="4" w:space="0" w:color="auto"/>
              <w:left w:val="double" w:sz="4" w:space="0" w:color="auto"/>
              <w:bottom w:val="double" w:sz="4" w:space="0" w:color="auto"/>
              <w:right w:val="single" w:sz="4" w:space="0" w:color="auto"/>
            </w:tcBorders>
            <w:vAlign w:val="center"/>
            <w:hideMark/>
          </w:tcPr>
          <w:p w14:paraId="0776B8C7" w14:textId="77777777" w:rsidR="008C222F" w:rsidRPr="006B15C8" w:rsidRDefault="008C222F" w:rsidP="00E00E8D">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{"citationID":"bla9bzMj","properties":{"formattedCitation":"(Dommes et al., 2015)","plainCitation":"(Dommes et al., 2015)","dontUpdate":true,"noteIndex":0},"citationItems":[{"id":45,"uris":["http://zotero.org/groups/5885221/items/9NB24Q7X"],"itemData":{"id":45,"type":"article-journal","abstract":"To study human factors linked to red light violations, and more generally to safety-related behaviors at signalized crosswalks, the present study combines the collection of observational data with questionnaires answered by 422 French adult pedestrians. Thirteen behavioral indicators were extracted (12 before and while crossing, and red light violation), and the roles of several demographical, contextual and mobility-associated variables were examined. The results of the stepwise logistic regression analyses carried out on each of the 12 behavioral indicators observed before and while crossing revealed that gender had no major impact, but age did, with more cautious behaviors as pedestrians were older. The three contextual variables (group size, parked vehicles, and traffic density), as four mobility-associated variables (driving and walking experiences, self-reported crossing difficulties and falls in the street) were also found to be important factors in safety-related crossing behaviors. A wider logistic regression analysis, made specifically on red light violations with all behavioral indicators observed before and while crossings and the several demographical, contextual and mobility-associated variables put together, showed that red light violations were mostly affected by current situational factors (group size, parked vehicles) and particularly associated with some behavioral patterns (looking toward the traffic, the ground, the light, running and crossing diagonally). The overall results encourage the development of safer pedestrian infrastructures and engineering countermeasures.","container-title":"Accident Analysis &amp; Prevention","DOI":"10.1016/j.aap.2015.04.002","ISSN":"0001-4575","journalAbbreviation":"Accident Analysis &amp; Prevention","page":"67-75","source":"ScienceDirect","title":"Red light violations by adult pedestrians and other safety-related behaviors at signalized crosswalks","volume":"80","author":[{"family":"Dommes","given":"A."},{"family":"Granié","given":"M. -A."},{"family":"Cloutier","given":"M. -S."},{"family":"Coquelet","given":"C."},{"family":"Huguenin-Richard","given":"F."}],"issued":{"date-parts":[["2015",7,1]]}}}],"schema":"https://github.com/citation-style-language/schema/raw/master/csl-citation.json"} </w:instrText>
            </w:r>
            <w:r w:rsidRPr="006B15C8">
              <w:rPr>
                <w:sz w:val="16"/>
                <w:szCs w:val="16"/>
              </w:rPr>
              <w:fldChar w:fldCharType="separate"/>
            </w:r>
            <w:r w:rsidRPr="006B15C8">
              <w:rPr>
                <w:sz w:val="16"/>
                <w:szCs w:val="16"/>
              </w:rPr>
              <w:t>Dommes et al., 2015</w:t>
            </w:r>
            <w:r w:rsidRPr="006B15C8">
              <w:rPr>
                <w:sz w:val="16"/>
                <w:szCs w:val="16"/>
              </w:rPr>
              <w:fldChar w:fldCharType="end"/>
            </w:r>
          </w:p>
        </w:tc>
        <w:tc>
          <w:tcPr>
            <w:tcW w:w="458" w:type="pct"/>
            <w:tcBorders>
              <w:top w:val="single" w:sz="4" w:space="0" w:color="auto"/>
              <w:left w:val="single" w:sz="4" w:space="0" w:color="auto"/>
              <w:bottom w:val="double" w:sz="4" w:space="0" w:color="auto"/>
              <w:right w:val="single" w:sz="4" w:space="0" w:color="auto"/>
            </w:tcBorders>
            <w:vAlign w:val="center"/>
            <w:hideMark/>
          </w:tcPr>
          <w:p w14:paraId="709B6FC0" w14:textId="77777777" w:rsidR="008C222F" w:rsidRPr="006B15C8" w:rsidRDefault="008C222F" w:rsidP="00E00E8D">
            <w:pPr>
              <w:spacing w:line="240" w:lineRule="auto"/>
              <w:jc w:val="left"/>
              <w:rPr>
                <w:sz w:val="16"/>
                <w:szCs w:val="16"/>
              </w:rPr>
            </w:pPr>
            <w:r w:rsidRPr="006B15C8">
              <w:rPr>
                <w:sz w:val="16"/>
                <w:szCs w:val="16"/>
              </w:rPr>
              <w:t>France</w:t>
            </w:r>
          </w:p>
        </w:tc>
        <w:tc>
          <w:tcPr>
            <w:tcW w:w="455" w:type="pct"/>
            <w:tcBorders>
              <w:top w:val="single" w:sz="4" w:space="0" w:color="auto"/>
              <w:left w:val="single" w:sz="4" w:space="0" w:color="auto"/>
              <w:bottom w:val="double" w:sz="4" w:space="0" w:color="auto"/>
              <w:right w:val="single" w:sz="4" w:space="0" w:color="auto"/>
            </w:tcBorders>
            <w:vAlign w:val="center"/>
            <w:hideMark/>
          </w:tcPr>
          <w:p w14:paraId="161B0134" w14:textId="77777777" w:rsidR="008C222F" w:rsidRPr="006B15C8" w:rsidRDefault="008C222F" w:rsidP="00E00E8D">
            <w:pPr>
              <w:spacing w:line="240" w:lineRule="auto"/>
              <w:jc w:val="left"/>
              <w:rPr>
                <w:sz w:val="16"/>
                <w:szCs w:val="16"/>
              </w:rPr>
            </w:pPr>
            <w:r w:rsidRPr="006B15C8">
              <w:rPr>
                <w:sz w:val="16"/>
                <w:szCs w:val="16"/>
              </w:rPr>
              <w:t>unspecified</w:t>
            </w:r>
          </w:p>
        </w:tc>
        <w:tc>
          <w:tcPr>
            <w:tcW w:w="639" w:type="pct"/>
            <w:tcBorders>
              <w:top w:val="single" w:sz="4" w:space="0" w:color="auto"/>
              <w:left w:val="single" w:sz="4" w:space="0" w:color="auto"/>
              <w:bottom w:val="double" w:sz="4" w:space="0" w:color="auto"/>
              <w:right w:val="single" w:sz="4" w:space="0" w:color="auto"/>
            </w:tcBorders>
            <w:vAlign w:val="center"/>
            <w:hideMark/>
          </w:tcPr>
          <w:p w14:paraId="2509E376" w14:textId="77777777" w:rsidR="008C222F" w:rsidRPr="006B15C8" w:rsidRDefault="008C222F" w:rsidP="00E00E8D">
            <w:pPr>
              <w:spacing w:line="240" w:lineRule="auto"/>
              <w:jc w:val="left"/>
              <w:rPr>
                <w:sz w:val="16"/>
                <w:szCs w:val="16"/>
              </w:rPr>
            </w:pPr>
            <w:r w:rsidRPr="006B15C8">
              <w:rPr>
                <w:sz w:val="16"/>
                <w:szCs w:val="16"/>
              </w:rPr>
              <w:t>6 signalized intersections</w:t>
            </w:r>
          </w:p>
        </w:tc>
        <w:tc>
          <w:tcPr>
            <w:tcW w:w="230" w:type="pct"/>
            <w:tcBorders>
              <w:top w:val="single" w:sz="4" w:space="0" w:color="auto"/>
              <w:left w:val="single" w:sz="4" w:space="0" w:color="auto"/>
              <w:bottom w:val="double" w:sz="4" w:space="0" w:color="auto"/>
              <w:right w:val="single" w:sz="4" w:space="0" w:color="auto"/>
            </w:tcBorders>
            <w:vAlign w:val="center"/>
            <w:hideMark/>
          </w:tcPr>
          <w:p w14:paraId="0767E8DB" w14:textId="77777777" w:rsidR="008C222F" w:rsidRPr="006B15C8" w:rsidRDefault="008C222F" w:rsidP="004D553B">
            <w:pPr>
              <w:spacing w:line="240" w:lineRule="auto"/>
              <w:jc w:val="center"/>
              <w:rPr>
                <w:sz w:val="16"/>
                <w:szCs w:val="16"/>
              </w:rPr>
            </w:pPr>
            <w:r w:rsidRPr="006B15C8">
              <w:rPr>
                <w:sz w:val="16"/>
                <w:szCs w:val="16"/>
              </w:rPr>
              <w:t>680</w:t>
            </w:r>
          </w:p>
        </w:tc>
        <w:tc>
          <w:tcPr>
            <w:tcW w:w="898" w:type="pct"/>
            <w:tcBorders>
              <w:top w:val="single" w:sz="4" w:space="0" w:color="auto"/>
              <w:left w:val="single" w:sz="4" w:space="0" w:color="auto"/>
              <w:bottom w:val="double" w:sz="4" w:space="0" w:color="auto"/>
              <w:right w:val="double" w:sz="4" w:space="0" w:color="auto"/>
            </w:tcBorders>
            <w:vAlign w:val="center"/>
            <w:hideMark/>
          </w:tcPr>
          <w:p w14:paraId="385CDBDF"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Waiting position (curb vs. road)</w:t>
            </w:r>
          </w:p>
          <w:p w14:paraId="5D6BCA55"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Running during crossing</w:t>
            </w:r>
          </w:p>
          <w:p w14:paraId="0B3E144C"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Situational awareness</w:t>
            </w:r>
          </w:p>
          <w:p w14:paraId="679D4CEC"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Temporal violation</w:t>
            </w:r>
          </w:p>
        </w:tc>
        <w:tc>
          <w:tcPr>
            <w:tcW w:w="216" w:type="pct"/>
            <w:tcBorders>
              <w:top w:val="single" w:sz="4" w:space="0" w:color="auto"/>
              <w:left w:val="double" w:sz="4" w:space="0" w:color="auto"/>
              <w:bottom w:val="double" w:sz="4" w:space="0" w:color="auto"/>
              <w:right w:val="single" w:sz="4" w:space="0" w:color="auto"/>
            </w:tcBorders>
            <w:vAlign w:val="center"/>
            <w:hideMark/>
          </w:tcPr>
          <w:p w14:paraId="189CE51C" w14:textId="77777777"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single" w:sz="4" w:space="0" w:color="auto"/>
              <w:left w:val="single" w:sz="4" w:space="0" w:color="auto"/>
              <w:bottom w:val="double" w:sz="4" w:space="0" w:color="auto"/>
              <w:right w:val="single" w:sz="4" w:space="0" w:color="auto"/>
            </w:tcBorders>
            <w:vAlign w:val="center"/>
            <w:hideMark/>
          </w:tcPr>
          <w:p w14:paraId="560E21D0" w14:textId="77777777" w:rsidR="008C222F" w:rsidRPr="006B15C8" w:rsidRDefault="008C222F" w:rsidP="00E00E8D">
            <w:pPr>
              <w:spacing w:line="240" w:lineRule="auto"/>
              <w:jc w:val="center"/>
              <w:rPr>
                <w:sz w:val="16"/>
                <w:szCs w:val="16"/>
              </w:rPr>
            </w:pPr>
            <w:r w:rsidRPr="006B15C8">
              <w:rPr>
                <w:sz w:val="22"/>
                <w:szCs w:val="22"/>
              </w:rPr>
              <w:t>×</w:t>
            </w:r>
          </w:p>
        </w:tc>
        <w:tc>
          <w:tcPr>
            <w:tcW w:w="192" w:type="pct"/>
            <w:tcBorders>
              <w:top w:val="single" w:sz="4" w:space="0" w:color="auto"/>
              <w:left w:val="single" w:sz="4" w:space="0" w:color="auto"/>
              <w:bottom w:val="double" w:sz="4" w:space="0" w:color="auto"/>
              <w:right w:val="double" w:sz="4" w:space="0" w:color="auto"/>
            </w:tcBorders>
            <w:vAlign w:val="center"/>
          </w:tcPr>
          <w:p w14:paraId="7733FCB4" w14:textId="77777777" w:rsidR="008C222F" w:rsidRPr="006B15C8" w:rsidRDefault="008C222F" w:rsidP="00E00E8D">
            <w:pPr>
              <w:spacing w:line="240" w:lineRule="auto"/>
              <w:jc w:val="center"/>
              <w:rPr>
                <w:sz w:val="16"/>
                <w:szCs w:val="16"/>
              </w:rPr>
            </w:pPr>
          </w:p>
        </w:tc>
        <w:tc>
          <w:tcPr>
            <w:tcW w:w="263" w:type="pct"/>
            <w:tcBorders>
              <w:top w:val="single" w:sz="4" w:space="0" w:color="auto"/>
              <w:left w:val="double" w:sz="4" w:space="0" w:color="auto"/>
              <w:bottom w:val="double" w:sz="4" w:space="0" w:color="auto"/>
              <w:right w:val="single" w:sz="4" w:space="0" w:color="auto"/>
            </w:tcBorders>
            <w:vAlign w:val="center"/>
            <w:hideMark/>
          </w:tcPr>
          <w:p w14:paraId="207284EC" w14:textId="77777777" w:rsidR="008C222F" w:rsidRPr="006B15C8" w:rsidRDefault="008C222F" w:rsidP="00E00E8D">
            <w:pPr>
              <w:spacing w:line="240" w:lineRule="auto"/>
              <w:jc w:val="center"/>
              <w:rPr>
                <w:sz w:val="16"/>
                <w:szCs w:val="16"/>
              </w:rPr>
            </w:pPr>
            <w:r w:rsidRPr="006B15C8">
              <w:rPr>
                <w:sz w:val="22"/>
                <w:szCs w:val="22"/>
              </w:rPr>
              <w:t>×</w:t>
            </w:r>
          </w:p>
        </w:tc>
        <w:tc>
          <w:tcPr>
            <w:tcW w:w="276" w:type="pct"/>
            <w:tcBorders>
              <w:top w:val="single" w:sz="4" w:space="0" w:color="auto"/>
              <w:left w:val="single" w:sz="4" w:space="0" w:color="auto"/>
              <w:bottom w:val="double" w:sz="4" w:space="0" w:color="auto"/>
              <w:right w:val="single" w:sz="4" w:space="0" w:color="auto"/>
            </w:tcBorders>
            <w:vAlign w:val="center"/>
          </w:tcPr>
          <w:p w14:paraId="64620B34" w14:textId="77777777" w:rsidR="008C222F" w:rsidRPr="006B15C8" w:rsidRDefault="008C222F" w:rsidP="00E00E8D">
            <w:pPr>
              <w:spacing w:line="240" w:lineRule="auto"/>
              <w:jc w:val="center"/>
              <w:rPr>
                <w:sz w:val="16"/>
                <w:szCs w:val="16"/>
              </w:rPr>
            </w:pPr>
          </w:p>
        </w:tc>
        <w:tc>
          <w:tcPr>
            <w:tcW w:w="274" w:type="pct"/>
            <w:tcBorders>
              <w:top w:val="single" w:sz="4" w:space="0" w:color="auto"/>
              <w:left w:val="single" w:sz="4" w:space="0" w:color="auto"/>
              <w:bottom w:val="double" w:sz="4" w:space="0" w:color="auto"/>
              <w:right w:val="double" w:sz="4" w:space="0" w:color="auto"/>
            </w:tcBorders>
            <w:vAlign w:val="center"/>
            <w:hideMark/>
          </w:tcPr>
          <w:p w14:paraId="2054AFF2" w14:textId="77777777" w:rsidR="008C222F" w:rsidRPr="006B15C8" w:rsidRDefault="008C222F" w:rsidP="00E00E8D">
            <w:pPr>
              <w:spacing w:line="240" w:lineRule="auto"/>
              <w:jc w:val="center"/>
              <w:rPr>
                <w:sz w:val="16"/>
                <w:szCs w:val="16"/>
              </w:rPr>
            </w:pPr>
            <w:r w:rsidRPr="006B15C8">
              <w:rPr>
                <w:sz w:val="22"/>
                <w:szCs w:val="22"/>
              </w:rPr>
              <w:t>×</w:t>
            </w:r>
          </w:p>
        </w:tc>
        <w:tc>
          <w:tcPr>
            <w:tcW w:w="224" w:type="pct"/>
            <w:tcBorders>
              <w:top w:val="single" w:sz="4" w:space="0" w:color="auto"/>
              <w:left w:val="double" w:sz="4" w:space="0" w:color="auto"/>
              <w:bottom w:val="double" w:sz="4" w:space="0" w:color="auto"/>
              <w:right w:val="single" w:sz="4" w:space="0" w:color="auto"/>
            </w:tcBorders>
            <w:vAlign w:val="center"/>
          </w:tcPr>
          <w:p w14:paraId="6BEE9986" w14:textId="77777777" w:rsidR="008C222F" w:rsidRPr="006B15C8" w:rsidRDefault="008C222F" w:rsidP="00E00E8D">
            <w:pPr>
              <w:spacing w:line="240" w:lineRule="auto"/>
              <w:jc w:val="center"/>
              <w:rPr>
                <w:sz w:val="16"/>
                <w:szCs w:val="16"/>
              </w:rPr>
            </w:pPr>
          </w:p>
        </w:tc>
        <w:tc>
          <w:tcPr>
            <w:tcW w:w="249" w:type="pct"/>
            <w:tcBorders>
              <w:top w:val="single" w:sz="4" w:space="0" w:color="auto"/>
              <w:left w:val="single" w:sz="4" w:space="0" w:color="auto"/>
              <w:bottom w:val="double" w:sz="4" w:space="0" w:color="auto"/>
              <w:right w:val="double" w:sz="4" w:space="0" w:color="auto"/>
            </w:tcBorders>
            <w:vAlign w:val="center"/>
          </w:tcPr>
          <w:p w14:paraId="3B8495E0" w14:textId="77777777" w:rsidR="008C222F" w:rsidRPr="006B15C8" w:rsidRDefault="008C222F" w:rsidP="00E00E8D">
            <w:pPr>
              <w:spacing w:line="240" w:lineRule="auto"/>
              <w:jc w:val="center"/>
              <w:rPr>
                <w:sz w:val="16"/>
                <w:szCs w:val="16"/>
              </w:rPr>
            </w:pPr>
          </w:p>
        </w:tc>
      </w:tr>
      <w:tr w:rsidR="003C4EF8" w:rsidRPr="006B15C8" w14:paraId="690EED49" w14:textId="77777777" w:rsidTr="00E00E8D">
        <w:tc>
          <w:tcPr>
            <w:tcW w:w="402" w:type="pct"/>
            <w:tcBorders>
              <w:top w:val="double" w:sz="4" w:space="0" w:color="auto"/>
              <w:left w:val="double" w:sz="4" w:space="0" w:color="auto"/>
              <w:bottom w:val="double" w:sz="4" w:space="0" w:color="auto"/>
              <w:right w:val="single" w:sz="4" w:space="0" w:color="auto"/>
            </w:tcBorders>
            <w:shd w:val="clear" w:color="auto" w:fill="DAEEF3"/>
            <w:vAlign w:val="center"/>
            <w:hideMark/>
          </w:tcPr>
          <w:p w14:paraId="28975884" w14:textId="77777777" w:rsidR="008C222F" w:rsidRPr="006B15C8" w:rsidRDefault="008C222F" w:rsidP="00E00E8D">
            <w:pPr>
              <w:spacing w:line="240" w:lineRule="auto"/>
              <w:jc w:val="left"/>
              <w:rPr>
                <w:b/>
                <w:bCs/>
                <w:sz w:val="16"/>
                <w:szCs w:val="16"/>
              </w:rPr>
            </w:pPr>
            <w:r w:rsidRPr="006B15C8">
              <w:rPr>
                <w:b/>
                <w:bCs/>
                <w:sz w:val="16"/>
                <w:szCs w:val="16"/>
              </w:rPr>
              <w:t>This Study</w:t>
            </w:r>
          </w:p>
        </w:tc>
        <w:tc>
          <w:tcPr>
            <w:tcW w:w="458"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512B76E0" w14:textId="77777777" w:rsidR="008C222F" w:rsidRPr="006B15C8" w:rsidRDefault="008C222F" w:rsidP="00E00E8D">
            <w:pPr>
              <w:spacing w:line="240" w:lineRule="auto"/>
              <w:jc w:val="left"/>
              <w:rPr>
                <w:sz w:val="16"/>
                <w:szCs w:val="16"/>
              </w:rPr>
            </w:pPr>
            <w:r w:rsidRPr="006B15C8">
              <w:rPr>
                <w:sz w:val="16"/>
                <w:szCs w:val="16"/>
              </w:rPr>
              <w:t>Texas</w:t>
            </w:r>
          </w:p>
        </w:tc>
        <w:tc>
          <w:tcPr>
            <w:tcW w:w="455"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0B7C4EB0" w14:textId="77777777" w:rsidR="008C222F" w:rsidRPr="006B15C8" w:rsidRDefault="008C222F" w:rsidP="00E00E8D">
            <w:pPr>
              <w:spacing w:line="240" w:lineRule="auto"/>
              <w:jc w:val="left"/>
              <w:rPr>
                <w:sz w:val="16"/>
                <w:szCs w:val="16"/>
              </w:rPr>
            </w:pPr>
            <w:r w:rsidRPr="006B15C8">
              <w:rPr>
                <w:sz w:val="16"/>
                <w:szCs w:val="16"/>
              </w:rPr>
              <w:t>432-864 hrs/site</w:t>
            </w:r>
          </w:p>
        </w:tc>
        <w:tc>
          <w:tcPr>
            <w:tcW w:w="639"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3AE36B36" w14:textId="77777777" w:rsidR="008C222F" w:rsidRPr="006B15C8" w:rsidRDefault="008C222F" w:rsidP="00E00E8D">
            <w:pPr>
              <w:spacing w:line="240" w:lineRule="auto"/>
              <w:jc w:val="left"/>
              <w:rPr>
                <w:sz w:val="16"/>
                <w:szCs w:val="16"/>
              </w:rPr>
            </w:pPr>
            <w:r w:rsidRPr="006B15C8">
              <w:rPr>
                <w:sz w:val="16"/>
                <w:szCs w:val="16"/>
              </w:rPr>
              <w:t>2 signalized intersections</w:t>
            </w:r>
          </w:p>
        </w:tc>
        <w:tc>
          <w:tcPr>
            <w:tcW w:w="230"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4194D613" w14:textId="77777777" w:rsidR="008C222F" w:rsidRPr="006B15C8" w:rsidRDefault="008C222F" w:rsidP="004D553B">
            <w:pPr>
              <w:spacing w:line="240" w:lineRule="auto"/>
              <w:jc w:val="center"/>
              <w:rPr>
                <w:sz w:val="16"/>
                <w:szCs w:val="16"/>
              </w:rPr>
            </w:pPr>
            <w:r w:rsidRPr="006B15C8">
              <w:rPr>
                <w:sz w:val="16"/>
                <w:szCs w:val="16"/>
              </w:rPr>
              <w:t>20,995</w:t>
            </w:r>
          </w:p>
        </w:tc>
        <w:tc>
          <w:tcPr>
            <w:tcW w:w="898" w:type="pct"/>
            <w:tcBorders>
              <w:top w:val="double" w:sz="4" w:space="0" w:color="auto"/>
              <w:left w:val="single" w:sz="4" w:space="0" w:color="auto"/>
              <w:bottom w:val="double" w:sz="4" w:space="0" w:color="auto"/>
              <w:right w:val="double" w:sz="4" w:space="0" w:color="auto"/>
            </w:tcBorders>
            <w:shd w:val="clear" w:color="auto" w:fill="DAEEF3"/>
            <w:vAlign w:val="center"/>
            <w:hideMark/>
          </w:tcPr>
          <w:p w14:paraId="05E5807B"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Temporal or spatial violation</w:t>
            </w:r>
          </w:p>
        </w:tc>
        <w:tc>
          <w:tcPr>
            <w:tcW w:w="216" w:type="pct"/>
            <w:tcBorders>
              <w:top w:val="double" w:sz="4" w:space="0" w:color="auto"/>
              <w:left w:val="double" w:sz="4" w:space="0" w:color="auto"/>
              <w:bottom w:val="double" w:sz="4" w:space="0" w:color="auto"/>
              <w:right w:val="single" w:sz="4" w:space="0" w:color="auto"/>
            </w:tcBorders>
            <w:shd w:val="clear" w:color="auto" w:fill="DAEEF3"/>
            <w:vAlign w:val="center"/>
            <w:hideMark/>
          </w:tcPr>
          <w:p w14:paraId="507E9F89" w14:textId="77777777" w:rsidR="008C222F" w:rsidRPr="006B15C8" w:rsidRDefault="008C222F" w:rsidP="004D553B">
            <w:pPr>
              <w:spacing w:line="240" w:lineRule="auto"/>
              <w:jc w:val="center"/>
              <w:rPr>
                <w:sz w:val="22"/>
                <w:szCs w:val="22"/>
              </w:rPr>
            </w:pPr>
            <w:r w:rsidRPr="006B15C8">
              <w:rPr>
                <w:sz w:val="22"/>
                <w:szCs w:val="22"/>
              </w:rPr>
              <w:t>×</w:t>
            </w:r>
          </w:p>
        </w:tc>
        <w:tc>
          <w:tcPr>
            <w:tcW w:w="224"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24BB3518" w14:textId="77777777" w:rsidR="008C222F" w:rsidRPr="006B15C8" w:rsidRDefault="008C222F" w:rsidP="004D553B">
            <w:pPr>
              <w:spacing w:line="240" w:lineRule="auto"/>
              <w:jc w:val="center"/>
              <w:rPr>
                <w:sz w:val="22"/>
                <w:szCs w:val="22"/>
              </w:rPr>
            </w:pPr>
            <w:r w:rsidRPr="006B15C8">
              <w:rPr>
                <w:sz w:val="22"/>
                <w:szCs w:val="22"/>
              </w:rPr>
              <w:t>×</w:t>
            </w:r>
          </w:p>
        </w:tc>
        <w:tc>
          <w:tcPr>
            <w:tcW w:w="192" w:type="pct"/>
            <w:tcBorders>
              <w:top w:val="double" w:sz="4" w:space="0" w:color="auto"/>
              <w:left w:val="single" w:sz="4" w:space="0" w:color="auto"/>
              <w:bottom w:val="double" w:sz="4" w:space="0" w:color="auto"/>
              <w:right w:val="double" w:sz="4" w:space="0" w:color="auto"/>
            </w:tcBorders>
            <w:shd w:val="clear" w:color="auto" w:fill="DAEEF3"/>
            <w:vAlign w:val="center"/>
            <w:hideMark/>
          </w:tcPr>
          <w:p w14:paraId="3CF0A9E4" w14:textId="77777777" w:rsidR="008C222F" w:rsidRPr="006B15C8" w:rsidRDefault="008C222F" w:rsidP="004D553B">
            <w:pPr>
              <w:spacing w:line="240" w:lineRule="auto"/>
              <w:jc w:val="center"/>
              <w:rPr>
                <w:sz w:val="16"/>
                <w:szCs w:val="16"/>
              </w:rPr>
            </w:pPr>
            <w:r w:rsidRPr="006B15C8">
              <w:rPr>
                <w:sz w:val="22"/>
                <w:szCs w:val="22"/>
              </w:rPr>
              <w:t>×</w:t>
            </w:r>
          </w:p>
        </w:tc>
        <w:tc>
          <w:tcPr>
            <w:tcW w:w="263" w:type="pct"/>
            <w:tcBorders>
              <w:top w:val="double" w:sz="4" w:space="0" w:color="auto"/>
              <w:left w:val="double" w:sz="4" w:space="0" w:color="auto"/>
              <w:bottom w:val="double" w:sz="4" w:space="0" w:color="auto"/>
              <w:right w:val="single" w:sz="4" w:space="0" w:color="auto"/>
            </w:tcBorders>
            <w:shd w:val="clear" w:color="auto" w:fill="DAEEF3"/>
            <w:vAlign w:val="center"/>
            <w:hideMark/>
          </w:tcPr>
          <w:p w14:paraId="77B2774D" w14:textId="77777777" w:rsidR="008C222F" w:rsidRPr="006B15C8" w:rsidRDefault="008C222F" w:rsidP="004D553B">
            <w:pPr>
              <w:spacing w:line="240" w:lineRule="auto"/>
              <w:jc w:val="center"/>
              <w:rPr>
                <w:sz w:val="22"/>
                <w:szCs w:val="22"/>
              </w:rPr>
            </w:pPr>
            <w:r w:rsidRPr="006B15C8">
              <w:rPr>
                <w:sz w:val="22"/>
                <w:szCs w:val="22"/>
              </w:rPr>
              <w:t>×</w:t>
            </w:r>
          </w:p>
        </w:tc>
        <w:tc>
          <w:tcPr>
            <w:tcW w:w="276"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1497BF42" w14:textId="77777777" w:rsidR="008C222F" w:rsidRPr="006B15C8" w:rsidRDefault="008C222F" w:rsidP="004D553B">
            <w:pPr>
              <w:spacing w:line="240" w:lineRule="auto"/>
              <w:jc w:val="center"/>
              <w:rPr>
                <w:sz w:val="16"/>
                <w:szCs w:val="16"/>
              </w:rPr>
            </w:pPr>
            <w:r w:rsidRPr="006B15C8">
              <w:rPr>
                <w:sz w:val="22"/>
                <w:szCs w:val="22"/>
              </w:rPr>
              <w:t>×</w:t>
            </w:r>
          </w:p>
        </w:tc>
        <w:tc>
          <w:tcPr>
            <w:tcW w:w="274" w:type="pct"/>
            <w:tcBorders>
              <w:top w:val="double" w:sz="4" w:space="0" w:color="auto"/>
              <w:left w:val="single" w:sz="4" w:space="0" w:color="auto"/>
              <w:bottom w:val="double" w:sz="4" w:space="0" w:color="auto"/>
              <w:right w:val="double" w:sz="4" w:space="0" w:color="auto"/>
            </w:tcBorders>
            <w:shd w:val="clear" w:color="auto" w:fill="DAEEF3"/>
            <w:vAlign w:val="center"/>
            <w:hideMark/>
          </w:tcPr>
          <w:p w14:paraId="1C910B3D" w14:textId="77777777" w:rsidR="008C222F" w:rsidRPr="006B15C8" w:rsidRDefault="008C222F" w:rsidP="004D553B">
            <w:pPr>
              <w:spacing w:line="240" w:lineRule="auto"/>
              <w:jc w:val="center"/>
              <w:rPr>
                <w:sz w:val="16"/>
                <w:szCs w:val="16"/>
              </w:rPr>
            </w:pPr>
            <w:r w:rsidRPr="006B15C8">
              <w:rPr>
                <w:sz w:val="22"/>
                <w:szCs w:val="22"/>
              </w:rPr>
              <w:t>×</w:t>
            </w:r>
          </w:p>
        </w:tc>
        <w:tc>
          <w:tcPr>
            <w:tcW w:w="224" w:type="pct"/>
            <w:tcBorders>
              <w:top w:val="double" w:sz="4" w:space="0" w:color="auto"/>
              <w:left w:val="double" w:sz="4" w:space="0" w:color="auto"/>
              <w:bottom w:val="double" w:sz="4" w:space="0" w:color="auto"/>
              <w:right w:val="single" w:sz="4" w:space="0" w:color="auto"/>
            </w:tcBorders>
            <w:shd w:val="clear" w:color="auto" w:fill="DAEEF3"/>
            <w:vAlign w:val="center"/>
            <w:hideMark/>
          </w:tcPr>
          <w:p w14:paraId="0368E8D9" w14:textId="77777777" w:rsidR="008C222F" w:rsidRPr="006B15C8" w:rsidRDefault="008C222F" w:rsidP="004D553B">
            <w:pPr>
              <w:spacing w:line="240" w:lineRule="auto"/>
              <w:jc w:val="center"/>
              <w:rPr>
                <w:sz w:val="22"/>
                <w:szCs w:val="22"/>
              </w:rPr>
            </w:pPr>
            <w:r w:rsidRPr="006B15C8">
              <w:rPr>
                <w:sz w:val="22"/>
                <w:szCs w:val="22"/>
              </w:rPr>
              <w:t>×</w:t>
            </w:r>
          </w:p>
        </w:tc>
        <w:tc>
          <w:tcPr>
            <w:tcW w:w="249" w:type="pct"/>
            <w:tcBorders>
              <w:top w:val="double" w:sz="4" w:space="0" w:color="auto"/>
              <w:left w:val="single" w:sz="4" w:space="0" w:color="auto"/>
              <w:bottom w:val="double" w:sz="4" w:space="0" w:color="auto"/>
              <w:right w:val="double" w:sz="4" w:space="0" w:color="auto"/>
            </w:tcBorders>
            <w:shd w:val="clear" w:color="auto" w:fill="DAEEF3"/>
            <w:vAlign w:val="center"/>
            <w:hideMark/>
          </w:tcPr>
          <w:p w14:paraId="6AB97D75" w14:textId="77777777" w:rsidR="008C222F" w:rsidRPr="006B15C8" w:rsidRDefault="008C222F" w:rsidP="004D553B">
            <w:pPr>
              <w:spacing w:line="240" w:lineRule="auto"/>
              <w:jc w:val="center"/>
              <w:rPr>
                <w:sz w:val="22"/>
                <w:szCs w:val="22"/>
              </w:rPr>
            </w:pPr>
            <w:r w:rsidRPr="006B15C8">
              <w:rPr>
                <w:sz w:val="22"/>
                <w:szCs w:val="22"/>
              </w:rPr>
              <w:t>×</w:t>
            </w:r>
          </w:p>
        </w:tc>
      </w:tr>
    </w:tbl>
    <w:p w14:paraId="7CB1E60D" w14:textId="77777777" w:rsidR="008C222F" w:rsidRPr="006B15C8" w:rsidRDefault="008C222F">
      <w:pPr>
        <w:jc w:val="left"/>
        <w:rPr>
          <w:b/>
          <w:bCs/>
          <w:sz w:val="22"/>
          <w:szCs w:val="22"/>
        </w:rPr>
      </w:pPr>
      <w:r w:rsidRPr="006B15C8">
        <w:rPr>
          <w:sz w:val="16"/>
          <w:szCs w:val="16"/>
          <w:vertAlign w:val="superscript"/>
        </w:rPr>
        <w:t>*</w:t>
      </w:r>
      <w:r w:rsidRPr="006B15C8">
        <w:rPr>
          <w:sz w:val="16"/>
          <w:szCs w:val="16"/>
        </w:rPr>
        <w:t>The “Other” category under “</w:t>
      </w:r>
      <w:r w:rsidRPr="006B15C8">
        <w:rPr>
          <w:rStyle w:val="Strong"/>
          <w:b w:val="0"/>
          <w:bCs w:val="0"/>
          <w:sz w:val="16"/>
          <w:szCs w:val="16"/>
        </w:rPr>
        <w:t xml:space="preserve">Pedestrian Activity </w:t>
      </w:r>
      <w:r w:rsidR="001114DB" w:rsidRPr="006B15C8">
        <w:rPr>
          <w:rStyle w:val="Strong"/>
          <w:b w:val="0"/>
          <w:bCs w:val="0"/>
          <w:sz w:val="16"/>
          <w:szCs w:val="16"/>
        </w:rPr>
        <w:t>and</w:t>
      </w:r>
      <w:r w:rsidRPr="006B15C8">
        <w:rPr>
          <w:rStyle w:val="Strong"/>
          <w:b w:val="0"/>
          <w:bCs w:val="0"/>
          <w:sz w:val="16"/>
          <w:szCs w:val="16"/>
        </w:rPr>
        <w:t xml:space="preserve"> Context” corresponds to changes in</w:t>
      </w:r>
      <w:r w:rsidR="0095180B" w:rsidRPr="006B15C8">
        <w:rPr>
          <w:rStyle w:val="Strong"/>
          <w:b w:val="0"/>
          <w:bCs w:val="0"/>
          <w:sz w:val="16"/>
          <w:szCs w:val="16"/>
        </w:rPr>
        <w:t xml:space="preserve"> pedestrian </w:t>
      </w:r>
      <w:r w:rsidRPr="006B15C8">
        <w:rPr>
          <w:rStyle w:val="Strong"/>
          <w:b w:val="0"/>
          <w:bCs w:val="0"/>
          <w:sz w:val="16"/>
          <w:szCs w:val="16"/>
        </w:rPr>
        <w:t xml:space="preserve">speed </w:t>
      </w:r>
      <w:r w:rsidR="0095180B" w:rsidRPr="006B15C8">
        <w:rPr>
          <w:rStyle w:val="Strong"/>
          <w:b w:val="0"/>
          <w:bCs w:val="0"/>
          <w:sz w:val="16"/>
          <w:szCs w:val="16"/>
        </w:rPr>
        <w:t xml:space="preserve">(change from walking to running) </w:t>
      </w:r>
      <w:r w:rsidRPr="006B15C8">
        <w:rPr>
          <w:rStyle w:val="Strong"/>
          <w:b w:val="0"/>
          <w:bCs w:val="0"/>
          <w:sz w:val="16"/>
          <w:szCs w:val="16"/>
        </w:rPr>
        <w:t>and use of mobility devices such as wheelchairs and scooters.</w:t>
      </w:r>
    </w:p>
    <w:p w14:paraId="4FD38D70" w14:textId="4363076B" w:rsidR="00476C9D" w:rsidRPr="006B15C8" w:rsidRDefault="00E63F38">
      <w:pPr>
        <w:jc w:val="left"/>
        <w:rPr>
          <w:b/>
          <w:bCs/>
          <w:sz w:val="22"/>
          <w:szCs w:val="22"/>
        </w:rPr>
      </w:pPr>
      <w:r w:rsidRPr="006B15C8">
        <w:rPr>
          <w:b/>
          <w:bCs/>
          <w:sz w:val="22"/>
          <w:szCs w:val="22"/>
        </w:rPr>
        <w:br w:type="page"/>
      </w:r>
      <w:r w:rsidR="00476C9D" w:rsidRPr="006B15C8">
        <w:rPr>
          <w:b/>
          <w:bCs/>
          <w:sz w:val="22"/>
          <w:szCs w:val="22"/>
        </w:rPr>
        <w:lastRenderedPageBreak/>
        <w:t xml:space="preserve">Table 2. Summary of Literature on Driver </w:t>
      </w:r>
      <w:r w:rsidR="00107AC0" w:rsidRPr="006B15C8">
        <w:rPr>
          <w:b/>
          <w:bCs/>
          <w:sz w:val="22"/>
          <w:szCs w:val="22"/>
        </w:rPr>
        <w:t>Uny</w:t>
      </w:r>
      <w:r w:rsidR="00476C9D" w:rsidRPr="006B15C8">
        <w:rPr>
          <w:b/>
          <w:bCs/>
          <w:sz w:val="22"/>
          <w:szCs w:val="22"/>
        </w:rPr>
        <w:t xml:space="preserve">ielding </w:t>
      </w:r>
      <w:r w:rsidR="00107AC0" w:rsidRPr="006B15C8">
        <w:rPr>
          <w:b/>
          <w:bCs/>
          <w:sz w:val="22"/>
          <w:szCs w:val="22"/>
        </w:rPr>
        <w:t xml:space="preserve">(DUY) </w:t>
      </w:r>
      <w:r w:rsidR="00476C9D" w:rsidRPr="006B15C8">
        <w:rPr>
          <w:b/>
          <w:bCs/>
          <w:sz w:val="22"/>
          <w:szCs w:val="22"/>
        </w:rPr>
        <w:t>Behavior</w:t>
      </w:r>
    </w:p>
    <w:tbl>
      <w:tblPr>
        <w:tblW w:w="507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1"/>
        <w:gridCol w:w="817"/>
        <w:gridCol w:w="1168"/>
        <w:gridCol w:w="728"/>
        <w:gridCol w:w="1445"/>
        <w:gridCol w:w="423"/>
        <w:gridCol w:w="1856"/>
        <w:gridCol w:w="468"/>
        <w:gridCol w:w="383"/>
        <w:gridCol w:w="471"/>
        <w:gridCol w:w="508"/>
        <w:gridCol w:w="388"/>
        <w:gridCol w:w="443"/>
        <w:gridCol w:w="634"/>
        <w:gridCol w:w="468"/>
        <w:gridCol w:w="446"/>
        <w:gridCol w:w="457"/>
        <w:gridCol w:w="534"/>
        <w:gridCol w:w="451"/>
        <w:gridCol w:w="520"/>
        <w:gridCol w:w="620"/>
      </w:tblGrid>
      <w:tr w:rsidR="003C4EF8" w:rsidRPr="006B15C8" w14:paraId="24D9BFC4" w14:textId="77777777" w:rsidTr="00E00E8D">
        <w:trPr>
          <w:trHeight w:val="432"/>
        </w:trPr>
        <w:tc>
          <w:tcPr>
            <w:tcW w:w="368" w:type="pct"/>
            <w:vMerge w:val="restart"/>
            <w:tcBorders>
              <w:top w:val="double" w:sz="4" w:space="0" w:color="auto"/>
              <w:left w:val="double" w:sz="4" w:space="0" w:color="auto"/>
              <w:bottom w:val="double" w:sz="4" w:space="0" w:color="auto"/>
              <w:right w:val="single" w:sz="4" w:space="0" w:color="auto"/>
            </w:tcBorders>
            <w:shd w:val="clear" w:color="auto" w:fill="F2F2F2"/>
            <w:vAlign w:val="center"/>
            <w:hideMark/>
          </w:tcPr>
          <w:p w14:paraId="01E5E053" w14:textId="77777777" w:rsidR="008C222F" w:rsidRPr="006B15C8" w:rsidRDefault="008C222F" w:rsidP="00E00E8D">
            <w:pPr>
              <w:spacing w:line="240" w:lineRule="auto"/>
              <w:jc w:val="center"/>
              <w:rPr>
                <w:b/>
                <w:bCs/>
                <w:sz w:val="16"/>
                <w:szCs w:val="16"/>
              </w:rPr>
            </w:pPr>
            <w:r w:rsidRPr="006B15C8">
              <w:rPr>
                <w:b/>
                <w:bCs/>
                <w:sz w:val="16"/>
                <w:szCs w:val="16"/>
              </w:rPr>
              <w:t>Reference</w:t>
            </w:r>
          </w:p>
        </w:tc>
        <w:tc>
          <w:tcPr>
            <w:tcW w:w="286" w:type="pct"/>
            <w:vMerge w:val="restart"/>
            <w:tcBorders>
              <w:top w:val="double" w:sz="4" w:space="0" w:color="auto"/>
              <w:left w:val="single" w:sz="4" w:space="0" w:color="auto"/>
              <w:bottom w:val="double" w:sz="4" w:space="0" w:color="auto"/>
              <w:right w:val="single" w:sz="4" w:space="0" w:color="auto"/>
            </w:tcBorders>
            <w:shd w:val="clear" w:color="auto" w:fill="F2F2F2"/>
            <w:vAlign w:val="center"/>
            <w:hideMark/>
          </w:tcPr>
          <w:p w14:paraId="6ADB9370" w14:textId="77777777" w:rsidR="008C222F" w:rsidRPr="006B15C8" w:rsidRDefault="008C222F" w:rsidP="00E00E8D">
            <w:pPr>
              <w:spacing w:line="240" w:lineRule="auto"/>
              <w:jc w:val="center"/>
              <w:rPr>
                <w:b/>
                <w:bCs/>
                <w:sz w:val="16"/>
                <w:szCs w:val="16"/>
              </w:rPr>
            </w:pPr>
            <w:r w:rsidRPr="006B15C8">
              <w:rPr>
                <w:b/>
                <w:bCs/>
                <w:sz w:val="16"/>
                <w:szCs w:val="16"/>
              </w:rPr>
              <w:t>Country/ Region</w:t>
            </w:r>
          </w:p>
        </w:tc>
        <w:tc>
          <w:tcPr>
            <w:tcW w:w="409" w:type="pct"/>
            <w:vMerge w:val="restart"/>
            <w:tcBorders>
              <w:top w:val="double" w:sz="4" w:space="0" w:color="auto"/>
              <w:left w:val="single" w:sz="4" w:space="0" w:color="auto"/>
              <w:bottom w:val="double" w:sz="4" w:space="0" w:color="auto"/>
              <w:right w:val="single" w:sz="4" w:space="0" w:color="auto"/>
            </w:tcBorders>
            <w:shd w:val="clear" w:color="auto" w:fill="F2F2F2"/>
            <w:vAlign w:val="center"/>
            <w:hideMark/>
          </w:tcPr>
          <w:p w14:paraId="04B40DE1" w14:textId="77777777" w:rsidR="008C222F" w:rsidRPr="006B15C8" w:rsidRDefault="008C222F" w:rsidP="00E00E8D">
            <w:pPr>
              <w:spacing w:line="240" w:lineRule="auto"/>
              <w:jc w:val="center"/>
              <w:rPr>
                <w:b/>
                <w:bCs/>
                <w:sz w:val="16"/>
                <w:szCs w:val="16"/>
              </w:rPr>
            </w:pPr>
            <w:r w:rsidRPr="006B15C8">
              <w:rPr>
                <w:b/>
                <w:bCs/>
                <w:sz w:val="16"/>
                <w:szCs w:val="16"/>
              </w:rPr>
              <w:t>Data collection method</w:t>
            </w:r>
          </w:p>
        </w:tc>
        <w:tc>
          <w:tcPr>
            <w:tcW w:w="255" w:type="pct"/>
            <w:vMerge w:val="restart"/>
            <w:tcBorders>
              <w:top w:val="double" w:sz="4" w:space="0" w:color="auto"/>
              <w:left w:val="single" w:sz="4" w:space="0" w:color="auto"/>
              <w:bottom w:val="double" w:sz="4" w:space="0" w:color="auto"/>
              <w:right w:val="single" w:sz="4" w:space="0" w:color="auto"/>
            </w:tcBorders>
            <w:shd w:val="clear" w:color="auto" w:fill="F2F2F2"/>
            <w:vAlign w:val="center"/>
            <w:hideMark/>
          </w:tcPr>
          <w:p w14:paraId="0A852138" w14:textId="77777777" w:rsidR="008C222F" w:rsidRPr="006B15C8" w:rsidRDefault="008C222F" w:rsidP="00E00E8D">
            <w:pPr>
              <w:spacing w:line="240" w:lineRule="auto"/>
              <w:jc w:val="center"/>
              <w:rPr>
                <w:b/>
                <w:bCs/>
                <w:sz w:val="16"/>
                <w:szCs w:val="16"/>
              </w:rPr>
            </w:pPr>
            <w:r w:rsidRPr="006B15C8">
              <w:rPr>
                <w:b/>
                <w:bCs/>
                <w:sz w:val="16"/>
                <w:szCs w:val="16"/>
              </w:rPr>
              <w:t>Data collection duration</w:t>
            </w:r>
          </w:p>
        </w:tc>
        <w:tc>
          <w:tcPr>
            <w:tcW w:w="506" w:type="pct"/>
            <w:vMerge w:val="restart"/>
            <w:tcBorders>
              <w:top w:val="double" w:sz="4" w:space="0" w:color="auto"/>
              <w:left w:val="single" w:sz="4" w:space="0" w:color="auto"/>
              <w:bottom w:val="double" w:sz="4" w:space="0" w:color="auto"/>
              <w:right w:val="single" w:sz="4" w:space="0" w:color="auto"/>
            </w:tcBorders>
            <w:shd w:val="clear" w:color="auto" w:fill="F2F2F2"/>
            <w:vAlign w:val="center"/>
            <w:hideMark/>
          </w:tcPr>
          <w:p w14:paraId="305828D4" w14:textId="77777777" w:rsidR="008C222F" w:rsidRPr="006B15C8" w:rsidRDefault="008C222F" w:rsidP="00E00E8D">
            <w:pPr>
              <w:spacing w:line="240" w:lineRule="auto"/>
              <w:jc w:val="center"/>
              <w:rPr>
                <w:b/>
                <w:bCs/>
                <w:sz w:val="16"/>
                <w:szCs w:val="16"/>
              </w:rPr>
            </w:pPr>
            <w:r w:rsidRPr="006B15C8">
              <w:rPr>
                <w:b/>
                <w:bCs/>
                <w:sz w:val="16"/>
                <w:szCs w:val="16"/>
              </w:rPr>
              <w:t>Locations (Type/</w:t>
            </w:r>
          </w:p>
          <w:p w14:paraId="41230B6E" w14:textId="77777777" w:rsidR="008C222F" w:rsidRPr="006B15C8" w:rsidRDefault="008C222F" w:rsidP="00E00E8D">
            <w:pPr>
              <w:spacing w:line="240" w:lineRule="auto"/>
              <w:jc w:val="center"/>
              <w:rPr>
                <w:b/>
                <w:bCs/>
                <w:sz w:val="16"/>
                <w:szCs w:val="16"/>
              </w:rPr>
            </w:pPr>
            <w:r w:rsidRPr="006B15C8">
              <w:rPr>
                <w:b/>
                <w:bCs/>
                <w:sz w:val="16"/>
                <w:szCs w:val="16"/>
              </w:rPr>
              <w:t>Number)</w:t>
            </w:r>
          </w:p>
        </w:tc>
        <w:tc>
          <w:tcPr>
            <w:tcW w:w="148" w:type="pct"/>
            <w:vMerge w:val="restart"/>
            <w:tcBorders>
              <w:top w:val="double" w:sz="4" w:space="0" w:color="auto"/>
              <w:left w:val="single" w:sz="4" w:space="0" w:color="auto"/>
              <w:bottom w:val="double" w:sz="4" w:space="0" w:color="auto"/>
              <w:right w:val="single" w:sz="4" w:space="0" w:color="auto"/>
            </w:tcBorders>
            <w:shd w:val="clear" w:color="auto" w:fill="F2F2F2"/>
            <w:vAlign w:val="center"/>
            <w:hideMark/>
          </w:tcPr>
          <w:p w14:paraId="787A6090" w14:textId="77777777" w:rsidR="008C222F" w:rsidRPr="006B15C8" w:rsidRDefault="008C222F" w:rsidP="00E00E8D">
            <w:pPr>
              <w:spacing w:line="240" w:lineRule="auto"/>
              <w:jc w:val="center"/>
              <w:rPr>
                <w:b/>
                <w:bCs/>
                <w:sz w:val="16"/>
                <w:szCs w:val="16"/>
              </w:rPr>
            </w:pPr>
            <w:r w:rsidRPr="006B15C8">
              <w:rPr>
                <w:b/>
                <w:bCs/>
                <w:sz w:val="16"/>
                <w:szCs w:val="16"/>
              </w:rPr>
              <w:t>No. of Obs.</w:t>
            </w:r>
          </w:p>
        </w:tc>
        <w:tc>
          <w:tcPr>
            <w:tcW w:w="650" w:type="pct"/>
            <w:vMerge w:val="restart"/>
            <w:tcBorders>
              <w:top w:val="double" w:sz="4" w:space="0" w:color="auto"/>
              <w:left w:val="single" w:sz="4" w:space="0" w:color="auto"/>
              <w:bottom w:val="double" w:sz="4" w:space="0" w:color="auto"/>
              <w:right w:val="double" w:sz="4" w:space="0" w:color="auto"/>
            </w:tcBorders>
            <w:shd w:val="clear" w:color="auto" w:fill="F2F2F2"/>
            <w:vAlign w:val="center"/>
            <w:hideMark/>
          </w:tcPr>
          <w:p w14:paraId="09D759D8" w14:textId="77777777" w:rsidR="008C222F" w:rsidRPr="006B15C8" w:rsidRDefault="008C222F" w:rsidP="00E00E8D">
            <w:pPr>
              <w:spacing w:line="240" w:lineRule="auto"/>
              <w:jc w:val="center"/>
              <w:rPr>
                <w:b/>
                <w:bCs/>
                <w:sz w:val="16"/>
                <w:szCs w:val="16"/>
              </w:rPr>
            </w:pPr>
            <w:r w:rsidRPr="006B15C8">
              <w:rPr>
                <w:b/>
                <w:bCs/>
                <w:sz w:val="16"/>
                <w:szCs w:val="16"/>
              </w:rPr>
              <w:t>Measured outcomes</w:t>
            </w:r>
          </w:p>
        </w:tc>
        <w:tc>
          <w:tcPr>
            <w:tcW w:w="641" w:type="pct"/>
            <w:gridSpan w:val="4"/>
            <w:tcBorders>
              <w:top w:val="double" w:sz="4" w:space="0" w:color="auto"/>
              <w:left w:val="double" w:sz="4" w:space="0" w:color="auto"/>
              <w:bottom w:val="double" w:sz="4" w:space="0" w:color="auto"/>
              <w:right w:val="double" w:sz="4" w:space="0" w:color="auto"/>
            </w:tcBorders>
            <w:shd w:val="clear" w:color="auto" w:fill="F2F2F2"/>
            <w:vAlign w:val="center"/>
            <w:hideMark/>
          </w:tcPr>
          <w:p w14:paraId="259E6BBE" w14:textId="77777777" w:rsidR="008C222F" w:rsidRPr="006B15C8" w:rsidRDefault="008C222F" w:rsidP="00E00E8D">
            <w:pPr>
              <w:spacing w:line="240" w:lineRule="auto"/>
              <w:jc w:val="center"/>
              <w:rPr>
                <w:b/>
                <w:bCs/>
                <w:sz w:val="16"/>
                <w:szCs w:val="16"/>
              </w:rPr>
            </w:pPr>
            <w:r w:rsidRPr="006B15C8">
              <w:rPr>
                <w:b/>
                <w:bCs/>
                <w:sz w:val="16"/>
                <w:szCs w:val="16"/>
              </w:rPr>
              <w:t>Pedestrian Sociodemographics</w:t>
            </w:r>
          </w:p>
        </w:tc>
        <w:tc>
          <w:tcPr>
            <w:tcW w:w="513" w:type="pct"/>
            <w:gridSpan w:val="3"/>
            <w:tcBorders>
              <w:top w:val="double" w:sz="4" w:space="0" w:color="auto"/>
              <w:left w:val="double" w:sz="4" w:space="0" w:color="auto"/>
              <w:bottom w:val="double" w:sz="4" w:space="0" w:color="auto"/>
              <w:right w:val="double" w:sz="4" w:space="0" w:color="auto"/>
            </w:tcBorders>
            <w:shd w:val="clear" w:color="auto" w:fill="F2F2F2"/>
            <w:vAlign w:val="center"/>
            <w:hideMark/>
          </w:tcPr>
          <w:p w14:paraId="49981B4F" w14:textId="77777777" w:rsidR="008C222F" w:rsidRPr="006B15C8" w:rsidRDefault="008C222F" w:rsidP="00E00E8D">
            <w:pPr>
              <w:spacing w:line="240" w:lineRule="auto"/>
              <w:jc w:val="center"/>
              <w:rPr>
                <w:b/>
                <w:bCs/>
                <w:sz w:val="16"/>
                <w:szCs w:val="16"/>
              </w:rPr>
            </w:pPr>
            <w:r w:rsidRPr="006B15C8">
              <w:rPr>
                <w:b/>
                <w:bCs/>
                <w:sz w:val="16"/>
                <w:szCs w:val="16"/>
              </w:rPr>
              <w:t xml:space="preserve">Pedestrian Activity </w:t>
            </w:r>
            <w:r w:rsidR="001114DB" w:rsidRPr="006B15C8">
              <w:rPr>
                <w:b/>
                <w:bCs/>
                <w:sz w:val="16"/>
                <w:szCs w:val="16"/>
              </w:rPr>
              <w:t>and</w:t>
            </w:r>
            <w:r w:rsidRPr="006B15C8">
              <w:rPr>
                <w:b/>
                <w:bCs/>
                <w:sz w:val="16"/>
                <w:szCs w:val="16"/>
              </w:rPr>
              <w:t xml:space="preserve"> Context</w:t>
            </w:r>
          </w:p>
        </w:tc>
        <w:tc>
          <w:tcPr>
            <w:tcW w:w="480" w:type="pct"/>
            <w:gridSpan w:val="3"/>
            <w:tcBorders>
              <w:top w:val="double" w:sz="4" w:space="0" w:color="auto"/>
              <w:left w:val="double" w:sz="4" w:space="0" w:color="auto"/>
              <w:bottom w:val="double" w:sz="4" w:space="0" w:color="auto"/>
              <w:right w:val="double" w:sz="4" w:space="0" w:color="auto"/>
            </w:tcBorders>
            <w:shd w:val="clear" w:color="auto" w:fill="F2F2F2"/>
            <w:vAlign w:val="center"/>
            <w:hideMark/>
          </w:tcPr>
          <w:p w14:paraId="6B5C83E2" w14:textId="77777777" w:rsidR="008C222F" w:rsidRPr="006B15C8" w:rsidRDefault="008C222F" w:rsidP="00E00E8D">
            <w:pPr>
              <w:spacing w:line="240" w:lineRule="auto"/>
              <w:jc w:val="center"/>
              <w:rPr>
                <w:b/>
                <w:bCs/>
                <w:sz w:val="16"/>
                <w:szCs w:val="16"/>
              </w:rPr>
            </w:pPr>
            <w:r w:rsidRPr="006B15C8">
              <w:rPr>
                <w:b/>
                <w:bCs/>
                <w:sz w:val="16"/>
                <w:szCs w:val="16"/>
              </w:rPr>
              <w:t>Driver Sociodemographics</w:t>
            </w:r>
          </w:p>
        </w:tc>
        <w:tc>
          <w:tcPr>
            <w:tcW w:w="345" w:type="pct"/>
            <w:gridSpan w:val="2"/>
            <w:tcBorders>
              <w:top w:val="double" w:sz="4" w:space="0" w:color="auto"/>
              <w:left w:val="double" w:sz="4" w:space="0" w:color="auto"/>
              <w:bottom w:val="double" w:sz="4" w:space="0" w:color="auto"/>
              <w:right w:val="single" w:sz="4" w:space="0" w:color="auto"/>
            </w:tcBorders>
            <w:shd w:val="clear" w:color="auto" w:fill="F2F2F2"/>
            <w:vAlign w:val="center"/>
            <w:hideMark/>
          </w:tcPr>
          <w:p w14:paraId="573C5B4D" w14:textId="77777777" w:rsidR="008C222F" w:rsidRPr="006B15C8" w:rsidRDefault="008C222F" w:rsidP="00E00E8D">
            <w:pPr>
              <w:spacing w:line="240" w:lineRule="auto"/>
              <w:jc w:val="center"/>
              <w:rPr>
                <w:b/>
                <w:bCs/>
                <w:sz w:val="16"/>
                <w:szCs w:val="16"/>
              </w:rPr>
            </w:pPr>
            <w:r w:rsidRPr="006B15C8">
              <w:rPr>
                <w:b/>
                <w:bCs/>
                <w:sz w:val="16"/>
                <w:szCs w:val="16"/>
              </w:rPr>
              <w:t>Time-of-Day/</w:t>
            </w:r>
          </w:p>
          <w:p w14:paraId="41878FE2" w14:textId="77777777" w:rsidR="008C222F" w:rsidRPr="006B15C8" w:rsidRDefault="008C222F" w:rsidP="00E00E8D">
            <w:pPr>
              <w:spacing w:line="240" w:lineRule="auto"/>
              <w:jc w:val="center"/>
              <w:rPr>
                <w:b/>
                <w:bCs/>
                <w:sz w:val="16"/>
                <w:szCs w:val="16"/>
              </w:rPr>
            </w:pPr>
            <w:r w:rsidRPr="006B15C8">
              <w:rPr>
                <w:b/>
                <w:bCs/>
                <w:sz w:val="16"/>
                <w:szCs w:val="16"/>
              </w:rPr>
              <w:t>Weather</w:t>
            </w:r>
          </w:p>
        </w:tc>
        <w:tc>
          <w:tcPr>
            <w:tcW w:w="401" w:type="pct"/>
            <w:gridSpan w:val="2"/>
            <w:tcBorders>
              <w:top w:val="double" w:sz="4" w:space="0" w:color="auto"/>
              <w:left w:val="double" w:sz="4" w:space="0" w:color="auto"/>
              <w:bottom w:val="double" w:sz="4" w:space="0" w:color="auto"/>
              <w:right w:val="double" w:sz="4" w:space="0" w:color="auto"/>
            </w:tcBorders>
            <w:shd w:val="clear" w:color="auto" w:fill="F2F2F2"/>
            <w:vAlign w:val="center"/>
            <w:hideMark/>
          </w:tcPr>
          <w:p w14:paraId="08A7B50F" w14:textId="77777777" w:rsidR="008C222F" w:rsidRPr="006B15C8" w:rsidRDefault="008C222F" w:rsidP="00E00E8D">
            <w:pPr>
              <w:spacing w:line="240" w:lineRule="auto"/>
              <w:jc w:val="center"/>
              <w:rPr>
                <w:b/>
                <w:bCs/>
                <w:sz w:val="16"/>
                <w:szCs w:val="16"/>
              </w:rPr>
            </w:pPr>
            <w:r w:rsidRPr="006B15C8">
              <w:rPr>
                <w:b/>
                <w:bCs/>
                <w:sz w:val="16"/>
                <w:szCs w:val="16"/>
              </w:rPr>
              <w:t>Vehicle Characteristics</w:t>
            </w:r>
          </w:p>
        </w:tc>
      </w:tr>
      <w:tr w:rsidR="003C4EF8" w:rsidRPr="006B15C8" w14:paraId="4317DD9E" w14:textId="77777777" w:rsidTr="00E00E8D">
        <w:trPr>
          <w:cantSplit/>
          <w:trHeight w:val="1152"/>
        </w:trPr>
        <w:tc>
          <w:tcPr>
            <w:tcW w:w="368" w:type="pct"/>
            <w:vMerge/>
            <w:tcBorders>
              <w:top w:val="double" w:sz="4" w:space="0" w:color="auto"/>
              <w:left w:val="double" w:sz="4" w:space="0" w:color="auto"/>
              <w:bottom w:val="double" w:sz="4" w:space="0" w:color="auto"/>
              <w:right w:val="single" w:sz="4" w:space="0" w:color="auto"/>
            </w:tcBorders>
            <w:vAlign w:val="center"/>
            <w:hideMark/>
          </w:tcPr>
          <w:p w14:paraId="509E8856" w14:textId="77777777" w:rsidR="008C222F" w:rsidRPr="006B15C8" w:rsidRDefault="008C222F" w:rsidP="004D553B">
            <w:pPr>
              <w:spacing w:line="240" w:lineRule="auto"/>
              <w:jc w:val="left"/>
              <w:rPr>
                <w:b/>
                <w:bCs/>
                <w:sz w:val="16"/>
                <w:szCs w:val="16"/>
              </w:rPr>
            </w:pPr>
          </w:p>
        </w:tc>
        <w:tc>
          <w:tcPr>
            <w:tcW w:w="286" w:type="pct"/>
            <w:vMerge/>
            <w:tcBorders>
              <w:top w:val="double" w:sz="4" w:space="0" w:color="auto"/>
              <w:left w:val="single" w:sz="4" w:space="0" w:color="auto"/>
              <w:bottom w:val="double" w:sz="4" w:space="0" w:color="auto"/>
              <w:right w:val="single" w:sz="4" w:space="0" w:color="auto"/>
            </w:tcBorders>
            <w:vAlign w:val="center"/>
            <w:hideMark/>
          </w:tcPr>
          <w:p w14:paraId="6CE125AE" w14:textId="77777777" w:rsidR="008C222F" w:rsidRPr="006B15C8" w:rsidRDefault="008C222F" w:rsidP="004D553B">
            <w:pPr>
              <w:spacing w:line="240" w:lineRule="auto"/>
              <w:jc w:val="left"/>
              <w:rPr>
                <w:b/>
                <w:bCs/>
                <w:sz w:val="16"/>
                <w:szCs w:val="16"/>
              </w:rPr>
            </w:pPr>
          </w:p>
        </w:tc>
        <w:tc>
          <w:tcPr>
            <w:tcW w:w="409" w:type="pct"/>
            <w:vMerge/>
            <w:tcBorders>
              <w:top w:val="double" w:sz="4" w:space="0" w:color="auto"/>
              <w:left w:val="single" w:sz="4" w:space="0" w:color="auto"/>
              <w:bottom w:val="double" w:sz="4" w:space="0" w:color="auto"/>
              <w:right w:val="single" w:sz="4" w:space="0" w:color="auto"/>
            </w:tcBorders>
            <w:vAlign w:val="center"/>
            <w:hideMark/>
          </w:tcPr>
          <w:p w14:paraId="146F6745" w14:textId="77777777" w:rsidR="008C222F" w:rsidRPr="006B15C8" w:rsidRDefault="008C222F" w:rsidP="004D553B">
            <w:pPr>
              <w:spacing w:line="240" w:lineRule="auto"/>
              <w:jc w:val="left"/>
              <w:rPr>
                <w:b/>
                <w:bCs/>
                <w:sz w:val="16"/>
                <w:szCs w:val="16"/>
              </w:rPr>
            </w:pPr>
          </w:p>
        </w:tc>
        <w:tc>
          <w:tcPr>
            <w:tcW w:w="255" w:type="pct"/>
            <w:vMerge/>
            <w:tcBorders>
              <w:top w:val="double" w:sz="4" w:space="0" w:color="auto"/>
              <w:left w:val="single" w:sz="4" w:space="0" w:color="auto"/>
              <w:bottom w:val="double" w:sz="4" w:space="0" w:color="auto"/>
              <w:right w:val="single" w:sz="4" w:space="0" w:color="auto"/>
            </w:tcBorders>
            <w:vAlign w:val="center"/>
            <w:hideMark/>
          </w:tcPr>
          <w:p w14:paraId="10D97AA4" w14:textId="77777777" w:rsidR="008C222F" w:rsidRPr="006B15C8" w:rsidRDefault="008C222F" w:rsidP="004D553B">
            <w:pPr>
              <w:spacing w:line="240" w:lineRule="auto"/>
              <w:jc w:val="left"/>
              <w:rPr>
                <w:b/>
                <w:bCs/>
                <w:sz w:val="16"/>
                <w:szCs w:val="16"/>
              </w:rPr>
            </w:pPr>
          </w:p>
        </w:tc>
        <w:tc>
          <w:tcPr>
            <w:tcW w:w="506" w:type="pct"/>
            <w:vMerge/>
            <w:tcBorders>
              <w:top w:val="double" w:sz="4" w:space="0" w:color="auto"/>
              <w:left w:val="single" w:sz="4" w:space="0" w:color="auto"/>
              <w:bottom w:val="double" w:sz="4" w:space="0" w:color="auto"/>
              <w:right w:val="single" w:sz="4" w:space="0" w:color="auto"/>
            </w:tcBorders>
            <w:vAlign w:val="center"/>
            <w:hideMark/>
          </w:tcPr>
          <w:p w14:paraId="02429E61" w14:textId="77777777" w:rsidR="008C222F" w:rsidRPr="006B15C8" w:rsidRDefault="008C222F" w:rsidP="004D553B">
            <w:pPr>
              <w:spacing w:line="240" w:lineRule="auto"/>
              <w:jc w:val="left"/>
              <w:rPr>
                <w:b/>
                <w:bCs/>
                <w:sz w:val="16"/>
                <w:szCs w:val="16"/>
              </w:rPr>
            </w:pPr>
          </w:p>
        </w:tc>
        <w:tc>
          <w:tcPr>
            <w:tcW w:w="148" w:type="pct"/>
            <w:vMerge/>
            <w:tcBorders>
              <w:top w:val="double" w:sz="4" w:space="0" w:color="auto"/>
              <w:left w:val="single" w:sz="4" w:space="0" w:color="auto"/>
              <w:bottom w:val="double" w:sz="4" w:space="0" w:color="auto"/>
              <w:right w:val="single" w:sz="4" w:space="0" w:color="auto"/>
            </w:tcBorders>
            <w:vAlign w:val="center"/>
            <w:hideMark/>
          </w:tcPr>
          <w:p w14:paraId="50C29693" w14:textId="77777777" w:rsidR="008C222F" w:rsidRPr="006B15C8" w:rsidRDefault="008C222F" w:rsidP="004D553B">
            <w:pPr>
              <w:spacing w:line="240" w:lineRule="auto"/>
              <w:jc w:val="left"/>
              <w:rPr>
                <w:b/>
                <w:bCs/>
                <w:sz w:val="16"/>
                <w:szCs w:val="16"/>
              </w:rPr>
            </w:pPr>
          </w:p>
        </w:tc>
        <w:tc>
          <w:tcPr>
            <w:tcW w:w="650" w:type="pct"/>
            <w:vMerge/>
            <w:tcBorders>
              <w:top w:val="double" w:sz="4" w:space="0" w:color="auto"/>
              <w:left w:val="single" w:sz="4" w:space="0" w:color="auto"/>
              <w:bottom w:val="double" w:sz="4" w:space="0" w:color="auto"/>
              <w:right w:val="double" w:sz="4" w:space="0" w:color="auto"/>
            </w:tcBorders>
            <w:vAlign w:val="center"/>
            <w:hideMark/>
          </w:tcPr>
          <w:p w14:paraId="54176D1B" w14:textId="77777777" w:rsidR="008C222F" w:rsidRPr="006B15C8" w:rsidRDefault="008C222F" w:rsidP="004D553B">
            <w:pPr>
              <w:spacing w:line="240" w:lineRule="auto"/>
              <w:jc w:val="left"/>
              <w:rPr>
                <w:b/>
                <w:bCs/>
                <w:sz w:val="16"/>
                <w:szCs w:val="16"/>
              </w:rPr>
            </w:pPr>
          </w:p>
        </w:tc>
        <w:tc>
          <w:tcPr>
            <w:tcW w:w="164" w:type="pct"/>
            <w:tcBorders>
              <w:top w:val="double" w:sz="4" w:space="0" w:color="auto"/>
              <w:left w:val="double" w:sz="4" w:space="0" w:color="auto"/>
              <w:bottom w:val="double" w:sz="4" w:space="0" w:color="auto"/>
              <w:right w:val="single" w:sz="4" w:space="0" w:color="auto"/>
            </w:tcBorders>
            <w:shd w:val="clear" w:color="auto" w:fill="F2F2F2"/>
            <w:textDirection w:val="btLr"/>
            <w:vAlign w:val="center"/>
            <w:hideMark/>
          </w:tcPr>
          <w:p w14:paraId="21C17E46" w14:textId="77777777" w:rsidR="008C222F" w:rsidRPr="006B15C8" w:rsidRDefault="008C222F" w:rsidP="004D553B">
            <w:pPr>
              <w:spacing w:line="240" w:lineRule="auto"/>
              <w:ind w:left="113" w:right="113"/>
              <w:jc w:val="center"/>
              <w:rPr>
                <w:b/>
                <w:bCs/>
                <w:sz w:val="16"/>
                <w:szCs w:val="16"/>
              </w:rPr>
            </w:pPr>
            <w:r w:rsidRPr="006B15C8">
              <w:rPr>
                <w:b/>
                <w:bCs/>
                <w:sz w:val="16"/>
                <w:szCs w:val="16"/>
              </w:rPr>
              <w:t>Gender</w:t>
            </w:r>
          </w:p>
        </w:tc>
        <w:tc>
          <w:tcPr>
            <w:tcW w:w="134" w:type="pct"/>
            <w:tcBorders>
              <w:top w:val="double" w:sz="4" w:space="0" w:color="auto"/>
              <w:left w:val="single" w:sz="4" w:space="0" w:color="auto"/>
              <w:bottom w:val="double" w:sz="4" w:space="0" w:color="auto"/>
              <w:right w:val="single" w:sz="4" w:space="0" w:color="auto"/>
            </w:tcBorders>
            <w:shd w:val="clear" w:color="auto" w:fill="F2F2F2"/>
            <w:textDirection w:val="btLr"/>
            <w:vAlign w:val="center"/>
            <w:hideMark/>
          </w:tcPr>
          <w:p w14:paraId="171618A0" w14:textId="77777777" w:rsidR="008C222F" w:rsidRPr="006B15C8" w:rsidRDefault="008C222F" w:rsidP="004D553B">
            <w:pPr>
              <w:spacing w:line="240" w:lineRule="auto"/>
              <w:ind w:left="113" w:right="113"/>
              <w:jc w:val="center"/>
              <w:rPr>
                <w:b/>
                <w:bCs/>
                <w:sz w:val="16"/>
                <w:szCs w:val="16"/>
              </w:rPr>
            </w:pPr>
            <w:r w:rsidRPr="006B15C8">
              <w:rPr>
                <w:b/>
                <w:bCs/>
                <w:sz w:val="16"/>
                <w:szCs w:val="16"/>
              </w:rPr>
              <w:t>Age</w:t>
            </w:r>
          </w:p>
        </w:tc>
        <w:tc>
          <w:tcPr>
            <w:tcW w:w="165" w:type="pct"/>
            <w:tcBorders>
              <w:top w:val="double" w:sz="4" w:space="0" w:color="auto"/>
              <w:left w:val="single" w:sz="4" w:space="0" w:color="auto"/>
              <w:bottom w:val="double" w:sz="4" w:space="0" w:color="auto"/>
              <w:right w:val="single" w:sz="4" w:space="0" w:color="auto"/>
            </w:tcBorders>
            <w:shd w:val="clear" w:color="auto" w:fill="F2F2F2"/>
            <w:textDirection w:val="btLr"/>
            <w:vAlign w:val="center"/>
            <w:hideMark/>
          </w:tcPr>
          <w:p w14:paraId="45BB79C2" w14:textId="77777777" w:rsidR="008C222F" w:rsidRPr="006B15C8" w:rsidRDefault="008C222F" w:rsidP="004D553B">
            <w:pPr>
              <w:spacing w:line="240" w:lineRule="auto"/>
              <w:ind w:left="113" w:right="113"/>
              <w:jc w:val="center"/>
              <w:rPr>
                <w:b/>
                <w:bCs/>
                <w:sz w:val="16"/>
                <w:szCs w:val="16"/>
              </w:rPr>
            </w:pPr>
            <w:r w:rsidRPr="006B15C8">
              <w:rPr>
                <w:b/>
                <w:bCs/>
                <w:sz w:val="16"/>
                <w:szCs w:val="16"/>
              </w:rPr>
              <w:t>Race</w:t>
            </w:r>
          </w:p>
        </w:tc>
        <w:tc>
          <w:tcPr>
            <w:tcW w:w="177" w:type="pct"/>
            <w:tcBorders>
              <w:top w:val="double" w:sz="4" w:space="0" w:color="auto"/>
              <w:left w:val="single" w:sz="4" w:space="0" w:color="auto"/>
              <w:bottom w:val="double" w:sz="4" w:space="0" w:color="auto"/>
              <w:right w:val="double" w:sz="4" w:space="0" w:color="auto"/>
            </w:tcBorders>
            <w:shd w:val="clear" w:color="auto" w:fill="F2F2F2"/>
            <w:textDirection w:val="btLr"/>
            <w:vAlign w:val="center"/>
            <w:hideMark/>
          </w:tcPr>
          <w:p w14:paraId="443AD3D4" w14:textId="77777777" w:rsidR="008C222F" w:rsidRPr="006B15C8" w:rsidRDefault="008C222F" w:rsidP="004D553B">
            <w:pPr>
              <w:spacing w:line="240" w:lineRule="auto"/>
              <w:ind w:left="113" w:right="113"/>
              <w:jc w:val="center"/>
              <w:rPr>
                <w:b/>
                <w:bCs/>
                <w:sz w:val="16"/>
                <w:szCs w:val="16"/>
              </w:rPr>
            </w:pPr>
            <w:r w:rsidRPr="006B15C8">
              <w:rPr>
                <w:b/>
                <w:bCs/>
                <w:sz w:val="16"/>
                <w:szCs w:val="16"/>
              </w:rPr>
              <w:t>Other</w:t>
            </w:r>
            <w:r w:rsidRPr="006B15C8">
              <w:rPr>
                <w:b/>
                <w:bCs/>
                <w:sz w:val="16"/>
                <w:szCs w:val="16"/>
                <w:vertAlign w:val="superscript"/>
              </w:rPr>
              <w:t>*</w:t>
            </w:r>
          </w:p>
        </w:tc>
        <w:tc>
          <w:tcPr>
            <w:tcW w:w="136" w:type="pct"/>
            <w:tcBorders>
              <w:top w:val="double" w:sz="4" w:space="0" w:color="auto"/>
              <w:left w:val="double" w:sz="4" w:space="0" w:color="auto"/>
              <w:bottom w:val="double" w:sz="4" w:space="0" w:color="auto"/>
              <w:right w:val="single" w:sz="4" w:space="0" w:color="auto"/>
            </w:tcBorders>
            <w:shd w:val="clear" w:color="auto" w:fill="F2F2F2"/>
            <w:textDirection w:val="btLr"/>
            <w:vAlign w:val="center"/>
            <w:hideMark/>
          </w:tcPr>
          <w:p w14:paraId="1FDD4961" w14:textId="77777777" w:rsidR="008C222F" w:rsidRPr="006B15C8" w:rsidRDefault="008C222F" w:rsidP="004D553B">
            <w:pPr>
              <w:spacing w:line="240" w:lineRule="auto"/>
              <w:ind w:left="113" w:right="113"/>
              <w:jc w:val="center"/>
              <w:rPr>
                <w:b/>
                <w:bCs/>
                <w:sz w:val="16"/>
                <w:szCs w:val="16"/>
              </w:rPr>
            </w:pPr>
            <w:r w:rsidRPr="006B15C8">
              <w:rPr>
                <w:b/>
                <w:bCs/>
                <w:sz w:val="16"/>
                <w:szCs w:val="16"/>
              </w:rPr>
              <w:t>Social context</w:t>
            </w:r>
          </w:p>
        </w:tc>
        <w:tc>
          <w:tcPr>
            <w:tcW w:w="155" w:type="pct"/>
            <w:tcBorders>
              <w:top w:val="double" w:sz="4" w:space="0" w:color="auto"/>
              <w:left w:val="single" w:sz="4" w:space="0" w:color="auto"/>
              <w:bottom w:val="double" w:sz="4" w:space="0" w:color="auto"/>
              <w:right w:val="single" w:sz="4" w:space="0" w:color="auto"/>
            </w:tcBorders>
            <w:shd w:val="clear" w:color="auto" w:fill="F2F2F2"/>
            <w:textDirection w:val="btLr"/>
            <w:vAlign w:val="center"/>
            <w:hideMark/>
          </w:tcPr>
          <w:p w14:paraId="0754CE28" w14:textId="77777777" w:rsidR="008C222F" w:rsidRPr="006B15C8" w:rsidRDefault="008C222F" w:rsidP="004D553B">
            <w:pPr>
              <w:spacing w:line="240" w:lineRule="auto"/>
              <w:ind w:left="113" w:right="113"/>
              <w:jc w:val="center"/>
              <w:rPr>
                <w:b/>
                <w:bCs/>
                <w:sz w:val="16"/>
                <w:szCs w:val="16"/>
              </w:rPr>
            </w:pPr>
            <w:r w:rsidRPr="006B15C8">
              <w:rPr>
                <w:b/>
                <w:bCs/>
                <w:sz w:val="16"/>
                <w:szCs w:val="16"/>
              </w:rPr>
              <w:t>Assertiveness</w:t>
            </w:r>
          </w:p>
        </w:tc>
        <w:tc>
          <w:tcPr>
            <w:tcW w:w="221" w:type="pct"/>
            <w:tcBorders>
              <w:top w:val="double" w:sz="4" w:space="0" w:color="auto"/>
              <w:left w:val="single" w:sz="4" w:space="0" w:color="auto"/>
              <w:bottom w:val="double" w:sz="4" w:space="0" w:color="auto"/>
              <w:right w:val="double" w:sz="4" w:space="0" w:color="auto"/>
            </w:tcBorders>
            <w:shd w:val="clear" w:color="auto" w:fill="F2F2F2"/>
            <w:textDirection w:val="btLr"/>
            <w:vAlign w:val="center"/>
            <w:hideMark/>
          </w:tcPr>
          <w:p w14:paraId="5B7585AF" w14:textId="77777777" w:rsidR="008C222F" w:rsidRPr="006B15C8" w:rsidRDefault="0095180B" w:rsidP="004D553B">
            <w:pPr>
              <w:spacing w:line="240" w:lineRule="auto"/>
              <w:ind w:left="113" w:right="113"/>
              <w:jc w:val="center"/>
              <w:rPr>
                <w:b/>
                <w:bCs/>
                <w:sz w:val="16"/>
                <w:szCs w:val="16"/>
              </w:rPr>
            </w:pPr>
            <w:r w:rsidRPr="006B15C8">
              <w:rPr>
                <w:b/>
                <w:bCs/>
                <w:sz w:val="16"/>
                <w:szCs w:val="16"/>
              </w:rPr>
              <w:t>Non-</w:t>
            </w:r>
            <w:r w:rsidR="008C222F" w:rsidRPr="006B15C8">
              <w:rPr>
                <w:b/>
                <w:bCs/>
                <w:sz w:val="16"/>
                <w:szCs w:val="16"/>
              </w:rPr>
              <w:t>Complian</w:t>
            </w:r>
            <w:r w:rsidRPr="006B15C8">
              <w:rPr>
                <w:b/>
                <w:bCs/>
                <w:sz w:val="16"/>
                <w:szCs w:val="16"/>
              </w:rPr>
              <w:t>t crossings</w:t>
            </w:r>
          </w:p>
        </w:tc>
        <w:tc>
          <w:tcPr>
            <w:tcW w:w="164" w:type="pct"/>
            <w:tcBorders>
              <w:top w:val="double" w:sz="4" w:space="0" w:color="auto"/>
              <w:left w:val="double" w:sz="4" w:space="0" w:color="auto"/>
              <w:bottom w:val="double" w:sz="4" w:space="0" w:color="auto"/>
              <w:right w:val="single" w:sz="4" w:space="0" w:color="auto"/>
            </w:tcBorders>
            <w:shd w:val="clear" w:color="auto" w:fill="F2F2F2"/>
            <w:textDirection w:val="btLr"/>
            <w:vAlign w:val="center"/>
            <w:hideMark/>
          </w:tcPr>
          <w:p w14:paraId="46966A68" w14:textId="77777777" w:rsidR="008C222F" w:rsidRPr="006B15C8" w:rsidRDefault="008C222F" w:rsidP="004D553B">
            <w:pPr>
              <w:spacing w:line="240" w:lineRule="auto"/>
              <w:ind w:left="113" w:right="113"/>
              <w:jc w:val="center"/>
              <w:rPr>
                <w:b/>
                <w:bCs/>
                <w:sz w:val="16"/>
                <w:szCs w:val="16"/>
              </w:rPr>
            </w:pPr>
            <w:r w:rsidRPr="006B15C8">
              <w:rPr>
                <w:b/>
                <w:bCs/>
                <w:sz w:val="16"/>
                <w:szCs w:val="16"/>
              </w:rPr>
              <w:t>Gender</w:t>
            </w:r>
          </w:p>
        </w:tc>
        <w:tc>
          <w:tcPr>
            <w:tcW w:w="156" w:type="pct"/>
            <w:tcBorders>
              <w:top w:val="double" w:sz="4" w:space="0" w:color="auto"/>
              <w:left w:val="single" w:sz="4" w:space="0" w:color="auto"/>
              <w:bottom w:val="double" w:sz="4" w:space="0" w:color="auto"/>
              <w:right w:val="single" w:sz="4" w:space="0" w:color="auto"/>
            </w:tcBorders>
            <w:shd w:val="clear" w:color="auto" w:fill="F2F2F2"/>
            <w:textDirection w:val="btLr"/>
            <w:vAlign w:val="center"/>
            <w:hideMark/>
          </w:tcPr>
          <w:p w14:paraId="137CFDD6" w14:textId="77777777" w:rsidR="008C222F" w:rsidRPr="006B15C8" w:rsidRDefault="008C222F" w:rsidP="004D553B">
            <w:pPr>
              <w:spacing w:line="240" w:lineRule="auto"/>
              <w:ind w:left="113" w:right="113"/>
              <w:jc w:val="center"/>
              <w:rPr>
                <w:b/>
                <w:bCs/>
                <w:sz w:val="16"/>
                <w:szCs w:val="16"/>
              </w:rPr>
            </w:pPr>
            <w:r w:rsidRPr="006B15C8">
              <w:rPr>
                <w:b/>
                <w:bCs/>
                <w:sz w:val="16"/>
                <w:szCs w:val="16"/>
              </w:rPr>
              <w:t>Age</w:t>
            </w:r>
          </w:p>
        </w:tc>
        <w:tc>
          <w:tcPr>
            <w:tcW w:w="159" w:type="pct"/>
            <w:tcBorders>
              <w:top w:val="double" w:sz="4" w:space="0" w:color="auto"/>
              <w:left w:val="single" w:sz="4" w:space="0" w:color="auto"/>
              <w:bottom w:val="double" w:sz="4" w:space="0" w:color="auto"/>
              <w:right w:val="double" w:sz="4" w:space="0" w:color="auto"/>
            </w:tcBorders>
            <w:shd w:val="clear" w:color="auto" w:fill="F2F2F2"/>
            <w:textDirection w:val="btLr"/>
            <w:vAlign w:val="center"/>
            <w:hideMark/>
          </w:tcPr>
          <w:p w14:paraId="3D22BD5B" w14:textId="77777777" w:rsidR="008C222F" w:rsidRPr="006B15C8" w:rsidRDefault="008C222F" w:rsidP="004D553B">
            <w:pPr>
              <w:spacing w:line="240" w:lineRule="auto"/>
              <w:ind w:left="113" w:right="113"/>
              <w:jc w:val="center"/>
              <w:rPr>
                <w:b/>
                <w:bCs/>
                <w:sz w:val="16"/>
                <w:szCs w:val="16"/>
              </w:rPr>
            </w:pPr>
            <w:r w:rsidRPr="006B15C8">
              <w:rPr>
                <w:b/>
                <w:bCs/>
                <w:sz w:val="16"/>
                <w:szCs w:val="16"/>
              </w:rPr>
              <w:t>Other**</w:t>
            </w:r>
          </w:p>
        </w:tc>
        <w:tc>
          <w:tcPr>
            <w:tcW w:w="187" w:type="pct"/>
            <w:tcBorders>
              <w:top w:val="double" w:sz="4" w:space="0" w:color="auto"/>
              <w:left w:val="double" w:sz="4" w:space="0" w:color="auto"/>
              <w:bottom w:val="double" w:sz="4" w:space="0" w:color="auto"/>
              <w:right w:val="single" w:sz="4" w:space="0" w:color="auto"/>
            </w:tcBorders>
            <w:shd w:val="clear" w:color="auto" w:fill="F2F2F2"/>
            <w:textDirection w:val="btLr"/>
            <w:vAlign w:val="center"/>
            <w:hideMark/>
          </w:tcPr>
          <w:p w14:paraId="78C711E3" w14:textId="77777777" w:rsidR="008C222F" w:rsidRPr="006B15C8" w:rsidRDefault="008C222F" w:rsidP="004D553B">
            <w:pPr>
              <w:spacing w:line="240" w:lineRule="auto"/>
              <w:ind w:left="113" w:right="113"/>
              <w:jc w:val="center"/>
              <w:rPr>
                <w:b/>
                <w:bCs/>
                <w:sz w:val="16"/>
                <w:szCs w:val="16"/>
              </w:rPr>
            </w:pPr>
            <w:r w:rsidRPr="006B15C8">
              <w:rPr>
                <w:b/>
                <w:bCs/>
                <w:sz w:val="16"/>
                <w:szCs w:val="16"/>
              </w:rPr>
              <w:t>Time-of-day</w:t>
            </w:r>
          </w:p>
        </w:tc>
        <w:tc>
          <w:tcPr>
            <w:tcW w:w="157" w:type="pct"/>
            <w:tcBorders>
              <w:top w:val="double" w:sz="4" w:space="0" w:color="auto"/>
              <w:left w:val="single" w:sz="4" w:space="0" w:color="auto"/>
              <w:bottom w:val="double" w:sz="4" w:space="0" w:color="auto"/>
              <w:right w:val="single" w:sz="4" w:space="0" w:color="auto"/>
            </w:tcBorders>
            <w:shd w:val="clear" w:color="auto" w:fill="F2F2F2"/>
            <w:textDirection w:val="btLr"/>
            <w:vAlign w:val="center"/>
            <w:hideMark/>
          </w:tcPr>
          <w:p w14:paraId="08063CC3" w14:textId="77777777" w:rsidR="008C222F" w:rsidRPr="006B15C8" w:rsidRDefault="008C222F" w:rsidP="004D553B">
            <w:pPr>
              <w:spacing w:line="240" w:lineRule="auto"/>
              <w:ind w:left="113" w:right="113"/>
              <w:jc w:val="center"/>
              <w:rPr>
                <w:b/>
                <w:bCs/>
                <w:sz w:val="16"/>
                <w:szCs w:val="16"/>
              </w:rPr>
            </w:pPr>
            <w:r w:rsidRPr="006B15C8">
              <w:rPr>
                <w:b/>
                <w:bCs/>
                <w:sz w:val="16"/>
                <w:szCs w:val="16"/>
              </w:rPr>
              <w:t>Weather</w:t>
            </w:r>
          </w:p>
        </w:tc>
        <w:tc>
          <w:tcPr>
            <w:tcW w:w="182" w:type="pct"/>
            <w:tcBorders>
              <w:top w:val="double" w:sz="4" w:space="0" w:color="auto"/>
              <w:left w:val="single" w:sz="4" w:space="0" w:color="auto"/>
              <w:bottom w:val="double" w:sz="4" w:space="0" w:color="auto"/>
              <w:right w:val="single" w:sz="4" w:space="0" w:color="auto"/>
            </w:tcBorders>
            <w:shd w:val="clear" w:color="auto" w:fill="F2F2F2"/>
            <w:textDirection w:val="btLr"/>
            <w:vAlign w:val="center"/>
          </w:tcPr>
          <w:p w14:paraId="5BA9E2D3" w14:textId="77777777" w:rsidR="008C222F" w:rsidRPr="006B15C8" w:rsidRDefault="008C222F" w:rsidP="00DA67F1">
            <w:pPr>
              <w:spacing w:line="240" w:lineRule="auto"/>
              <w:ind w:left="113" w:right="113"/>
              <w:jc w:val="center"/>
              <w:rPr>
                <w:b/>
                <w:bCs/>
                <w:sz w:val="16"/>
                <w:szCs w:val="16"/>
              </w:rPr>
            </w:pPr>
            <w:r w:rsidRPr="006B15C8">
              <w:rPr>
                <w:b/>
                <w:bCs/>
                <w:sz w:val="16"/>
                <w:szCs w:val="16"/>
              </w:rPr>
              <w:t>Car Cost</w:t>
            </w:r>
          </w:p>
        </w:tc>
        <w:tc>
          <w:tcPr>
            <w:tcW w:w="219" w:type="pct"/>
            <w:tcBorders>
              <w:top w:val="double" w:sz="4" w:space="0" w:color="auto"/>
              <w:left w:val="single" w:sz="4" w:space="0" w:color="auto"/>
              <w:bottom w:val="double" w:sz="4" w:space="0" w:color="auto"/>
              <w:right w:val="double" w:sz="4" w:space="0" w:color="auto"/>
            </w:tcBorders>
            <w:shd w:val="clear" w:color="auto" w:fill="F2F2F2"/>
            <w:textDirection w:val="btLr"/>
            <w:vAlign w:val="center"/>
          </w:tcPr>
          <w:p w14:paraId="168D3ADD" w14:textId="77777777" w:rsidR="008C222F" w:rsidRPr="006B15C8" w:rsidRDefault="008C222F" w:rsidP="00DA67F1">
            <w:pPr>
              <w:spacing w:line="240" w:lineRule="auto"/>
              <w:ind w:left="113" w:right="113"/>
              <w:jc w:val="center"/>
              <w:rPr>
                <w:b/>
                <w:bCs/>
                <w:sz w:val="16"/>
                <w:szCs w:val="16"/>
              </w:rPr>
            </w:pPr>
            <w:r w:rsidRPr="006B15C8">
              <w:rPr>
                <w:b/>
                <w:bCs/>
                <w:sz w:val="16"/>
                <w:szCs w:val="16"/>
              </w:rPr>
              <w:t>Car Type</w:t>
            </w:r>
          </w:p>
        </w:tc>
      </w:tr>
      <w:tr w:rsidR="003C4EF8" w:rsidRPr="006B15C8" w14:paraId="11AC6CF3" w14:textId="77777777" w:rsidTr="004D553B">
        <w:tc>
          <w:tcPr>
            <w:tcW w:w="5000" w:type="pct"/>
            <w:gridSpan w:val="21"/>
            <w:tcBorders>
              <w:top w:val="double" w:sz="4" w:space="0" w:color="auto"/>
              <w:left w:val="double" w:sz="4" w:space="0" w:color="auto"/>
              <w:bottom w:val="double" w:sz="4" w:space="0" w:color="auto"/>
              <w:right w:val="double" w:sz="4" w:space="0" w:color="auto"/>
            </w:tcBorders>
            <w:shd w:val="clear" w:color="auto" w:fill="F2F2F2"/>
            <w:vAlign w:val="center"/>
          </w:tcPr>
          <w:p w14:paraId="059DCC1F" w14:textId="1EC30E15" w:rsidR="008C222F" w:rsidRPr="006B15C8" w:rsidRDefault="008C222F" w:rsidP="004D553B">
            <w:pPr>
              <w:spacing w:line="240" w:lineRule="auto"/>
              <w:rPr>
                <w:sz w:val="16"/>
                <w:szCs w:val="16"/>
              </w:rPr>
            </w:pPr>
            <w:r w:rsidRPr="006B15C8">
              <w:rPr>
                <w:b/>
                <w:bCs/>
                <w:sz w:val="16"/>
                <w:szCs w:val="16"/>
              </w:rPr>
              <w:t>Studies conducted in the U</w:t>
            </w:r>
            <w:r w:rsidR="004D7D19">
              <w:rPr>
                <w:b/>
                <w:bCs/>
                <w:sz w:val="16"/>
                <w:szCs w:val="16"/>
              </w:rPr>
              <w:t>.</w:t>
            </w:r>
            <w:r w:rsidRPr="006B15C8">
              <w:rPr>
                <w:b/>
                <w:bCs/>
                <w:sz w:val="16"/>
                <w:szCs w:val="16"/>
              </w:rPr>
              <w:t>S.</w:t>
            </w:r>
          </w:p>
        </w:tc>
      </w:tr>
      <w:tr w:rsidR="003C4EF8" w:rsidRPr="006B15C8" w14:paraId="2E118934" w14:textId="77777777" w:rsidTr="00DA67F1">
        <w:tc>
          <w:tcPr>
            <w:tcW w:w="368" w:type="pct"/>
            <w:tcBorders>
              <w:top w:val="double" w:sz="4" w:space="0" w:color="auto"/>
              <w:left w:val="double" w:sz="4" w:space="0" w:color="auto"/>
              <w:bottom w:val="single" w:sz="4" w:space="0" w:color="auto"/>
              <w:right w:val="single" w:sz="4" w:space="0" w:color="auto"/>
            </w:tcBorders>
            <w:vAlign w:val="center"/>
            <w:hideMark/>
          </w:tcPr>
          <w:p w14:paraId="1EDC55C9" w14:textId="77777777" w:rsidR="008C222F" w:rsidRPr="006B15C8" w:rsidRDefault="008C222F" w:rsidP="004D553B">
            <w:pPr>
              <w:spacing w:line="240" w:lineRule="auto"/>
              <w:jc w:val="left"/>
              <w:rPr>
                <w:sz w:val="16"/>
                <w:szCs w:val="16"/>
              </w:rPr>
            </w:pPr>
            <w:r w:rsidRPr="006B15C8">
              <w:rPr>
                <w:sz w:val="16"/>
                <w:szCs w:val="16"/>
              </w:rPr>
              <w:t>Coughenour et al, 2020</w:t>
            </w:r>
          </w:p>
        </w:tc>
        <w:tc>
          <w:tcPr>
            <w:tcW w:w="286" w:type="pct"/>
            <w:tcBorders>
              <w:top w:val="double" w:sz="4" w:space="0" w:color="auto"/>
              <w:left w:val="single" w:sz="4" w:space="0" w:color="auto"/>
              <w:bottom w:val="single" w:sz="4" w:space="0" w:color="auto"/>
              <w:right w:val="single" w:sz="4" w:space="0" w:color="auto"/>
            </w:tcBorders>
            <w:vAlign w:val="center"/>
            <w:hideMark/>
          </w:tcPr>
          <w:p w14:paraId="05D3B9A5" w14:textId="77777777" w:rsidR="008C222F" w:rsidRPr="006B15C8" w:rsidRDefault="008C222F" w:rsidP="00DA67F1">
            <w:pPr>
              <w:spacing w:line="240" w:lineRule="auto"/>
              <w:jc w:val="left"/>
              <w:rPr>
                <w:sz w:val="16"/>
                <w:szCs w:val="16"/>
              </w:rPr>
            </w:pPr>
            <w:r w:rsidRPr="006B15C8">
              <w:rPr>
                <w:sz w:val="16"/>
                <w:szCs w:val="16"/>
              </w:rPr>
              <w:t>Nevada</w:t>
            </w:r>
          </w:p>
        </w:tc>
        <w:tc>
          <w:tcPr>
            <w:tcW w:w="409" w:type="pct"/>
            <w:tcBorders>
              <w:top w:val="double" w:sz="4" w:space="0" w:color="auto"/>
              <w:left w:val="single" w:sz="4" w:space="0" w:color="auto"/>
              <w:bottom w:val="single" w:sz="4" w:space="0" w:color="auto"/>
              <w:right w:val="single" w:sz="4" w:space="0" w:color="auto"/>
            </w:tcBorders>
            <w:vAlign w:val="center"/>
            <w:hideMark/>
          </w:tcPr>
          <w:p w14:paraId="26859635" w14:textId="77777777" w:rsidR="008C222F" w:rsidRPr="006B15C8" w:rsidRDefault="008C222F" w:rsidP="00DA67F1">
            <w:pPr>
              <w:spacing w:line="240" w:lineRule="auto"/>
              <w:jc w:val="left"/>
              <w:rPr>
                <w:sz w:val="16"/>
                <w:szCs w:val="16"/>
              </w:rPr>
            </w:pPr>
            <w:r w:rsidRPr="006B15C8">
              <w:rPr>
                <w:sz w:val="16"/>
                <w:szCs w:val="16"/>
              </w:rPr>
              <w:t>Controlled field experiment</w:t>
            </w:r>
          </w:p>
        </w:tc>
        <w:tc>
          <w:tcPr>
            <w:tcW w:w="255" w:type="pct"/>
            <w:tcBorders>
              <w:top w:val="double" w:sz="4" w:space="0" w:color="auto"/>
              <w:left w:val="single" w:sz="4" w:space="0" w:color="auto"/>
              <w:bottom w:val="single" w:sz="4" w:space="0" w:color="auto"/>
              <w:right w:val="single" w:sz="4" w:space="0" w:color="auto"/>
            </w:tcBorders>
            <w:vAlign w:val="center"/>
            <w:hideMark/>
          </w:tcPr>
          <w:p w14:paraId="6DE0299F" w14:textId="77777777" w:rsidR="008C222F" w:rsidRPr="006B15C8" w:rsidRDefault="008C222F" w:rsidP="00DA67F1">
            <w:pPr>
              <w:spacing w:line="240" w:lineRule="auto"/>
              <w:jc w:val="left"/>
              <w:rPr>
                <w:sz w:val="16"/>
                <w:szCs w:val="16"/>
              </w:rPr>
            </w:pPr>
            <w:r w:rsidRPr="006B15C8">
              <w:rPr>
                <w:sz w:val="16"/>
                <w:szCs w:val="16"/>
              </w:rPr>
              <w:t>2 hrs/site</w:t>
            </w:r>
          </w:p>
        </w:tc>
        <w:tc>
          <w:tcPr>
            <w:tcW w:w="506" w:type="pct"/>
            <w:tcBorders>
              <w:top w:val="double" w:sz="4" w:space="0" w:color="auto"/>
              <w:left w:val="single" w:sz="4" w:space="0" w:color="auto"/>
              <w:bottom w:val="single" w:sz="4" w:space="0" w:color="auto"/>
              <w:right w:val="single" w:sz="4" w:space="0" w:color="auto"/>
            </w:tcBorders>
            <w:vAlign w:val="center"/>
            <w:hideMark/>
          </w:tcPr>
          <w:p w14:paraId="4BA9A5B5" w14:textId="77777777" w:rsidR="008C222F" w:rsidRPr="006B15C8" w:rsidRDefault="008C222F" w:rsidP="00DA67F1">
            <w:pPr>
              <w:spacing w:line="240" w:lineRule="auto"/>
              <w:jc w:val="left"/>
              <w:rPr>
                <w:sz w:val="16"/>
                <w:szCs w:val="16"/>
              </w:rPr>
            </w:pPr>
            <w:r w:rsidRPr="006B15C8">
              <w:rPr>
                <w:sz w:val="16"/>
                <w:szCs w:val="16"/>
              </w:rPr>
              <w:t>2 non-signalized mid-block crosswalks</w:t>
            </w:r>
          </w:p>
        </w:tc>
        <w:tc>
          <w:tcPr>
            <w:tcW w:w="148" w:type="pct"/>
            <w:tcBorders>
              <w:top w:val="double" w:sz="4" w:space="0" w:color="auto"/>
              <w:left w:val="single" w:sz="4" w:space="0" w:color="auto"/>
              <w:bottom w:val="single" w:sz="4" w:space="0" w:color="auto"/>
              <w:right w:val="single" w:sz="4" w:space="0" w:color="auto"/>
            </w:tcBorders>
            <w:vAlign w:val="center"/>
            <w:hideMark/>
          </w:tcPr>
          <w:p w14:paraId="4646EECA" w14:textId="77777777" w:rsidR="008C222F" w:rsidRPr="006B15C8" w:rsidRDefault="008C222F" w:rsidP="004D553B">
            <w:pPr>
              <w:spacing w:line="240" w:lineRule="auto"/>
              <w:jc w:val="center"/>
              <w:rPr>
                <w:sz w:val="16"/>
                <w:szCs w:val="16"/>
              </w:rPr>
            </w:pPr>
            <w:r w:rsidRPr="006B15C8">
              <w:rPr>
                <w:sz w:val="16"/>
                <w:szCs w:val="16"/>
              </w:rPr>
              <w:t>461</w:t>
            </w:r>
          </w:p>
        </w:tc>
        <w:tc>
          <w:tcPr>
            <w:tcW w:w="650" w:type="pct"/>
            <w:tcBorders>
              <w:top w:val="double" w:sz="4" w:space="0" w:color="auto"/>
              <w:left w:val="single" w:sz="4" w:space="0" w:color="auto"/>
              <w:bottom w:val="single" w:sz="4" w:space="0" w:color="auto"/>
              <w:right w:val="double" w:sz="4" w:space="0" w:color="auto"/>
            </w:tcBorders>
            <w:vAlign w:val="center"/>
            <w:hideMark/>
          </w:tcPr>
          <w:p w14:paraId="2A4393A6" w14:textId="77777777" w:rsidR="008C222F" w:rsidRPr="006B15C8" w:rsidRDefault="008C222F" w:rsidP="00DA67F1">
            <w:pPr>
              <w:pStyle w:val="ListParagraph"/>
              <w:numPr>
                <w:ilvl w:val="0"/>
                <w:numId w:val="31"/>
              </w:numPr>
              <w:spacing w:line="240" w:lineRule="auto"/>
              <w:ind w:left="204" w:hanging="109"/>
              <w:jc w:val="left"/>
              <w:rPr>
                <w:sz w:val="16"/>
                <w:szCs w:val="16"/>
              </w:rPr>
            </w:pPr>
            <w:r w:rsidRPr="006B15C8">
              <w:rPr>
                <w:sz w:val="16"/>
                <w:szCs w:val="16"/>
              </w:rPr>
              <w:t>Driver yielding</w:t>
            </w:r>
          </w:p>
        </w:tc>
        <w:tc>
          <w:tcPr>
            <w:tcW w:w="164" w:type="pct"/>
            <w:tcBorders>
              <w:top w:val="double" w:sz="4" w:space="0" w:color="auto"/>
              <w:left w:val="double" w:sz="4" w:space="0" w:color="auto"/>
              <w:bottom w:val="single" w:sz="4" w:space="0" w:color="auto"/>
              <w:right w:val="single" w:sz="4" w:space="0" w:color="auto"/>
            </w:tcBorders>
            <w:vAlign w:val="center"/>
            <w:hideMark/>
          </w:tcPr>
          <w:p w14:paraId="7D842017" w14:textId="77777777" w:rsidR="008C222F" w:rsidRPr="006B15C8" w:rsidRDefault="008C222F" w:rsidP="00DA67F1">
            <w:pPr>
              <w:spacing w:line="240" w:lineRule="auto"/>
              <w:jc w:val="center"/>
              <w:rPr>
                <w:sz w:val="16"/>
                <w:szCs w:val="16"/>
              </w:rPr>
            </w:pPr>
            <w:r w:rsidRPr="006B15C8">
              <w:rPr>
                <w:sz w:val="22"/>
                <w:szCs w:val="22"/>
              </w:rPr>
              <w:t>×</w:t>
            </w:r>
          </w:p>
        </w:tc>
        <w:tc>
          <w:tcPr>
            <w:tcW w:w="134" w:type="pct"/>
            <w:tcBorders>
              <w:top w:val="double" w:sz="4" w:space="0" w:color="auto"/>
              <w:left w:val="single" w:sz="4" w:space="0" w:color="auto"/>
              <w:bottom w:val="single" w:sz="4" w:space="0" w:color="auto"/>
              <w:right w:val="single" w:sz="4" w:space="0" w:color="auto"/>
            </w:tcBorders>
            <w:vAlign w:val="center"/>
          </w:tcPr>
          <w:p w14:paraId="50D01BEC" w14:textId="77777777" w:rsidR="008C222F" w:rsidRPr="006B15C8" w:rsidRDefault="008C222F" w:rsidP="00DA67F1">
            <w:pPr>
              <w:spacing w:line="240" w:lineRule="auto"/>
              <w:jc w:val="center"/>
              <w:rPr>
                <w:sz w:val="16"/>
                <w:szCs w:val="16"/>
              </w:rPr>
            </w:pPr>
          </w:p>
        </w:tc>
        <w:tc>
          <w:tcPr>
            <w:tcW w:w="165" w:type="pct"/>
            <w:tcBorders>
              <w:top w:val="double" w:sz="4" w:space="0" w:color="auto"/>
              <w:left w:val="single" w:sz="4" w:space="0" w:color="auto"/>
              <w:bottom w:val="single" w:sz="4" w:space="0" w:color="auto"/>
              <w:right w:val="single" w:sz="4" w:space="0" w:color="auto"/>
            </w:tcBorders>
            <w:vAlign w:val="center"/>
            <w:hideMark/>
          </w:tcPr>
          <w:p w14:paraId="5ACC1974" w14:textId="77777777" w:rsidR="008C222F" w:rsidRPr="006B15C8" w:rsidRDefault="008C222F" w:rsidP="00DA67F1">
            <w:pPr>
              <w:spacing w:line="240" w:lineRule="auto"/>
              <w:jc w:val="center"/>
              <w:rPr>
                <w:sz w:val="16"/>
                <w:szCs w:val="16"/>
              </w:rPr>
            </w:pPr>
            <w:r w:rsidRPr="006B15C8">
              <w:rPr>
                <w:sz w:val="22"/>
                <w:szCs w:val="22"/>
              </w:rPr>
              <w:t>×</w:t>
            </w:r>
          </w:p>
        </w:tc>
        <w:tc>
          <w:tcPr>
            <w:tcW w:w="177" w:type="pct"/>
            <w:tcBorders>
              <w:top w:val="double" w:sz="4" w:space="0" w:color="auto"/>
              <w:left w:val="single" w:sz="4" w:space="0" w:color="auto"/>
              <w:bottom w:val="single" w:sz="4" w:space="0" w:color="auto"/>
              <w:right w:val="double" w:sz="4" w:space="0" w:color="auto"/>
            </w:tcBorders>
            <w:vAlign w:val="center"/>
          </w:tcPr>
          <w:p w14:paraId="62F9667B" w14:textId="77777777" w:rsidR="008C222F" w:rsidRPr="006B15C8" w:rsidRDefault="008C222F" w:rsidP="00DA67F1">
            <w:pPr>
              <w:spacing w:line="240" w:lineRule="auto"/>
              <w:jc w:val="center"/>
              <w:rPr>
                <w:sz w:val="16"/>
                <w:szCs w:val="16"/>
              </w:rPr>
            </w:pPr>
          </w:p>
        </w:tc>
        <w:tc>
          <w:tcPr>
            <w:tcW w:w="136" w:type="pct"/>
            <w:tcBorders>
              <w:top w:val="double" w:sz="4" w:space="0" w:color="auto"/>
              <w:left w:val="double" w:sz="4" w:space="0" w:color="auto"/>
              <w:bottom w:val="single" w:sz="4" w:space="0" w:color="auto"/>
              <w:right w:val="single" w:sz="4" w:space="0" w:color="auto"/>
            </w:tcBorders>
            <w:vAlign w:val="center"/>
          </w:tcPr>
          <w:p w14:paraId="14DD79BE" w14:textId="77777777" w:rsidR="008C222F" w:rsidRPr="006B15C8" w:rsidRDefault="008C222F" w:rsidP="00DA67F1">
            <w:pPr>
              <w:spacing w:line="240" w:lineRule="auto"/>
              <w:jc w:val="center"/>
              <w:rPr>
                <w:sz w:val="16"/>
                <w:szCs w:val="16"/>
              </w:rPr>
            </w:pPr>
          </w:p>
        </w:tc>
        <w:tc>
          <w:tcPr>
            <w:tcW w:w="155" w:type="pct"/>
            <w:tcBorders>
              <w:top w:val="double" w:sz="4" w:space="0" w:color="auto"/>
              <w:left w:val="single" w:sz="4" w:space="0" w:color="auto"/>
              <w:bottom w:val="single" w:sz="4" w:space="0" w:color="auto"/>
              <w:right w:val="single" w:sz="4" w:space="0" w:color="auto"/>
            </w:tcBorders>
            <w:vAlign w:val="center"/>
          </w:tcPr>
          <w:p w14:paraId="0F942792" w14:textId="77777777" w:rsidR="008C222F" w:rsidRPr="006B15C8" w:rsidRDefault="008C222F" w:rsidP="00DA67F1">
            <w:pPr>
              <w:spacing w:line="240" w:lineRule="auto"/>
              <w:jc w:val="center"/>
              <w:rPr>
                <w:sz w:val="16"/>
                <w:szCs w:val="16"/>
              </w:rPr>
            </w:pPr>
          </w:p>
        </w:tc>
        <w:tc>
          <w:tcPr>
            <w:tcW w:w="221" w:type="pct"/>
            <w:tcBorders>
              <w:top w:val="double" w:sz="4" w:space="0" w:color="auto"/>
              <w:left w:val="single" w:sz="4" w:space="0" w:color="auto"/>
              <w:bottom w:val="single" w:sz="4" w:space="0" w:color="auto"/>
              <w:right w:val="double" w:sz="4" w:space="0" w:color="auto"/>
            </w:tcBorders>
            <w:vAlign w:val="center"/>
          </w:tcPr>
          <w:p w14:paraId="41BED2B2" w14:textId="77777777" w:rsidR="008C222F" w:rsidRPr="006B15C8" w:rsidRDefault="008C222F" w:rsidP="00DA67F1">
            <w:pPr>
              <w:spacing w:line="240" w:lineRule="auto"/>
              <w:jc w:val="center"/>
              <w:rPr>
                <w:sz w:val="16"/>
                <w:szCs w:val="16"/>
              </w:rPr>
            </w:pPr>
          </w:p>
        </w:tc>
        <w:tc>
          <w:tcPr>
            <w:tcW w:w="164" w:type="pct"/>
            <w:tcBorders>
              <w:top w:val="double" w:sz="4" w:space="0" w:color="auto"/>
              <w:left w:val="double" w:sz="4" w:space="0" w:color="auto"/>
              <w:bottom w:val="single" w:sz="4" w:space="0" w:color="auto"/>
              <w:right w:val="single" w:sz="4" w:space="0" w:color="auto"/>
            </w:tcBorders>
            <w:vAlign w:val="center"/>
          </w:tcPr>
          <w:p w14:paraId="50A5DB84" w14:textId="77777777" w:rsidR="008C222F" w:rsidRPr="006B15C8" w:rsidRDefault="008C222F" w:rsidP="00DA67F1">
            <w:pPr>
              <w:spacing w:line="240" w:lineRule="auto"/>
              <w:jc w:val="center"/>
              <w:rPr>
                <w:sz w:val="16"/>
                <w:szCs w:val="16"/>
              </w:rPr>
            </w:pPr>
          </w:p>
        </w:tc>
        <w:tc>
          <w:tcPr>
            <w:tcW w:w="156" w:type="pct"/>
            <w:tcBorders>
              <w:top w:val="double" w:sz="4" w:space="0" w:color="auto"/>
              <w:left w:val="single" w:sz="4" w:space="0" w:color="auto"/>
              <w:bottom w:val="single" w:sz="4" w:space="0" w:color="auto"/>
              <w:right w:val="single" w:sz="4" w:space="0" w:color="auto"/>
            </w:tcBorders>
            <w:vAlign w:val="center"/>
          </w:tcPr>
          <w:p w14:paraId="05E34387" w14:textId="77777777" w:rsidR="008C222F" w:rsidRPr="006B15C8" w:rsidRDefault="008C222F" w:rsidP="00DA67F1">
            <w:pPr>
              <w:spacing w:line="240" w:lineRule="auto"/>
              <w:jc w:val="center"/>
              <w:rPr>
                <w:sz w:val="22"/>
                <w:szCs w:val="22"/>
              </w:rPr>
            </w:pPr>
          </w:p>
        </w:tc>
        <w:tc>
          <w:tcPr>
            <w:tcW w:w="159" w:type="pct"/>
            <w:tcBorders>
              <w:top w:val="double" w:sz="4" w:space="0" w:color="auto"/>
              <w:left w:val="single" w:sz="4" w:space="0" w:color="auto"/>
              <w:bottom w:val="single" w:sz="4" w:space="0" w:color="auto"/>
              <w:right w:val="double" w:sz="4" w:space="0" w:color="auto"/>
            </w:tcBorders>
            <w:vAlign w:val="center"/>
          </w:tcPr>
          <w:p w14:paraId="7AA24D15" w14:textId="77777777" w:rsidR="008C222F" w:rsidRPr="006B15C8" w:rsidRDefault="008C222F" w:rsidP="00DA67F1">
            <w:pPr>
              <w:spacing w:line="240" w:lineRule="auto"/>
              <w:jc w:val="center"/>
              <w:rPr>
                <w:sz w:val="22"/>
                <w:szCs w:val="22"/>
              </w:rPr>
            </w:pPr>
          </w:p>
        </w:tc>
        <w:tc>
          <w:tcPr>
            <w:tcW w:w="187" w:type="pct"/>
            <w:tcBorders>
              <w:top w:val="double" w:sz="4" w:space="0" w:color="auto"/>
              <w:left w:val="double" w:sz="4" w:space="0" w:color="auto"/>
              <w:bottom w:val="single" w:sz="4" w:space="0" w:color="auto"/>
              <w:right w:val="single" w:sz="4" w:space="0" w:color="auto"/>
            </w:tcBorders>
            <w:vAlign w:val="center"/>
          </w:tcPr>
          <w:p w14:paraId="3F7423ED" w14:textId="77777777" w:rsidR="008C222F" w:rsidRPr="006B15C8" w:rsidRDefault="008C222F" w:rsidP="00DA67F1">
            <w:pPr>
              <w:spacing w:line="240" w:lineRule="auto"/>
              <w:jc w:val="center"/>
              <w:rPr>
                <w:sz w:val="16"/>
                <w:szCs w:val="16"/>
              </w:rPr>
            </w:pPr>
          </w:p>
        </w:tc>
        <w:tc>
          <w:tcPr>
            <w:tcW w:w="157" w:type="pct"/>
            <w:tcBorders>
              <w:top w:val="double" w:sz="4" w:space="0" w:color="auto"/>
              <w:left w:val="single" w:sz="4" w:space="0" w:color="auto"/>
              <w:bottom w:val="single" w:sz="4" w:space="0" w:color="auto"/>
              <w:right w:val="single" w:sz="4" w:space="0" w:color="auto"/>
            </w:tcBorders>
            <w:vAlign w:val="center"/>
          </w:tcPr>
          <w:p w14:paraId="65931A54" w14:textId="77777777" w:rsidR="008C222F" w:rsidRPr="006B15C8" w:rsidRDefault="008C222F" w:rsidP="00DA67F1">
            <w:pPr>
              <w:spacing w:line="240" w:lineRule="auto"/>
              <w:jc w:val="center"/>
              <w:rPr>
                <w:sz w:val="16"/>
                <w:szCs w:val="16"/>
              </w:rPr>
            </w:pPr>
          </w:p>
        </w:tc>
        <w:tc>
          <w:tcPr>
            <w:tcW w:w="182" w:type="pct"/>
            <w:tcBorders>
              <w:top w:val="double" w:sz="4" w:space="0" w:color="auto"/>
              <w:left w:val="single" w:sz="4" w:space="0" w:color="auto"/>
              <w:bottom w:val="single" w:sz="4" w:space="0" w:color="auto"/>
              <w:right w:val="single" w:sz="4" w:space="0" w:color="auto"/>
            </w:tcBorders>
            <w:vAlign w:val="center"/>
          </w:tcPr>
          <w:p w14:paraId="7FA2F56F" w14:textId="77777777" w:rsidR="008C222F" w:rsidRPr="006B15C8" w:rsidRDefault="008C222F" w:rsidP="00DA67F1">
            <w:pPr>
              <w:spacing w:line="240" w:lineRule="auto"/>
              <w:jc w:val="center"/>
              <w:rPr>
                <w:sz w:val="16"/>
                <w:szCs w:val="16"/>
              </w:rPr>
            </w:pPr>
            <w:r w:rsidRPr="006B15C8">
              <w:rPr>
                <w:sz w:val="22"/>
                <w:szCs w:val="22"/>
              </w:rPr>
              <w:t>×</w:t>
            </w:r>
          </w:p>
        </w:tc>
        <w:tc>
          <w:tcPr>
            <w:tcW w:w="219" w:type="pct"/>
            <w:tcBorders>
              <w:top w:val="double" w:sz="4" w:space="0" w:color="auto"/>
              <w:left w:val="single" w:sz="4" w:space="0" w:color="auto"/>
              <w:bottom w:val="single" w:sz="4" w:space="0" w:color="auto"/>
              <w:right w:val="double" w:sz="4" w:space="0" w:color="auto"/>
            </w:tcBorders>
            <w:vAlign w:val="center"/>
          </w:tcPr>
          <w:p w14:paraId="29AEB2E3" w14:textId="77777777" w:rsidR="008C222F" w:rsidRPr="006B15C8" w:rsidRDefault="008C222F" w:rsidP="00DA67F1">
            <w:pPr>
              <w:spacing w:line="240" w:lineRule="auto"/>
              <w:jc w:val="center"/>
              <w:rPr>
                <w:sz w:val="16"/>
                <w:szCs w:val="16"/>
              </w:rPr>
            </w:pPr>
          </w:p>
        </w:tc>
      </w:tr>
      <w:tr w:rsidR="003C4EF8" w:rsidRPr="006B15C8" w14:paraId="0C29E574" w14:textId="77777777" w:rsidTr="00DA67F1">
        <w:tc>
          <w:tcPr>
            <w:tcW w:w="368" w:type="pct"/>
            <w:tcBorders>
              <w:top w:val="single" w:sz="4" w:space="0" w:color="auto"/>
              <w:left w:val="double" w:sz="4" w:space="0" w:color="auto"/>
              <w:bottom w:val="single" w:sz="4" w:space="0" w:color="auto"/>
              <w:right w:val="single" w:sz="4" w:space="0" w:color="auto"/>
            </w:tcBorders>
            <w:vAlign w:val="center"/>
            <w:hideMark/>
          </w:tcPr>
          <w:p w14:paraId="71C96874" w14:textId="77777777" w:rsidR="008C222F" w:rsidRPr="006B15C8" w:rsidRDefault="008C222F" w:rsidP="004D553B">
            <w:pPr>
              <w:spacing w:line="240" w:lineRule="auto"/>
              <w:jc w:val="left"/>
              <w:rPr>
                <w:sz w:val="16"/>
                <w:szCs w:val="16"/>
              </w:rPr>
            </w:pPr>
            <w:r w:rsidRPr="006B15C8">
              <w:rPr>
                <w:sz w:val="16"/>
                <w:szCs w:val="16"/>
              </w:rPr>
              <w:t>Schneider et al., 2018</w:t>
            </w:r>
          </w:p>
        </w:tc>
        <w:tc>
          <w:tcPr>
            <w:tcW w:w="286" w:type="pct"/>
            <w:tcBorders>
              <w:top w:val="single" w:sz="4" w:space="0" w:color="auto"/>
              <w:left w:val="single" w:sz="4" w:space="0" w:color="auto"/>
              <w:bottom w:val="single" w:sz="4" w:space="0" w:color="auto"/>
              <w:right w:val="single" w:sz="4" w:space="0" w:color="auto"/>
            </w:tcBorders>
            <w:vAlign w:val="center"/>
            <w:hideMark/>
          </w:tcPr>
          <w:p w14:paraId="56B91ECE" w14:textId="77777777" w:rsidR="008C222F" w:rsidRPr="006B15C8" w:rsidRDefault="008C222F" w:rsidP="00DA67F1">
            <w:pPr>
              <w:spacing w:line="240" w:lineRule="auto"/>
              <w:jc w:val="left"/>
              <w:rPr>
                <w:sz w:val="16"/>
                <w:szCs w:val="16"/>
              </w:rPr>
            </w:pPr>
            <w:r w:rsidRPr="006B15C8">
              <w:rPr>
                <w:sz w:val="16"/>
                <w:szCs w:val="16"/>
              </w:rPr>
              <w:t>Wisconsin</w:t>
            </w:r>
          </w:p>
        </w:tc>
        <w:tc>
          <w:tcPr>
            <w:tcW w:w="409" w:type="pct"/>
            <w:tcBorders>
              <w:top w:val="single" w:sz="4" w:space="0" w:color="auto"/>
              <w:left w:val="single" w:sz="4" w:space="0" w:color="auto"/>
              <w:bottom w:val="single" w:sz="4" w:space="0" w:color="auto"/>
              <w:right w:val="single" w:sz="4" w:space="0" w:color="auto"/>
            </w:tcBorders>
            <w:vAlign w:val="center"/>
            <w:hideMark/>
          </w:tcPr>
          <w:p w14:paraId="16DF97A2" w14:textId="77777777" w:rsidR="008C222F" w:rsidRPr="006B15C8" w:rsidRDefault="008C222F" w:rsidP="00DA67F1">
            <w:pPr>
              <w:spacing w:line="240" w:lineRule="auto"/>
              <w:jc w:val="left"/>
              <w:rPr>
                <w:sz w:val="16"/>
                <w:szCs w:val="16"/>
              </w:rPr>
            </w:pPr>
            <w:r w:rsidRPr="006B15C8">
              <w:rPr>
                <w:sz w:val="16"/>
                <w:szCs w:val="16"/>
              </w:rPr>
              <w:t>In-person observation</w:t>
            </w:r>
          </w:p>
        </w:tc>
        <w:tc>
          <w:tcPr>
            <w:tcW w:w="255" w:type="pct"/>
            <w:tcBorders>
              <w:top w:val="single" w:sz="4" w:space="0" w:color="auto"/>
              <w:left w:val="single" w:sz="4" w:space="0" w:color="auto"/>
              <w:bottom w:val="single" w:sz="4" w:space="0" w:color="auto"/>
              <w:right w:val="single" w:sz="4" w:space="0" w:color="auto"/>
            </w:tcBorders>
            <w:vAlign w:val="center"/>
            <w:hideMark/>
          </w:tcPr>
          <w:p w14:paraId="1AC8F0AE" w14:textId="77777777" w:rsidR="008C222F" w:rsidRPr="006B15C8" w:rsidRDefault="008C222F" w:rsidP="00DA67F1">
            <w:pPr>
              <w:spacing w:line="240" w:lineRule="auto"/>
              <w:jc w:val="left"/>
              <w:rPr>
                <w:sz w:val="16"/>
                <w:szCs w:val="16"/>
              </w:rPr>
            </w:pPr>
            <w:r w:rsidRPr="006B15C8">
              <w:rPr>
                <w:sz w:val="16"/>
                <w:szCs w:val="16"/>
              </w:rPr>
              <w:t>2 hrs/site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29C5F9FC" w14:textId="77777777" w:rsidR="008C222F" w:rsidRPr="006B15C8" w:rsidRDefault="008C222F" w:rsidP="00DA67F1">
            <w:pPr>
              <w:spacing w:line="240" w:lineRule="auto"/>
              <w:jc w:val="left"/>
              <w:rPr>
                <w:sz w:val="16"/>
                <w:szCs w:val="16"/>
              </w:rPr>
            </w:pPr>
            <w:r w:rsidRPr="006B15C8">
              <w:rPr>
                <w:sz w:val="16"/>
                <w:szCs w:val="16"/>
              </w:rPr>
              <w:t>20 uncontrolled intersections</w:t>
            </w:r>
          </w:p>
        </w:tc>
        <w:tc>
          <w:tcPr>
            <w:tcW w:w="148" w:type="pct"/>
            <w:tcBorders>
              <w:top w:val="single" w:sz="4" w:space="0" w:color="auto"/>
              <w:left w:val="single" w:sz="4" w:space="0" w:color="auto"/>
              <w:bottom w:val="single" w:sz="4" w:space="0" w:color="auto"/>
              <w:right w:val="single" w:sz="4" w:space="0" w:color="auto"/>
            </w:tcBorders>
            <w:vAlign w:val="center"/>
            <w:hideMark/>
          </w:tcPr>
          <w:p w14:paraId="2B1409EC" w14:textId="77777777" w:rsidR="008C222F" w:rsidRPr="006B15C8" w:rsidRDefault="008C222F" w:rsidP="004D553B">
            <w:pPr>
              <w:spacing w:line="240" w:lineRule="auto"/>
              <w:jc w:val="center"/>
              <w:rPr>
                <w:sz w:val="16"/>
                <w:szCs w:val="16"/>
              </w:rPr>
            </w:pPr>
            <w:r w:rsidRPr="006B15C8">
              <w:rPr>
                <w:sz w:val="16"/>
                <w:szCs w:val="16"/>
              </w:rPr>
              <w:t>364</w:t>
            </w:r>
          </w:p>
        </w:tc>
        <w:tc>
          <w:tcPr>
            <w:tcW w:w="650" w:type="pct"/>
            <w:tcBorders>
              <w:top w:val="single" w:sz="4" w:space="0" w:color="auto"/>
              <w:left w:val="single" w:sz="4" w:space="0" w:color="auto"/>
              <w:bottom w:val="single" w:sz="4" w:space="0" w:color="auto"/>
              <w:right w:val="double" w:sz="4" w:space="0" w:color="auto"/>
            </w:tcBorders>
            <w:vAlign w:val="center"/>
            <w:hideMark/>
          </w:tcPr>
          <w:p w14:paraId="3ACD6040" w14:textId="77777777" w:rsidR="008C222F" w:rsidRPr="006B15C8" w:rsidRDefault="008C222F" w:rsidP="00DA67F1">
            <w:pPr>
              <w:pStyle w:val="ListParagraph"/>
              <w:numPr>
                <w:ilvl w:val="0"/>
                <w:numId w:val="31"/>
              </w:numPr>
              <w:spacing w:line="240" w:lineRule="auto"/>
              <w:ind w:left="204" w:hanging="109"/>
              <w:jc w:val="left"/>
              <w:rPr>
                <w:sz w:val="16"/>
                <w:szCs w:val="16"/>
              </w:rPr>
            </w:pPr>
            <w:r w:rsidRPr="006B15C8">
              <w:rPr>
                <w:sz w:val="16"/>
                <w:szCs w:val="16"/>
              </w:rPr>
              <w:t>Driver yielding</w:t>
            </w:r>
          </w:p>
        </w:tc>
        <w:tc>
          <w:tcPr>
            <w:tcW w:w="164" w:type="pct"/>
            <w:tcBorders>
              <w:top w:val="single" w:sz="4" w:space="0" w:color="auto"/>
              <w:left w:val="double" w:sz="4" w:space="0" w:color="auto"/>
              <w:bottom w:val="single" w:sz="4" w:space="0" w:color="auto"/>
              <w:right w:val="single" w:sz="4" w:space="0" w:color="auto"/>
            </w:tcBorders>
            <w:vAlign w:val="center"/>
            <w:hideMark/>
          </w:tcPr>
          <w:p w14:paraId="73F255F5" w14:textId="77777777" w:rsidR="008C222F" w:rsidRPr="006B15C8" w:rsidRDefault="008C222F" w:rsidP="00DA67F1">
            <w:pPr>
              <w:spacing w:line="240" w:lineRule="auto"/>
              <w:jc w:val="center"/>
              <w:rPr>
                <w:sz w:val="16"/>
                <w:szCs w:val="16"/>
              </w:rPr>
            </w:pPr>
            <w:r w:rsidRPr="006B15C8">
              <w:rPr>
                <w:sz w:val="22"/>
                <w:szCs w:val="22"/>
              </w:rPr>
              <w:t>×</w:t>
            </w:r>
          </w:p>
        </w:tc>
        <w:tc>
          <w:tcPr>
            <w:tcW w:w="134" w:type="pct"/>
            <w:tcBorders>
              <w:top w:val="single" w:sz="4" w:space="0" w:color="auto"/>
              <w:left w:val="single" w:sz="4" w:space="0" w:color="auto"/>
              <w:bottom w:val="single" w:sz="4" w:space="0" w:color="auto"/>
              <w:right w:val="single" w:sz="4" w:space="0" w:color="auto"/>
            </w:tcBorders>
            <w:vAlign w:val="center"/>
            <w:hideMark/>
          </w:tcPr>
          <w:p w14:paraId="32D8889F" w14:textId="77777777" w:rsidR="008C222F" w:rsidRPr="006B15C8" w:rsidRDefault="008C222F" w:rsidP="00DA67F1">
            <w:pPr>
              <w:spacing w:line="240" w:lineRule="auto"/>
              <w:jc w:val="center"/>
              <w:rPr>
                <w:sz w:val="16"/>
                <w:szCs w:val="16"/>
              </w:rPr>
            </w:pPr>
            <w:r w:rsidRPr="006B15C8">
              <w:rPr>
                <w:sz w:val="22"/>
                <w:szCs w:val="22"/>
              </w:rPr>
              <w:t>×</w:t>
            </w:r>
          </w:p>
        </w:tc>
        <w:tc>
          <w:tcPr>
            <w:tcW w:w="165" w:type="pct"/>
            <w:tcBorders>
              <w:top w:val="single" w:sz="4" w:space="0" w:color="auto"/>
              <w:left w:val="single" w:sz="4" w:space="0" w:color="auto"/>
              <w:bottom w:val="single" w:sz="4" w:space="0" w:color="auto"/>
              <w:right w:val="single" w:sz="4" w:space="0" w:color="auto"/>
            </w:tcBorders>
            <w:vAlign w:val="center"/>
            <w:hideMark/>
          </w:tcPr>
          <w:p w14:paraId="37FE15E7" w14:textId="77777777" w:rsidR="008C222F" w:rsidRPr="006B15C8" w:rsidRDefault="008C222F" w:rsidP="00DA67F1">
            <w:pPr>
              <w:spacing w:line="240" w:lineRule="auto"/>
              <w:jc w:val="center"/>
              <w:rPr>
                <w:sz w:val="16"/>
                <w:szCs w:val="16"/>
              </w:rPr>
            </w:pPr>
            <w:r w:rsidRPr="006B15C8">
              <w:rPr>
                <w:sz w:val="22"/>
                <w:szCs w:val="22"/>
              </w:rPr>
              <w:t>×</w:t>
            </w:r>
          </w:p>
        </w:tc>
        <w:tc>
          <w:tcPr>
            <w:tcW w:w="177" w:type="pct"/>
            <w:tcBorders>
              <w:top w:val="single" w:sz="4" w:space="0" w:color="auto"/>
              <w:left w:val="single" w:sz="4" w:space="0" w:color="auto"/>
              <w:bottom w:val="single" w:sz="4" w:space="0" w:color="auto"/>
              <w:right w:val="double" w:sz="4" w:space="0" w:color="auto"/>
            </w:tcBorders>
            <w:vAlign w:val="center"/>
          </w:tcPr>
          <w:p w14:paraId="299B061A" w14:textId="77777777" w:rsidR="008C222F" w:rsidRPr="006B15C8" w:rsidRDefault="0033704B" w:rsidP="00DA67F1">
            <w:pPr>
              <w:spacing w:line="240" w:lineRule="auto"/>
              <w:jc w:val="center"/>
              <w:rPr>
                <w:sz w:val="16"/>
                <w:szCs w:val="16"/>
              </w:rPr>
            </w:pPr>
            <w:r w:rsidRPr="006B15C8">
              <w:rPr>
                <w:sz w:val="22"/>
                <w:szCs w:val="22"/>
              </w:rPr>
              <w:t>×</w:t>
            </w:r>
          </w:p>
        </w:tc>
        <w:tc>
          <w:tcPr>
            <w:tcW w:w="136" w:type="pct"/>
            <w:tcBorders>
              <w:top w:val="single" w:sz="4" w:space="0" w:color="auto"/>
              <w:left w:val="double" w:sz="4" w:space="0" w:color="auto"/>
              <w:bottom w:val="single" w:sz="4" w:space="0" w:color="auto"/>
              <w:right w:val="single" w:sz="4" w:space="0" w:color="auto"/>
            </w:tcBorders>
            <w:vAlign w:val="center"/>
            <w:hideMark/>
          </w:tcPr>
          <w:p w14:paraId="3B45DC5A" w14:textId="77777777" w:rsidR="008C222F" w:rsidRPr="006B15C8" w:rsidRDefault="008C222F" w:rsidP="00DA67F1">
            <w:pPr>
              <w:spacing w:line="240" w:lineRule="auto"/>
              <w:jc w:val="center"/>
              <w:rPr>
                <w:sz w:val="16"/>
                <w:szCs w:val="16"/>
              </w:rPr>
            </w:pPr>
            <w:r w:rsidRPr="006B15C8">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hideMark/>
          </w:tcPr>
          <w:p w14:paraId="0223386C" w14:textId="77777777" w:rsidR="008C222F" w:rsidRPr="006B15C8" w:rsidRDefault="008C222F" w:rsidP="00DA67F1">
            <w:pPr>
              <w:spacing w:line="240" w:lineRule="auto"/>
              <w:jc w:val="center"/>
              <w:rPr>
                <w:sz w:val="16"/>
                <w:szCs w:val="16"/>
              </w:rPr>
            </w:pPr>
            <w:r w:rsidRPr="006B15C8">
              <w:rPr>
                <w:sz w:val="22"/>
                <w:szCs w:val="22"/>
              </w:rPr>
              <w:t>×</w:t>
            </w:r>
          </w:p>
        </w:tc>
        <w:tc>
          <w:tcPr>
            <w:tcW w:w="221" w:type="pct"/>
            <w:tcBorders>
              <w:top w:val="single" w:sz="4" w:space="0" w:color="auto"/>
              <w:left w:val="single" w:sz="4" w:space="0" w:color="auto"/>
              <w:bottom w:val="single" w:sz="4" w:space="0" w:color="auto"/>
              <w:right w:val="double" w:sz="4" w:space="0" w:color="auto"/>
            </w:tcBorders>
            <w:vAlign w:val="center"/>
          </w:tcPr>
          <w:p w14:paraId="1C3844E7" w14:textId="77777777" w:rsidR="008C222F" w:rsidRPr="006B15C8" w:rsidRDefault="008C222F" w:rsidP="00DA67F1">
            <w:pPr>
              <w:spacing w:line="240" w:lineRule="auto"/>
              <w:jc w:val="center"/>
              <w:rPr>
                <w:sz w:val="22"/>
                <w:szCs w:val="22"/>
              </w:rPr>
            </w:pPr>
          </w:p>
        </w:tc>
        <w:tc>
          <w:tcPr>
            <w:tcW w:w="164" w:type="pct"/>
            <w:tcBorders>
              <w:top w:val="single" w:sz="4" w:space="0" w:color="auto"/>
              <w:left w:val="double" w:sz="4" w:space="0" w:color="auto"/>
              <w:bottom w:val="single" w:sz="4" w:space="0" w:color="auto"/>
              <w:right w:val="single" w:sz="4" w:space="0" w:color="auto"/>
            </w:tcBorders>
            <w:vAlign w:val="center"/>
            <w:hideMark/>
          </w:tcPr>
          <w:p w14:paraId="35B81834" w14:textId="77777777" w:rsidR="008C222F" w:rsidRPr="006B15C8" w:rsidRDefault="008C222F" w:rsidP="00DA67F1">
            <w:pPr>
              <w:spacing w:line="240" w:lineRule="auto"/>
              <w:jc w:val="center"/>
              <w:rPr>
                <w:sz w:val="16"/>
                <w:szCs w:val="16"/>
              </w:rPr>
            </w:pPr>
            <w:r w:rsidRPr="006B15C8">
              <w:rPr>
                <w:sz w:val="22"/>
                <w:szCs w:val="22"/>
              </w:rPr>
              <w:t>×</w:t>
            </w:r>
          </w:p>
        </w:tc>
        <w:tc>
          <w:tcPr>
            <w:tcW w:w="156" w:type="pct"/>
            <w:tcBorders>
              <w:top w:val="single" w:sz="4" w:space="0" w:color="auto"/>
              <w:left w:val="single" w:sz="4" w:space="0" w:color="auto"/>
              <w:bottom w:val="single" w:sz="4" w:space="0" w:color="auto"/>
              <w:right w:val="single" w:sz="4" w:space="0" w:color="auto"/>
            </w:tcBorders>
            <w:vAlign w:val="center"/>
            <w:hideMark/>
          </w:tcPr>
          <w:p w14:paraId="72855BE7" w14:textId="77777777" w:rsidR="008C222F" w:rsidRPr="006B15C8" w:rsidRDefault="008C222F" w:rsidP="00DA67F1">
            <w:pPr>
              <w:spacing w:line="240" w:lineRule="auto"/>
              <w:jc w:val="center"/>
              <w:rPr>
                <w:sz w:val="16"/>
                <w:szCs w:val="16"/>
              </w:rPr>
            </w:pPr>
            <w:r w:rsidRPr="006B15C8">
              <w:rPr>
                <w:sz w:val="22"/>
                <w:szCs w:val="22"/>
              </w:rPr>
              <w:t>×</w:t>
            </w:r>
          </w:p>
        </w:tc>
        <w:tc>
          <w:tcPr>
            <w:tcW w:w="159" w:type="pct"/>
            <w:tcBorders>
              <w:top w:val="single" w:sz="4" w:space="0" w:color="auto"/>
              <w:left w:val="single" w:sz="4" w:space="0" w:color="auto"/>
              <w:bottom w:val="single" w:sz="4" w:space="0" w:color="auto"/>
              <w:right w:val="double" w:sz="4" w:space="0" w:color="auto"/>
            </w:tcBorders>
            <w:vAlign w:val="center"/>
            <w:hideMark/>
          </w:tcPr>
          <w:p w14:paraId="0123A508" w14:textId="77777777" w:rsidR="008C222F" w:rsidRPr="006B15C8" w:rsidRDefault="008C222F" w:rsidP="00DA67F1">
            <w:pPr>
              <w:spacing w:line="240" w:lineRule="auto"/>
              <w:jc w:val="center"/>
              <w:rPr>
                <w:sz w:val="16"/>
                <w:szCs w:val="16"/>
              </w:rPr>
            </w:pPr>
            <w:r w:rsidRPr="006B15C8">
              <w:rPr>
                <w:sz w:val="22"/>
                <w:szCs w:val="22"/>
              </w:rPr>
              <w:t>×</w:t>
            </w:r>
          </w:p>
        </w:tc>
        <w:tc>
          <w:tcPr>
            <w:tcW w:w="187" w:type="pct"/>
            <w:tcBorders>
              <w:top w:val="single" w:sz="4" w:space="0" w:color="auto"/>
              <w:left w:val="double" w:sz="4" w:space="0" w:color="auto"/>
              <w:bottom w:val="single" w:sz="4" w:space="0" w:color="auto"/>
              <w:right w:val="single" w:sz="4" w:space="0" w:color="auto"/>
            </w:tcBorders>
            <w:vAlign w:val="center"/>
          </w:tcPr>
          <w:p w14:paraId="4F7EDDFA" w14:textId="77777777" w:rsidR="008C222F" w:rsidRPr="006B15C8" w:rsidRDefault="008C222F" w:rsidP="00DA67F1">
            <w:pPr>
              <w:spacing w:line="240" w:lineRule="auto"/>
              <w:jc w:val="center"/>
              <w:rPr>
                <w:sz w:val="22"/>
                <w:szCs w:val="22"/>
              </w:rPr>
            </w:pPr>
          </w:p>
        </w:tc>
        <w:tc>
          <w:tcPr>
            <w:tcW w:w="157" w:type="pct"/>
            <w:tcBorders>
              <w:top w:val="single" w:sz="4" w:space="0" w:color="auto"/>
              <w:left w:val="single" w:sz="4" w:space="0" w:color="auto"/>
              <w:bottom w:val="single" w:sz="4" w:space="0" w:color="auto"/>
              <w:right w:val="single" w:sz="4" w:space="0" w:color="auto"/>
            </w:tcBorders>
            <w:vAlign w:val="center"/>
          </w:tcPr>
          <w:p w14:paraId="511690E5" w14:textId="77777777" w:rsidR="008C222F" w:rsidRPr="006B15C8" w:rsidRDefault="008C222F" w:rsidP="00DA67F1">
            <w:pPr>
              <w:spacing w:line="240" w:lineRule="auto"/>
              <w:jc w:val="center"/>
              <w:rPr>
                <w:sz w:val="22"/>
                <w:szCs w:val="22"/>
              </w:rPr>
            </w:pPr>
          </w:p>
        </w:tc>
        <w:tc>
          <w:tcPr>
            <w:tcW w:w="182" w:type="pct"/>
            <w:tcBorders>
              <w:top w:val="single" w:sz="4" w:space="0" w:color="auto"/>
              <w:left w:val="single" w:sz="4" w:space="0" w:color="auto"/>
              <w:bottom w:val="single" w:sz="4" w:space="0" w:color="auto"/>
              <w:right w:val="single" w:sz="4" w:space="0" w:color="auto"/>
            </w:tcBorders>
            <w:vAlign w:val="center"/>
          </w:tcPr>
          <w:p w14:paraId="69C174A9" w14:textId="77777777" w:rsidR="008C222F" w:rsidRPr="006B15C8" w:rsidRDefault="008C222F" w:rsidP="00DA67F1">
            <w:pPr>
              <w:spacing w:line="240" w:lineRule="auto"/>
              <w:jc w:val="center"/>
              <w:rPr>
                <w:sz w:val="22"/>
                <w:szCs w:val="22"/>
              </w:rPr>
            </w:pPr>
          </w:p>
        </w:tc>
        <w:tc>
          <w:tcPr>
            <w:tcW w:w="219" w:type="pct"/>
            <w:tcBorders>
              <w:top w:val="single" w:sz="4" w:space="0" w:color="auto"/>
              <w:left w:val="single" w:sz="4" w:space="0" w:color="auto"/>
              <w:bottom w:val="single" w:sz="4" w:space="0" w:color="auto"/>
              <w:right w:val="double" w:sz="4" w:space="0" w:color="auto"/>
            </w:tcBorders>
            <w:vAlign w:val="center"/>
          </w:tcPr>
          <w:p w14:paraId="3DA55E92" w14:textId="77777777" w:rsidR="008C222F" w:rsidRPr="006B15C8" w:rsidRDefault="008C222F" w:rsidP="00DA67F1">
            <w:pPr>
              <w:spacing w:line="240" w:lineRule="auto"/>
              <w:jc w:val="center"/>
              <w:rPr>
                <w:sz w:val="22"/>
                <w:szCs w:val="22"/>
              </w:rPr>
            </w:pPr>
          </w:p>
        </w:tc>
      </w:tr>
      <w:tr w:rsidR="003C4EF8" w:rsidRPr="006B15C8" w14:paraId="50A9F973" w14:textId="77777777" w:rsidTr="00DA67F1">
        <w:tc>
          <w:tcPr>
            <w:tcW w:w="368" w:type="pct"/>
            <w:tcBorders>
              <w:top w:val="single" w:sz="4" w:space="0" w:color="auto"/>
              <w:left w:val="double" w:sz="4" w:space="0" w:color="auto"/>
              <w:bottom w:val="single" w:sz="4" w:space="0" w:color="auto"/>
              <w:right w:val="single" w:sz="4" w:space="0" w:color="auto"/>
            </w:tcBorders>
            <w:vAlign w:val="center"/>
            <w:hideMark/>
          </w:tcPr>
          <w:p w14:paraId="3E544186" w14:textId="77777777" w:rsidR="008C222F" w:rsidRPr="006B15C8" w:rsidRDefault="008C222F" w:rsidP="004D553B">
            <w:pPr>
              <w:spacing w:line="240" w:lineRule="auto"/>
              <w:jc w:val="left"/>
              <w:rPr>
                <w:sz w:val="16"/>
                <w:szCs w:val="16"/>
              </w:rPr>
            </w:pPr>
            <w:r w:rsidRPr="006B15C8">
              <w:rPr>
                <w:sz w:val="16"/>
                <w:szCs w:val="16"/>
              </w:rPr>
              <w:t>Coughenour et al, 2017</w:t>
            </w:r>
          </w:p>
        </w:tc>
        <w:tc>
          <w:tcPr>
            <w:tcW w:w="286" w:type="pct"/>
            <w:tcBorders>
              <w:top w:val="single" w:sz="4" w:space="0" w:color="auto"/>
              <w:left w:val="single" w:sz="4" w:space="0" w:color="auto"/>
              <w:bottom w:val="single" w:sz="4" w:space="0" w:color="auto"/>
              <w:right w:val="single" w:sz="4" w:space="0" w:color="auto"/>
            </w:tcBorders>
            <w:vAlign w:val="center"/>
            <w:hideMark/>
          </w:tcPr>
          <w:p w14:paraId="416275DD" w14:textId="77777777" w:rsidR="008C222F" w:rsidRPr="006B15C8" w:rsidRDefault="008C222F" w:rsidP="00DA67F1">
            <w:pPr>
              <w:spacing w:line="240" w:lineRule="auto"/>
              <w:jc w:val="left"/>
              <w:rPr>
                <w:sz w:val="16"/>
                <w:szCs w:val="16"/>
              </w:rPr>
            </w:pPr>
            <w:r w:rsidRPr="006B15C8">
              <w:rPr>
                <w:sz w:val="16"/>
                <w:szCs w:val="16"/>
              </w:rPr>
              <w:t>Nevada</w:t>
            </w:r>
          </w:p>
        </w:tc>
        <w:tc>
          <w:tcPr>
            <w:tcW w:w="409" w:type="pct"/>
            <w:tcBorders>
              <w:top w:val="single" w:sz="4" w:space="0" w:color="auto"/>
              <w:left w:val="single" w:sz="4" w:space="0" w:color="auto"/>
              <w:bottom w:val="single" w:sz="4" w:space="0" w:color="auto"/>
              <w:right w:val="single" w:sz="4" w:space="0" w:color="auto"/>
            </w:tcBorders>
            <w:vAlign w:val="center"/>
            <w:hideMark/>
          </w:tcPr>
          <w:p w14:paraId="7950845C" w14:textId="77777777" w:rsidR="008C222F" w:rsidRPr="006B15C8" w:rsidRDefault="008C222F" w:rsidP="00DA67F1">
            <w:pPr>
              <w:spacing w:line="240" w:lineRule="auto"/>
              <w:jc w:val="left"/>
              <w:rPr>
                <w:sz w:val="16"/>
                <w:szCs w:val="16"/>
              </w:rPr>
            </w:pPr>
            <w:r w:rsidRPr="006B15C8">
              <w:rPr>
                <w:sz w:val="16"/>
                <w:szCs w:val="16"/>
              </w:rPr>
              <w:t>Controlled field experiment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0F2BEE6" w14:textId="77777777" w:rsidR="008C222F" w:rsidRPr="006B15C8" w:rsidRDefault="008C222F" w:rsidP="00DA67F1">
            <w:pPr>
              <w:spacing w:line="240" w:lineRule="auto"/>
              <w:jc w:val="left"/>
              <w:rPr>
                <w:sz w:val="16"/>
                <w:szCs w:val="16"/>
              </w:rPr>
            </w:pPr>
            <w:r w:rsidRPr="006B15C8">
              <w:rPr>
                <w:sz w:val="16"/>
                <w:szCs w:val="16"/>
              </w:rPr>
              <w:t>2 hrs/site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1B92529A" w14:textId="77777777" w:rsidR="008C222F" w:rsidRPr="006B15C8" w:rsidRDefault="008C222F" w:rsidP="00DA67F1">
            <w:pPr>
              <w:spacing w:line="240" w:lineRule="auto"/>
              <w:jc w:val="left"/>
              <w:rPr>
                <w:sz w:val="16"/>
                <w:szCs w:val="16"/>
              </w:rPr>
            </w:pPr>
            <w:r w:rsidRPr="006B15C8">
              <w:rPr>
                <w:sz w:val="16"/>
                <w:szCs w:val="16"/>
              </w:rPr>
              <w:t>2 non-signalized midblock crosswalks</w:t>
            </w:r>
          </w:p>
        </w:tc>
        <w:tc>
          <w:tcPr>
            <w:tcW w:w="148" w:type="pct"/>
            <w:tcBorders>
              <w:top w:val="single" w:sz="4" w:space="0" w:color="auto"/>
              <w:left w:val="single" w:sz="4" w:space="0" w:color="auto"/>
              <w:bottom w:val="single" w:sz="4" w:space="0" w:color="auto"/>
              <w:right w:val="single" w:sz="4" w:space="0" w:color="auto"/>
            </w:tcBorders>
            <w:vAlign w:val="center"/>
            <w:hideMark/>
          </w:tcPr>
          <w:p w14:paraId="577797A4" w14:textId="77777777" w:rsidR="008C222F" w:rsidRPr="006B15C8" w:rsidRDefault="008C222F" w:rsidP="004D553B">
            <w:pPr>
              <w:spacing w:line="240" w:lineRule="auto"/>
              <w:jc w:val="center"/>
              <w:rPr>
                <w:sz w:val="16"/>
                <w:szCs w:val="16"/>
              </w:rPr>
            </w:pPr>
            <w:r w:rsidRPr="006B15C8">
              <w:rPr>
                <w:sz w:val="16"/>
                <w:szCs w:val="16"/>
              </w:rPr>
              <w:t>126</w:t>
            </w:r>
          </w:p>
        </w:tc>
        <w:tc>
          <w:tcPr>
            <w:tcW w:w="650" w:type="pct"/>
            <w:tcBorders>
              <w:top w:val="single" w:sz="4" w:space="0" w:color="auto"/>
              <w:left w:val="single" w:sz="4" w:space="0" w:color="auto"/>
              <w:bottom w:val="single" w:sz="4" w:space="0" w:color="auto"/>
              <w:right w:val="double" w:sz="4" w:space="0" w:color="auto"/>
            </w:tcBorders>
            <w:vAlign w:val="center"/>
            <w:hideMark/>
          </w:tcPr>
          <w:p w14:paraId="2201432D" w14:textId="77777777" w:rsidR="008C222F" w:rsidRPr="006B15C8" w:rsidRDefault="008C222F" w:rsidP="00DA67F1">
            <w:pPr>
              <w:pStyle w:val="ListParagraph"/>
              <w:numPr>
                <w:ilvl w:val="0"/>
                <w:numId w:val="31"/>
              </w:numPr>
              <w:spacing w:line="240" w:lineRule="auto"/>
              <w:ind w:left="204" w:hanging="109"/>
              <w:jc w:val="left"/>
              <w:rPr>
                <w:sz w:val="16"/>
                <w:szCs w:val="16"/>
              </w:rPr>
            </w:pPr>
            <w:r w:rsidRPr="006B15C8">
              <w:rPr>
                <w:sz w:val="16"/>
                <w:szCs w:val="16"/>
              </w:rPr>
              <w:t xml:space="preserve">Driver yielding </w:t>
            </w:r>
          </w:p>
        </w:tc>
        <w:tc>
          <w:tcPr>
            <w:tcW w:w="164" w:type="pct"/>
            <w:tcBorders>
              <w:top w:val="single" w:sz="4" w:space="0" w:color="auto"/>
              <w:left w:val="double" w:sz="4" w:space="0" w:color="auto"/>
              <w:bottom w:val="single" w:sz="4" w:space="0" w:color="auto"/>
              <w:right w:val="single" w:sz="4" w:space="0" w:color="auto"/>
            </w:tcBorders>
            <w:vAlign w:val="center"/>
          </w:tcPr>
          <w:p w14:paraId="257ACB99" w14:textId="77777777" w:rsidR="008C222F" w:rsidRPr="006B15C8" w:rsidRDefault="008C222F" w:rsidP="00DA67F1">
            <w:pPr>
              <w:spacing w:line="240" w:lineRule="auto"/>
              <w:jc w:val="center"/>
              <w:rPr>
                <w:sz w:val="16"/>
                <w:szCs w:val="16"/>
              </w:rPr>
            </w:pPr>
          </w:p>
        </w:tc>
        <w:tc>
          <w:tcPr>
            <w:tcW w:w="134" w:type="pct"/>
            <w:tcBorders>
              <w:top w:val="single" w:sz="4" w:space="0" w:color="auto"/>
              <w:left w:val="single" w:sz="4" w:space="0" w:color="auto"/>
              <w:bottom w:val="single" w:sz="4" w:space="0" w:color="auto"/>
              <w:right w:val="single" w:sz="4" w:space="0" w:color="auto"/>
            </w:tcBorders>
            <w:vAlign w:val="center"/>
          </w:tcPr>
          <w:p w14:paraId="72E17389" w14:textId="77777777" w:rsidR="008C222F" w:rsidRPr="006B15C8" w:rsidRDefault="008C222F" w:rsidP="00DA67F1">
            <w:pPr>
              <w:spacing w:line="240" w:lineRule="auto"/>
              <w:jc w:val="center"/>
              <w:rPr>
                <w:sz w:val="16"/>
                <w:szCs w:val="16"/>
              </w:rPr>
            </w:pPr>
          </w:p>
        </w:tc>
        <w:tc>
          <w:tcPr>
            <w:tcW w:w="165" w:type="pct"/>
            <w:tcBorders>
              <w:top w:val="single" w:sz="4" w:space="0" w:color="auto"/>
              <w:left w:val="single" w:sz="4" w:space="0" w:color="auto"/>
              <w:bottom w:val="single" w:sz="4" w:space="0" w:color="auto"/>
              <w:right w:val="single" w:sz="4" w:space="0" w:color="auto"/>
            </w:tcBorders>
            <w:vAlign w:val="center"/>
            <w:hideMark/>
          </w:tcPr>
          <w:p w14:paraId="4E1A4F7F" w14:textId="77777777" w:rsidR="008C222F" w:rsidRPr="006B15C8" w:rsidRDefault="008C222F" w:rsidP="00DA67F1">
            <w:pPr>
              <w:spacing w:line="240" w:lineRule="auto"/>
              <w:jc w:val="center"/>
              <w:rPr>
                <w:sz w:val="16"/>
                <w:szCs w:val="16"/>
              </w:rPr>
            </w:pPr>
            <w:r w:rsidRPr="006B15C8">
              <w:rPr>
                <w:sz w:val="22"/>
                <w:szCs w:val="22"/>
              </w:rPr>
              <w:t>×</w:t>
            </w:r>
          </w:p>
        </w:tc>
        <w:tc>
          <w:tcPr>
            <w:tcW w:w="177" w:type="pct"/>
            <w:tcBorders>
              <w:top w:val="single" w:sz="4" w:space="0" w:color="auto"/>
              <w:left w:val="single" w:sz="4" w:space="0" w:color="auto"/>
              <w:bottom w:val="single" w:sz="4" w:space="0" w:color="auto"/>
              <w:right w:val="double" w:sz="4" w:space="0" w:color="auto"/>
            </w:tcBorders>
            <w:vAlign w:val="center"/>
          </w:tcPr>
          <w:p w14:paraId="6268975F" w14:textId="77777777" w:rsidR="008C222F" w:rsidRPr="006B15C8" w:rsidRDefault="008C222F" w:rsidP="00DA67F1">
            <w:pPr>
              <w:spacing w:line="240" w:lineRule="auto"/>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tcPr>
          <w:p w14:paraId="6184085A" w14:textId="77777777" w:rsidR="008C222F" w:rsidRPr="006B15C8" w:rsidRDefault="008C222F" w:rsidP="00DA67F1">
            <w:pPr>
              <w:spacing w:line="240" w:lineRule="auto"/>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vAlign w:val="center"/>
          </w:tcPr>
          <w:p w14:paraId="214153AB" w14:textId="77777777" w:rsidR="008C222F" w:rsidRPr="006B15C8" w:rsidRDefault="008C222F" w:rsidP="00DA67F1">
            <w:pPr>
              <w:spacing w:line="240" w:lineRule="auto"/>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tcPr>
          <w:p w14:paraId="62337AF8" w14:textId="77777777" w:rsidR="008C222F" w:rsidRPr="006B15C8" w:rsidRDefault="008C222F" w:rsidP="00DA67F1">
            <w:pPr>
              <w:spacing w:line="240" w:lineRule="auto"/>
              <w:jc w:val="center"/>
              <w:rPr>
                <w:sz w:val="16"/>
                <w:szCs w:val="16"/>
              </w:rPr>
            </w:pPr>
          </w:p>
        </w:tc>
        <w:tc>
          <w:tcPr>
            <w:tcW w:w="164" w:type="pct"/>
            <w:tcBorders>
              <w:top w:val="single" w:sz="4" w:space="0" w:color="auto"/>
              <w:left w:val="double" w:sz="4" w:space="0" w:color="auto"/>
              <w:bottom w:val="single" w:sz="4" w:space="0" w:color="auto"/>
              <w:right w:val="single" w:sz="4" w:space="0" w:color="auto"/>
            </w:tcBorders>
            <w:vAlign w:val="center"/>
          </w:tcPr>
          <w:p w14:paraId="6C01709B" w14:textId="77777777" w:rsidR="008C222F" w:rsidRPr="006B15C8" w:rsidRDefault="008C222F" w:rsidP="00DA67F1">
            <w:pPr>
              <w:spacing w:line="240" w:lineRule="auto"/>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0E49D576" w14:textId="77777777" w:rsidR="008C222F" w:rsidRPr="006B15C8" w:rsidRDefault="008C222F" w:rsidP="00DA67F1">
            <w:pPr>
              <w:spacing w:line="240" w:lineRule="auto"/>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418EB9C1" w14:textId="77777777" w:rsidR="008C222F" w:rsidRPr="006B15C8" w:rsidRDefault="008C222F" w:rsidP="00DA67F1">
            <w:pPr>
              <w:spacing w:line="240" w:lineRule="auto"/>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tcPr>
          <w:p w14:paraId="1B78E932" w14:textId="77777777" w:rsidR="008C222F" w:rsidRPr="006B15C8" w:rsidRDefault="008C222F" w:rsidP="00DA67F1">
            <w:pPr>
              <w:spacing w:line="240" w:lineRule="auto"/>
              <w:jc w:val="center"/>
              <w:rPr>
                <w:sz w:val="22"/>
                <w:szCs w:val="22"/>
              </w:rPr>
            </w:pPr>
          </w:p>
        </w:tc>
        <w:tc>
          <w:tcPr>
            <w:tcW w:w="157" w:type="pct"/>
            <w:tcBorders>
              <w:top w:val="single" w:sz="4" w:space="0" w:color="auto"/>
              <w:left w:val="single" w:sz="4" w:space="0" w:color="auto"/>
              <w:bottom w:val="single" w:sz="4" w:space="0" w:color="auto"/>
              <w:right w:val="single" w:sz="4" w:space="0" w:color="auto"/>
            </w:tcBorders>
            <w:vAlign w:val="center"/>
          </w:tcPr>
          <w:p w14:paraId="0896F2F7" w14:textId="77777777" w:rsidR="008C222F" w:rsidRPr="006B15C8" w:rsidRDefault="008C222F" w:rsidP="00DA67F1">
            <w:pPr>
              <w:spacing w:line="240" w:lineRule="auto"/>
              <w:jc w:val="center"/>
              <w:rPr>
                <w:sz w:val="22"/>
                <w:szCs w:val="22"/>
              </w:rPr>
            </w:pPr>
          </w:p>
        </w:tc>
        <w:tc>
          <w:tcPr>
            <w:tcW w:w="182" w:type="pct"/>
            <w:tcBorders>
              <w:top w:val="single" w:sz="4" w:space="0" w:color="auto"/>
              <w:left w:val="single" w:sz="4" w:space="0" w:color="auto"/>
              <w:bottom w:val="single" w:sz="4" w:space="0" w:color="auto"/>
              <w:right w:val="single" w:sz="4" w:space="0" w:color="auto"/>
            </w:tcBorders>
            <w:vAlign w:val="center"/>
          </w:tcPr>
          <w:p w14:paraId="21F3B25E" w14:textId="77777777" w:rsidR="008C222F" w:rsidRPr="006B15C8" w:rsidRDefault="008C222F" w:rsidP="00DA67F1">
            <w:pPr>
              <w:spacing w:line="240" w:lineRule="auto"/>
              <w:jc w:val="center"/>
              <w:rPr>
                <w:sz w:val="22"/>
                <w:szCs w:val="22"/>
              </w:rPr>
            </w:pPr>
          </w:p>
        </w:tc>
        <w:tc>
          <w:tcPr>
            <w:tcW w:w="219" w:type="pct"/>
            <w:tcBorders>
              <w:top w:val="single" w:sz="4" w:space="0" w:color="auto"/>
              <w:left w:val="single" w:sz="4" w:space="0" w:color="auto"/>
              <w:bottom w:val="single" w:sz="4" w:space="0" w:color="auto"/>
              <w:right w:val="double" w:sz="4" w:space="0" w:color="auto"/>
            </w:tcBorders>
            <w:vAlign w:val="center"/>
          </w:tcPr>
          <w:p w14:paraId="1D0E8250" w14:textId="77777777" w:rsidR="008C222F" w:rsidRPr="006B15C8" w:rsidRDefault="008C222F" w:rsidP="00DA67F1">
            <w:pPr>
              <w:spacing w:line="240" w:lineRule="auto"/>
              <w:jc w:val="center"/>
              <w:rPr>
                <w:sz w:val="22"/>
                <w:szCs w:val="22"/>
              </w:rPr>
            </w:pPr>
          </w:p>
        </w:tc>
      </w:tr>
      <w:tr w:rsidR="003C4EF8" w:rsidRPr="006B15C8" w14:paraId="51131AC0" w14:textId="77777777" w:rsidTr="00DA67F1">
        <w:tc>
          <w:tcPr>
            <w:tcW w:w="368" w:type="pct"/>
            <w:tcBorders>
              <w:top w:val="single" w:sz="4" w:space="0" w:color="auto"/>
              <w:left w:val="double" w:sz="4" w:space="0" w:color="auto"/>
              <w:bottom w:val="single" w:sz="4" w:space="0" w:color="auto"/>
              <w:right w:val="single" w:sz="4" w:space="0" w:color="auto"/>
            </w:tcBorders>
            <w:vAlign w:val="center"/>
            <w:hideMark/>
          </w:tcPr>
          <w:p w14:paraId="23D38812" w14:textId="77777777" w:rsidR="008C222F" w:rsidRPr="006B15C8" w:rsidRDefault="008C222F" w:rsidP="004D553B">
            <w:pPr>
              <w:spacing w:line="240" w:lineRule="auto"/>
              <w:jc w:val="left"/>
              <w:rPr>
                <w:sz w:val="16"/>
                <w:szCs w:val="16"/>
              </w:rPr>
            </w:pPr>
            <w:r w:rsidRPr="006B15C8">
              <w:rPr>
                <w:sz w:val="16"/>
                <w:szCs w:val="16"/>
              </w:rPr>
              <w:t>Figliozzi and Tipagornwong, 2016</w:t>
            </w:r>
          </w:p>
        </w:tc>
        <w:tc>
          <w:tcPr>
            <w:tcW w:w="286" w:type="pct"/>
            <w:tcBorders>
              <w:top w:val="single" w:sz="4" w:space="0" w:color="auto"/>
              <w:left w:val="single" w:sz="4" w:space="0" w:color="auto"/>
              <w:bottom w:val="single" w:sz="4" w:space="0" w:color="auto"/>
              <w:right w:val="single" w:sz="4" w:space="0" w:color="auto"/>
            </w:tcBorders>
            <w:vAlign w:val="center"/>
            <w:hideMark/>
          </w:tcPr>
          <w:p w14:paraId="0517E579" w14:textId="77777777" w:rsidR="008C222F" w:rsidRPr="006B15C8" w:rsidRDefault="008C222F" w:rsidP="00DA67F1">
            <w:pPr>
              <w:spacing w:line="240" w:lineRule="auto"/>
              <w:jc w:val="left"/>
              <w:rPr>
                <w:sz w:val="16"/>
                <w:szCs w:val="16"/>
              </w:rPr>
            </w:pPr>
            <w:r w:rsidRPr="006B15C8">
              <w:rPr>
                <w:sz w:val="16"/>
                <w:szCs w:val="16"/>
              </w:rPr>
              <w:t>Oregon</w:t>
            </w:r>
          </w:p>
        </w:tc>
        <w:tc>
          <w:tcPr>
            <w:tcW w:w="409" w:type="pct"/>
            <w:tcBorders>
              <w:top w:val="single" w:sz="4" w:space="0" w:color="auto"/>
              <w:left w:val="single" w:sz="4" w:space="0" w:color="auto"/>
              <w:bottom w:val="single" w:sz="4" w:space="0" w:color="auto"/>
              <w:right w:val="single" w:sz="4" w:space="0" w:color="auto"/>
            </w:tcBorders>
            <w:vAlign w:val="center"/>
            <w:hideMark/>
          </w:tcPr>
          <w:p w14:paraId="00CAF8A6" w14:textId="77777777" w:rsidR="008C222F" w:rsidRPr="006B15C8" w:rsidRDefault="008C222F" w:rsidP="00DA67F1">
            <w:pPr>
              <w:spacing w:line="240" w:lineRule="auto"/>
              <w:jc w:val="left"/>
              <w:rPr>
                <w:sz w:val="16"/>
                <w:szCs w:val="16"/>
              </w:rPr>
            </w:pPr>
            <w:r w:rsidRPr="006B15C8">
              <w:rPr>
                <w:sz w:val="16"/>
                <w:szCs w:val="16"/>
              </w:rPr>
              <w:t>Video recording</w:t>
            </w:r>
          </w:p>
        </w:tc>
        <w:tc>
          <w:tcPr>
            <w:tcW w:w="255" w:type="pct"/>
            <w:tcBorders>
              <w:top w:val="single" w:sz="4" w:space="0" w:color="auto"/>
              <w:left w:val="single" w:sz="4" w:space="0" w:color="auto"/>
              <w:bottom w:val="single" w:sz="4" w:space="0" w:color="auto"/>
              <w:right w:val="single" w:sz="4" w:space="0" w:color="auto"/>
            </w:tcBorders>
            <w:vAlign w:val="center"/>
            <w:hideMark/>
          </w:tcPr>
          <w:p w14:paraId="05B1B9CC" w14:textId="77777777" w:rsidR="008C222F" w:rsidRPr="006B15C8" w:rsidRDefault="008C222F" w:rsidP="00DA67F1">
            <w:pPr>
              <w:spacing w:line="240" w:lineRule="auto"/>
              <w:jc w:val="left"/>
              <w:rPr>
                <w:sz w:val="16"/>
                <w:szCs w:val="16"/>
              </w:rPr>
            </w:pPr>
            <w:r w:rsidRPr="006B15C8">
              <w:rPr>
                <w:sz w:val="16"/>
                <w:szCs w:val="16"/>
              </w:rPr>
              <w:t>1 hr</w:t>
            </w:r>
          </w:p>
        </w:tc>
        <w:tc>
          <w:tcPr>
            <w:tcW w:w="506" w:type="pct"/>
            <w:tcBorders>
              <w:top w:val="single" w:sz="4" w:space="0" w:color="auto"/>
              <w:left w:val="single" w:sz="4" w:space="0" w:color="auto"/>
              <w:bottom w:val="single" w:sz="4" w:space="0" w:color="auto"/>
              <w:right w:val="single" w:sz="4" w:space="0" w:color="auto"/>
            </w:tcBorders>
            <w:vAlign w:val="center"/>
            <w:hideMark/>
          </w:tcPr>
          <w:p w14:paraId="0E317126" w14:textId="77777777" w:rsidR="008C222F" w:rsidRPr="006B15C8" w:rsidRDefault="008C222F" w:rsidP="00DA67F1">
            <w:pPr>
              <w:spacing w:line="240" w:lineRule="auto"/>
              <w:jc w:val="left"/>
              <w:rPr>
                <w:sz w:val="16"/>
                <w:szCs w:val="16"/>
              </w:rPr>
            </w:pPr>
            <w:r w:rsidRPr="006B15C8">
              <w:rPr>
                <w:sz w:val="16"/>
                <w:szCs w:val="16"/>
              </w:rPr>
              <w:t>1 signalized intersection</w:t>
            </w:r>
          </w:p>
        </w:tc>
        <w:tc>
          <w:tcPr>
            <w:tcW w:w="148" w:type="pct"/>
            <w:tcBorders>
              <w:top w:val="single" w:sz="4" w:space="0" w:color="auto"/>
              <w:left w:val="single" w:sz="4" w:space="0" w:color="auto"/>
              <w:bottom w:val="single" w:sz="4" w:space="0" w:color="auto"/>
              <w:right w:val="single" w:sz="4" w:space="0" w:color="auto"/>
            </w:tcBorders>
            <w:vAlign w:val="center"/>
            <w:hideMark/>
          </w:tcPr>
          <w:p w14:paraId="19CE79F5" w14:textId="77777777" w:rsidR="008C222F" w:rsidRPr="006B15C8" w:rsidRDefault="008C222F" w:rsidP="004D553B">
            <w:pPr>
              <w:spacing w:line="240" w:lineRule="auto"/>
              <w:jc w:val="center"/>
              <w:rPr>
                <w:sz w:val="16"/>
                <w:szCs w:val="16"/>
              </w:rPr>
            </w:pPr>
            <w:r w:rsidRPr="006B15C8">
              <w:rPr>
                <w:sz w:val="16"/>
                <w:szCs w:val="16"/>
              </w:rPr>
              <w:t>116</w:t>
            </w:r>
          </w:p>
        </w:tc>
        <w:tc>
          <w:tcPr>
            <w:tcW w:w="650" w:type="pct"/>
            <w:tcBorders>
              <w:top w:val="single" w:sz="4" w:space="0" w:color="auto"/>
              <w:left w:val="single" w:sz="4" w:space="0" w:color="auto"/>
              <w:bottom w:val="single" w:sz="4" w:space="0" w:color="auto"/>
              <w:right w:val="double" w:sz="4" w:space="0" w:color="auto"/>
            </w:tcBorders>
            <w:vAlign w:val="center"/>
            <w:hideMark/>
          </w:tcPr>
          <w:p w14:paraId="21297A96" w14:textId="77777777" w:rsidR="008C222F" w:rsidRPr="006B15C8" w:rsidRDefault="008C222F" w:rsidP="00DA67F1">
            <w:pPr>
              <w:pStyle w:val="ListParagraph"/>
              <w:numPr>
                <w:ilvl w:val="0"/>
                <w:numId w:val="31"/>
              </w:numPr>
              <w:spacing w:line="240" w:lineRule="auto"/>
              <w:ind w:left="204" w:hanging="109"/>
              <w:jc w:val="left"/>
              <w:rPr>
                <w:sz w:val="16"/>
                <w:szCs w:val="16"/>
              </w:rPr>
            </w:pPr>
            <w:r w:rsidRPr="006B15C8">
              <w:rPr>
                <w:sz w:val="16"/>
                <w:szCs w:val="16"/>
              </w:rPr>
              <w:t>Driver yielding</w:t>
            </w:r>
          </w:p>
          <w:p w14:paraId="4F509C92" w14:textId="77777777" w:rsidR="008C222F" w:rsidRPr="006B15C8" w:rsidRDefault="008C222F" w:rsidP="00DA67F1">
            <w:pPr>
              <w:pStyle w:val="ListParagraph"/>
              <w:numPr>
                <w:ilvl w:val="0"/>
                <w:numId w:val="31"/>
              </w:numPr>
              <w:spacing w:line="240" w:lineRule="auto"/>
              <w:ind w:left="204" w:hanging="109"/>
              <w:jc w:val="left"/>
              <w:rPr>
                <w:sz w:val="16"/>
                <w:szCs w:val="16"/>
              </w:rPr>
            </w:pPr>
            <w:r w:rsidRPr="006B15C8">
              <w:rPr>
                <w:sz w:val="16"/>
                <w:szCs w:val="16"/>
              </w:rPr>
              <w:t xml:space="preserve">Stopping distance </w:t>
            </w:r>
          </w:p>
        </w:tc>
        <w:tc>
          <w:tcPr>
            <w:tcW w:w="164" w:type="pct"/>
            <w:tcBorders>
              <w:top w:val="single" w:sz="4" w:space="0" w:color="auto"/>
              <w:left w:val="double" w:sz="4" w:space="0" w:color="auto"/>
              <w:bottom w:val="single" w:sz="4" w:space="0" w:color="auto"/>
              <w:right w:val="single" w:sz="4" w:space="0" w:color="auto"/>
            </w:tcBorders>
            <w:vAlign w:val="center"/>
          </w:tcPr>
          <w:p w14:paraId="6293756A" w14:textId="77777777" w:rsidR="008C222F" w:rsidRPr="006B15C8" w:rsidRDefault="008C222F" w:rsidP="00DA67F1">
            <w:pPr>
              <w:spacing w:line="240" w:lineRule="auto"/>
              <w:jc w:val="center"/>
              <w:rPr>
                <w:sz w:val="16"/>
                <w:szCs w:val="16"/>
              </w:rPr>
            </w:pPr>
          </w:p>
        </w:tc>
        <w:tc>
          <w:tcPr>
            <w:tcW w:w="134" w:type="pct"/>
            <w:tcBorders>
              <w:top w:val="single" w:sz="4" w:space="0" w:color="auto"/>
              <w:left w:val="single" w:sz="4" w:space="0" w:color="auto"/>
              <w:bottom w:val="single" w:sz="4" w:space="0" w:color="auto"/>
              <w:right w:val="single" w:sz="4" w:space="0" w:color="auto"/>
            </w:tcBorders>
            <w:vAlign w:val="center"/>
          </w:tcPr>
          <w:p w14:paraId="4E0C3E52" w14:textId="77777777" w:rsidR="008C222F" w:rsidRPr="006B15C8" w:rsidRDefault="008C222F" w:rsidP="00DA67F1">
            <w:pPr>
              <w:spacing w:line="240" w:lineRule="auto"/>
              <w:jc w:val="center"/>
              <w:rPr>
                <w:sz w:val="16"/>
                <w:szCs w:val="16"/>
              </w:rPr>
            </w:pPr>
          </w:p>
        </w:tc>
        <w:tc>
          <w:tcPr>
            <w:tcW w:w="165" w:type="pct"/>
            <w:tcBorders>
              <w:top w:val="single" w:sz="4" w:space="0" w:color="auto"/>
              <w:left w:val="single" w:sz="4" w:space="0" w:color="auto"/>
              <w:bottom w:val="single" w:sz="4" w:space="0" w:color="auto"/>
              <w:right w:val="single" w:sz="4" w:space="0" w:color="auto"/>
            </w:tcBorders>
            <w:vAlign w:val="center"/>
          </w:tcPr>
          <w:p w14:paraId="46BFAF53" w14:textId="77777777" w:rsidR="008C222F" w:rsidRPr="006B15C8" w:rsidRDefault="008C222F" w:rsidP="00DA67F1">
            <w:pPr>
              <w:spacing w:line="240" w:lineRule="auto"/>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tcPr>
          <w:p w14:paraId="42B5CD55" w14:textId="77777777" w:rsidR="008C222F" w:rsidRPr="006B15C8" w:rsidRDefault="008C222F" w:rsidP="00DA67F1">
            <w:pPr>
              <w:spacing w:line="240" w:lineRule="auto"/>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hideMark/>
          </w:tcPr>
          <w:p w14:paraId="539308F9" w14:textId="77777777" w:rsidR="008C222F" w:rsidRPr="006B15C8" w:rsidRDefault="008C222F" w:rsidP="00DA67F1">
            <w:pPr>
              <w:spacing w:line="240" w:lineRule="auto"/>
              <w:jc w:val="center"/>
              <w:rPr>
                <w:sz w:val="16"/>
                <w:szCs w:val="16"/>
              </w:rPr>
            </w:pPr>
            <w:r w:rsidRPr="006B15C8">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tcPr>
          <w:p w14:paraId="4ACC2328" w14:textId="77777777" w:rsidR="008C222F" w:rsidRPr="006B15C8" w:rsidRDefault="008C222F" w:rsidP="00DA67F1">
            <w:pPr>
              <w:spacing w:line="240" w:lineRule="auto"/>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tcPr>
          <w:p w14:paraId="146D8230" w14:textId="77777777" w:rsidR="008C222F" w:rsidRPr="006B15C8" w:rsidRDefault="008C222F" w:rsidP="00DA67F1">
            <w:pPr>
              <w:spacing w:line="240" w:lineRule="auto"/>
              <w:jc w:val="center"/>
              <w:rPr>
                <w:sz w:val="16"/>
                <w:szCs w:val="16"/>
              </w:rPr>
            </w:pPr>
          </w:p>
        </w:tc>
        <w:tc>
          <w:tcPr>
            <w:tcW w:w="164" w:type="pct"/>
            <w:tcBorders>
              <w:top w:val="single" w:sz="4" w:space="0" w:color="auto"/>
              <w:left w:val="double" w:sz="4" w:space="0" w:color="auto"/>
              <w:bottom w:val="single" w:sz="4" w:space="0" w:color="auto"/>
              <w:right w:val="single" w:sz="4" w:space="0" w:color="auto"/>
            </w:tcBorders>
            <w:vAlign w:val="center"/>
          </w:tcPr>
          <w:p w14:paraId="482817F2" w14:textId="77777777" w:rsidR="008C222F" w:rsidRPr="006B15C8" w:rsidRDefault="008C222F" w:rsidP="00DA67F1">
            <w:pPr>
              <w:spacing w:line="240" w:lineRule="auto"/>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452B74B5" w14:textId="77777777" w:rsidR="008C222F" w:rsidRPr="006B15C8" w:rsidRDefault="008C222F" w:rsidP="00DA67F1">
            <w:pPr>
              <w:spacing w:line="240" w:lineRule="auto"/>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hideMark/>
          </w:tcPr>
          <w:p w14:paraId="2F291CC5" w14:textId="77777777" w:rsidR="008C222F" w:rsidRPr="006B15C8" w:rsidRDefault="008C222F" w:rsidP="00DA67F1">
            <w:pPr>
              <w:spacing w:line="240" w:lineRule="auto"/>
              <w:jc w:val="center"/>
              <w:rPr>
                <w:sz w:val="16"/>
                <w:szCs w:val="16"/>
              </w:rPr>
            </w:pPr>
            <w:r w:rsidRPr="006B15C8">
              <w:rPr>
                <w:sz w:val="22"/>
                <w:szCs w:val="22"/>
              </w:rPr>
              <w:t>×</w:t>
            </w:r>
          </w:p>
        </w:tc>
        <w:tc>
          <w:tcPr>
            <w:tcW w:w="187" w:type="pct"/>
            <w:tcBorders>
              <w:top w:val="single" w:sz="4" w:space="0" w:color="auto"/>
              <w:left w:val="double" w:sz="4" w:space="0" w:color="auto"/>
              <w:bottom w:val="single" w:sz="4" w:space="0" w:color="auto"/>
              <w:right w:val="single" w:sz="4" w:space="0" w:color="auto"/>
            </w:tcBorders>
            <w:vAlign w:val="center"/>
          </w:tcPr>
          <w:p w14:paraId="57418350" w14:textId="77777777" w:rsidR="008C222F" w:rsidRPr="006B15C8" w:rsidRDefault="008C222F" w:rsidP="00DA67F1">
            <w:pPr>
              <w:spacing w:line="240" w:lineRule="auto"/>
              <w:jc w:val="center"/>
              <w:rPr>
                <w:sz w:val="16"/>
                <w:szCs w:val="16"/>
              </w:rPr>
            </w:pPr>
          </w:p>
        </w:tc>
        <w:tc>
          <w:tcPr>
            <w:tcW w:w="157" w:type="pct"/>
            <w:tcBorders>
              <w:top w:val="single" w:sz="4" w:space="0" w:color="auto"/>
              <w:left w:val="single" w:sz="4" w:space="0" w:color="auto"/>
              <w:bottom w:val="single" w:sz="4" w:space="0" w:color="auto"/>
              <w:right w:val="single" w:sz="4" w:space="0" w:color="auto"/>
            </w:tcBorders>
            <w:vAlign w:val="center"/>
          </w:tcPr>
          <w:p w14:paraId="0757746D" w14:textId="77777777" w:rsidR="008C222F" w:rsidRPr="006B15C8" w:rsidRDefault="008C222F" w:rsidP="00DA67F1">
            <w:pPr>
              <w:spacing w:line="240" w:lineRule="auto"/>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14:paraId="411A1D57" w14:textId="77777777" w:rsidR="008C222F" w:rsidRPr="006B15C8" w:rsidRDefault="008C222F" w:rsidP="00DA67F1">
            <w:pPr>
              <w:spacing w:line="240" w:lineRule="auto"/>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vAlign w:val="center"/>
            <w:hideMark/>
          </w:tcPr>
          <w:p w14:paraId="21E45EBC" w14:textId="77777777" w:rsidR="008C222F" w:rsidRPr="006B15C8" w:rsidRDefault="008C222F" w:rsidP="00DA67F1">
            <w:pPr>
              <w:spacing w:line="240" w:lineRule="auto"/>
              <w:jc w:val="center"/>
              <w:rPr>
                <w:sz w:val="16"/>
                <w:szCs w:val="16"/>
              </w:rPr>
            </w:pPr>
            <w:r w:rsidRPr="006B15C8">
              <w:rPr>
                <w:sz w:val="22"/>
                <w:szCs w:val="22"/>
              </w:rPr>
              <w:t>×</w:t>
            </w:r>
          </w:p>
        </w:tc>
      </w:tr>
      <w:tr w:rsidR="003C4EF8" w:rsidRPr="006B15C8" w14:paraId="143896BC" w14:textId="77777777" w:rsidTr="00DA67F1">
        <w:tc>
          <w:tcPr>
            <w:tcW w:w="368" w:type="pct"/>
            <w:tcBorders>
              <w:top w:val="single" w:sz="4" w:space="0" w:color="auto"/>
              <w:left w:val="double" w:sz="4" w:space="0" w:color="auto"/>
              <w:bottom w:val="double" w:sz="4" w:space="0" w:color="auto"/>
              <w:right w:val="single" w:sz="4" w:space="0" w:color="auto"/>
            </w:tcBorders>
            <w:vAlign w:val="center"/>
            <w:hideMark/>
          </w:tcPr>
          <w:p w14:paraId="64F62A63" w14:textId="77777777" w:rsidR="008C222F" w:rsidRPr="006B15C8" w:rsidRDefault="008C222F" w:rsidP="004D553B">
            <w:pPr>
              <w:spacing w:line="240" w:lineRule="auto"/>
              <w:jc w:val="left"/>
              <w:rPr>
                <w:sz w:val="16"/>
                <w:szCs w:val="16"/>
              </w:rPr>
            </w:pPr>
            <w:r w:rsidRPr="006B15C8">
              <w:rPr>
                <w:sz w:val="16"/>
                <w:szCs w:val="16"/>
              </w:rPr>
              <w:t>Goddard et al., 2015</w:t>
            </w:r>
          </w:p>
        </w:tc>
        <w:tc>
          <w:tcPr>
            <w:tcW w:w="286" w:type="pct"/>
            <w:tcBorders>
              <w:top w:val="single" w:sz="4" w:space="0" w:color="auto"/>
              <w:left w:val="single" w:sz="4" w:space="0" w:color="auto"/>
              <w:bottom w:val="double" w:sz="4" w:space="0" w:color="auto"/>
              <w:right w:val="single" w:sz="4" w:space="0" w:color="auto"/>
            </w:tcBorders>
            <w:vAlign w:val="center"/>
            <w:hideMark/>
          </w:tcPr>
          <w:p w14:paraId="52C514B8" w14:textId="77777777" w:rsidR="008C222F" w:rsidRPr="006B15C8" w:rsidRDefault="008C222F" w:rsidP="00DA67F1">
            <w:pPr>
              <w:spacing w:line="240" w:lineRule="auto"/>
              <w:jc w:val="left"/>
              <w:rPr>
                <w:sz w:val="16"/>
                <w:szCs w:val="16"/>
              </w:rPr>
            </w:pPr>
            <w:r w:rsidRPr="006B15C8">
              <w:rPr>
                <w:sz w:val="16"/>
                <w:szCs w:val="16"/>
              </w:rPr>
              <w:t>Oregon</w:t>
            </w:r>
          </w:p>
        </w:tc>
        <w:tc>
          <w:tcPr>
            <w:tcW w:w="409" w:type="pct"/>
            <w:tcBorders>
              <w:top w:val="single" w:sz="4" w:space="0" w:color="auto"/>
              <w:left w:val="single" w:sz="4" w:space="0" w:color="auto"/>
              <w:bottom w:val="double" w:sz="4" w:space="0" w:color="auto"/>
              <w:right w:val="single" w:sz="4" w:space="0" w:color="auto"/>
            </w:tcBorders>
            <w:vAlign w:val="center"/>
            <w:hideMark/>
          </w:tcPr>
          <w:p w14:paraId="6DB8C13D" w14:textId="77777777" w:rsidR="008C222F" w:rsidRPr="006B15C8" w:rsidRDefault="008C222F" w:rsidP="00DA67F1">
            <w:pPr>
              <w:spacing w:line="240" w:lineRule="auto"/>
              <w:jc w:val="left"/>
              <w:rPr>
                <w:sz w:val="16"/>
                <w:szCs w:val="16"/>
              </w:rPr>
            </w:pPr>
            <w:r w:rsidRPr="006B15C8">
              <w:rPr>
                <w:sz w:val="16"/>
                <w:szCs w:val="16"/>
              </w:rPr>
              <w:t xml:space="preserve">Controlled field experiment </w:t>
            </w:r>
          </w:p>
        </w:tc>
        <w:tc>
          <w:tcPr>
            <w:tcW w:w="255" w:type="pct"/>
            <w:tcBorders>
              <w:top w:val="single" w:sz="4" w:space="0" w:color="auto"/>
              <w:left w:val="single" w:sz="4" w:space="0" w:color="auto"/>
              <w:bottom w:val="double" w:sz="4" w:space="0" w:color="auto"/>
              <w:right w:val="single" w:sz="4" w:space="0" w:color="auto"/>
            </w:tcBorders>
            <w:vAlign w:val="center"/>
            <w:hideMark/>
          </w:tcPr>
          <w:p w14:paraId="63DA3EAA" w14:textId="77777777" w:rsidR="008C222F" w:rsidRPr="006B15C8" w:rsidRDefault="008C222F" w:rsidP="00DA67F1">
            <w:pPr>
              <w:spacing w:line="240" w:lineRule="auto"/>
              <w:jc w:val="left"/>
              <w:rPr>
                <w:sz w:val="16"/>
                <w:szCs w:val="16"/>
              </w:rPr>
            </w:pPr>
            <w:r w:rsidRPr="006B15C8">
              <w:rPr>
                <w:sz w:val="16"/>
                <w:szCs w:val="16"/>
              </w:rPr>
              <w:t>88 crossing trials</w:t>
            </w:r>
          </w:p>
        </w:tc>
        <w:tc>
          <w:tcPr>
            <w:tcW w:w="506" w:type="pct"/>
            <w:tcBorders>
              <w:top w:val="single" w:sz="4" w:space="0" w:color="auto"/>
              <w:left w:val="single" w:sz="4" w:space="0" w:color="auto"/>
              <w:bottom w:val="double" w:sz="4" w:space="0" w:color="auto"/>
              <w:right w:val="single" w:sz="4" w:space="0" w:color="auto"/>
            </w:tcBorders>
            <w:vAlign w:val="center"/>
            <w:hideMark/>
          </w:tcPr>
          <w:p w14:paraId="46A2E330" w14:textId="77777777" w:rsidR="008C222F" w:rsidRPr="006B15C8" w:rsidRDefault="008C222F" w:rsidP="00DA67F1">
            <w:pPr>
              <w:spacing w:line="240" w:lineRule="auto"/>
              <w:jc w:val="left"/>
              <w:rPr>
                <w:sz w:val="16"/>
                <w:szCs w:val="16"/>
              </w:rPr>
            </w:pPr>
            <w:r w:rsidRPr="006B15C8">
              <w:rPr>
                <w:sz w:val="16"/>
                <w:szCs w:val="16"/>
              </w:rPr>
              <w:t>1 unsignalized mid-block crossing</w:t>
            </w:r>
          </w:p>
        </w:tc>
        <w:tc>
          <w:tcPr>
            <w:tcW w:w="148" w:type="pct"/>
            <w:tcBorders>
              <w:top w:val="single" w:sz="4" w:space="0" w:color="auto"/>
              <w:left w:val="single" w:sz="4" w:space="0" w:color="auto"/>
              <w:bottom w:val="double" w:sz="4" w:space="0" w:color="auto"/>
              <w:right w:val="single" w:sz="4" w:space="0" w:color="auto"/>
            </w:tcBorders>
            <w:vAlign w:val="center"/>
            <w:hideMark/>
          </w:tcPr>
          <w:p w14:paraId="71F283B3" w14:textId="77777777" w:rsidR="008C222F" w:rsidRPr="006B15C8" w:rsidRDefault="008C222F" w:rsidP="004D553B">
            <w:pPr>
              <w:spacing w:line="240" w:lineRule="auto"/>
              <w:jc w:val="center"/>
              <w:rPr>
                <w:sz w:val="16"/>
                <w:szCs w:val="16"/>
              </w:rPr>
            </w:pPr>
            <w:r w:rsidRPr="006B15C8">
              <w:rPr>
                <w:sz w:val="16"/>
                <w:szCs w:val="16"/>
              </w:rPr>
              <w:t>173</w:t>
            </w:r>
          </w:p>
        </w:tc>
        <w:tc>
          <w:tcPr>
            <w:tcW w:w="650" w:type="pct"/>
            <w:tcBorders>
              <w:top w:val="single" w:sz="4" w:space="0" w:color="auto"/>
              <w:left w:val="single" w:sz="4" w:space="0" w:color="auto"/>
              <w:bottom w:val="double" w:sz="4" w:space="0" w:color="auto"/>
              <w:right w:val="double" w:sz="4" w:space="0" w:color="auto"/>
            </w:tcBorders>
            <w:vAlign w:val="center"/>
            <w:hideMark/>
          </w:tcPr>
          <w:p w14:paraId="7FB34D01" w14:textId="77777777" w:rsidR="008C222F" w:rsidRPr="006B15C8" w:rsidRDefault="008C222F" w:rsidP="00DA67F1">
            <w:pPr>
              <w:pStyle w:val="ListParagraph"/>
              <w:numPr>
                <w:ilvl w:val="0"/>
                <w:numId w:val="31"/>
              </w:numPr>
              <w:spacing w:line="240" w:lineRule="auto"/>
              <w:ind w:left="204" w:hanging="109"/>
              <w:jc w:val="left"/>
              <w:rPr>
                <w:sz w:val="16"/>
                <w:szCs w:val="16"/>
              </w:rPr>
            </w:pPr>
            <w:r w:rsidRPr="006B15C8">
              <w:rPr>
                <w:sz w:val="16"/>
                <w:szCs w:val="16"/>
              </w:rPr>
              <w:t>Driver yielding</w:t>
            </w:r>
          </w:p>
        </w:tc>
        <w:tc>
          <w:tcPr>
            <w:tcW w:w="164" w:type="pct"/>
            <w:tcBorders>
              <w:top w:val="single" w:sz="4" w:space="0" w:color="auto"/>
              <w:left w:val="double" w:sz="4" w:space="0" w:color="auto"/>
              <w:bottom w:val="double" w:sz="4" w:space="0" w:color="auto"/>
              <w:right w:val="single" w:sz="4" w:space="0" w:color="auto"/>
            </w:tcBorders>
            <w:vAlign w:val="center"/>
          </w:tcPr>
          <w:p w14:paraId="1C9E1D9F" w14:textId="77777777" w:rsidR="008C222F" w:rsidRPr="006B15C8" w:rsidRDefault="008C222F" w:rsidP="00DA67F1">
            <w:pPr>
              <w:spacing w:line="240" w:lineRule="auto"/>
              <w:jc w:val="center"/>
              <w:rPr>
                <w:sz w:val="16"/>
                <w:szCs w:val="16"/>
              </w:rPr>
            </w:pPr>
          </w:p>
        </w:tc>
        <w:tc>
          <w:tcPr>
            <w:tcW w:w="134" w:type="pct"/>
            <w:tcBorders>
              <w:top w:val="single" w:sz="4" w:space="0" w:color="auto"/>
              <w:left w:val="single" w:sz="4" w:space="0" w:color="auto"/>
              <w:bottom w:val="double" w:sz="4" w:space="0" w:color="auto"/>
              <w:right w:val="single" w:sz="4" w:space="0" w:color="auto"/>
            </w:tcBorders>
            <w:vAlign w:val="center"/>
          </w:tcPr>
          <w:p w14:paraId="78E312C8" w14:textId="77777777" w:rsidR="008C222F" w:rsidRPr="006B15C8" w:rsidRDefault="008C222F" w:rsidP="00DA67F1">
            <w:pPr>
              <w:spacing w:line="240" w:lineRule="auto"/>
              <w:jc w:val="center"/>
              <w:rPr>
                <w:sz w:val="16"/>
                <w:szCs w:val="16"/>
              </w:rPr>
            </w:pPr>
          </w:p>
        </w:tc>
        <w:tc>
          <w:tcPr>
            <w:tcW w:w="165" w:type="pct"/>
            <w:tcBorders>
              <w:top w:val="single" w:sz="4" w:space="0" w:color="auto"/>
              <w:left w:val="single" w:sz="4" w:space="0" w:color="auto"/>
              <w:bottom w:val="double" w:sz="4" w:space="0" w:color="auto"/>
              <w:right w:val="single" w:sz="4" w:space="0" w:color="auto"/>
            </w:tcBorders>
            <w:vAlign w:val="center"/>
            <w:hideMark/>
          </w:tcPr>
          <w:p w14:paraId="3A548170" w14:textId="77777777" w:rsidR="008C222F" w:rsidRPr="006B15C8" w:rsidRDefault="008C222F" w:rsidP="00DA67F1">
            <w:pPr>
              <w:spacing w:line="240" w:lineRule="auto"/>
              <w:jc w:val="center"/>
              <w:rPr>
                <w:sz w:val="16"/>
                <w:szCs w:val="16"/>
              </w:rPr>
            </w:pPr>
            <w:r w:rsidRPr="006B15C8">
              <w:rPr>
                <w:sz w:val="22"/>
                <w:szCs w:val="22"/>
              </w:rPr>
              <w:t>×</w:t>
            </w:r>
          </w:p>
        </w:tc>
        <w:tc>
          <w:tcPr>
            <w:tcW w:w="177" w:type="pct"/>
            <w:tcBorders>
              <w:top w:val="single" w:sz="4" w:space="0" w:color="auto"/>
              <w:left w:val="single" w:sz="4" w:space="0" w:color="auto"/>
              <w:bottom w:val="double" w:sz="4" w:space="0" w:color="auto"/>
              <w:right w:val="double" w:sz="4" w:space="0" w:color="auto"/>
            </w:tcBorders>
            <w:vAlign w:val="center"/>
          </w:tcPr>
          <w:p w14:paraId="56F6660D" w14:textId="77777777" w:rsidR="008C222F" w:rsidRPr="006B15C8" w:rsidRDefault="008C222F" w:rsidP="00DA67F1">
            <w:pPr>
              <w:spacing w:line="240" w:lineRule="auto"/>
              <w:jc w:val="center"/>
              <w:rPr>
                <w:sz w:val="16"/>
                <w:szCs w:val="16"/>
              </w:rPr>
            </w:pPr>
          </w:p>
        </w:tc>
        <w:tc>
          <w:tcPr>
            <w:tcW w:w="136" w:type="pct"/>
            <w:tcBorders>
              <w:top w:val="single" w:sz="4" w:space="0" w:color="auto"/>
              <w:left w:val="double" w:sz="4" w:space="0" w:color="auto"/>
              <w:bottom w:val="double" w:sz="4" w:space="0" w:color="auto"/>
              <w:right w:val="single" w:sz="4" w:space="0" w:color="auto"/>
            </w:tcBorders>
            <w:vAlign w:val="center"/>
          </w:tcPr>
          <w:p w14:paraId="45B5DBB0" w14:textId="77777777" w:rsidR="008C222F" w:rsidRPr="006B15C8" w:rsidRDefault="008C222F" w:rsidP="00DA67F1">
            <w:pPr>
              <w:spacing w:line="240" w:lineRule="auto"/>
              <w:jc w:val="center"/>
              <w:rPr>
                <w:sz w:val="16"/>
                <w:szCs w:val="16"/>
              </w:rPr>
            </w:pPr>
          </w:p>
        </w:tc>
        <w:tc>
          <w:tcPr>
            <w:tcW w:w="155" w:type="pct"/>
            <w:tcBorders>
              <w:top w:val="single" w:sz="4" w:space="0" w:color="auto"/>
              <w:left w:val="single" w:sz="4" w:space="0" w:color="auto"/>
              <w:bottom w:val="double" w:sz="4" w:space="0" w:color="auto"/>
              <w:right w:val="single" w:sz="4" w:space="0" w:color="auto"/>
            </w:tcBorders>
            <w:vAlign w:val="center"/>
          </w:tcPr>
          <w:p w14:paraId="6CB9B60B" w14:textId="77777777" w:rsidR="008C222F" w:rsidRPr="006B15C8" w:rsidRDefault="008C222F" w:rsidP="00DA67F1">
            <w:pPr>
              <w:spacing w:line="240" w:lineRule="auto"/>
              <w:jc w:val="center"/>
              <w:rPr>
                <w:sz w:val="16"/>
                <w:szCs w:val="16"/>
              </w:rPr>
            </w:pPr>
          </w:p>
        </w:tc>
        <w:tc>
          <w:tcPr>
            <w:tcW w:w="221" w:type="pct"/>
            <w:tcBorders>
              <w:top w:val="single" w:sz="4" w:space="0" w:color="auto"/>
              <w:left w:val="single" w:sz="4" w:space="0" w:color="auto"/>
              <w:bottom w:val="double" w:sz="4" w:space="0" w:color="auto"/>
              <w:right w:val="double" w:sz="4" w:space="0" w:color="auto"/>
            </w:tcBorders>
            <w:vAlign w:val="center"/>
          </w:tcPr>
          <w:p w14:paraId="2B89AC4C" w14:textId="77777777" w:rsidR="008C222F" w:rsidRPr="006B15C8" w:rsidRDefault="008C222F" w:rsidP="00DA67F1">
            <w:pPr>
              <w:spacing w:line="240" w:lineRule="auto"/>
              <w:jc w:val="center"/>
              <w:rPr>
                <w:sz w:val="16"/>
                <w:szCs w:val="16"/>
              </w:rPr>
            </w:pPr>
          </w:p>
        </w:tc>
        <w:tc>
          <w:tcPr>
            <w:tcW w:w="164" w:type="pct"/>
            <w:tcBorders>
              <w:top w:val="single" w:sz="4" w:space="0" w:color="auto"/>
              <w:left w:val="double" w:sz="4" w:space="0" w:color="auto"/>
              <w:bottom w:val="double" w:sz="4" w:space="0" w:color="auto"/>
              <w:right w:val="single" w:sz="4" w:space="0" w:color="auto"/>
            </w:tcBorders>
            <w:vAlign w:val="center"/>
          </w:tcPr>
          <w:p w14:paraId="5BA3B374" w14:textId="77777777" w:rsidR="008C222F" w:rsidRPr="006B15C8" w:rsidRDefault="008C222F" w:rsidP="00DA67F1">
            <w:pPr>
              <w:spacing w:line="240" w:lineRule="auto"/>
              <w:jc w:val="center"/>
              <w:rPr>
                <w:sz w:val="16"/>
                <w:szCs w:val="16"/>
              </w:rPr>
            </w:pPr>
          </w:p>
        </w:tc>
        <w:tc>
          <w:tcPr>
            <w:tcW w:w="156" w:type="pct"/>
            <w:tcBorders>
              <w:top w:val="single" w:sz="4" w:space="0" w:color="auto"/>
              <w:left w:val="single" w:sz="4" w:space="0" w:color="auto"/>
              <w:bottom w:val="double" w:sz="4" w:space="0" w:color="auto"/>
              <w:right w:val="single" w:sz="4" w:space="0" w:color="auto"/>
            </w:tcBorders>
            <w:vAlign w:val="center"/>
          </w:tcPr>
          <w:p w14:paraId="32284CCC" w14:textId="77777777" w:rsidR="008C222F" w:rsidRPr="006B15C8" w:rsidRDefault="008C222F" w:rsidP="00DA67F1">
            <w:pPr>
              <w:spacing w:line="240" w:lineRule="auto"/>
              <w:jc w:val="center"/>
              <w:rPr>
                <w:sz w:val="16"/>
                <w:szCs w:val="16"/>
              </w:rPr>
            </w:pPr>
          </w:p>
        </w:tc>
        <w:tc>
          <w:tcPr>
            <w:tcW w:w="159" w:type="pct"/>
            <w:tcBorders>
              <w:top w:val="single" w:sz="4" w:space="0" w:color="auto"/>
              <w:left w:val="single" w:sz="4" w:space="0" w:color="auto"/>
              <w:bottom w:val="double" w:sz="4" w:space="0" w:color="auto"/>
              <w:right w:val="double" w:sz="4" w:space="0" w:color="auto"/>
            </w:tcBorders>
            <w:vAlign w:val="center"/>
          </w:tcPr>
          <w:p w14:paraId="4F16F7EA" w14:textId="77777777" w:rsidR="008C222F" w:rsidRPr="006B15C8" w:rsidRDefault="008C222F" w:rsidP="00DA67F1">
            <w:pPr>
              <w:spacing w:line="240" w:lineRule="auto"/>
              <w:jc w:val="center"/>
              <w:rPr>
                <w:sz w:val="16"/>
                <w:szCs w:val="16"/>
              </w:rPr>
            </w:pPr>
          </w:p>
        </w:tc>
        <w:tc>
          <w:tcPr>
            <w:tcW w:w="187" w:type="pct"/>
            <w:tcBorders>
              <w:top w:val="single" w:sz="4" w:space="0" w:color="auto"/>
              <w:left w:val="double" w:sz="4" w:space="0" w:color="auto"/>
              <w:bottom w:val="double" w:sz="4" w:space="0" w:color="auto"/>
              <w:right w:val="single" w:sz="4" w:space="0" w:color="auto"/>
            </w:tcBorders>
            <w:vAlign w:val="center"/>
          </w:tcPr>
          <w:p w14:paraId="3F31A2A0" w14:textId="77777777" w:rsidR="008C222F" w:rsidRPr="006B15C8" w:rsidRDefault="008C222F" w:rsidP="00DA67F1">
            <w:pPr>
              <w:spacing w:line="240" w:lineRule="auto"/>
              <w:jc w:val="center"/>
              <w:rPr>
                <w:sz w:val="16"/>
                <w:szCs w:val="16"/>
              </w:rPr>
            </w:pPr>
          </w:p>
        </w:tc>
        <w:tc>
          <w:tcPr>
            <w:tcW w:w="157" w:type="pct"/>
            <w:tcBorders>
              <w:top w:val="single" w:sz="4" w:space="0" w:color="auto"/>
              <w:left w:val="single" w:sz="4" w:space="0" w:color="auto"/>
              <w:bottom w:val="double" w:sz="4" w:space="0" w:color="auto"/>
              <w:right w:val="single" w:sz="4" w:space="0" w:color="auto"/>
            </w:tcBorders>
            <w:vAlign w:val="center"/>
          </w:tcPr>
          <w:p w14:paraId="6E38AD10" w14:textId="77777777" w:rsidR="008C222F" w:rsidRPr="006B15C8" w:rsidRDefault="008C222F" w:rsidP="00DA67F1">
            <w:pPr>
              <w:spacing w:line="240" w:lineRule="auto"/>
              <w:jc w:val="center"/>
              <w:rPr>
                <w:sz w:val="16"/>
                <w:szCs w:val="16"/>
              </w:rPr>
            </w:pPr>
          </w:p>
        </w:tc>
        <w:tc>
          <w:tcPr>
            <w:tcW w:w="182" w:type="pct"/>
            <w:tcBorders>
              <w:top w:val="single" w:sz="4" w:space="0" w:color="auto"/>
              <w:left w:val="single" w:sz="4" w:space="0" w:color="auto"/>
              <w:bottom w:val="double" w:sz="4" w:space="0" w:color="auto"/>
              <w:right w:val="single" w:sz="4" w:space="0" w:color="auto"/>
            </w:tcBorders>
            <w:vAlign w:val="center"/>
          </w:tcPr>
          <w:p w14:paraId="0F542FF5" w14:textId="77777777" w:rsidR="008C222F" w:rsidRPr="006B15C8" w:rsidRDefault="008C222F" w:rsidP="00DA67F1">
            <w:pPr>
              <w:spacing w:line="240" w:lineRule="auto"/>
              <w:jc w:val="center"/>
              <w:rPr>
                <w:sz w:val="16"/>
                <w:szCs w:val="16"/>
              </w:rPr>
            </w:pPr>
          </w:p>
        </w:tc>
        <w:tc>
          <w:tcPr>
            <w:tcW w:w="219" w:type="pct"/>
            <w:tcBorders>
              <w:top w:val="single" w:sz="4" w:space="0" w:color="auto"/>
              <w:left w:val="single" w:sz="4" w:space="0" w:color="auto"/>
              <w:bottom w:val="double" w:sz="4" w:space="0" w:color="auto"/>
              <w:right w:val="double" w:sz="4" w:space="0" w:color="auto"/>
            </w:tcBorders>
            <w:vAlign w:val="center"/>
          </w:tcPr>
          <w:p w14:paraId="2BC08845" w14:textId="77777777" w:rsidR="008C222F" w:rsidRPr="006B15C8" w:rsidRDefault="008C222F" w:rsidP="00DA67F1">
            <w:pPr>
              <w:spacing w:line="240" w:lineRule="auto"/>
              <w:jc w:val="center"/>
              <w:rPr>
                <w:sz w:val="16"/>
                <w:szCs w:val="16"/>
              </w:rPr>
            </w:pPr>
          </w:p>
        </w:tc>
      </w:tr>
      <w:tr w:rsidR="003C4EF8" w:rsidRPr="006B15C8" w14:paraId="1E45E434" w14:textId="77777777" w:rsidTr="004D553B">
        <w:tc>
          <w:tcPr>
            <w:tcW w:w="5000" w:type="pct"/>
            <w:gridSpan w:val="21"/>
            <w:tcBorders>
              <w:top w:val="double" w:sz="4" w:space="0" w:color="auto"/>
              <w:left w:val="double" w:sz="4" w:space="0" w:color="auto"/>
              <w:bottom w:val="single" w:sz="4" w:space="0" w:color="auto"/>
              <w:right w:val="double" w:sz="4" w:space="0" w:color="auto"/>
            </w:tcBorders>
            <w:shd w:val="clear" w:color="auto" w:fill="F2F2F2"/>
            <w:vAlign w:val="center"/>
          </w:tcPr>
          <w:p w14:paraId="59FB71B4" w14:textId="3BFFF6E6" w:rsidR="008C222F" w:rsidRPr="006B15C8" w:rsidRDefault="008C222F" w:rsidP="003B3FB1">
            <w:pPr>
              <w:spacing w:line="240" w:lineRule="auto"/>
              <w:ind w:left="720" w:hanging="720"/>
              <w:rPr>
                <w:sz w:val="16"/>
                <w:szCs w:val="16"/>
              </w:rPr>
            </w:pPr>
            <w:r w:rsidRPr="006B15C8">
              <w:rPr>
                <w:b/>
                <w:bCs/>
                <w:sz w:val="16"/>
                <w:szCs w:val="16"/>
              </w:rPr>
              <w:t>Studies conducted outside the U</w:t>
            </w:r>
            <w:r w:rsidR="004D7D19">
              <w:rPr>
                <w:b/>
                <w:bCs/>
                <w:sz w:val="16"/>
                <w:szCs w:val="16"/>
              </w:rPr>
              <w:t>.</w:t>
            </w:r>
            <w:r w:rsidRPr="006B15C8">
              <w:rPr>
                <w:b/>
                <w:bCs/>
                <w:sz w:val="16"/>
                <w:szCs w:val="16"/>
              </w:rPr>
              <w:t>S.</w:t>
            </w:r>
          </w:p>
        </w:tc>
      </w:tr>
      <w:tr w:rsidR="003C4EF8" w:rsidRPr="006B15C8" w14:paraId="46FA1DCA" w14:textId="77777777" w:rsidTr="00DA67F1">
        <w:tc>
          <w:tcPr>
            <w:tcW w:w="368" w:type="pct"/>
            <w:tcBorders>
              <w:top w:val="double" w:sz="4" w:space="0" w:color="auto"/>
              <w:left w:val="double" w:sz="4" w:space="0" w:color="auto"/>
              <w:bottom w:val="single" w:sz="4" w:space="0" w:color="auto"/>
              <w:right w:val="single" w:sz="4" w:space="0" w:color="auto"/>
            </w:tcBorders>
            <w:vAlign w:val="center"/>
            <w:hideMark/>
          </w:tcPr>
          <w:p w14:paraId="7A50623F" w14:textId="77777777" w:rsidR="008C222F" w:rsidRPr="006B15C8" w:rsidRDefault="008C222F" w:rsidP="004D553B">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{"citationID":"n585HeGn","properties":{"formattedCitation":"(Pechteep et al., 2024)","plainCitation":"(Pechteep et al., 2024)","dontUpdate":true,"noteIndex":0},"citationItems":[{"id":324,"uris":["http://zotero.org/groups/5885221/items/ZRL4JB8G"],"itemData":{"id":324,"type":"article-journal","abstract":"Globally, road traffic collisions cause over a million deaths annually, with pedestrians accounting for 23%. In developing countries, most pedestrian deaths occur on urban arterial roads, particularly at midblock crossings. This study analyzes the factors influencing driver yielding behavior at midblock crosswalks on urban arterial roads in Thailand. This study analyzed the factors influencing driver yielding behavior at the midblock crosswalk before and after the upgrade from a zebra crossing (C1) to a smart pedestrian crossing (C2), which is a smart traffic signal detecting and controlling pedestrians and vehicles entering the crosswalk. Video-based observations were used to assess driver yielding behavior, with multinomial logistic regression applied to develop driver yielding behavior models. The results revealed that the chances of a driver yielding at C2 were higher than at C1, and the yielding rate increased by 74%. The models indicate that the number and width of traffic lanes, width and length of crosswalks, vulnerable group, number of pedestrians, pedestrian crossing time, number of vehicles, vehicle speed, headway, post-encroachment time between a vehicle and pedestrian, and roadside parking are the significant factors influencing yielding behavior. These findings propose measures to set proper crosswalk improvements (e.g., curb extensions), speed reduction measures, enforcement (e.g., parking restrictions), public awareness campaigns, and education initiatives.","container-title":"Sustainability","DOI":"10.3390/su16104118","ISSN":"2071-1050","issue":"10","language":"en","license":"http://creativecommons.org/licenses/by/3.0/","note":"number: 10\npublisher: Multidisciplinary Digital Publishing Institute","page":"4118","source":"www.mdpi.com","title":"Analysis of Factors Influencing Driver Yielding Behavior at Midblock Crosswalks on Urban Arterial Roads in Thailand","volume":"16","author":[{"family":"Pechteep","given":"Pongsatorn"},{"family":"Luathep","given":"Paramet"},{"family":"Jaensirisak","given":"Sittha"},{"family":"Kronprasert","given":"Nopadon"}],"issued":{"date-parts":[["2024",1]]}}}],"schema":"https://github.com/citation-style-language/schema/raw/master/csl-citation.json"} </w:instrText>
            </w:r>
            <w:r w:rsidRPr="006B15C8">
              <w:rPr>
                <w:sz w:val="16"/>
                <w:szCs w:val="16"/>
              </w:rPr>
              <w:fldChar w:fldCharType="separate"/>
            </w:r>
            <w:r w:rsidRPr="006B15C8">
              <w:rPr>
                <w:sz w:val="16"/>
                <w:szCs w:val="16"/>
              </w:rPr>
              <w:t>Pechteep et al., 2024</w:t>
            </w:r>
            <w:r w:rsidRPr="006B15C8">
              <w:rPr>
                <w:sz w:val="16"/>
                <w:szCs w:val="16"/>
              </w:rPr>
              <w:fldChar w:fldCharType="end"/>
            </w:r>
          </w:p>
        </w:tc>
        <w:tc>
          <w:tcPr>
            <w:tcW w:w="286" w:type="pct"/>
            <w:tcBorders>
              <w:top w:val="double" w:sz="4" w:space="0" w:color="auto"/>
              <w:left w:val="single" w:sz="4" w:space="0" w:color="auto"/>
              <w:bottom w:val="single" w:sz="4" w:space="0" w:color="auto"/>
              <w:right w:val="single" w:sz="4" w:space="0" w:color="auto"/>
            </w:tcBorders>
            <w:vAlign w:val="center"/>
            <w:hideMark/>
          </w:tcPr>
          <w:p w14:paraId="78D61666" w14:textId="77777777" w:rsidR="008C222F" w:rsidRPr="006B15C8" w:rsidRDefault="008C222F" w:rsidP="00DA67F1">
            <w:pPr>
              <w:spacing w:line="240" w:lineRule="auto"/>
              <w:jc w:val="left"/>
              <w:rPr>
                <w:sz w:val="16"/>
                <w:szCs w:val="16"/>
              </w:rPr>
            </w:pPr>
            <w:r w:rsidRPr="006B15C8">
              <w:rPr>
                <w:sz w:val="16"/>
                <w:szCs w:val="16"/>
              </w:rPr>
              <w:t>Thailand</w:t>
            </w:r>
          </w:p>
        </w:tc>
        <w:tc>
          <w:tcPr>
            <w:tcW w:w="409" w:type="pct"/>
            <w:tcBorders>
              <w:top w:val="double" w:sz="4" w:space="0" w:color="auto"/>
              <w:left w:val="single" w:sz="4" w:space="0" w:color="auto"/>
              <w:bottom w:val="single" w:sz="4" w:space="0" w:color="auto"/>
              <w:right w:val="single" w:sz="4" w:space="0" w:color="auto"/>
            </w:tcBorders>
            <w:vAlign w:val="center"/>
            <w:hideMark/>
          </w:tcPr>
          <w:p w14:paraId="48264FA6" w14:textId="77777777" w:rsidR="008C222F" w:rsidRPr="006B15C8" w:rsidRDefault="008C222F" w:rsidP="00DA67F1">
            <w:pPr>
              <w:spacing w:line="240" w:lineRule="auto"/>
              <w:jc w:val="left"/>
              <w:rPr>
                <w:sz w:val="16"/>
                <w:szCs w:val="16"/>
              </w:rPr>
            </w:pPr>
            <w:r w:rsidRPr="006B15C8">
              <w:rPr>
                <w:sz w:val="16"/>
                <w:szCs w:val="16"/>
              </w:rPr>
              <w:t>Video recording</w:t>
            </w:r>
          </w:p>
        </w:tc>
        <w:tc>
          <w:tcPr>
            <w:tcW w:w="255" w:type="pct"/>
            <w:tcBorders>
              <w:top w:val="double" w:sz="4" w:space="0" w:color="auto"/>
              <w:left w:val="single" w:sz="4" w:space="0" w:color="auto"/>
              <w:bottom w:val="single" w:sz="4" w:space="0" w:color="auto"/>
              <w:right w:val="single" w:sz="4" w:space="0" w:color="auto"/>
            </w:tcBorders>
            <w:vAlign w:val="center"/>
            <w:hideMark/>
          </w:tcPr>
          <w:p w14:paraId="00CA723E" w14:textId="77777777" w:rsidR="008C222F" w:rsidRPr="006B15C8" w:rsidRDefault="008C222F" w:rsidP="00DA67F1">
            <w:pPr>
              <w:spacing w:line="240" w:lineRule="auto"/>
              <w:jc w:val="left"/>
              <w:rPr>
                <w:sz w:val="16"/>
                <w:szCs w:val="16"/>
              </w:rPr>
            </w:pPr>
            <w:r w:rsidRPr="006B15C8">
              <w:rPr>
                <w:sz w:val="16"/>
                <w:szCs w:val="16"/>
              </w:rPr>
              <w:t>4 hrs/site</w:t>
            </w:r>
          </w:p>
        </w:tc>
        <w:tc>
          <w:tcPr>
            <w:tcW w:w="506" w:type="pct"/>
            <w:tcBorders>
              <w:top w:val="double" w:sz="4" w:space="0" w:color="auto"/>
              <w:left w:val="single" w:sz="4" w:space="0" w:color="auto"/>
              <w:bottom w:val="single" w:sz="4" w:space="0" w:color="auto"/>
              <w:right w:val="single" w:sz="4" w:space="0" w:color="auto"/>
            </w:tcBorders>
            <w:vAlign w:val="center"/>
            <w:hideMark/>
          </w:tcPr>
          <w:p w14:paraId="718D6D51" w14:textId="77777777" w:rsidR="008C222F" w:rsidRPr="006B15C8" w:rsidRDefault="008C222F" w:rsidP="00DA67F1">
            <w:pPr>
              <w:spacing w:line="240" w:lineRule="auto"/>
              <w:jc w:val="left"/>
              <w:rPr>
                <w:sz w:val="16"/>
                <w:szCs w:val="16"/>
              </w:rPr>
            </w:pPr>
            <w:r w:rsidRPr="006B15C8">
              <w:rPr>
                <w:sz w:val="16"/>
                <w:szCs w:val="16"/>
              </w:rPr>
              <w:t>4 midblock crosswalks</w:t>
            </w:r>
          </w:p>
        </w:tc>
        <w:tc>
          <w:tcPr>
            <w:tcW w:w="148" w:type="pct"/>
            <w:tcBorders>
              <w:top w:val="double" w:sz="4" w:space="0" w:color="auto"/>
              <w:left w:val="single" w:sz="4" w:space="0" w:color="auto"/>
              <w:bottom w:val="single" w:sz="4" w:space="0" w:color="auto"/>
              <w:right w:val="single" w:sz="4" w:space="0" w:color="auto"/>
            </w:tcBorders>
            <w:vAlign w:val="center"/>
            <w:hideMark/>
          </w:tcPr>
          <w:p w14:paraId="59A7B07D" w14:textId="77777777" w:rsidR="008C222F" w:rsidRPr="006B15C8" w:rsidRDefault="008C222F" w:rsidP="004D553B">
            <w:pPr>
              <w:spacing w:line="240" w:lineRule="auto"/>
              <w:jc w:val="center"/>
              <w:rPr>
                <w:sz w:val="16"/>
                <w:szCs w:val="16"/>
              </w:rPr>
            </w:pPr>
            <w:r w:rsidRPr="006B15C8">
              <w:rPr>
                <w:sz w:val="16"/>
                <w:szCs w:val="16"/>
              </w:rPr>
              <w:t>400</w:t>
            </w:r>
          </w:p>
        </w:tc>
        <w:tc>
          <w:tcPr>
            <w:tcW w:w="650" w:type="pct"/>
            <w:tcBorders>
              <w:top w:val="double" w:sz="4" w:space="0" w:color="auto"/>
              <w:left w:val="single" w:sz="4" w:space="0" w:color="auto"/>
              <w:bottom w:val="single" w:sz="4" w:space="0" w:color="auto"/>
              <w:right w:val="double" w:sz="4" w:space="0" w:color="auto"/>
            </w:tcBorders>
            <w:vAlign w:val="center"/>
            <w:hideMark/>
          </w:tcPr>
          <w:p w14:paraId="112A9EBA"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 xml:space="preserve">Driver non-yield, soft-yield, and yield behavior </w:t>
            </w:r>
          </w:p>
        </w:tc>
        <w:tc>
          <w:tcPr>
            <w:tcW w:w="164" w:type="pct"/>
            <w:tcBorders>
              <w:top w:val="double" w:sz="4" w:space="0" w:color="auto"/>
              <w:left w:val="double" w:sz="4" w:space="0" w:color="auto"/>
              <w:bottom w:val="single" w:sz="4" w:space="0" w:color="auto"/>
              <w:right w:val="single" w:sz="4" w:space="0" w:color="auto"/>
            </w:tcBorders>
            <w:vAlign w:val="center"/>
            <w:hideMark/>
          </w:tcPr>
          <w:p w14:paraId="2B180DF4" w14:textId="77777777" w:rsidR="008C222F" w:rsidRPr="006B15C8" w:rsidRDefault="008C222F" w:rsidP="00DA67F1">
            <w:pPr>
              <w:spacing w:line="240" w:lineRule="auto"/>
              <w:jc w:val="center"/>
              <w:rPr>
                <w:sz w:val="16"/>
                <w:szCs w:val="16"/>
              </w:rPr>
            </w:pPr>
            <w:r w:rsidRPr="006B15C8">
              <w:rPr>
                <w:sz w:val="22"/>
                <w:szCs w:val="22"/>
              </w:rPr>
              <w:t>×</w:t>
            </w:r>
          </w:p>
        </w:tc>
        <w:tc>
          <w:tcPr>
            <w:tcW w:w="134" w:type="pct"/>
            <w:tcBorders>
              <w:top w:val="double" w:sz="4" w:space="0" w:color="auto"/>
              <w:left w:val="single" w:sz="4" w:space="0" w:color="auto"/>
              <w:bottom w:val="single" w:sz="4" w:space="0" w:color="auto"/>
              <w:right w:val="single" w:sz="4" w:space="0" w:color="auto"/>
            </w:tcBorders>
            <w:vAlign w:val="center"/>
            <w:hideMark/>
          </w:tcPr>
          <w:p w14:paraId="54DC0EF3" w14:textId="77777777" w:rsidR="008C222F" w:rsidRPr="006B15C8" w:rsidRDefault="008C222F" w:rsidP="00DA67F1">
            <w:pPr>
              <w:spacing w:line="240" w:lineRule="auto"/>
              <w:jc w:val="center"/>
              <w:rPr>
                <w:sz w:val="16"/>
                <w:szCs w:val="16"/>
              </w:rPr>
            </w:pPr>
            <w:r w:rsidRPr="006B15C8">
              <w:rPr>
                <w:sz w:val="22"/>
                <w:szCs w:val="22"/>
              </w:rPr>
              <w:t>×</w:t>
            </w:r>
          </w:p>
        </w:tc>
        <w:tc>
          <w:tcPr>
            <w:tcW w:w="165" w:type="pct"/>
            <w:tcBorders>
              <w:top w:val="double" w:sz="4" w:space="0" w:color="auto"/>
              <w:left w:val="single" w:sz="4" w:space="0" w:color="auto"/>
              <w:bottom w:val="single" w:sz="4" w:space="0" w:color="auto"/>
              <w:right w:val="single" w:sz="4" w:space="0" w:color="auto"/>
            </w:tcBorders>
            <w:vAlign w:val="center"/>
          </w:tcPr>
          <w:p w14:paraId="19365ACB" w14:textId="77777777" w:rsidR="008C222F" w:rsidRPr="006B15C8" w:rsidRDefault="008C222F" w:rsidP="00DA67F1">
            <w:pPr>
              <w:spacing w:line="240" w:lineRule="auto"/>
              <w:jc w:val="center"/>
              <w:rPr>
                <w:sz w:val="16"/>
                <w:szCs w:val="16"/>
              </w:rPr>
            </w:pPr>
          </w:p>
        </w:tc>
        <w:tc>
          <w:tcPr>
            <w:tcW w:w="177" w:type="pct"/>
            <w:tcBorders>
              <w:top w:val="double" w:sz="4" w:space="0" w:color="auto"/>
              <w:left w:val="single" w:sz="4" w:space="0" w:color="auto"/>
              <w:bottom w:val="single" w:sz="4" w:space="0" w:color="auto"/>
              <w:right w:val="double" w:sz="4" w:space="0" w:color="auto"/>
            </w:tcBorders>
            <w:vAlign w:val="center"/>
          </w:tcPr>
          <w:p w14:paraId="5545E168" w14:textId="77777777" w:rsidR="008C222F" w:rsidRPr="006B15C8" w:rsidRDefault="008C222F" w:rsidP="00DA67F1">
            <w:pPr>
              <w:spacing w:line="240" w:lineRule="auto"/>
              <w:jc w:val="center"/>
              <w:rPr>
                <w:sz w:val="16"/>
                <w:szCs w:val="16"/>
              </w:rPr>
            </w:pPr>
          </w:p>
        </w:tc>
        <w:tc>
          <w:tcPr>
            <w:tcW w:w="136" w:type="pct"/>
            <w:tcBorders>
              <w:top w:val="double" w:sz="4" w:space="0" w:color="auto"/>
              <w:left w:val="double" w:sz="4" w:space="0" w:color="auto"/>
              <w:bottom w:val="single" w:sz="4" w:space="0" w:color="auto"/>
              <w:right w:val="single" w:sz="4" w:space="0" w:color="auto"/>
            </w:tcBorders>
            <w:vAlign w:val="center"/>
            <w:hideMark/>
          </w:tcPr>
          <w:p w14:paraId="74E52D71" w14:textId="77777777" w:rsidR="008C222F" w:rsidRPr="006B15C8" w:rsidRDefault="008C222F" w:rsidP="00DA67F1">
            <w:pPr>
              <w:spacing w:line="240" w:lineRule="auto"/>
              <w:jc w:val="center"/>
              <w:rPr>
                <w:sz w:val="16"/>
                <w:szCs w:val="16"/>
              </w:rPr>
            </w:pPr>
            <w:r w:rsidRPr="006B15C8">
              <w:rPr>
                <w:sz w:val="22"/>
                <w:szCs w:val="22"/>
              </w:rPr>
              <w:t>×</w:t>
            </w:r>
          </w:p>
        </w:tc>
        <w:tc>
          <w:tcPr>
            <w:tcW w:w="155" w:type="pct"/>
            <w:tcBorders>
              <w:top w:val="double" w:sz="4" w:space="0" w:color="auto"/>
              <w:left w:val="single" w:sz="4" w:space="0" w:color="auto"/>
              <w:bottom w:val="single" w:sz="4" w:space="0" w:color="auto"/>
              <w:right w:val="single" w:sz="4" w:space="0" w:color="auto"/>
            </w:tcBorders>
            <w:vAlign w:val="center"/>
          </w:tcPr>
          <w:p w14:paraId="170D4004" w14:textId="77777777" w:rsidR="008C222F" w:rsidRPr="006B15C8" w:rsidRDefault="008C222F" w:rsidP="00DA67F1">
            <w:pPr>
              <w:spacing w:line="240" w:lineRule="auto"/>
              <w:jc w:val="center"/>
              <w:rPr>
                <w:sz w:val="16"/>
                <w:szCs w:val="16"/>
              </w:rPr>
            </w:pPr>
          </w:p>
        </w:tc>
        <w:tc>
          <w:tcPr>
            <w:tcW w:w="221" w:type="pct"/>
            <w:tcBorders>
              <w:top w:val="double" w:sz="4" w:space="0" w:color="auto"/>
              <w:left w:val="single" w:sz="4" w:space="0" w:color="auto"/>
              <w:bottom w:val="single" w:sz="4" w:space="0" w:color="auto"/>
              <w:right w:val="double" w:sz="4" w:space="0" w:color="auto"/>
            </w:tcBorders>
            <w:vAlign w:val="center"/>
          </w:tcPr>
          <w:p w14:paraId="725D8595" w14:textId="77777777" w:rsidR="008C222F" w:rsidRPr="006B15C8" w:rsidRDefault="008C222F" w:rsidP="00DA67F1">
            <w:pPr>
              <w:spacing w:line="240" w:lineRule="auto"/>
              <w:jc w:val="center"/>
              <w:rPr>
                <w:sz w:val="16"/>
                <w:szCs w:val="16"/>
              </w:rPr>
            </w:pPr>
          </w:p>
        </w:tc>
        <w:tc>
          <w:tcPr>
            <w:tcW w:w="164" w:type="pct"/>
            <w:tcBorders>
              <w:top w:val="double" w:sz="4" w:space="0" w:color="auto"/>
              <w:left w:val="double" w:sz="4" w:space="0" w:color="auto"/>
              <w:bottom w:val="single" w:sz="4" w:space="0" w:color="auto"/>
              <w:right w:val="single" w:sz="4" w:space="0" w:color="auto"/>
            </w:tcBorders>
            <w:vAlign w:val="center"/>
          </w:tcPr>
          <w:p w14:paraId="08DAA4CF" w14:textId="77777777" w:rsidR="008C222F" w:rsidRPr="006B15C8" w:rsidRDefault="008C222F" w:rsidP="00DA67F1">
            <w:pPr>
              <w:spacing w:line="240" w:lineRule="auto"/>
              <w:jc w:val="center"/>
              <w:rPr>
                <w:sz w:val="16"/>
                <w:szCs w:val="16"/>
              </w:rPr>
            </w:pPr>
          </w:p>
        </w:tc>
        <w:tc>
          <w:tcPr>
            <w:tcW w:w="156" w:type="pct"/>
            <w:tcBorders>
              <w:top w:val="double" w:sz="4" w:space="0" w:color="auto"/>
              <w:left w:val="single" w:sz="4" w:space="0" w:color="auto"/>
              <w:bottom w:val="single" w:sz="4" w:space="0" w:color="auto"/>
              <w:right w:val="single" w:sz="4" w:space="0" w:color="auto"/>
            </w:tcBorders>
            <w:vAlign w:val="center"/>
          </w:tcPr>
          <w:p w14:paraId="46F16075" w14:textId="77777777" w:rsidR="008C222F" w:rsidRPr="006B15C8" w:rsidRDefault="008C222F" w:rsidP="00DA67F1">
            <w:pPr>
              <w:spacing w:line="240" w:lineRule="auto"/>
              <w:jc w:val="center"/>
              <w:rPr>
                <w:sz w:val="16"/>
                <w:szCs w:val="16"/>
              </w:rPr>
            </w:pPr>
          </w:p>
        </w:tc>
        <w:tc>
          <w:tcPr>
            <w:tcW w:w="159" w:type="pct"/>
            <w:tcBorders>
              <w:top w:val="double" w:sz="4" w:space="0" w:color="auto"/>
              <w:left w:val="single" w:sz="4" w:space="0" w:color="auto"/>
              <w:bottom w:val="single" w:sz="4" w:space="0" w:color="auto"/>
              <w:right w:val="double" w:sz="4" w:space="0" w:color="auto"/>
            </w:tcBorders>
            <w:vAlign w:val="center"/>
          </w:tcPr>
          <w:p w14:paraId="350E3861" w14:textId="77777777" w:rsidR="008C222F" w:rsidRPr="006B15C8" w:rsidRDefault="008C222F" w:rsidP="00DA67F1">
            <w:pPr>
              <w:spacing w:line="240" w:lineRule="auto"/>
              <w:jc w:val="center"/>
              <w:rPr>
                <w:sz w:val="16"/>
                <w:szCs w:val="16"/>
              </w:rPr>
            </w:pPr>
          </w:p>
        </w:tc>
        <w:tc>
          <w:tcPr>
            <w:tcW w:w="187" w:type="pct"/>
            <w:tcBorders>
              <w:top w:val="double" w:sz="4" w:space="0" w:color="auto"/>
              <w:left w:val="double" w:sz="4" w:space="0" w:color="auto"/>
              <w:bottom w:val="single" w:sz="4" w:space="0" w:color="auto"/>
              <w:right w:val="single" w:sz="4" w:space="0" w:color="auto"/>
            </w:tcBorders>
            <w:vAlign w:val="center"/>
          </w:tcPr>
          <w:p w14:paraId="7D95ACD6" w14:textId="77777777" w:rsidR="008C222F" w:rsidRPr="006B15C8" w:rsidRDefault="008C222F" w:rsidP="00DA67F1">
            <w:pPr>
              <w:spacing w:line="240" w:lineRule="auto"/>
              <w:jc w:val="center"/>
              <w:rPr>
                <w:sz w:val="16"/>
                <w:szCs w:val="16"/>
              </w:rPr>
            </w:pPr>
          </w:p>
        </w:tc>
        <w:tc>
          <w:tcPr>
            <w:tcW w:w="157" w:type="pct"/>
            <w:tcBorders>
              <w:top w:val="double" w:sz="4" w:space="0" w:color="auto"/>
              <w:left w:val="single" w:sz="4" w:space="0" w:color="auto"/>
              <w:bottom w:val="single" w:sz="4" w:space="0" w:color="auto"/>
              <w:right w:val="single" w:sz="4" w:space="0" w:color="auto"/>
            </w:tcBorders>
            <w:vAlign w:val="center"/>
          </w:tcPr>
          <w:p w14:paraId="72149882" w14:textId="77777777" w:rsidR="008C222F" w:rsidRPr="006B15C8" w:rsidRDefault="008C222F" w:rsidP="00DA67F1">
            <w:pPr>
              <w:spacing w:line="240" w:lineRule="auto"/>
              <w:jc w:val="center"/>
              <w:rPr>
                <w:sz w:val="16"/>
                <w:szCs w:val="16"/>
              </w:rPr>
            </w:pPr>
          </w:p>
        </w:tc>
        <w:tc>
          <w:tcPr>
            <w:tcW w:w="182" w:type="pct"/>
            <w:tcBorders>
              <w:top w:val="double" w:sz="4" w:space="0" w:color="auto"/>
              <w:left w:val="single" w:sz="4" w:space="0" w:color="auto"/>
              <w:bottom w:val="single" w:sz="4" w:space="0" w:color="auto"/>
              <w:right w:val="single" w:sz="4" w:space="0" w:color="auto"/>
            </w:tcBorders>
            <w:vAlign w:val="center"/>
          </w:tcPr>
          <w:p w14:paraId="1B2B9C5B" w14:textId="77777777" w:rsidR="008C222F" w:rsidRPr="006B15C8" w:rsidRDefault="008C222F" w:rsidP="00DA67F1">
            <w:pPr>
              <w:spacing w:line="240" w:lineRule="auto"/>
              <w:jc w:val="center"/>
              <w:rPr>
                <w:sz w:val="16"/>
                <w:szCs w:val="16"/>
              </w:rPr>
            </w:pPr>
          </w:p>
        </w:tc>
        <w:tc>
          <w:tcPr>
            <w:tcW w:w="219" w:type="pct"/>
            <w:tcBorders>
              <w:top w:val="double" w:sz="4" w:space="0" w:color="auto"/>
              <w:left w:val="single" w:sz="4" w:space="0" w:color="auto"/>
              <w:bottom w:val="single" w:sz="4" w:space="0" w:color="auto"/>
              <w:right w:val="double" w:sz="4" w:space="0" w:color="auto"/>
            </w:tcBorders>
            <w:vAlign w:val="center"/>
          </w:tcPr>
          <w:p w14:paraId="7319FC8A" w14:textId="77777777" w:rsidR="008C222F" w:rsidRPr="006B15C8" w:rsidRDefault="008C222F" w:rsidP="00DA67F1">
            <w:pPr>
              <w:spacing w:line="240" w:lineRule="auto"/>
              <w:jc w:val="center"/>
              <w:rPr>
                <w:sz w:val="16"/>
                <w:szCs w:val="16"/>
              </w:rPr>
            </w:pPr>
          </w:p>
        </w:tc>
      </w:tr>
      <w:tr w:rsidR="003C4EF8" w:rsidRPr="006B15C8" w14:paraId="613D1C2E" w14:textId="77777777" w:rsidTr="00DA67F1">
        <w:tc>
          <w:tcPr>
            <w:tcW w:w="368" w:type="pct"/>
            <w:tcBorders>
              <w:top w:val="single" w:sz="4" w:space="0" w:color="auto"/>
              <w:left w:val="double" w:sz="4" w:space="0" w:color="auto"/>
              <w:bottom w:val="single" w:sz="4" w:space="0" w:color="auto"/>
              <w:right w:val="single" w:sz="4" w:space="0" w:color="auto"/>
            </w:tcBorders>
            <w:vAlign w:val="center"/>
            <w:hideMark/>
          </w:tcPr>
          <w:p w14:paraId="04559857" w14:textId="77777777" w:rsidR="008C222F" w:rsidRPr="006B15C8" w:rsidRDefault="008C222F" w:rsidP="004D553B">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{"citationID":"MQgIOJgT","properties":{"formattedCitation":"(Fu et al., 2022)","plainCitation":"(Fu et al., 2022)","dontUpdate":true,"noteIndex":0},"citationItems":[{"id":86,"uris":["http://zotero.org/groups/5885221/items/KQINRWRT"],"itemData":{"id":86,"type":"article-journal","abstract":"Investigating pedestrian crossing and driver yielding decisions should be an important focus considering the high risks of pedestrians in exposed to motorized traffic. Limitations, however, exist in previous studies – variables considered previously have been limited; how their behavior affect each other (defined as interactive impacts) were not sufficiently considered. This paper aims to provide a methodological approach for pedestrian crossing and driver yielding decisions during their interactions, considering of different variable types including interactive impact variables, traffic condition variables, road design variables, and environment variables. A Distance-Velocity (DV) framework proposed in an earlier study is introduced for definitions and concepts in studying pedestrian-vehicle interactions. Logistic regression, support vector machines, neural networks and random forests, are introduced as candidate models. A case study involving six crosswalk locations is conducted, focusing on interactions between pedestrians and right-turn vehicles. The proposed methodological approach is applied, with the performance of the four machine learning methods compared in terms of model generalization and confusion matrix. The model with the best performance is further compared to the typical gap-based model. Results show that random forest and logistic regression models performed the best in modeling pedestrian crossing and driver yielding decisions respective, in terms of model generalization. Besides, the DV-based modeling method (average accuracy of over 90% for pedestrians and 80% for drivers) outperformed the traditional gap-based method in all test seeds. As a key finding, interactive impacts from each other (the pedestrian and the driver) act as a key contributing variable on their decisions.","container-title":"Transportation Research Part F: Traffic Psychology and Behaviour","DOI":"10.1016/j.trf.2022.05.005","ISSN":"1369-8478","journalAbbreviation":"Transportation Research Part F: Traffic Psychology and Behaviour","page":"37-53","source":"ScienceDirect","title":"A method in modeling interactive pedestrian crossing and driver yielding decisions during their interactions at intersections","volume":"88","author":[{"family":"Fu","given":"Ting"},{"family":"Yu","given":"Xiaochen"},{"family":"Xiong","given":"Binglei"},{"family":"Jiang","given":"Chaozhe"},{"family":"Wang","given":"Junhua"},{"family":"Shangguan","given":"Qiangqiang"},{"family":"Xu","given":"Wenxiang"}],"issued":{"date-parts":[["2022",7,1]]}}}],"schema":"https://github.com/citation-style-language/schema/raw/master/csl-citation.json"} </w:instrText>
            </w:r>
            <w:r w:rsidRPr="006B15C8">
              <w:rPr>
                <w:sz w:val="16"/>
                <w:szCs w:val="16"/>
              </w:rPr>
              <w:fldChar w:fldCharType="separate"/>
            </w:r>
            <w:r w:rsidRPr="006B15C8">
              <w:rPr>
                <w:sz w:val="16"/>
                <w:szCs w:val="16"/>
              </w:rPr>
              <w:t>Fu et al., 2022</w:t>
            </w:r>
            <w:r w:rsidRPr="006B15C8">
              <w:rPr>
                <w:sz w:val="16"/>
                <w:szCs w:val="16"/>
              </w:rPr>
              <w:fldChar w:fldCharType="end"/>
            </w:r>
          </w:p>
        </w:tc>
        <w:tc>
          <w:tcPr>
            <w:tcW w:w="286" w:type="pct"/>
            <w:tcBorders>
              <w:top w:val="single" w:sz="4" w:space="0" w:color="auto"/>
              <w:left w:val="single" w:sz="4" w:space="0" w:color="auto"/>
              <w:bottom w:val="single" w:sz="4" w:space="0" w:color="auto"/>
              <w:right w:val="single" w:sz="4" w:space="0" w:color="auto"/>
            </w:tcBorders>
            <w:vAlign w:val="center"/>
            <w:hideMark/>
          </w:tcPr>
          <w:p w14:paraId="62C1FFCB" w14:textId="77777777" w:rsidR="008C222F" w:rsidRPr="006B15C8" w:rsidRDefault="008C222F" w:rsidP="00DA67F1">
            <w:pPr>
              <w:spacing w:line="240" w:lineRule="auto"/>
              <w:jc w:val="left"/>
              <w:rPr>
                <w:sz w:val="16"/>
                <w:szCs w:val="16"/>
              </w:rPr>
            </w:pPr>
            <w:r w:rsidRPr="006B15C8">
              <w:rPr>
                <w:sz w:val="16"/>
                <w:szCs w:val="16"/>
              </w:rPr>
              <w:t>China</w:t>
            </w:r>
          </w:p>
        </w:tc>
        <w:tc>
          <w:tcPr>
            <w:tcW w:w="409" w:type="pct"/>
            <w:tcBorders>
              <w:top w:val="single" w:sz="4" w:space="0" w:color="auto"/>
              <w:left w:val="single" w:sz="4" w:space="0" w:color="auto"/>
              <w:bottom w:val="single" w:sz="4" w:space="0" w:color="auto"/>
              <w:right w:val="single" w:sz="4" w:space="0" w:color="auto"/>
            </w:tcBorders>
            <w:vAlign w:val="center"/>
            <w:hideMark/>
          </w:tcPr>
          <w:p w14:paraId="477F05CF" w14:textId="65DAE9F3" w:rsidR="008C222F" w:rsidRPr="006B15C8" w:rsidRDefault="008C222F" w:rsidP="00DA67F1">
            <w:pPr>
              <w:spacing w:line="240" w:lineRule="auto"/>
              <w:jc w:val="left"/>
              <w:rPr>
                <w:sz w:val="16"/>
                <w:szCs w:val="16"/>
              </w:rPr>
            </w:pPr>
            <w:r w:rsidRPr="006B15C8">
              <w:rPr>
                <w:sz w:val="16"/>
                <w:szCs w:val="16"/>
              </w:rPr>
              <w:t xml:space="preserve">Video </w:t>
            </w:r>
            <w:r w:rsidR="00DA67F1">
              <w:rPr>
                <w:sz w:val="16"/>
                <w:szCs w:val="16"/>
              </w:rPr>
              <w:t>r</w:t>
            </w:r>
            <w:r w:rsidRPr="006B15C8">
              <w:rPr>
                <w:sz w:val="16"/>
                <w:szCs w:val="16"/>
              </w:rPr>
              <w:t>ecording</w:t>
            </w:r>
          </w:p>
        </w:tc>
        <w:tc>
          <w:tcPr>
            <w:tcW w:w="255" w:type="pct"/>
            <w:tcBorders>
              <w:top w:val="single" w:sz="4" w:space="0" w:color="auto"/>
              <w:left w:val="single" w:sz="4" w:space="0" w:color="auto"/>
              <w:bottom w:val="single" w:sz="4" w:space="0" w:color="auto"/>
              <w:right w:val="single" w:sz="4" w:space="0" w:color="auto"/>
            </w:tcBorders>
            <w:vAlign w:val="center"/>
            <w:hideMark/>
          </w:tcPr>
          <w:p w14:paraId="6F0EA1B9" w14:textId="77777777" w:rsidR="008C222F" w:rsidRPr="006B15C8" w:rsidRDefault="008C222F" w:rsidP="00DA67F1">
            <w:pPr>
              <w:spacing w:line="240" w:lineRule="auto"/>
              <w:jc w:val="left"/>
              <w:rPr>
                <w:sz w:val="16"/>
                <w:szCs w:val="16"/>
              </w:rPr>
            </w:pPr>
            <w:r w:rsidRPr="006B15C8">
              <w:rPr>
                <w:sz w:val="16"/>
                <w:szCs w:val="16"/>
              </w:rPr>
              <w:t>54 hrs</w:t>
            </w:r>
          </w:p>
          <w:p w14:paraId="1F5F3A02" w14:textId="77777777" w:rsidR="008C222F" w:rsidRPr="006B15C8" w:rsidRDefault="008C222F" w:rsidP="00DA67F1">
            <w:pPr>
              <w:spacing w:line="240" w:lineRule="auto"/>
              <w:jc w:val="left"/>
              <w:rPr>
                <w:sz w:val="16"/>
                <w:szCs w:val="16"/>
              </w:rPr>
            </w:pPr>
            <w:r w:rsidRPr="006B15C8">
              <w:rPr>
                <w:sz w:val="16"/>
                <w:szCs w:val="16"/>
              </w:rPr>
              <w:t>(9 hrs/site)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234125B0" w14:textId="77777777" w:rsidR="008C222F" w:rsidRPr="006B15C8" w:rsidRDefault="008C222F" w:rsidP="00DA67F1">
            <w:pPr>
              <w:spacing w:line="240" w:lineRule="auto"/>
              <w:jc w:val="left"/>
              <w:rPr>
                <w:sz w:val="16"/>
                <w:szCs w:val="16"/>
              </w:rPr>
            </w:pPr>
            <w:r w:rsidRPr="006B15C8">
              <w:rPr>
                <w:sz w:val="16"/>
                <w:szCs w:val="16"/>
              </w:rPr>
              <w:t>6 crosswalks adjacent to right-turning vehicles at signalized intersections</w:t>
            </w:r>
          </w:p>
        </w:tc>
        <w:tc>
          <w:tcPr>
            <w:tcW w:w="148" w:type="pct"/>
            <w:tcBorders>
              <w:top w:val="single" w:sz="4" w:space="0" w:color="auto"/>
              <w:left w:val="single" w:sz="4" w:space="0" w:color="auto"/>
              <w:bottom w:val="single" w:sz="4" w:space="0" w:color="auto"/>
              <w:right w:val="single" w:sz="4" w:space="0" w:color="auto"/>
            </w:tcBorders>
            <w:vAlign w:val="center"/>
            <w:hideMark/>
          </w:tcPr>
          <w:p w14:paraId="154F84F1" w14:textId="77777777" w:rsidR="008C222F" w:rsidRPr="006B15C8" w:rsidRDefault="008C222F" w:rsidP="004D553B">
            <w:pPr>
              <w:spacing w:line="240" w:lineRule="auto"/>
              <w:jc w:val="center"/>
              <w:rPr>
                <w:sz w:val="16"/>
                <w:szCs w:val="16"/>
              </w:rPr>
            </w:pPr>
            <w:r w:rsidRPr="006B15C8">
              <w:rPr>
                <w:sz w:val="16"/>
                <w:szCs w:val="16"/>
              </w:rPr>
              <w:t>543</w:t>
            </w:r>
          </w:p>
        </w:tc>
        <w:tc>
          <w:tcPr>
            <w:tcW w:w="650" w:type="pct"/>
            <w:tcBorders>
              <w:top w:val="single" w:sz="4" w:space="0" w:color="auto"/>
              <w:left w:val="single" w:sz="4" w:space="0" w:color="auto"/>
              <w:bottom w:val="single" w:sz="4" w:space="0" w:color="auto"/>
              <w:right w:val="double" w:sz="4" w:space="0" w:color="auto"/>
            </w:tcBorders>
            <w:vAlign w:val="center"/>
            <w:hideMark/>
          </w:tcPr>
          <w:p w14:paraId="26ABC747"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Driver yielding (including full stops, yielding with rolling stops, and non-yielding)</w:t>
            </w:r>
          </w:p>
        </w:tc>
        <w:tc>
          <w:tcPr>
            <w:tcW w:w="164" w:type="pct"/>
            <w:tcBorders>
              <w:top w:val="single" w:sz="4" w:space="0" w:color="auto"/>
              <w:left w:val="double" w:sz="4" w:space="0" w:color="auto"/>
              <w:bottom w:val="single" w:sz="4" w:space="0" w:color="auto"/>
              <w:right w:val="single" w:sz="4" w:space="0" w:color="auto"/>
            </w:tcBorders>
            <w:vAlign w:val="center"/>
          </w:tcPr>
          <w:p w14:paraId="2708AB56" w14:textId="77777777" w:rsidR="008C222F" w:rsidRPr="006B15C8" w:rsidRDefault="008C222F" w:rsidP="00DA67F1">
            <w:pPr>
              <w:spacing w:line="240" w:lineRule="auto"/>
              <w:jc w:val="center"/>
              <w:rPr>
                <w:sz w:val="16"/>
                <w:szCs w:val="16"/>
              </w:rPr>
            </w:pPr>
          </w:p>
        </w:tc>
        <w:tc>
          <w:tcPr>
            <w:tcW w:w="134" w:type="pct"/>
            <w:tcBorders>
              <w:top w:val="single" w:sz="4" w:space="0" w:color="auto"/>
              <w:left w:val="single" w:sz="4" w:space="0" w:color="auto"/>
              <w:bottom w:val="single" w:sz="4" w:space="0" w:color="auto"/>
              <w:right w:val="single" w:sz="4" w:space="0" w:color="auto"/>
            </w:tcBorders>
            <w:vAlign w:val="center"/>
          </w:tcPr>
          <w:p w14:paraId="12A1D318" w14:textId="77777777" w:rsidR="008C222F" w:rsidRPr="006B15C8" w:rsidRDefault="008C222F" w:rsidP="00DA67F1">
            <w:pPr>
              <w:spacing w:line="240" w:lineRule="auto"/>
              <w:jc w:val="center"/>
              <w:rPr>
                <w:sz w:val="16"/>
                <w:szCs w:val="16"/>
              </w:rPr>
            </w:pPr>
          </w:p>
        </w:tc>
        <w:tc>
          <w:tcPr>
            <w:tcW w:w="165" w:type="pct"/>
            <w:tcBorders>
              <w:top w:val="single" w:sz="4" w:space="0" w:color="auto"/>
              <w:left w:val="single" w:sz="4" w:space="0" w:color="auto"/>
              <w:bottom w:val="single" w:sz="4" w:space="0" w:color="auto"/>
              <w:right w:val="single" w:sz="4" w:space="0" w:color="auto"/>
            </w:tcBorders>
            <w:vAlign w:val="center"/>
          </w:tcPr>
          <w:p w14:paraId="652BF2D1" w14:textId="77777777" w:rsidR="008C222F" w:rsidRPr="006B15C8" w:rsidRDefault="008C222F" w:rsidP="00DA67F1">
            <w:pPr>
              <w:spacing w:line="240" w:lineRule="auto"/>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tcPr>
          <w:p w14:paraId="620F377B" w14:textId="77777777" w:rsidR="008C222F" w:rsidRPr="006B15C8" w:rsidRDefault="008C222F" w:rsidP="00DA67F1">
            <w:pPr>
              <w:spacing w:line="240" w:lineRule="auto"/>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hideMark/>
          </w:tcPr>
          <w:p w14:paraId="7CD057AD" w14:textId="77777777" w:rsidR="008C222F" w:rsidRPr="006B15C8" w:rsidRDefault="008C222F" w:rsidP="00DA67F1">
            <w:pPr>
              <w:spacing w:line="240" w:lineRule="auto"/>
              <w:jc w:val="center"/>
              <w:rPr>
                <w:sz w:val="16"/>
                <w:szCs w:val="16"/>
              </w:rPr>
            </w:pPr>
            <w:r w:rsidRPr="006B15C8">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tcPr>
          <w:p w14:paraId="5FC07A90" w14:textId="77777777" w:rsidR="008C222F" w:rsidRPr="006B15C8" w:rsidRDefault="008C222F" w:rsidP="00DA67F1">
            <w:pPr>
              <w:spacing w:line="240" w:lineRule="auto"/>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tcPr>
          <w:p w14:paraId="762AC3BF" w14:textId="77777777" w:rsidR="008C222F" w:rsidRPr="006B15C8" w:rsidRDefault="008C222F" w:rsidP="00DA67F1">
            <w:pPr>
              <w:spacing w:line="240" w:lineRule="auto"/>
              <w:jc w:val="center"/>
              <w:rPr>
                <w:sz w:val="16"/>
                <w:szCs w:val="16"/>
              </w:rPr>
            </w:pPr>
          </w:p>
        </w:tc>
        <w:tc>
          <w:tcPr>
            <w:tcW w:w="164" w:type="pct"/>
            <w:tcBorders>
              <w:top w:val="single" w:sz="4" w:space="0" w:color="auto"/>
              <w:left w:val="double" w:sz="4" w:space="0" w:color="auto"/>
              <w:bottom w:val="single" w:sz="4" w:space="0" w:color="auto"/>
              <w:right w:val="single" w:sz="4" w:space="0" w:color="auto"/>
            </w:tcBorders>
            <w:vAlign w:val="center"/>
          </w:tcPr>
          <w:p w14:paraId="61A463A1" w14:textId="77777777" w:rsidR="008C222F" w:rsidRPr="006B15C8" w:rsidRDefault="008C222F" w:rsidP="00DA67F1">
            <w:pPr>
              <w:spacing w:line="240" w:lineRule="auto"/>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7A8F1165" w14:textId="77777777" w:rsidR="008C222F" w:rsidRPr="006B15C8" w:rsidRDefault="008C222F" w:rsidP="00DA67F1">
            <w:pPr>
              <w:spacing w:line="240" w:lineRule="auto"/>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5D9B3DD6" w14:textId="77777777" w:rsidR="008C222F" w:rsidRPr="006B15C8" w:rsidRDefault="008C222F" w:rsidP="00DA67F1">
            <w:pPr>
              <w:spacing w:line="240" w:lineRule="auto"/>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hideMark/>
          </w:tcPr>
          <w:p w14:paraId="27A0152F" w14:textId="77777777" w:rsidR="008C222F" w:rsidRPr="006B15C8" w:rsidRDefault="008C222F" w:rsidP="00DA67F1">
            <w:pPr>
              <w:spacing w:line="240" w:lineRule="auto"/>
              <w:jc w:val="center"/>
              <w:rPr>
                <w:sz w:val="16"/>
                <w:szCs w:val="16"/>
              </w:rPr>
            </w:pPr>
            <w:r w:rsidRPr="006B15C8">
              <w:rPr>
                <w:sz w:val="22"/>
                <w:szCs w:val="22"/>
              </w:rPr>
              <w:t>×</w:t>
            </w:r>
          </w:p>
        </w:tc>
        <w:tc>
          <w:tcPr>
            <w:tcW w:w="157" w:type="pct"/>
            <w:tcBorders>
              <w:top w:val="single" w:sz="4" w:space="0" w:color="auto"/>
              <w:left w:val="single" w:sz="4" w:space="0" w:color="auto"/>
              <w:bottom w:val="single" w:sz="4" w:space="0" w:color="auto"/>
              <w:right w:val="single" w:sz="4" w:space="0" w:color="auto"/>
            </w:tcBorders>
            <w:vAlign w:val="center"/>
          </w:tcPr>
          <w:p w14:paraId="435968C4" w14:textId="77777777" w:rsidR="008C222F" w:rsidRPr="006B15C8" w:rsidRDefault="008C222F" w:rsidP="00DA67F1">
            <w:pPr>
              <w:spacing w:line="240" w:lineRule="auto"/>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14:paraId="581505FC" w14:textId="77777777" w:rsidR="008C222F" w:rsidRPr="006B15C8" w:rsidRDefault="008C222F" w:rsidP="00DA67F1">
            <w:pPr>
              <w:spacing w:line="240" w:lineRule="auto"/>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vAlign w:val="center"/>
          </w:tcPr>
          <w:p w14:paraId="31248633" w14:textId="77777777" w:rsidR="008C222F" w:rsidRPr="006B15C8" w:rsidRDefault="008C222F" w:rsidP="00DA67F1">
            <w:pPr>
              <w:spacing w:line="240" w:lineRule="auto"/>
              <w:jc w:val="center"/>
              <w:rPr>
                <w:sz w:val="16"/>
                <w:szCs w:val="16"/>
              </w:rPr>
            </w:pPr>
            <w:r w:rsidRPr="006B15C8">
              <w:rPr>
                <w:sz w:val="22"/>
                <w:szCs w:val="22"/>
              </w:rPr>
              <w:t>×</w:t>
            </w:r>
          </w:p>
        </w:tc>
      </w:tr>
      <w:tr w:rsidR="003C4EF8" w:rsidRPr="006B15C8" w14:paraId="77A30CB1" w14:textId="77777777" w:rsidTr="00DA67F1">
        <w:tc>
          <w:tcPr>
            <w:tcW w:w="368" w:type="pct"/>
            <w:tcBorders>
              <w:top w:val="single" w:sz="4" w:space="0" w:color="auto"/>
              <w:left w:val="double" w:sz="4" w:space="0" w:color="auto"/>
              <w:bottom w:val="single" w:sz="4" w:space="0" w:color="auto"/>
              <w:right w:val="single" w:sz="4" w:space="0" w:color="auto"/>
            </w:tcBorders>
            <w:vAlign w:val="center"/>
            <w:hideMark/>
          </w:tcPr>
          <w:p w14:paraId="006EFFC2" w14:textId="77777777" w:rsidR="008C222F" w:rsidRPr="006B15C8" w:rsidRDefault="008C222F" w:rsidP="004D553B">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{"citationID":"ncIaj6QV","properties":{"formattedCitation":"(Zafri et al., 2022)","plainCitation":"(Zafri et al., 2022)","dontUpdate":true,"noteIndex":0},"citationItems":[{"id":143,"uris":["http://zotero.org/groups/5885221/items/C92JXYCL"],"itemData":{"id":143,"type":"article-journal","abstract":"Introduction: Globally, pedestrians are one of the most vulnerable road-user groups. Their vulnerability increases while crossing the road at controlled intersections during the “don’t walk” phase. Previous literature shows that driver yielding behavior has an association with pedestrian safety at intersections. Though several studies have explored driver yielding behavior towards pedestrians at conflict points, evidence on how pedestrian actions influence driver yielding behavior at intersections is yet to be investigated. Method: To pursue this end, a binary logistic regression model was developed using the collected data to explore the effect of non-compliant pedestrian characteristics and their road crossing behavior on driver yielding behavior towards pedestrians at six controlled intersections of Dhaka, Bangladesh. The data were collected through videography survey. Results: Results showed that drivers were more likely to yield to pedestrians who were female, crossing in a group, carrying baggage, not using a mobile, making some hand gesture to the driver, or crossing by rolling gap strategy. Practical Applications: These findings add new insights for transportation planners into the complex interaction between vehicles and pedestrians at busy controlled intersections, and thus would help to make a pedestrian friendly street.","container-title":"Journal of Safety Research","DOI":"10.1016/j.jsr.2022.01.001","ISSN":"0022-4375","journalAbbreviation":"Journal of Safety Research","page":"1-8","source":"ScienceDirect","title":"Effect of pedestrian characteristics and their road crossing behaviors on driver yielding behavior at controlled intersections","volume":"81","author":[{"family":"Zafri","given":"Niaz Mahmud"},{"family":"Tabassum","given":"Tanzila"},{"family":"Himal","given":"Md. Rakibul Hasan"},{"family":"Sultana","given":"Rashada"},{"family":"Debnath","given":"Anindya Kishore"}],"issued":{"date-parts":[["2022",6,1]]}}}],"schema":"https://github.com/citation-style-language/schema/raw/master/csl-citation.json"} </w:instrText>
            </w:r>
            <w:r w:rsidRPr="006B15C8">
              <w:rPr>
                <w:sz w:val="16"/>
                <w:szCs w:val="16"/>
              </w:rPr>
              <w:fldChar w:fldCharType="separate"/>
            </w:r>
            <w:r w:rsidRPr="006B15C8">
              <w:rPr>
                <w:sz w:val="16"/>
                <w:szCs w:val="16"/>
              </w:rPr>
              <w:t>Zafri et al., 2022</w:t>
            </w:r>
            <w:r w:rsidRPr="006B15C8">
              <w:rPr>
                <w:sz w:val="16"/>
                <w:szCs w:val="16"/>
              </w:rPr>
              <w:fldChar w:fldCharType="end"/>
            </w:r>
          </w:p>
        </w:tc>
        <w:tc>
          <w:tcPr>
            <w:tcW w:w="286" w:type="pct"/>
            <w:tcBorders>
              <w:top w:val="single" w:sz="4" w:space="0" w:color="auto"/>
              <w:left w:val="single" w:sz="4" w:space="0" w:color="auto"/>
              <w:bottom w:val="single" w:sz="4" w:space="0" w:color="auto"/>
              <w:right w:val="single" w:sz="4" w:space="0" w:color="auto"/>
            </w:tcBorders>
            <w:vAlign w:val="center"/>
            <w:hideMark/>
          </w:tcPr>
          <w:p w14:paraId="3D56704C" w14:textId="77777777" w:rsidR="008C222F" w:rsidRPr="006B15C8" w:rsidRDefault="008C222F" w:rsidP="00DA67F1">
            <w:pPr>
              <w:spacing w:line="240" w:lineRule="auto"/>
              <w:jc w:val="left"/>
              <w:rPr>
                <w:sz w:val="16"/>
                <w:szCs w:val="16"/>
              </w:rPr>
            </w:pPr>
            <w:r w:rsidRPr="006B15C8">
              <w:rPr>
                <w:sz w:val="16"/>
                <w:szCs w:val="16"/>
              </w:rPr>
              <w:t>Bangladesh</w:t>
            </w:r>
          </w:p>
        </w:tc>
        <w:tc>
          <w:tcPr>
            <w:tcW w:w="409" w:type="pct"/>
            <w:tcBorders>
              <w:top w:val="single" w:sz="4" w:space="0" w:color="auto"/>
              <w:left w:val="single" w:sz="4" w:space="0" w:color="auto"/>
              <w:bottom w:val="single" w:sz="4" w:space="0" w:color="auto"/>
              <w:right w:val="single" w:sz="4" w:space="0" w:color="auto"/>
            </w:tcBorders>
            <w:vAlign w:val="center"/>
            <w:hideMark/>
          </w:tcPr>
          <w:p w14:paraId="381EDDA4" w14:textId="77777777" w:rsidR="008C222F" w:rsidRPr="006B15C8" w:rsidRDefault="008C222F" w:rsidP="00DA67F1">
            <w:pPr>
              <w:spacing w:line="240" w:lineRule="auto"/>
              <w:jc w:val="left"/>
              <w:rPr>
                <w:sz w:val="16"/>
                <w:szCs w:val="16"/>
              </w:rPr>
            </w:pPr>
            <w:r w:rsidRPr="006B15C8">
              <w:rPr>
                <w:sz w:val="16"/>
                <w:szCs w:val="16"/>
              </w:rPr>
              <w:t>Video recording</w:t>
            </w:r>
          </w:p>
        </w:tc>
        <w:tc>
          <w:tcPr>
            <w:tcW w:w="255" w:type="pct"/>
            <w:tcBorders>
              <w:top w:val="single" w:sz="4" w:space="0" w:color="auto"/>
              <w:left w:val="single" w:sz="4" w:space="0" w:color="auto"/>
              <w:bottom w:val="single" w:sz="4" w:space="0" w:color="auto"/>
              <w:right w:val="single" w:sz="4" w:space="0" w:color="auto"/>
            </w:tcBorders>
            <w:vAlign w:val="center"/>
            <w:hideMark/>
          </w:tcPr>
          <w:p w14:paraId="1329AD34" w14:textId="77777777" w:rsidR="008C222F" w:rsidRPr="006B15C8" w:rsidRDefault="008C222F" w:rsidP="00DA67F1">
            <w:pPr>
              <w:spacing w:line="240" w:lineRule="auto"/>
              <w:jc w:val="left"/>
              <w:rPr>
                <w:sz w:val="16"/>
                <w:szCs w:val="16"/>
              </w:rPr>
            </w:pPr>
            <w:r w:rsidRPr="006B15C8">
              <w:rPr>
                <w:sz w:val="16"/>
                <w:szCs w:val="16"/>
              </w:rPr>
              <w:t>2 hrs/site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40E66873" w14:textId="77777777" w:rsidR="008C222F" w:rsidRPr="006B15C8" w:rsidRDefault="008C222F" w:rsidP="00DA67F1">
            <w:pPr>
              <w:spacing w:line="240" w:lineRule="auto"/>
              <w:jc w:val="left"/>
              <w:rPr>
                <w:sz w:val="16"/>
                <w:szCs w:val="16"/>
              </w:rPr>
            </w:pPr>
            <w:r w:rsidRPr="006B15C8">
              <w:rPr>
                <w:sz w:val="16"/>
                <w:szCs w:val="16"/>
              </w:rPr>
              <w:t>6 signalized or police-controlled intersections</w:t>
            </w:r>
          </w:p>
        </w:tc>
        <w:tc>
          <w:tcPr>
            <w:tcW w:w="148" w:type="pct"/>
            <w:tcBorders>
              <w:top w:val="single" w:sz="4" w:space="0" w:color="auto"/>
              <w:left w:val="single" w:sz="4" w:space="0" w:color="auto"/>
              <w:bottom w:val="single" w:sz="4" w:space="0" w:color="auto"/>
              <w:right w:val="single" w:sz="4" w:space="0" w:color="auto"/>
            </w:tcBorders>
            <w:vAlign w:val="center"/>
            <w:hideMark/>
          </w:tcPr>
          <w:p w14:paraId="6241E555" w14:textId="77777777" w:rsidR="008C222F" w:rsidRPr="006B15C8" w:rsidRDefault="008C222F" w:rsidP="004D553B">
            <w:pPr>
              <w:spacing w:line="240" w:lineRule="auto"/>
              <w:jc w:val="center"/>
              <w:rPr>
                <w:sz w:val="16"/>
                <w:szCs w:val="16"/>
              </w:rPr>
            </w:pPr>
            <w:r w:rsidRPr="006B15C8">
              <w:rPr>
                <w:sz w:val="16"/>
                <w:szCs w:val="16"/>
              </w:rPr>
              <w:t>314</w:t>
            </w:r>
          </w:p>
        </w:tc>
        <w:tc>
          <w:tcPr>
            <w:tcW w:w="650" w:type="pct"/>
            <w:tcBorders>
              <w:top w:val="single" w:sz="4" w:space="0" w:color="auto"/>
              <w:left w:val="single" w:sz="4" w:space="0" w:color="auto"/>
              <w:bottom w:val="single" w:sz="4" w:space="0" w:color="auto"/>
              <w:right w:val="double" w:sz="4" w:space="0" w:color="auto"/>
            </w:tcBorders>
            <w:vAlign w:val="center"/>
            <w:hideMark/>
          </w:tcPr>
          <w:p w14:paraId="1507DAC1"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Driver yielding</w:t>
            </w:r>
          </w:p>
        </w:tc>
        <w:tc>
          <w:tcPr>
            <w:tcW w:w="164" w:type="pct"/>
            <w:tcBorders>
              <w:top w:val="single" w:sz="4" w:space="0" w:color="auto"/>
              <w:left w:val="double" w:sz="4" w:space="0" w:color="auto"/>
              <w:bottom w:val="single" w:sz="4" w:space="0" w:color="auto"/>
              <w:right w:val="single" w:sz="4" w:space="0" w:color="auto"/>
            </w:tcBorders>
            <w:vAlign w:val="center"/>
            <w:hideMark/>
          </w:tcPr>
          <w:p w14:paraId="695FCEAA" w14:textId="77777777" w:rsidR="008C222F" w:rsidRPr="006B15C8" w:rsidRDefault="008C222F" w:rsidP="00DA67F1">
            <w:pPr>
              <w:spacing w:line="240" w:lineRule="auto"/>
              <w:jc w:val="center"/>
              <w:rPr>
                <w:sz w:val="16"/>
                <w:szCs w:val="16"/>
              </w:rPr>
            </w:pPr>
            <w:r w:rsidRPr="006B15C8">
              <w:rPr>
                <w:sz w:val="22"/>
                <w:szCs w:val="22"/>
              </w:rPr>
              <w:t>×</w:t>
            </w:r>
          </w:p>
        </w:tc>
        <w:tc>
          <w:tcPr>
            <w:tcW w:w="134" w:type="pct"/>
            <w:tcBorders>
              <w:top w:val="single" w:sz="4" w:space="0" w:color="auto"/>
              <w:left w:val="single" w:sz="4" w:space="0" w:color="auto"/>
              <w:bottom w:val="single" w:sz="4" w:space="0" w:color="auto"/>
              <w:right w:val="single" w:sz="4" w:space="0" w:color="auto"/>
            </w:tcBorders>
            <w:vAlign w:val="center"/>
            <w:hideMark/>
          </w:tcPr>
          <w:p w14:paraId="1B884493" w14:textId="77777777" w:rsidR="008C222F" w:rsidRPr="006B15C8" w:rsidRDefault="008C222F" w:rsidP="00DA67F1">
            <w:pPr>
              <w:spacing w:line="240" w:lineRule="auto"/>
              <w:jc w:val="center"/>
              <w:rPr>
                <w:sz w:val="16"/>
                <w:szCs w:val="16"/>
              </w:rPr>
            </w:pPr>
            <w:r w:rsidRPr="006B15C8">
              <w:rPr>
                <w:sz w:val="22"/>
                <w:szCs w:val="22"/>
              </w:rPr>
              <w:t>×</w:t>
            </w:r>
          </w:p>
        </w:tc>
        <w:tc>
          <w:tcPr>
            <w:tcW w:w="165" w:type="pct"/>
            <w:tcBorders>
              <w:top w:val="single" w:sz="4" w:space="0" w:color="auto"/>
              <w:left w:val="single" w:sz="4" w:space="0" w:color="auto"/>
              <w:bottom w:val="single" w:sz="4" w:space="0" w:color="auto"/>
              <w:right w:val="single" w:sz="4" w:space="0" w:color="auto"/>
            </w:tcBorders>
            <w:vAlign w:val="center"/>
          </w:tcPr>
          <w:p w14:paraId="55BB75B2" w14:textId="77777777" w:rsidR="008C222F" w:rsidRPr="006B15C8" w:rsidRDefault="008C222F" w:rsidP="00DA67F1">
            <w:pPr>
              <w:spacing w:line="240" w:lineRule="auto"/>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tcPr>
          <w:p w14:paraId="139F13A5" w14:textId="77777777" w:rsidR="008C222F" w:rsidRPr="006B15C8" w:rsidRDefault="008C222F" w:rsidP="00DA67F1">
            <w:pPr>
              <w:spacing w:line="240" w:lineRule="auto"/>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hideMark/>
          </w:tcPr>
          <w:p w14:paraId="58C15C95" w14:textId="77777777" w:rsidR="008C222F" w:rsidRPr="006B15C8" w:rsidRDefault="008C222F" w:rsidP="00DA67F1">
            <w:pPr>
              <w:spacing w:line="240" w:lineRule="auto"/>
              <w:jc w:val="center"/>
              <w:rPr>
                <w:sz w:val="16"/>
                <w:szCs w:val="16"/>
              </w:rPr>
            </w:pPr>
            <w:r w:rsidRPr="006B15C8">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hideMark/>
          </w:tcPr>
          <w:p w14:paraId="0D09B073" w14:textId="77777777" w:rsidR="008C222F" w:rsidRPr="006B15C8" w:rsidRDefault="008C222F" w:rsidP="00DA67F1">
            <w:pPr>
              <w:spacing w:line="240" w:lineRule="auto"/>
              <w:jc w:val="center"/>
              <w:rPr>
                <w:sz w:val="16"/>
                <w:szCs w:val="16"/>
              </w:rPr>
            </w:pPr>
            <w:r w:rsidRPr="006B15C8">
              <w:rPr>
                <w:sz w:val="22"/>
                <w:szCs w:val="22"/>
              </w:rPr>
              <w:t>×</w:t>
            </w:r>
          </w:p>
        </w:tc>
        <w:tc>
          <w:tcPr>
            <w:tcW w:w="221" w:type="pct"/>
            <w:tcBorders>
              <w:top w:val="single" w:sz="4" w:space="0" w:color="auto"/>
              <w:left w:val="single" w:sz="4" w:space="0" w:color="auto"/>
              <w:bottom w:val="single" w:sz="4" w:space="0" w:color="auto"/>
              <w:right w:val="double" w:sz="4" w:space="0" w:color="auto"/>
            </w:tcBorders>
            <w:vAlign w:val="center"/>
            <w:hideMark/>
          </w:tcPr>
          <w:p w14:paraId="47C2E9F8" w14:textId="77777777" w:rsidR="008C222F" w:rsidRPr="006B15C8" w:rsidRDefault="008C222F" w:rsidP="00DA67F1">
            <w:pPr>
              <w:spacing w:line="240" w:lineRule="auto"/>
              <w:jc w:val="center"/>
              <w:rPr>
                <w:sz w:val="16"/>
                <w:szCs w:val="16"/>
              </w:rPr>
            </w:pPr>
            <w:r w:rsidRPr="006B15C8">
              <w:rPr>
                <w:sz w:val="22"/>
                <w:szCs w:val="22"/>
              </w:rPr>
              <w:t>×</w:t>
            </w:r>
          </w:p>
        </w:tc>
        <w:tc>
          <w:tcPr>
            <w:tcW w:w="164" w:type="pct"/>
            <w:tcBorders>
              <w:top w:val="single" w:sz="4" w:space="0" w:color="auto"/>
              <w:left w:val="double" w:sz="4" w:space="0" w:color="auto"/>
              <w:bottom w:val="single" w:sz="4" w:space="0" w:color="auto"/>
              <w:right w:val="single" w:sz="4" w:space="0" w:color="auto"/>
            </w:tcBorders>
            <w:vAlign w:val="center"/>
          </w:tcPr>
          <w:p w14:paraId="1B969FCB" w14:textId="77777777" w:rsidR="008C222F" w:rsidRPr="006B15C8" w:rsidRDefault="008C222F" w:rsidP="00DA67F1">
            <w:pPr>
              <w:spacing w:line="240" w:lineRule="auto"/>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7C7CFA45" w14:textId="77777777" w:rsidR="008C222F" w:rsidRPr="006B15C8" w:rsidRDefault="008C222F" w:rsidP="00DA67F1">
            <w:pPr>
              <w:spacing w:line="240" w:lineRule="auto"/>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619A2CDD" w14:textId="77777777" w:rsidR="008C222F" w:rsidRPr="006B15C8" w:rsidRDefault="008C222F" w:rsidP="00DA67F1">
            <w:pPr>
              <w:spacing w:line="240" w:lineRule="auto"/>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tcPr>
          <w:p w14:paraId="72B8079A" w14:textId="77777777" w:rsidR="008C222F" w:rsidRPr="006B15C8" w:rsidRDefault="008C222F" w:rsidP="00DA67F1">
            <w:pPr>
              <w:spacing w:line="240" w:lineRule="auto"/>
              <w:jc w:val="center"/>
              <w:rPr>
                <w:sz w:val="16"/>
                <w:szCs w:val="16"/>
              </w:rPr>
            </w:pPr>
          </w:p>
        </w:tc>
        <w:tc>
          <w:tcPr>
            <w:tcW w:w="157" w:type="pct"/>
            <w:tcBorders>
              <w:top w:val="single" w:sz="4" w:space="0" w:color="auto"/>
              <w:left w:val="single" w:sz="4" w:space="0" w:color="auto"/>
              <w:bottom w:val="single" w:sz="4" w:space="0" w:color="auto"/>
              <w:right w:val="single" w:sz="4" w:space="0" w:color="auto"/>
            </w:tcBorders>
            <w:vAlign w:val="center"/>
          </w:tcPr>
          <w:p w14:paraId="19089FAD" w14:textId="77777777" w:rsidR="008C222F" w:rsidRPr="006B15C8" w:rsidRDefault="008C222F" w:rsidP="00DA67F1">
            <w:pPr>
              <w:spacing w:line="240" w:lineRule="auto"/>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14:paraId="7AE265B8" w14:textId="77777777" w:rsidR="008C222F" w:rsidRPr="006B15C8" w:rsidRDefault="008C222F" w:rsidP="00DA67F1">
            <w:pPr>
              <w:spacing w:line="240" w:lineRule="auto"/>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vAlign w:val="center"/>
          </w:tcPr>
          <w:p w14:paraId="5A6534AF" w14:textId="77777777" w:rsidR="008C222F" w:rsidRPr="006B15C8" w:rsidRDefault="008C222F" w:rsidP="00DA67F1">
            <w:pPr>
              <w:spacing w:line="240" w:lineRule="auto"/>
              <w:jc w:val="center"/>
              <w:rPr>
                <w:sz w:val="16"/>
                <w:szCs w:val="16"/>
              </w:rPr>
            </w:pPr>
          </w:p>
        </w:tc>
      </w:tr>
      <w:tr w:rsidR="003C4EF8" w:rsidRPr="006B15C8" w14:paraId="316B2577" w14:textId="77777777" w:rsidTr="00DA67F1">
        <w:tc>
          <w:tcPr>
            <w:tcW w:w="368" w:type="pct"/>
            <w:tcBorders>
              <w:top w:val="single" w:sz="4" w:space="0" w:color="auto"/>
              <w:left w:val="double" w:sz="4" w:space="0" w:color="auto"/>
              <w:bottom w:val="single" w:sz="4" w:space="0" w:color="auto"/>
              <w:right w:val="single" w:sz="4" w:space="0" w:color="auto"/>
            </w:tcBorders>
            <w:vAlign w:val="center"/>
            <w:hideMark/>
          </w:tcPr>
          <w:p w14:paraId="452ACA73" w14:textId="77777777" w:rsidR="008C222F" w:rsidRPr="006B15C8" w:rsidRDefault="008C222F" w:rsidP="004D553B">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{"citationID":"WcMgAlrb","properties":{"formattedCitation":"(Anciaes et al., 2020)","plainCitation":"(Anciaes et al., 2020)","dontUpdate":true,"noteIndex":0},"citationItems":[{"id":416,"uris":["http://zotero.org/groups/5885221/items/AEYHS7SY"],"itemData":{"id":416,"type":"article-journal","abstract":"Courtesy crossings are pedestrian crossing facilities where drivers are not legally required to stop for pedestrians, but are encouraged to do so by design elements such as stripes, coloured or textured road surfaces, visual narrowings of the carriageway, and ramps. There is little empirical evidence on drivers' behaviour or guidance on how to design these crossings. This paper analysed data for 937 interactions between drivers and pedestrians at 20 crossings across England, comparing driver yielding behaviour at courtesy crossings and at zebras (marked unsignalised crossings, where drivers are legally required to stop); and identifying the design elements associated with yielding behaviour at courtesy crossings. The analysis controlled for crossing stage; characteristics and situation of pedestrians and vehicles; characteristics of the road and site; and time context. Driver yielding behaviour was analysed for each separate traffic lane that pedestrians need to cross. We found that all four design elements considered (stripes, coloured/textured surface, visual narrowing, and ramps) increased the propensity of the first vehicle to stop and of any vehicle to stop. A before-after analysis then showed that adding a new element (stripes) to a courtesy crossing led to an increase in yielding rates from 20% to 97%. Overall, we found evidence supporting the use of multiple design elements in courtesy crossings. We discuss the implications of these findings for transport policy and urban design.","container-title":"Transportation Research Part F: Traffic Psychology and Behaviour","DOI":"10.1016/j.trf.2020.07.006","ISSN":"1369-8478","journalAbbreviation":"Transportation Research Part F: Traffic Psychology and Behaviour","page":"453-469","source":"ScienceDirect","title":"Factors explaining driver yielding behaviour towards pedestrians at courtesy crossings","volume":"73","author":[{"family":"Anciaes","given":"Paulo"},{"family":"Di Guardo","given":"Giovanni"},{"family":"Jones","given":"Peter"}],"issued":{"date-parts":[["2020",8,1]]}}}],"schema":"https://github.com/citation-style-language/schema/raw/master/csl-citation.json"} </w:instrText>
            </w:r>
            <w:r w:rsidRPr="006B15C8">
              <w:rPr>
                <w:sz w:val="16"/>
                <w:szCs w:val="16"/>
              </w:rPr>
              <w:fldChar w:fldCharType="separate"/>
            </w:r>
            <w:r w:rsidRPr="006B15C8">
              <w:rPr>
                <w:sz w:val="16"/>
              </w:rPr>
              <w:t>Anciaes et al., 2020</w:t>
            </w:r>
            <w:r w:rsidRPr="006B15C8">
              <w:rPr>
                <w:sz w:val="16"/>
                <w:szCs w:val="16"/>
              </w:rPr>
              <w:fldChar w:fldCharType="end"/>
            </w:r>
          </w:p>
        </w:tc>
        <w:tc>
          <w:tcPr>
            <w:tcW w:w="286" w:type="pct"/>
            <w:tcBorders>
              <w:top w:val="single" w:sz="4" w:space="0" w:color="auto"/>
              <w:left w:val="single" w:sz="4" w:space="0" w:color="auto"/>
              <w:bottom w:val="single" w:sz="4" w:space="0" w:color="auto"/>
              <w:right w:val="single" w:sz="4" w:space="0" w:color="auto"/>
            </w:tcBorders>
            <w:vAlign w:val="center"/>
            <w:hideMark/>
          </w:tcPr>
          <w:p w14:paraId="15A58A34" w14:textId="77777777" w:rsidR="008C222F" w:rsidRPr="006B15C8" w:rsidRDefault="008C222F" w:rsidP="00DA67F1">
            <w:pPr>
              <w:spacing w:line="240" w:lineRule="auto"/>
              <w:jc w:val="left"/>
              <w:rPr>
                <w:sz w:val="16"/>
                <w:szCs w:val="16"/>
              </w:rPr>
            </w:pPr>
            <w:r w:rsidRPr="006B15C8">
              <w:rPr>
                <w:sz w:val="16"/>
                <w:szCs w:val="16"/>
              </w:rPr>
              <w:t>England</w:t>
            </w:r>
          </w:p>
        </w:tc>
        <w:tc>
          <w:tcPr>
            <w:tcW w:w="409" w:type="pct"/>
            <w:tcBorders>
              <w:top w:val="single" w:sz="4" w:space="0" w:color="auto"/>
              <w:left w:val="single" w:sz="4" w:space="0" w:color="auto"/>
              <w:bottom w:val="single" w:sz="4" w:space="0" w:color="auto"/>
              <w:right w:val="single" w:sz="4" w:space="0" w:color="auto"/>
            </w:tcBorders>
            <w:vAlign w:val="center"/>
            <w:hideMark/>
          </w:tcPr>
          <w:p w14:paraId="0AB39A00" w14:textId="3AE66AB5" w:rsidR="008C222F" w:rsidRPr="006B15C8" w:rsidRDefault="008C222F" w:rsidP="00DA67F1">
            <w:pPr>
              <w:spacing w:line="240" w:lineRule="auto"/>
              <w:jc w:val="left"/>
              <w:rPr>
                <w:sz w:val="16"/>
                <w:szCs w:val="16"/>
              </w:rPr>
            </w:pPr>
            <w:r w:rsidRPr="006B15C8">
              <w:rPr>
                <w:sz w:val="16"/>
                <w:szCs w:val="16"/>
              </w:rPr>
              <w:t xml:space="preserve">Video </w:t>
            </w:r>
            <w:r w:rsidR="00DA67F1">
              <w:rPr>
                <w:sz w:val="16"/>
                <w:szCs w:val="16"/>
              </w:rPr>
              <w:t>r</w:t>
            </w:r>
            <w:r w:rsidRPr="006B15C8">
              <w:rPr>
                <w:sz w:val="16"/>
                <w:szCs w:val="16"/>
              </w:rPr>
              <w:t>ecording</w:t>
            </w:r>
          </w:p>
        </w:tc>
        <w:tc>
          <w:tcPr>
            <w:tcW w:w="255" w:type="pct"/>
            <w:tcBorders>
              <w:top w:val="single" w:sz="4" w:space="0" w:color="auto"/>
              <w:left w:val="single" w:sz="4" w:space="0" w:color="auto"/>
              <w:bottom w:val="single" w:sz="4" w:space="0" w:color="auto"/>
              <w:right w:val="single" w:sz="4" w:space="0" w:color="auto"/>
            </w:tcBorders>
            <w:vAlign w:val="center"/>
            <w:hideMark/>
          </w:tcPr>
          <w:p w14:paraId="2727B2D1" w14:textId="77777777" w:rsidR="008C222F" w:rsidRPr="006B15C8" w:rsidRDefault="008C222F" w:rsidP="00DA67F1">
            <w:pPr>
              <w:spacing w:line="240" w:lineRule="auto"/>
              <w:jc w:val="left"/>
              <w:rPr>
                <w:sz w:val="16"/>
                <w:szCs w:val="16"/>
              </w:rPr>
            </w:pPr>
            <w:r w:rsidRPr="006B15C8">
              <w:rPr>
                <w:sz w:val="16"/>
                <w:szCs w:val="16"/>
              </w:rPr>
              <w:t>14-32 min/site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3903B3F9" w14:textId="744F717A" w:rsidR="008C222F" w:rsidRPr="006B15C8" w:rsidRDefault="008C222F" w:rsidP="00DA67F1">
            <w:pPr>
              <w:spacing w:line="240" w:lineRule="auto"/>
              <w:jc w:val="left"/>
              <w:rPr>
                <w:sz w:val="16"/>
                <w:szCs w:val="16"/>
              </w:rPr>
            </w:pPr>
            <w:r w:rsidRPr="006B15C8">
              <w:rPr>
                <w:sz w:val="16"/>
                <w:szCs w:val="16"/>
              </w:rPr>
              <w:t>3 unsignalized zebra and 17 courtesy crossings</w:t>
            </w:r>
            <w:r w:rsidR="006119D4" w:rsidRPr="006B15C8">
              <w:rPr>
                <w:sz w:val="16"/>
                <w:szCs w:val="16"/>
              </w:rPr>
              <w:t xml:space="preserve"> (drivers have no legal obligation to yield)</w:t>
            </w:r>
          </w:p>
        </w:tc>
        <w:tc>
          <w:tcPr>
            <w:tcW w:w="148" w:type="pct"/>
            <w:tcBorders>
              <w:top w:val="single" w:sz="4" w:space="0" w:color="auto"/>
              <w:left w:val="single" w:sz="4" w:space="0" w:color="auto"/>
              <w:bottom w:val="single" w:sz="4" w:space="0" w:color="auto"/>
              <w:right w:val="single" w:sz="4" w:space="0" w:color="auto"/>
            </w:tcBorders>
            <w:vAlign w:val="center"/>
            <w:hideMark/>
          </w:tcPr>
          <w:p w14:paraId="5E1C2C33" w14:textId="77777777" w:rsidR="008C222F" w:rsidRPr="006B15C8" w:rsidRDefault="008C222F" w:rsidP="004D553B">
            <w:pPr>
              <w:spacing w:line="240" w:lineRule="auto"/>
              <w:jc w:val="center"/>
              <w:rPr>
                <w:sz w:val="16"/>
                <w:szCs w:val="16"/>
              </w:rPr>
            </w:pPr>
            <w:r w:rsidRPr="006B15C8">
              <w:rPr>
                <w:sz w:val="16"/>
                <w:szCs w:val="16"/>
              </w:rPr>
              <w:t>937</w:t>
            </w:r>
          </w:p>
        </w:tc>
        <w:tc>
          <w:tcPr>
            <w:tcW w:w="650" w:type="pct"/>
            <w:tcBorders>
              <w:top w:val="single" w:sz="4" w:space="0" w:color="auto"/>
              <w:left w:val="single" w:sz="4" w:space="0" w:color="auto"/>
              <w:bottom w:val="single" w:sz="4" w:space="0" w:color="auto"/>
              <w:right w:val="double" w:sz="4" w:space="0" w:color="auto"/>
            </w:tcBorders>
            <w:vAlign w:val="center"/>
            <w:hideMark/>
          </w:tcPr>
          <w:p w14:paraId="79D88B12"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Crossing design characteristics that affect driver yielding frequency</w:t>
            </w:r>
          </w:p>
        </w:tc>
        <w:tc>
          <w:tcPr>
            <w:tcW w:w="164" w:type="pct"/>
            <w:tcBorders>
              <w:top w:val="single" w:sz="4" w:space="0" w:color="auto"/>
              <w:left w:val="double" w:sz="4" w:space="0" w:color="auto"/>
              <w:bottom w:val="single" w:sz="4" w:space="0" w:color="auto"/>
              <w:right w:val="single" w:sz="4" w:space="0" w:color="auto"/>
            </w:tcBorders>
            <w:vAlign w:val="center"/>
            <w:hideMark/>
          </w:tcPr>
          <w:p w14:paraId="035C3CFC" w14:textId="77777777" w:rsidR="008C222F" w:rsidRPr="006B15C8" w:rsidRDefault="008C222F" w:rsidP="00DA67F1">
            <w:pPr>
              <w:spacing w:line="240" w:lineRule="auto"/>
              <w:jc w:val="center"/>
              <w:rPr>
                <w:sz w:val="16"/>
                <w:szCs w:val="16"/>
              </w:rPr>
            </w:pPr>
            <w:r w:rsidRPr="006B15C8">
              <w:rPr>
                <w:sz w:val="22"/>
                <w:szCs w:val="22"/>
              </w:rPr>
              <w:t>×</w:t>
            </w:r>
          </w:p>
        </w:tc>
        <w:tc>
          <w:tcPr>
            <w:tcW w:w="134" w:type="pct"/>
            <w:tcBorders>
              <w:top w:val="single" w:sz="4" w:space="0" w:color="auto"/>
              <w:left w:val="single" w:sz="4" w:space="0" w:color="auto"/>
              <w:bottom w:val="single" w:sz="4" w:space="0" w:color="auto"/>
              <w:right w:val="single" w:sz="4" w:space="0" w:color="auto"/>
            </w:tcBorders>
            <w:vAlign w:val="center"/>
            <w:hideMark/>
          </w:tcPr>
          <w:p w14:paraId="049C4460" w14:textId="77777777" w:rsidR="008C222F" w:rsidRPr="006B15C8" w:rsidRDefault="008C222F" w:rsidP="00DA67F1">
            <w:pPr>
              <w:spacing w:line="240" w:lineRule="auto"/>
              <w:jc w:val="center"/>
              <w:rPr>
                <w:sz w:val="16"/>
                <w:szCs w:val="16"/>
              </w:rPr>
            </w:pPr>
            <w:r w:rsidRPr="006B15C8">
              <w:rPr>
                <w:sz w:val="22"/>
                <w:szCs w:val="22"/>
              </w:rPr>
              <w:t>×</w:t>
            </w:r>
          </w:p>
        </w:tc>
        <w:tc>
          <w:tcPr>
            <w:tcW w:w="165" w:type="pct"/>
            <w:tcBorders>
              <w:top w:val="single" w:sz="4" w:space="0" w:color="auto"/>
              <w:left w:val="single" w:sz="4" w:space="0" w:color="auto"/>
              <w:bottom w:val="single" w:sz="4" w:space="0" w:color="auto"/>
              <w:right w:val="single" w:sz="4" w:space="0" w:color="auto"/>
            </w:tcBorders>
            <w:vAlign w:val="center"/>
          </w:tcPr>
          <w:p w14:paraId="79F7CC85" w14:textId="77777777" w:rsidR="008C222F" w:rsidRPr="006B15C8" w:rsidRDefault="008C222F" w:rsidP="00DA67F1">
            <w:pPr>
              <w:spacing w:line="240" w:lineRule="auto"/>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hideMark/>
          </w:tcPr>
          <w:p w14:paraId="326E0C9E" w14:textId="77777777" w:rsidR="008C222F" w:rsidRPr="006B15C8" w:rsidRDefault="008C222F" w:rsidP="00DA67F1">
            <w:pPr>
              <w:spacing w:line="240" w:lineRule="auto"/>
              <w:jc w:val="center"/>
              <w:rPr>
                <w:sz w:val="16"/>
                <w:szCs w:val="16"/>
              </w:rPr>
            </w:pPr>
            <w:r w:rsidRPr="006B15C8">
              <w:rPr>
                <w:sz w:val="22"/>
                <w:szCs w:val="22"/>
              </w:rPr>
              <w:t>×</w:t>
            </w:r>
          </w:p>
        </w:tc>
        <w:tc>
          <w:tcPr>
            <w:tcW w:w="136" w:type="pct"/>
            <w:tcBorders>
              <w:top w:val="single" w:sz="4" w:space="0" w:color="auto"/>
              <w:left w:val="double" w:sz="4" w:space="0" w:color="auto"/>
              <w:bottom w:val="single" w:sz="4" w:space="0" w:color="auto"/>
              <w:right w:val="single" w:sz="4" w:space="0" w:color="auto"/>
            </w:tcBorders>
            <w:vAlign w:val="center"/>
            <w:hideMark/>
          </w:tcPr>
          <w:p w14:paraId="42E6DE71" w14:textId="77777777" w:rsidR="008C222F" w:rsidRPr="006B15C8" w:rsidRDefault="008C222F" w:rsidP="00DA67F1">
            <w:pPr>
              <w:spacing w:line="240" w:lineRule="auto"/>
              <w:jc w:val="center"/>
              <w:rPr>
                <w:sz w:val="16"/>
                <w:szCs w:val="16"/>
              </w:rPr>
            </w:pPr>
            <w:r w:rsidRPr="006B15C8">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tcPr>
          <w:p w14:paraId="2DF0751C" w14:textId="77777777" w:rsidR="008C222F" w:rsidRPr="006B15C8" w:rsidRDefault="008C222F" w:rsidP="00DA67F1">
            <w:pPr>
              <w:spacing w:line="240" w:lineRule="auto"/>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tcPr>
          <w:p w14:paraId="7CC987C3" w14:textId="77777777" w:rsidR="008C222F" w:rsidRPr="006B15C8" w:rsidRDefault="008C222F" w:rsidP="00DA67F1">
            <w:pPr>
              <w:spacing w:line="240" w:lineRule="auto"/>
              <w:jc w:val="center"/>
              <w:rPr>
                <w:sz w:val="16"/>
                <w:szCs w:val="16"/>
              </w:rPr>
            </w:pPr>
          </w:p>
        </w:tc>
        <w:tc>
          <w:tcPr>
            <w:tcW w:w="164" w:type="pct"/>
            <w:tcBorders>
              <w:top w:val="single" w:sz="4" w:space="0" w:color="auto"/>
              <w:left w:val="double" w:sz="4" w:space="0" w:color="auto"/>
              <w:bottom w:val="single" w:sz="4" w:space="0" w:color="auto"/>
              <w:right w:val="single" w:sz="4" w:space="0" w:color="auto"/>
            </w:tcBorders>
            <w:vAlign w:val="center"/>
          </w:tcPr>
          <w:p w14:paraId="5A6A46D0" w14:textId="77777777" w:rsidR="008C222F" w:rsidRPr="006B15C8" w:rsidRDefault="008C222F" w:rsidP="00DA67F1">
            <w:pPr>
              <w:spacing w:line="240" w:lineRule="auto"/>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3A2B86E2" w14:textId="77777777" w:rsidR="008C222F" w:rsidRPr="006B15C8" w:rsidRDefault="008C222F" w:rsidP="00DA67F1">
            <w:pPr>
              <w:spacing w:line="240" w:lineRule="auto"/>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32E26677" w14:textId="77777777" w:rsidR="008C222F" w:rsidRPr="006B15C8" w:rsidRDefault="008C222F" w:rsidP="00DA67F1">
            <w:pPr>
              <w:spacing w:line="240" w:lineRule="auto"/>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hideMark/>
          </w:tcPr>
          <w:p w14:paraId="3281BF52" w14:textId="77777777" w:rsidR="008C222F" w:rsidRPr="006B15C8" w:rsidRDefault="008C222F" w:rsidP="00DA67F1">
            <w:pPr>
              <w:spacing w:line="240" w:lineRule="auto"/>
              <w:jc w:val="center"/>
              <w:rPr>
                <w:sz w:val="16"/>
                <w:szCs w:val="16"/>
              </w:rPr>
            </w:pPr>
            <w:r w:rsidRPr="006B15C8">
              <w:rPr>
                <w:sz w:val="22"/>
                <w:szCs w:val="22"/>
              </w:rPr>
              <w:t>×</w:t>
            </w:r>
          </w:p>
        </w:tc>
        <w:tc>
          <w:tcPr>
            <w:tcW w:w="157" w:type="pct"/>
            <w:tcBorders>
              <w:top w:val="single" w:sz="4" w:space="0" w:color="auto"/>
              <w:left w:val="single" w:sz="4" w:space="0" w:color="auto"/>
              <w:bottom w:val="single" w:sz="4" w:space="0" w:color="auto"/>
              <w:right w:val="single" w:sz="4" w:space="0" w:color="auto"/>
            </w:tcBorders>
            <w:vAlign w:val="center"/>
          </w:tcPr>
          <w:p w14:paraId="36956955" w14:textId="77777777" w:rsidR="008C222F" w:rsidRPr="006B15C8" w:rsidRDefault="008C222F" w:rsidP="00DA67F1">
            <w:pPr>
              <w:spacing w:line="240" w:lineRule="auto"/>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14:paraId="1CF6B2BB" w14:textId="77777777" w:rsidR="008C222F" w:rsidRPr="006B15C8" w:rsidRDefault="008C222F" w:rsidP="00DA67F1">
            <w:pPr>
              <w:spacing w:line="240" w:lineRule="auto"/>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vAlign w:val="center"/>
            <w:hideMark/>
          </w:tcPr>
          <w:p w14:paraId="3F336309" w14:textId="77777777" w:rsidR="008C222F" w:rsidRPr="006B15C8" w:rsidRDefault="008C222F" w:rsidP="00DA67F1">
            <w:pPr>
              <w:spacing w:line="240" w:lineRule="auto"/>
              <w:jc w:val="center"/>
              <w:rPr>
                <w:sz w:val="16"/>
                <w:szCs w:val="16"/>
              </w:rPr>
            </w:pPr>
            <w:r w:rsidRPr="006B15C8">
              <w:rPr>
                <w:sz w:val="22"/>
                <w:szCs w:val="22"/>
              </w:rPr>
              <w:t>×</w:t>
            </w:r>
          </w:p>
        </w:tc>
      </w:tr>
      <w:tr w:rsidR="003C4EF8" w:rsidRPr="006B15C8" w14:paraId="33AC1A5E" w14:textId="77777777" w:rsidTr="00DA67F1">
        <w:tc>
          <w:tcPr>
            <w:tcW w:w="368" w:type="pct"/>
            <w:tcBorders>
              <w:top w:val="single" w:sz="4" w:space="0" w:color="auto"/>
              <w:left w:val="double" w:sz="4" w:space="0" w:color="auto"/>
              <w:bottom w:val="single" w:sz="4" w:space="0" w:color="auto"/>
              <w:right w:val="single" w:sz="4" w:space="0" w:color="auto"/>
            </w:tcBorders>
            <w:vAlign w:val="center"/>
            <w:hideMark/>
          </w:tcPr>
          <w:p w14:paraId="76890DDC" w14:textId="77777777" w:rsidR="008C222F" w:rsidRPr="006B15C8" w:rsidRDefault="008C222F" w:rsidP="004D553B">
            <w:pPr>
              <w:spacing w:line="240" w:lineRule="auto"/>
              <w:jc w:val="left"/>
              <w:rPr>
                <w:sz w:val="16"/>
                <w:szCs w:val="16"/>
              </w:rPr>
            </w:pPr>
            <w:r w:rsidRPr="006B15C8">
              <w:rPr>
                <w:sz w:val="16"/>
                <w:szCs w:val="16"/>
              </w:rPr>
              <w:fldChar w:fldCharType="begin"/>
            </w:r>
            <w:r w:rsidR="00911EF4" w:rsidRPr="006B15C8">
              <w:rPr>
                <w:sz w:val="16"/>
                <w:szCs w:val="16"/>
              </w:rPr>
              <w:instrText xml:space="preserve"> ADDIN ZOTERO_ITEM CSL_CITATION {"citationID":"LjWCjei9","properties":{"formattedCitation":"(Bella &amp; Nobili, 2020)","plainCitation":"(Bella &amp; Nobili, 2020)","dontUpdate":true,"noteIndex":0},"citationItems":[{"id":72,"uris":["http://zotero.org/groups/5885221/items/VJ3EL7RE"],"itemData":{"id":72,"type":"article-journal","abstract":"Pedestrian crossing outside of a zebra crossing (jaywalking) is one of those pedestrian behaviors that may highly affect safety and operations. Unlike permissible crossings at zebra crossings, jaywalking events are not often anticipated by drivers, which may result in less driver reaction time and different vehicle operation dynamics. The objective of the research was to study driver’s behavior as well as to model the interaction with a pedestrian, who was crossing at and outside (jaywalker) of designated zebra crossings. Data were collected through an instrumented vehicle study. Sixteen participants took part in the survey. Each participant’s vehicle was instrumented with a video camera and a global positioning system (GPS) device. Each participant drove his vehicle along two streets of the center of Rome, during which numerous events of crossings at and outside the zebra crossing were detected. The acquired data allowed obtaining the driver’s speed profiles in approach to the pedestrian crossing. The analysis was based on variables that were obtained from the speed profiles of drivers. The driver’s behavior under legal and illegal crossings was analyzed in terms of driver yielding rates and yielding types, relationship between speed and distance of the vehicle from the conflict point at the decision point, and for different times left for the vehicle to get to the conflict point at the moment the pedestrian reaches the curb as well as pedestrian origin (form the right or left). Significant differences were detected in driver’s behavior during the interaction with the pedestrian crossing at and outside of the zebra crossing. The main results highlighted that the average yield rate to jaywalkers was lower than that to pedestrians at permissible crossings, the average deceleration rates were higher in the case of illegal crossing and driver yielding decision point to jaywalkers was closer to the conflict point. The obtained results provide the basis for modeling interactions between pedestrians crossing at and outside of crosswalks and approaching drivers in a micro-simulation environment.","collection-title":"Transport Infrastructure and systems in a changing world. Towards a more sustainable, reliable and smarter mobility.TIS Roma 2019 Conference Proceedings","container-title":"Transportation Research Procedia","DOI":"10.1016/j.trpro.2020.03.038","ISSN":"2352-1465","journalAbbreviation":"Transportation Research Procedia","page":"451-458","source":"ScienceDirect","title":"Driver-pedestrian interaction under legal and illegal pedestrian crossings","volume":"45","author":[{"family":"Bella","given":"Francesco"},{"family":"Nobili","given":"Federica"}],"issued":{"date-parts":[["2020",1,1]]}}}],"schema":"https://github.com/citation-style-language/schema/raw/master/csl-citation.json"} </w:instrText>
            </w:r>
            <w:r w:rsidRPr="006B15C8">
              <w:rPr>
                <w:sz w:val="16"/>
                <w:szCs w:val="16"/>
              </w:rPr>
              <w:fldChar w:fldCharType="separate"/>
            </w:r>
            <w:r w:rsidRPr="006B15C8">
              <w:rPr>
                <w:sz w:val="16"/>
              </w:rPr>
              <w:t>Bella and Nobili, 2020</w:t>
            </w:r>
            <w:r w:rsidRPr="006B15C8">
              <w:rPr>
                <w:sz w:val="16"/>
                <w:szCs w:val="16"/>
              </w:rPr>
              <w:fldChar w:fldCharType="end"/>
            </w:r>
          </w:p>
        </w:tc>
        <w:tc>
          <w:tcPr>
            <w:tcW w:w="286" w:type="pct"/>
            <w:tcBorders>
              <w:top w:val="single" w:sz="4" w:space="0" w:color="auto"/>
              <w:left w:val="single" w:sz="4" w:space="0" w:color="auto"/>
              <w:bottom w:val="single" w:sz="4" w:space="0" w:color="auto"/>
              <w:right w:val="single" w:sz="4" w:space="0" w:color="auto"/>
            </w:tcBorders>
            <w:vAlign w:val="center"/>
            <w:hideMark/>
          </w:tcPr>
          <w:p w14:paraId="02E5A3A4" w14:textId="77777777" w:rsidR="008C222F" w:rsidRPr="006B15C8" w:rsidRDefault="008C222F" w:rsidP="00DA67F1">
            <w:pPr>
              <w:spacing w:line="240" w:lineRule="auto"/>
              <w:jc w:val="left"/>
              <w:rPr>
                <w:sz w:val="16"/>
                <w:szCs w:val="16"/>
              </w:rPr>
            </w:pPr>
            <w:r w:rsidRPr="006B15C8">
              <w:rPr>
                <w:sz w:val="16"/>
                <w:szCs w:val="16"/>
              </w:rPr>
              <w:t>Italy</w:t>
            </w:r>
          </w:p>
        </w:tc>
        <w:tc>
          <w:tcPr>
            <w:tcW w:w="409" w:type="pct"/>
            <w:tcBorders>
              <w:top w:val="single" w:sz="4" w:space="0" w:color="auto"/>
              <w:left w:val="single" w:sz="4" w:space="0" w:color="auto"/>
              <w:bottom w:val="single" w:sz="4" w:space="0" w:color="auto"/>
              <w:right w:val="single" w:sz="4" w:space="0" w:color="auto"/>
            </w:tcBorders>
            <w:vAlign w:val="center"/>
            <w:hideMark/>
          </w:tcPr>
          <w:p w14:paraId="3EC381A7" w14:textId="77777777" w:rsidR="008C222F" w:rsidRPr="006B15C8" w:rsidRDefault="008C222F" w:rsidP="00DA67F1">
            <w:pPr>
              <w:spacing w:line="240" w:lineRule="auto"/>
              <w:jc w:val="left"/>
              <w:rPr>
                <w:sz w:val="16"/>
                <w:szCs w:val="16"/>
              </w:rPr>
            </w:pPr>
            <w:r w:rsidRPr="006B15C8">
              <w:rPr>
                <w:sz w:val="16"/>
                <w:szCs w:val="16"/>
              </w:rPr>
              <w:t>Video recording and GPS on vehicle</w:t>
            </w:r>
          </w:p>
        </w:tc>
        <w:tc>
          <w:tcPr>
            <w:tcW w:w="255" w:type="pct"/>
            <w:tcBorders>
              <w:top w:val="single" w:sz="4" w:space="0" w:color="auto"/>
              <w:left w:val="single" w:sz="4" w:space="0" w:color="auto"/>
              <w:bottom w:val="single" w:sz="4" w:space="0" w:color="auto"/>
              <w:right w:val="single" w:sz="4" w:space="0" w:color="auto"/>
            </w:tcBorders>
            <w:vAlign w:val="center"/>
            <w:hideMark/>
          </w:tcPr>
          <w:p w14:paraId="6D51AA8D" w14:textId="77777777" w:rsidR="008C222F" w:rsidRPr="006B15C8" w:rsidRDefault="008C222F" w:rsidP="00DA67F1">
            <w:pPr>
              <w:spacing w:line="240" w:lineRule="auto"/>
              <w:jc w:val="left"/>
              <w:rPr>
                <w:sz w:val="16"/>
                <w:szCs w:val="16"/>
              </w:rPr>
            </w:pPr>
            <w:r w:rsidRPr="006B15C8">
              <w:rPr>
                <w:sz w:val="16"/>
                <w:szCs w:val="16"/>
              </w:rPr>
              <w:t>--</w:t>
            </w:r>
          </w:p>
        </w:tc>
        <w:tc>
          <w:tcPr>
            <w:tcW w:w="506" w:type="pct"/>
            <w:tcBorders>
              <w:top w:val="single" w:sz="4" w:space="0" w:color="auto"/>
              <w:left w:val="single" w:sz="4" w:space="0" w:color="auto"/>
              <w:bottom w:val="single" w:sz="4" w:space="0" w:color="auto"/>
              <w:right w:val="single" w:sz="4" w:space="0" w:color="auto"/>
            </w:tcBorders>
            <w:vAlign w:val="center"/>
            <w:hideMark/>
          </w:tcPr>
          <w:p w14:paraId="7108CD9E" w14:textId="77777777" w:rsidR="008C222F" w:rsidRPr="006B15C8" w:rsidRDefault="008C222F" w:rsidP="00DA67F1">
            <w:pPr>
              <w:spacing w:line="240" w:lineRule="auto"/>
              <w:jc w:val="left"/>
              <w:rPr>
                <w:sz w:val="16"/>
                <w:szCs w:val="16"/>
              </w:rPr>
            </w:pPr>
            <w:r w:rsidRPr="006B15C8">
              <w:rPr>
                <w:sz w:val="16"/>
                <w:szCs w:val="16"/>
              </w:rPr>
              <w:t>4 signalized and 11 unsignalized zebra crossings</w:t>
            </w:r>
          </w:p>
        </w:tc>
        <w:tc>
          <w:tcPr>
            <w:tcW w:w="148" w:type="pct"/>
            <w:tcBorders>
              <w:top w:val="single" w:sz="4" w:space="0" w:color="auto"/>
              <w:left w:val="single" w:sz="4" w:space="0" w:color="auto"/>
              <w:bottom w:val="single" w:sz="4" w:space="0" w:color="auto"/>
              <w:right w:val="single" w:sz="4" w:space="0" w:color="auto"/>
            </w:tcBorders>
            <w:vAlign w:val="center"/>
            <w:hideMark/>
          </w:tcPr>
          <w:p w14:paraId="79C523E6" w14:textId="77777777" w:rsidR="008C222F" w:rsidRPr="006B15C8" w:rsidRDefault="008C222F" w:rsidP="004D553B">
            <w:pPr>
              <w:spacing w:line="240" w:lineRule="auto"/>
              <w:jc w:val="center"/>
              <w:rPr>
                <w:sz w:val="16"/>
                <w:szCs w:val="16"/>
              </w:rPr>
            </w:pPr>
            <w:r w:rsidRPr="006B15C8">
              <w:rPr>
                <w:sz w:val="16"/>
                <w:szCs w:val="16"/>
              </w:rPr>
              <w:t>76</w:t>
            </w:r>
          </w:p>
        </w:tc>
        <w:tc>
          <w:tcPr>
            <w:tcW w:w="650" w:type="pct"/>
            <w:tcBorders>
              <w:top w:val="single" w:sz="4" w:space="0" w:color="auto"/>
              <w:left w:val="single" w:sz="4" w:space="0" w:color="auto"/>
              <w:bottom w:val="single" w:sz="4" w:space="0" w:color="auto"/>
              <w:right w:val="double" w:sz="4" w:space="0" w:color="auto"/>
            </w:tcBorders>
            <w:vAlign w:val="center"/>
            <w:hideMark/>
          </w:tcPr>
          <w:p w14:paraId="1AFF385A"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Driver non-yield, soft-yield, and yield behavior</w:t>
            </w:r>
          </w:p>
        </w:tc>
        <w:tc>
          <w:tcPr>
            <w:tcW w:w="164" w:type="pct"/>
            <w:tcBorders>
              <w:top w:val="single" w:sz="4" w:space="0" w:color="auto"/>
              <w:left w:val="double" w:sz="4" w:space="0" w:color="auto"/>
              <w:bottom w:val="single" w:sz="4" w:space="0" w:color="auto"/>
              <w:right w:val="single" w:sz="4" w:space="0" w:color="auto"/>
            </w:tcBorders>
            <w:vAlign w:val="center"/>
          </w:tcPr>
          <w:p w14:paraId="4C2189AB" w14:textId="77777777" w:rsidR="008C222F" w:rsidRPr="006B15C8" w:rsidRDefault="008C222F" w:rsidP="00DA67F1">
            <w:pPr>
              <w:spacing w:line="240" w:lineRule="auto"/>
              <w:jc w:val="center"/>
              <w:rPr>
                <w:sz w:val="16"/>
                <w:szCs w:val="16"/>
              </w:rPr>
            </w:pPr>
          </w:p>
        </w:tc>
        <w:tc>
          <w:tcPr>
            <w:tcW w:w="134" w:type="pct"/>
            <w:tcBorders>
              <w:top w:val="single" w:sz="4" w:space="0" w:color="auto"/>
              <w:left w:val="single" w:sz="4" w:space="0" w:color="auto"/>
              <w:bottom w:val="single" w:sz="4" w:space="0" w:color="auto"/>
              <w:right w:val="single" w:sz="4" w:space="0" w:color="auto"/>
            </w:tcBorders>
            <w:vAlign w:val="center"/>
          </w:tcPr>
          <w:p w14:paraId="3DAB4F12" w14:textId="77777777" w:rsidR="008C222F" w:rsidRPr="006B15C8" w:rsidRDefault="008C222F" w:rsidP="00DA67F1">
            <w:pPr>
              <w:spacing w:line="240" w:lineRule="auto"/>
              <w:jc w:val="center"/>
              <w:rPr>
                <w:sz w:val="16"/>
                <w:szCs w:val="16"/>
              </w:rPr>
            </w:pPr>
          </w:p>
        </w:tc>
        <w:tc>
          <w:tcPr>
            <w:tcW w:w="165" w:type="pct"/>
            <w:tcBorders>
              <w:top w:val="single" w:sz="4" w:space="0" w:color="auto"/>
              <w:left w:val="single" w:sz="4" w:space="0" w:color="auto"/>
              <w:bottom w:val="single" w:sz="4" w:space="0" w:color="auto"/>
              <w:right w:val="single" w:sz="4" w:space="0" w:color="auto"/>
            </w:tcBorders>
            <w:vAlign w:val="center"/>
          </w:tcPr>
          <w:p w14:paraId="7005393B" w14:textId="77777777" w:rsidR="008C222F" w:rsidRPr="006B15C8" w:rsidRDefault="008C222F" w:rsidP="00DA67F1">
            <w:pPr>
              <w:spacing w:line="240" w:lineRule="auto"/>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tcPr>
          <w:p w14:paraId="13718885" w14:textId="77777777" w:rsidR="008C222F" w:rsidRPr="006B15C8" w:rsidRDefault="008C222F" w:rsidP="00DA67F1">
            <w:pPr>
              <w:spacing w:line="240" w:lineRule="auto"/>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tcPr>
          <w:p w14:paraId="058F0201" w14:textId="77777777" w:rsidR="008C222F" w:rsidRPr="006B15C8" w:rsidRDefault="008C222F" w:rsidP="00DA67F1">
            <w:pPr>
              <w:spacing w:line="240" w:lineRule="auto"/>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vAlign w:val="center"/>
          </w:tcPr>
          <w:p w14:paraId="5A4C8FDE" w14:textId="77777777" w:rsidR="008C222F" w:rsidRPr="006B15C8" w:rsidRDefault="008C222F" w:rsidP="00DA67F1">
            <w:pPr>
              <w:spacing w:line="240" w:lineRule="auto"/>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hideMark/>
          </w:tcPr>
          <w:p w14:paraId="463817A2" w14:textId="77777777" w:rsidR="008C222F" w:rsidRPr="006B15C8" w:rsidRDefault="008C222F" w:rsidP="00DA67F1">
            <w:pPr>
              <w:spacing w:line="240" w:lineRule="auto"/>
              <w:jc w:val="center"/>
              <w:rPr>
                <w:sz w:val="16"/>
                <w:szCs w:val="16"/>
              </w:rPr>
            </w:pPr>
            <w:r w:rsidRPr="006B15C8">
              <w:rPr>
                <w:sz w:val="22"/>
                <w:szCs w:val="22"/>
              </w:rPr>
              <w:t>×</w:t>
            </w:r>
          </w:p>
        </w:tc>
        <w:tc>
          <w:tcPr>
            <w:tcW w:w="164" w:type="pct"/>
            <w:tcBorders>
              <w:top w:val="single" w:sz="4" w:space="0" w:color="auto"/>
              <w:left w:val="double" w:sz="4" w:space="0" w:color="auto"/>
              <w:bottom w:val="single" w:sz="4" w:space="0" w:color="auto"/>
              <w:right w:val="single" w:sz="4" w:space="0" w:color="auto"/>
            </w:tcBorders>
            <w:vAlign w:val="center"/>
          </w:tcPr>
          <w:p w14:paraId="70EF6F7A" w14:textId="77777777" w:rsidR="008C222F" w:rsidRPr="006B15C8" w:rsidRDefault="008C222F" w:rsidP="00DA67F1">
            <w:pPr>
              <w:spacing w:line="240" w:lineRule="auto"/>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2C947C0E" w14:textId="77777777" w:rsidR="008C222F" w:rsidRPr="006B15C8" w:rsidRDefault="008C222F" w:rsidP="00DA67F1">
            <w:pPr>
              <w:spacing w:line="240" w:lineRule="auto"/>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5767EBBE" w14:textId="77777777" w:rsidR="008C222F" w:rsidRPr="006B15C8" w:rsidRDefault="008C222F" w:rsidP="00DA67F1">
            <w:pPr>
              <w:spacing w:line="240" w:lineRule="auto"/>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tcPr>
          <w:p w14:paraId="48CBBCE0" w14:textId="77777777" w:rsidR="008C222F" w:rsidRPr="006B15C8" w:rsidRDefault="008C222F" w:rsidP="00DA67F1">
            <w:pPr>
              <w:spacing w:line="240" w:lineRule="auto"/>
              <w:jc w:val="center"/>
              <w:rPr>
                <w:sz w:val="16"/>
                <w:szCs w:val="16"/>
              </w:rPr>
            </w:pPr>
          </w:p>
        </w:tc>
        <w:tc>
          <w:tcPr>
            <w:tcW w:w="157" w:type="pct"/>
            <w:tcBorders>
              <w:top w:val="single" w:sz="4" w:space="0" w:color="auto"/>
              <w:left w:val="single" w:sz="4" w:space="0" w:color="auto"/>
              <w:bottom w:val="single" w:sz="4" w:space="0" w:color="auto"/>
              <w:right w:val="single" w:sz="4" w:space="0" w:color="auto"/>
            </w:tcBorders>
            <w:vAlign w:val="center"/>
          </w:tcPr>
          <w:p w14:paraId="4B19C9F2" w14:textId="77777777" w:rsidR="008C222F" w:rsidRPr="006B15C8" w:rsidRDefault="008C222F" w:rsidP="00DA67F1">
            <w:pPr>
              <w:spacing w:line="240" w:lineRule="auto"/>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14:paraId="37652A52" w14:textId="77777777" w:rsidR="008C222F" w:rsidRPr="006B15C8" w:rsidRDefault="008C222F" w:rsidP="00DA67F1">
            <w:pPr>
              <w:spacing w:line="240" w:lineRule="auto"/>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vAlign w:val="center"/>
          </w:tcPr>
          <w:p w14:paraId="3F156AB9" w14:textId="77777777" w:rsidR="008C222F" w:rsidRPr="006B15C8" w:rsidRDefault="008C222F" w:rsidP="00DA67F1">
            <w:pPr>
              <w:spacing w:line="240" w:lineRule="auto"/>
              <w:jc w:val="center"/>
              <w:rPr>
                <w:sz w:val="16"/>
                <w:szCs w:val="16"/>
              </w:rPr>
            </w:pPr>
          </w:p>
        </w:tc>
      </w:tr>
      <w:tr w:rsidR="003C4EF8" w:rsidRPr="006B15C8" w14:paraId="4BFD2FD7" w14:textId="77777777" w:rsidTr="00DA67F1">
        <w:tc>
          <w:tcPr>
            <w:tcW w:w="368" w:type="pct"/>
            <w:tcBorders>
              <w:top w:val="single" w:sz="4" w:space="0" w:color="auto"/>
              <w:left w:val="double" w:sz="4" w:space="0" w:color="auto"/>
              <w:bottom w:val="single" w:sz="4" w:space="0" w:color="auto"/>
              <w:right w:val="single" w:sz="4" w:space="0" w:color="auto"/>
            </w:tcBorders>
            <w:vAlign w:val="center"/>
            <w:hideMark/>
          </w:tcPr>
          <w:p w14:paraId="6C7C55D9" w14:textId="77777777" w:rsidR="008C222F" w:rsidRPr="006B15C8" w:rsidRDefault="008C222F" w:rsidP="004D553B">
            <w:pPr>
              <w:spacing w:line="240" w:lineRule="auto"/>
              <w:jc w:val="left"/>
              <w:rPr>
                <w:sz w:val="16"/>
                <w:szCs w:val="16"/>
              </w:rPr>
            </w:pPr>
            <w:r w:rsidRPr="006B15C8">
              <w:rPr>
                <w:sz w:val="16"/>
                <w:szCs w:val="16"/>
              </w:rPr>
              <w:t>Demir 2020</w:t>
            </w:r>
          </w:p>
        </w:tc>
        <w:tc>
          <w:tcPr>
            <w:tcW w:w="286" w:type="pct"/>
            <w:tcBorders>
              <w:top w:val="single" w:sz="4" w:space="0" w:color="auto"/>
              <w:left w:val="single" w:sz="4" w:space="0" w:color="auto"/>
              <w:bottom w:val="single" w:sz="4" w:space="0" w:color="auto"/>
              <w:right w:val="single" w:sz="4" w:space="0" w:color="auto"/>
            </w:tcBorders>
            <w:vAlign w:val="center"/>
            <w:hideMark/>
          </w:tcPr>
          <w:p w14:paraId="78F64D88" w14:textId="77777777" w:rsidR="008C222F" w:rsidRPr="006B15C8" w:rsidRDefault="008C222F" w:rsidP="00DA67F1">
            <w:pPr>
              <w:spacing w:line="240" w:lineRule="auto"/>
              <w:jc w:val="left"/>
              <w:rPr>
                <w:sz w:val="16"/>
                <w:szCs w:val="16"/>
              </w:rPr>
            </w:pPr>
            <w:r w:rsidRPr="006B15C8">
              <w:rPr>
                <w:sz w:val="16"/>
                <w:szCs w:val="16"/>
              </w:rPr>
              <w:t>Turkey</w:t>
            </w:r>
          </w:p>
        </w:tc>
        <w:tc>
          <w:tcPr>
            <w:tcW w:w="409" w:type="pct"/>
            <w:tcBorders>
              <w:top w:val="single" w:sz="4" w:space="0" w:color="auto"/>
              <w:left w:val="single" w:sz="4" w:space="0" w:color="auto"/>
              <w:bottom w:val="single" w:sz="4" w:space="0" w:color="auto"/>
              <w:right w:val="single" w:sz="4" w:space="0" w:color="auto"/>
            </w:tcBorders>
            <w:vAlign w:val="center"/>
            <w:hideMark/>
          </w:tcPr>
          <w:p w14:paraId="1C09433C" w14:textId="77777777" w:rsidR="008C222F" w:rsidRPr="006B15C8" w:rsidRDefault="008C222F" w:rsidP="00DA67F1">
            <w:pPr>
              <w:spacing w:line="240" w:lineRule="auto"/>
              <w:jc w:val="left"/>
              <w:rPr>
                <w:sz w:val="16"/>
                <w:szCs w:val="16"/>
              </w:rPr>
            </w:pPr>
            <w:r w:rsidRPr="006B15C8">
              <w:rPr>
                <w:sz w:val="16"/>
                <w:szCs w:val="16"/>
              </w:rPr>
              <w:t>In-person observation</w:t>
            </w:r>
          </w:p>
        </w:tc>
        <w:tc>
          <w:tcPr>
            <w:tcW w:w="255" w:type="pct"/>
            <w:tcBorders>
              <w:top w:val="single" w:sz="4" w:space="0" w:color="auto"/>
              <w:left w:val="single" w:sz="4" w:space="0" w:color="auto"/>
              <w:bottom w:val="single" w:sz="4" w:space="0" w:color="auto"/>
              <w:right w:val="single" w:sz="4" w:space="0" w:color="auto"/>
            </w:tcBorders>
            <w:vAlign w:val="center"/>
            <w:hideMark/>
          </w:tcPr>
          <w:p w14:paraId="2A650CC5" w14:textId="77777777" w:rsidR="008C222F" w:rsidRPr="006B15C8" w:rsidRDefault="008C222F" w:rsidP="00DA67F1">
            <w:pPr>
              <w:spacing w:line="240" w:lineRule="auto"/>
              <w:jc w:val="left"/>
              <w:rPr>
                <w:sz w:val="16"/>
                <w:szCs w:val="16"/>
              </w:rPr>
            </w:pPr>
            <w:r w:rsidRPr="006B15C8">
              <w:rPr>
                <w:sz w:val="16"/>
                <w:szCs w:val="16"/>
              </w:rPr>
              <w:t>18 hrs (3 hrs/day)</w:t>
            </w:r>
          </w:p>
        </w:tc>
        <w:tc>
          <w:tcPr>
            <w:tcW w:w="506" w:type="pct"/>
            <w:tcBorders>
              <w:top w:val="single" w:sz="4" w:space="0" w:color="auto"/>
              <w:left w:val="single" w:sz="4" w:space="0" w:color="auto"/>
              <w:bottom w:val="single" w:sz="4" w:space="0" w:color="auto"/>
              <w:right w:val="single" w:sz="4" w:space="0" w:color="auto"/>
            </w:tcBorders>
            <w:vAlign w:val="center"/>
            <w:hideMark/>
          </w:tcPr>
          <w:p w14:paraId="01A7AF59" w14:textId="77777777" w:rsidR="008C222F" w:rsidRPr="006B15C8" w:rsidRDefault="008C222F" w:rsidP="00DA67F1">
            <w:pPr>
              <w:spacing w:line="240" w:lineRule="auto"/>
              <w:jc w:val="left"/>
              <w:rPr>
                <w:sz w:val="16"/>
                <w:szCs w:val="16"/>
              </w:rPr>
            </w:pPr>
            <w:r w:rsidRPr="006B15C8">
              <w:rPr>
                <w:sz w:val="16"/>
                <w:szCs w:val="16"/>
              </w:rPr>
              <w:t>1 roundabout</w:t>
            </w:r>
          </w:p>
        </w:tc>
        <w:tc>
          <w:tcPr>
            <w:tcW w:w="148" w:type="pct"/>
            <w:tcBorders>
              <w:top w:val="single" w:sz="4" w:space="0" w:color="auto"/>
              <w:left w:val="single" w:sz="4" w:space="0" w:color="auto"/>
              <w:bottom w:val="single" w:sz="4" w:space="0" w:color="auto"/>
              <w:right w:val="single" w:sz="4" w:space="0" w:color="auto"/>
            </w:tcBorders>
            <w:vAlign w:val="center"/>
            <w:hideMark/>
          </w:tcPr>
          <w:p w14:paraId="18FE8B47" w14:textId="77777777" w:rsidR="008C222F" w:rsidRPr="006B15C8" w:rsidRDefault="008C222F" w:rsidP="004D553B">
            <w:pPr>
              <w:spacing w:line="240" w:lineRule="auto"/>
              <w:jc w:val="center"/>
              <w:rPr>
                <w:sz w:val="16"/>
                <w:szCs w:val="16"/>
              </w:rPr>
            </w:pPr>
            <w:r w:rsidRPr="006B15C8">
              <w:rPr>
                <w:sz w:val="16"/>
                <w:szCs w:val="16"/>
              </w:rPr>
              <w:t>1140</w:t>
            </w:r>
          </w:p>
        </w:tc>
        <w:tc>
          <w:tcPr>
            <w:tcW w:w="650" w:type="pct"/>
            <w:tcBorders>
              <w:top w:val="single" w:sz="4" w:space="0" w:color="auto"/>
              <w:left w:val="single" w:sz="4" w:space="0" w:color="auto"/>
              <w:bottom w:val="single" w:sz="4" w:space="0" w:color="auto"/>
              <w:right w:val="double" w:sz="4" w:space="0" w:color="auto"/>
            </w:tcBorders>
            <w:vAlign w:val="center"/>
            <w:hideMark/>
          </w:tcPr>
          <w:p w14:paraId="7831E122"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Driver yielding</w:t>
            </w:r>
          </w:p>
        </w:tc>
        <w:tc>
          <w:tcPr>
            <w:tcW w:w="164" w:type="pct"/>
            <w:tcBorders>
              <w:top w:val="single" w:sz="4" w:space="0" w:color="auto"/>
              <w:left w:val="double" w:sz="4" w:space="0" w:color="auto"/>
              <w:bottom w:val="single" w:sz="4" w:space="0" w:color="auto"/>
              <w:right w:val="single" w:sz="4" w:space="0" w:color="auto"/>
            </w:tcBorders>
            <w:vAlign w:val="center"/>
            <w:hideMark/>
          </w:tcPr>
          <w:p w14:paraId="2C96BF7D" w14:textId="77777777" w:rsidR="008C222F" w:rsidRPr="006B15C8" w:rsidRDefault="008C222F" w:rsidP="00DA67F1">
            <w:pPr>
              <w:spacing w:line="240" w:lineRule="auto"/>
              <w:jc w:val="center"/>
              <w:rPr>
                <w:sz w:val="16"/>
                <w:szCs w:val="16"/>
              </w:rPr>
            </w:pPr>
            <w:r w:rsidRPr="006B15C8">
              <w:rPr>
                <w:sz w:val="22"/>
                <w:szCs w:val="22"/>
              </w:rPr>
              <w:t>×</w:t>
            </w:r>
          </w:p>
        </w:tc>
        <w:tc>
          <w:tcPr>
            <w:tcW w:w="134" w:type="pct"/>
            <w:tcBorders>
              <w:top w:val="single" w:sz="4" w:space="0" w:color="auto"/>
              <w:left w:val="single" w:sz="4" w:space="0" w:color="auto"/>
              <w:bottom w:val="single" w:sz="4" w:space="0" w:color="auto"/>
              <w:right w:val="single" w:sz="4" w:space="0" w:color="auto"/>
            </w:tcBorders>
            <w:vAlign w:val="center"/>
            <w:hideMark/>
          </w:tcPr>
          <w:p w14:paraId="2E3CF075" w14:textId="77777777" w:rsidR="008C222F" w:rsidRPr="006B15C8" w:rsidRDefault="008C222F" w:rsidP="00DA67F1">
            <w:pPr>
              <w:spacing w:line="240" w:lineRule="auto"/>
              <w:jc w:val="center"/>
              <w:rPr>
                <w:sz w:val="16"/>
                <w:szCs w:val="16"/>
              </w:rPr>
            </w:pPr>
            <w:r w:rsidRPr="006B15C8">
              <w:rPr>
                <w:sz w:val="22"/>
                <w:szCs w:val="22"/>
              </w:rPr>
              <w:t>×</w:t>
            </w:r>
          </w:p>
        </w:tc>
        <w:tc>
          <w:tcPr>
            <w:tcW w:w="165" w:type="pct"/>
            <w:tcBorders>
              <w:top w:val="single" w:sz="4" w:space="0" w:color="auto"/>
              <w:left w:val="single" w:sz="4" w:space="0" w:color="auto"/>
              <w:bottom w:val="single" w:sz="4" w:space="0" w:color="auto"/>
              <w:right w:val="single" w:sz="4" w:space="0" w:color="auto"/>
            </w:tcBorders>
            <w:vAlign w:val="center"/>
          </w:tcPr>
          <w:p w14:paraId="72E18E5E" w14:textId="77777777" w:rsidR="008C222F" w:rsidRPr="006B15C8" w:rsidRDefault="008C222F" w:rsidP="00DA67F1">
            <w:pPr>
              <w:spacing w:line="240" w:lineRule="auto"/>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tcPr>
          <w:p w14:paraId="521FB27E" w14:textId="77777777" w:rsidR="008C222F" w:rsidRPr="006B15C8" w:rsidRDefault="008C222F" w:rsidP="00DA67F1">
            <w:pPr>
              <w:spacing w:line="240" w:lineRule="auto"/>
              <w:jc w:val="center"/>
              <w:rPr>
                <w:sz w:val="16"/>
                <w:szCs w:val="16"/>
              </w:rPr>
            </w:pPr>
          </w:p>
        </w:tc>
        <w:tc>
          <w:tcPr>
            <w:tcW w:w="136" w:type="pct"/>
            <w:tcBorders>
              <w:top w:val="single" w:sz="4" w:space="0" w:color="auto"/>
              <w:left w:val="double" w:sz="4" w:space="0" w:color="auto"/>
              <w:bottom w:val="single" w:sz="4" w:space="0" w:color="auto"/>
              <w:right w:val="single" w:sz="4" w:space="0" w:color="auto"/>
            </w:tcBorders>
            <w:vAlign w:val="center"/>
          </w:tcPr>
          <w:p w14:paraId="250F7FD7" w14:textId="77777777" w:rsidR="008C222F" w:rsidRPr="006B15C8" w:rsidRDefault="008C222F" w:rsidP="00DA67F1">
            <w:pPr>
              <w:spacing w:line="240" w:lineRule="auto"/>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vAlign w:val="center"/>
          </w:tcPr>
          <w:p w14:paraId="5EA81C71" w14:textId="77777777" w:rsidR="008C222F" w:rsidRPr="006B15C8" w:rsidRDefault="008C222F" w:rsidP="00DA67F1">
            <w:pPr>
              <w:spacing w:line="240" w:lineRule="auto"/>
              <w:jc w:val="center"/>
              <w:rPr>
                <w:sz w:val="16"/>
                <w:szCs w:val="16"/>
              </w:rPr>
            </w:pPr>
          </w:p>
        </w:tc>
        <w:tc>
          <w:tcPr>
            <w:tcW w:w="221" w:type="pct"/>
            <w:tcBorders>
              <w:top w:val="single" w:sz="4" w:space="0" w:color="auto"/>
              <w:left w:val="single" w:sz="4" w:space="0" w:color="auto"/>
              <w:bottom w:val="single" w:sz="4" w:space="0" w:color="auto"/>
              <w:right w:val="double" w:sz="4" w:space="0" w:color="auto"/>
            </w:tcBorders>
            <w:vAlign w:val="center"/>
          </w:tcPr>
          <w:p w14:paraId="725803DF" w14:textId="77777777" w:rsidR="008C222F" w:rsidRPr="006B15C8" w:rsidRDefault="008C222F" w:rsidP="00DA67F1">
            <w:pPr>
              <w:spacing w:line="240" w:lineRule="auto"/>
              <w:jc w:val="center"/>
              <w:rPr>
                <w:sz w:val="22"/>
                <w:szCs w:val="22"/>
              </w:rPr>
            </w:pPr>
          </w:p>
        </w:tc>
        <w:tc>
          <w:tcPr>
            <w:tcW w:w="164" w:type="pct"/>
            <w:tcBorders>
              <w:top w:val="single" w:sz="4" w:space="0" w:color="auto"/>
              <w:left w:val="double" w:sz="4" w:space="0" w:color="auto"/>
              <w:bottom w:val="single" w:sz="4" w:space="0" w:color="auto"/>
              <w:right w:val="single" w:sz="4" w:space="0" w:color="auto"/>
            </w:tcBorders>
            <w:vAlign w:val="center"/>
            <w:hideMark/>
          </w:tcPr>
          <w:p w14:paraId="359986A3" w14:textId="77777777" w:rsidR="008C222F" w:rsidRPr="006B15C8" w:rsidRDefault="008C222F" w:rsidP="00DA67F1">
            <w:pPr>
              <w:spacing w:line="240" w:lineRule="auto"/>
              <w:jc w:val="center"/>
              <w:rPr>
                <w:sz w:val="16"/>
                <w:szCs w:val="16"/>
              </w:rPr>
            </w:pPr>
            <w:r w:rsidRPr="006B15C8">
              <w:rPr>
                <w:sz w:val="22"/>
                <w:szCs w:val="22"/>
              </w:rPr>
              <w:t>×</w:t>
            </w:r>
          </w:p>
        </w:tc>
        <w:tc>
          <w:tcPr>
            <w:tcW w:w="156" w:type="pct"/>
            <w:tcBorders>
              <w:top w:val="single" w:sz="4" w:space="0" w:color="auto"/>
              <w:left w:val="single" w:sz="4" w:space="0" w:color="auto"/>
              <w:bottom w:val="single" w:sz="4" w:space="0" w:color="auto"/>
              <w:right w:val="single" w:sz="4" w:space="0" w:color="auto"/>
            </w:tcBorders>
            <w:vAlign w:val="center"/>
            <w:hideMark/>
          </w:tcPr>
          <w:p w14:paraId="5DCEE22C" w14:textId="77777777" w:rsidR="008C222F" w:rsidRPr="006B15C8" w:rsidRDefault="008C222F" w:rsidP="00DA67F1">
            <w:pPr>
              <w:spacing w:line="240" w:lineRule="auto"/>
              <w:jc w:val="center"/>
              <w:rPr>
                <w:sz w:val="16"/>
                <w:szCs w:val="16"/>
              </w:rPr>
            </w:pPr>
            <w:r w:rsidRPr="006B15C8">
              <w:rPr>
                <w:sz w:val="22"/>
                <w:szCs w:val="22"/>
              </w:rPr>
              <w:t>×</w:t>
            </w:r>
          </w:p>
        </w:tc>
        <w:tc>
          <w:tcPr>
            <w:tcW w:w="159" w:type="pct"/>
            <w:tcBorders>
              <w:top w:val="single" w:sz="4" w:space="0" w:color="auto"/>
              <w:left w:val="single" w:sz="4" w:space="0" w:color="auto"/>
              <w:bottom w:val="single" w:sz="4" w:space="0" w:color="auto"/>
              <w:right w:val="double" w:sz="4" w:space="0" w:color="auto"/>
            </w:tcBorders>
            <w:vAlign w:val="center"/>
          </w:tcPr>
          <w:p w14:paraId="64C78C59" w14:textId="77777777" w:rsidR="008C222F" w:rsidRPr="006B15C8" w:rsidRDefault="008C222F" w:rsidP="00DA67F1">
            <w:pPr>
              <w:spacing w:line="240" w:lineRule="auto"/>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hideMark/>
          </w:tcPr>
          <w:p w14:paraId="56600E6B" w14:textId="77777777" w:rsidR="008C222F" w:rsidRPr="006B15C8" w:rsidRDefault="008C222F" w:rsidP="00DA67F1">
            <w:pPr>
              <w:spacing w:line="240" w:lineRule="auto"/>
              <w:jc w:val="center"/>
              <w:rPr>
                <w:sz w:val="16"/>
                <w:szCs w:val="16"/>
              </w:rPr>
            </w:pPr>
            <w:r w:rsidRPr="006B15C8">
              <w:rPr>
                <w:sz w:val="22"/>
                <w:szCs w:val="22"/>
              </w:rPr>
              <w:t>×</w:t>
            </w:r>
          </w:p>
        </w:tc>
        <w:tc>
          <w:tcPr>
            <w:tcW w:w="157" w:type="pct"/>
            <w:tcBorders>
              <w:top w:val="single" w:sz="4" w:space="0" w:color="auto"/>
              <w:left w:val="single" w:sz="4" w:space="0" w:color="auto"/>
              <w:bottom w:val="single" w:sz="4" w:space="0" w:color="auto"/>
              <w:right w:val="single" w:sz="4" w:space="0" w:color="auto"/>
            </w:tcBorders>
            <w:vAlign w:val="center"/>
            <w:hideMark/>
          </w:tcPr>
          <w:p w14:paraId="3E1601C7" w14:textId="77777777" w:rsidR="008C222F" w:rsidRPr="006B15C8" w:rsidRDefault="008C222F" w:rsidP="00DA67F1">
            <w:pPr>
              <w:spacing w:line="240" w:lineRule="auto"/>
              <w:jc w:val="center"/>
              <w:rPr>
                <w:sz w:val="16"/>
                <w:szCs w:val="16"/>
              </w:rPr>
            </w:pPr>
            <w:r w:rsidRPr="006B15C8">
              <w:rPr>
                <w:sz w:val="22"/>
                <w:szCs w:val="22"/>
              </w:rPr>
              <w:t>×</w:t>
            </w:r>
          </w:p>
        </w:tc>
        <w:tc>
          <w:tcPr>
            <w:tcW w:w="182" w:type="pct"/>
            <w:tcBorders>
              <w:top w:val="single" w:sz="4" w:space="0" w:color="auto"/>
              <w:left w:val="single" w:sz="4" w:space="0" w:color="auto"/>
              <w:bottom w:val="single" w:sz="4" w:space="0" w:color="auto"/>
              <w:right w:val="single" w:sz="4" w:space="0" w:color="auto"/>
            </w:tcBorders>
            <w:vAlign w:val="center"/>
          </w:tcPr>
          <w:p w14:paraId="6D4F0023" w14:textId="77777777" w:rsidR="008C222F" w:rsidRPr="006B15C8" w:rsidRDefault="008C222F" w:rsidP="00DA67F1">
            <w:pPr>
              <w:spacing w:line="240" w:lineRule="auto"/>
              <w:jc w:val="center"/>
              <w:rPr>
                <w:sz w:val="22"/>
                <w:szCs w:val="22"/>
              </w:rPr>
            </w:pPr>
          </w:p>
        </w:tc>
        <w:tc>
          <w:tcPr>
            <w:tcW w:w="219" w:type="pct"/>
            <w:tcBorders>
              <w:top w:val="single" w:sz="4" w:space="0" w:color="auto"/>
              <w:left w:val="single" w:sz="4" w:space="0" w:color="auto"/>
              <w:bottom w:val="single" w:sz="4" w:space="0" w:color="auto"/>
              <w:right w:val="double" w:sz="4" w:space="0" w:color="auto"/>
            </w:tcBorders>
            <w:vAlign w:val="center"/>
            <w:hideMark/>
          </w:tcPr>
          <w:p w14:paraId="0AC53E8C" w14:textId="77777777" w:rsidR="008C222F" w:rsidRPr="006B15C8" w:rsidRDefault="008C222F" w:rsidP="00DA67F1">
            <w:pPr>
              <w:spacing w:line="240" w:lineRule="auto"/>
              <w:jc w:val="center"/>
              <w:rPr>
                <w:sz w:val="22"/>
                <w:szCs w:val="22"/>
              </w:rPr>
            </w:pPr>
            <w:r w:rsidRPr="006B15C8">
              <w:rPr>
                <w:sz w:val="22"/>
                <w:szCs w:val="22"/>
              </w:rPr>
              <w:t>×</w:t>
            </w:r>
          </w:p>
        </w:tc>
      </w:tr>
      <w:tr w:rsidR="003C4EF8" w:rsidRPr="006B15C8" w14:paraId="5797F176" w14:textId="77777777" w:rsidTr="00DA67F1">
        <w:tc>
          <w:tcPr>
            <w:tcW w:w="368" w:type="pct"/>
            <w:tcBorders>
              <w:top w:val="single" w:sz="4" w:space="0" w:color="auto"/>
              <w:left w:val="double" w:sz="4" w:space="0" w:color="auto"/>
              <w:bottom w:val="single" w:sz="4" w:space="0" w:color="auto"/>
              <w:right w:val="single" w:sz="4" w:space="0" w:color="auto"/>
            </w:tcBorders>
            <w:vAlign w:val="center"/>
            <w:hideMark/>
          </w:tcPr>
          <w:p w14:paraId="4B2120AC" w14:textId="77777777" w:rsidR="008C222F" w:rsidRPr="006B15C8" w:rsidRDefault="008C222F" w:rsidP="004D553B">
            <w:pPr>
              <w:spacing w:line="240" w:lineRule="auto"/>
              <w:jc w:val="left"/>
              <w:rPr>
                <w:sz w:val="16"/>
                <w:szCs w:val="16"/>
              </w:rPr>
            </w:pPr>
            <w:r w:rsidRPr="006B15C8">
              <w:rPr>
                <w:sz w:val="16"/>
                <w:szCs w:val="16"/>
              </w:rPr>
              <w:t xml:space="preserve">Dileep et al., 2016 </w:t>
            </w:r>
          </w:p>
        </w:tc>
        <w:tc>
          <w:tcPr>
            <w:tcW w:w="286" w:type="pct"/>
            <w:tcBorders>
              <w:top w:val="single" w:sz="4" w:space="0" w:color="auto"/>
              <w:left w:val="single" w:sz="4" w:space="0" w:color="auto"/>
              <w:bottom w:val="single" w:sz="4" w:space="0" w:color="auto"/>
              <w:right w:val="single" w:sz="4" w:space="0" w:color="auto"/>
            </w:tcBorders>
            <w:vAlign w:val="center"/>
            <w:hideMark/>
          </w:tcPr>
          <w:p w14:paraId="50EF50F5" w14:textId="77777777" w:rsidR="008C222F" w:rsidRPr="006B15C8" w:rsidRDefault="008C222F" w:rsidP="00DA67F1">
            <w:pPr>
              <w:spacing w:line="240" w:lineRule="auto"/>
              <w:jc w:val="left"/>
              <w:rPr>
                <w:sz w:val="16"/>
                <w:szCs w:val="16"/>
              </w:rPr>
            </w:pPr>
            <w:r w:rsidRPr="006B15C8">
              <w:rPr>
                <w:sz w:val="16"/>
                <w:szCs w:val="16"/>
              </w:rPr>
              <w:t>India</w:t>
            </w:r>
          </w:p>
        </w:tc>
        <w:tc>
          <w:tcPr>
            <w:tcW w:w="409" w:type="pct"/>
            <w:tcBorders>
              <w:top w:val="single" w:sz="4" w:space="0" w:color="auto"/>
              <w:left w:val="single" w:sz="4" w:space="0" w:color="auto"/>
              <w:bottom w:val="single" w:sz="4" w:space="0" w:color="auto"/>
              <w:right w:val="single" w:sz="4" w:space="0" w:color="auto"/>
            </w:tcBorders>
            <w:vAlign w:val="center"/>
            <w:hideMark/>
          </w:tcPr>
          <w:p w14:paraId="0801A51E" w14:textId="77777777" w:rsidR="008C222F" w:rsidRPr="006B15C8" w:rsidRDefault="008C222F" w:rsidP="00DA67F1">
            <w:pPr>
              <w:spacing w:line="240" w:lineRule="auto"/>
              <w:jc w:val="left"/>
              <w:rPr>
                <w:sz w:val="16"/>
                <w:szCs w:val="16"/>
              </w:rPr>
            </w:pPr>
            <w:r w:rsidRPr="006B15C8">
              <w:rPr>
                <w:sz w:val="16"/>
                <w:szCs w:val="16"/>
              </w:rPr>
              <w:t>Video recording, radar gun, manual recording</w:t>
            </w:r>
          </w:p>
        </w:tc>
        <w:tc>
          <w:tcPr>
            <w:tcW w:w="255" w:type="pct"/>
            <w:tcBorders>
              <w:top w:val="single" w:sz="4" w:space="0" w:color="auto"/>
              <w:left w:val="single" w:sz="4" w:space="0" w:color="auto"/>
              <w:bottom w:val="single" w:sz="4" w:space="0" w:color="auto"/>
              <w:right w:val="single" w:sz="4" w:space="0" w:color="auto"/>
            </w:tcBorders>
            <w:vAlign w:val="center"/>
            <w:hideMark/>
          </w:tcPr>
          <w:p w14:paraId="422828C5" w14:textId="77777777" w:rsidR="008C222F" w:rsidRPr="006B15C8" w:rsidRDefault="008C222F" w:rsidP="00DA67F1">
            <w:pPr>
              <w:spacing w:line="240" w:lineRule="auto"/>
              <w:jc w:val="left"/>
              <w:rPr>
                <w:sz w:val="16"/>
                <w:szCs w:val="16"/>
              </w:rPr>
            </w:pPr>
            <w:r w:rsidRPr="006B15C8">
              <w:rPr>
                <w:sz w:val="16"/>
                <w:szCs w:val="16"/>
              </w:rPr>
              <w:t>4 hrs (1 hr/site)</w:t>
            </w:r>
          </w:p>
        </w:tc>
        <w:tc>
          <w:tcPr>
            <w:tcW w:w="506" w:type="pct"/>
            <w:tcBorders>
              <w:top w:val="single" w:sz="4" w:space="0" w:color="auto"/>
              <w:left w:val="single" w:sz="4" w:space="0" w:color="auto"/>
              <w:bottom w:val="single" w:sz="4" w:space="0" w:color="auto"/>
              <w:right w:val="single" w:sz="4" w:space="0" w:color="auto"/>
            </w:tcBorders>
            <w:vAlign w:val="center"/>
            <w:hideMark/>
          </w:tcPr>
          <w:p w14:paraId="19B0E23D" w14:textId="77777777" w:rsidR="008C222F" w:rsidRPr="006B15C8" w:rsidRDefault="008C222F" w:rsidP="00DA67F1">
            <w:pPr>
              <w:spacing w:line="240" w:lineRule="auto"/>
              <w:jc w:val="left"/>
              <w:rPr>
                <w:sz w:val="16"/>
                <w:szCs w:val="16"/>
              </w:rPr>
            </w:pPr>
            <w:r w:rsidRPr="006B15C8">
              <w:rPr>
                <w:sz w:val="16"/>
                <w:szCs w:val="16"/>
              </w:rPr>
              <w:t>4 undivided mid-block locations</w:t>
            </w:r>
          </w:p>
        </w:tc>
        <w:tc>
          <w:tcPr>
            <w:tcW w:w="148" w:type="pct"/>
            <w:tcBorders>
              <w:top w:val="single" w:sz="4" w:space="0" w:color="auto"/>
              <w:left w:val="single" w:sz="4" w:space="0" w:color="auto"/>
              <w:bottom w:val="single" w:sz="4" w:space="0" w:color="auto"/>
              <w:right w:val="single" w:sz="4" w:space="0" w:color="auto"/>
            </w:tcBorders>
            <w:vAlign w:val="center"/>
            <w:hideMark/>
          </w:tcPr>
          <w:p w14:paraId="31E3FB61" w14:textId="77777777" w:rsidR="008C222F" w:rsidRPr="006B15C8" w:rsidRDefault="008C222F" w:rsidP="004D553B">
            <w:pPr>
              <w:spacing w:line="240" w:lineRule="auto"/>
              <w:jc w:val="center"/>
              <w:rPr>
                <w:sz w:val="16"/>
                <w:szCs w:val="16"/>
              </w:rPr>
            </w:pPr>
            <w:r w:rsidRPr="006B15C8">
              <w:rPr>
                <w:sz w:val="16"/>
                <w:szCs w:val="16"/>
              </w:rPr>
              <w:t>815</w:t>
            </w:r>
          </w:p>
        </w:tc>
        <w:tc>
          <w:tcPr>
            <w:tcW w:w="650" w:type="pct"/>
            <w:tcBorders>
              <w:top w:val="single" w:sz="4" w:space="0" w:color="auto"/>
              <w:left w:val="single" w:sz="4" w:space="0" w:color="auto"/>
              <w:bottom w:val="single" w:sz="4" w:space="0" w:color="auto"/>
              <w:right w:val="double" w:sz="4" w:space="0" w:color="auto"/>
            </w:tcBorders>
            <w:vAlign w:val="center"/>
            <w:hideMark/>
          </w:tcPr>
          <w:p w14:paraId="122F7B14"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 xml:space="preserve">Driver yielding </w:t>
            </w:r>
          </w:p>
        </w:tc>
        <w:tc>
          <w:tcPr>
            <w:tcW w:w="164" w:type="pct"/>
            <w:tcBorders>
              <w:top w:val="single" w:sz="4" w:space="0" w:color="auto"/>
              <w:left w:val="double" w:sz="4" w:space="0" w:color="auto"/>
              <w:bottom w:val="single" w:sz="4" w:space="0" w:color="auto"/>
              <w:right w:val="single" w:sz="4" w:space="0" w:color="auto"/>
            </w:tcBorders>
            <w:vAlign w:val="center"/>
            <w:hideMark/>
          </w:tcPr>
          <w:p w14:paraId="429162A4" w14:textId="77777777" w:rsidR="008C222F" w:rsidRPr="006B15C8" w:rsidRDefault="008C222F" w:rsidP="00DA67F1">
            <w:pPr>
              <w:spacing w:line="240" w:lineRule="auto"/>
              <w:jc w:val="center"/>
              <w:rPr>
                <w:sz w:val="16"/>
                <w:szCs w:val="16"/>
              </w:rPr>
            </w:pPr>
            <w:r w:rsidRPr="006B15C8">
              <w:rPr>
                <w:sz w:val="22"/>
                <w:szCs w:val="22"/>
              </w:rPr>
              <w:t>×</w:t>
            </w:r>
          </w:p>
        </w:tc>
        <w:tc>
          <w:tcPr>
            <w:tcW w:w="134" w:type="pct"/>
            <w:tcBorders>
              <w:top w:val="single" w:sz="4" w:space="0" w:color="auto"/>
              <w:left w:val="single" w:sz="4" w:space="0" w:color="auto"/>
              <w:bottom w:val="single" w:sz="4" w:space="0" w:color="auto"/>
              <w:right w:val="single" w:sz="4" w:space="0" w:color="auto"/>
            </w:tcBorders>
            <w:vAlign w:val="center"/>
            <w:hideMark/>
          </w:tcPr>
          <w:p w14:paraId="5E820624" w14:textId="77777777" w:rsidR="008C222F" w:rsidRPr="006B15C8" w:rsidRDefault="008C222F" w:rsidP="00DA67F1">
            <w:pPr>
              <w:spacing w:line="240" w:lineRule="auto"/>
              <w:jc w:val="center"/>
              <w:rPr>
                <w:sz w:val="16"/>
                <w:szCs w:val="16"/>
              </w:rPr>
            </w:pPr>
            <w:r w:rsidRPr="006B15C8">
              <w:rPr>
                <w:sz w:val="22"/>
                <w:szCs w:val="22"/>
              </w:rPr>
              <w:t>×</w:t>
            </w:r>
          </w:p>
        </w:tc>
        <w:tc>
          <w:tcPr>
            <w:tcW w:w="165" w:type="pct"/>
            <w:tcBorders>
              <w:top w:val="single" w:sz="4" w:space="0" w:color="auto"/>
              <w:left w:val="single" w:sz="4" w:space="0" w:color="auto"/>
              <w:bottom w:val="single" w:sz="4" w:space="0" w:color="auto"/>
              <w:right w:val="single" w:sz="4" w:space="0" w:color="auto"/>
            </w:tcBorders>
            <w:vAlign w:val="center"/>
          </w:tcPr>
          <w:p w14:paraId="3D3287BE" w14:textId="77777777" w:rsidR="008C222F" w:rsidRPr="006B15C8" w:rsidRDefault="008C222F" w:rsidP="00DA67F1">
            <w:pPr>
              <w:spacing w:line="240" w:lineRule="auto"/>
              <w:jc w:val="center"/>
              <w:rPr>
                <w:sz w:val="16"/>
                <w:szCs w:val="16"/>
              </w:rPr>
            </w:pPr>
          </w:p>
        </w:tc>
        <w:tc>
          <w:tcPr>
            <w:tcW w:w="177" w:type="pct"/>
            <w:tcBorders>
              <w:top w:val="single" w:sz="4" w:space="0" w:color="auto"/>
              <w:left w:val="single" w:sz="4" w:space="0" w:color="auto"/>
              <w:bottom w:val="single" w:sz="4" w:space="0" w:color="auto"/>
              <w:right w:val="double" w:sz="4" w:space="0" w:color="auto"/>
            </w:tcBorders>
            <w:vAlign w:val="center"/>
            <w:hideMark/>
          </w:tcPr>
          <w:p w14:paraId="568E56BE" w14:textId="77777777" w:rsidR="008C222F" w:rsidRPr="006B15C8" w:rsidRDefault="008C222F" w:rsidP="00DA67F1">
            <w:pPr>
              <w:spacing w:line="240" w:lineRule="auto"/>
              <w:jc w:val="center"/>
              <w:rPr>
                <w:sz w:val="16"/>
                <w:szCs w:val="16"/>
              </w:rPr>
            </w:pPr>
            <w:r w:rsidRPr="006B15C8">
              <w:rPr>
                <w:sz w:val="22"/>
                <w:szCs w:val="22"/>
              </w:rPr>
              <w:t>×</w:t>
            </w:r>
          </w:p>
        </w:tc>
        <w:tc>
          <w:tcPr>
            <w:tcW w:w="136" w:type="pct"/>
            <w:tcBorders>
              <w:top w:val="single" w:sz="4" w:space="0" w:color="auto"/>
              <w:left w:val="double" w:sz="4" w:space="0" w:color="auto"/>
              <w:bottom w:val="single" w:sz="4" w:space="0" w:color="auto"/>
              <w:right w:val="single" w:sz="4" w:space="0" w:color="auto"/>
            </w:tcBorders>
            <w:vAlign w:val="center"/>
            <w:hideMark/>
          </w:tcPr>
          <w:p w14:paraId="2DA2A53F" w14:textId="77777777" w:rsidR="008C222F" w:rsidRPr="006B15C8" w:rsidRDefault="0033704B" w:rsidP="00DA67F1">
            <w:pPr>
              <w:spacing w:line="240" w:lineRule="auto"/>
              <w:jc w:val="center"/>
              <w:rPr>
                <w:sz w:val="16"/>
                <w:szCs w:val="16"/>
              </w:rPr>
            </w:pPr>
            <w:r w:rsidRPr="006B15C8">
              <w:rPr>
                <w:sz w:val="22"/>
                <w:szCs w:val="22"/>
              </w:rPr>
              <w:t>×</w:t>
            </w:r>
          </w:p>
        </w:tc>
        <w:tc>
          <w:tcPr>
            <w:tcW w:w="155" w:type="pct"/>
            <w:tcBorders>
              <w:top w:val="single" w:sz="4" w:space="0" w:color="auto"/>
              <w:left w:val="single" w:sz="4" w:space="0" w:color="auto"/>
              <w:bottom w:val="single" w:sz="4" w:space="0" w:color="auto"/>
              <w:right w:val="single" w:sz="4" w:space="0" w:color="auto"/>
            </w:tcBorders>
            <w:vAlign w:val="center"/>
            <w:hideMark/>
          </w:tcPr>
          <w:p w14:paraId="53AA1CC8" w14:textId="77777777" w:rsidR="008C222F" w:rsidRPr="006B15C8" w:rsidRDefault="008C222F" w:rsidP="00DA67F1">
            <w:pPr>
              <w:spacing w:line="240" w:lineRule="auto"/>
              <w:jc w:val="center"/>
              <w:rPr>
                <w:sz w:val="16"/>
                <w:szCs w:val="16"/>
              </w:rPr>
            </w:pPr>
            <w:r w:rsidRPr="006B15C8">
              <w:rPr>
                <w:sz w:val="22"/>
                <w:szCs w:val="22"/>
              </w:rPr>
              <w:t>×</w:t>
            </w:r>
          </w:p>
        </w:tc>
        <w:tc>
          <w:tcPr>
            <w:tcW w:w="221" w:type="pct"/>
            <w:tcBorders>
              <w:top w:val="single" w:sz="4" w:space="0" w:color="auto"/>
              <w:left w:val="single" w:sz="4" w:space="0" w:color="auto"/>
              <w:bottom w:val="single" w:sz="4" w:space="0" w:color="auto"/>
              <w:right w:val="double" w:sz="4" w:space="0" w:color="auto"/>
            </w:tcBorders>
            <w:vAlign w:val="center"/>
          </w:tcPr>
          <w:p w14:paraId="401EF5A7" w14:textId="77777777" w:rsidR="008C222F" w:rsidRPr="006B15C8" w:rsidRDefault="008C222F" w:rsidP="00DA67F1">
            <w:pPr>
              <w:spacing w:line="240" w:lineRule="auto"/>
              <w:jc w:val="center"/>
              <w:rPr>
                <w:sz w:val="16"/>
                <w:szCs w:val="16"/>
              </w:rPr>
            </w:pPr>
          </w:p>
        </w:tc>
        <w:tc>
          <w:tcPr>
            <w:tcW w:w="164" w:type="pct"/>
            <w:tcBorders>
              <w:top w:val="single" w:sz="4" w:space="0" w:color="auto"/>
              <w:left w:val="double" w:sz="4" w:space="0" w:color="auto"/>
              <w:bottom w:val="single" w:sz="4" w:space="0" w:color="auto"/>
              <w:right w:val="single" w:sz="4" w:space="0" w:color="auto"/>
            </w:tcBorders>
            <w:vAlign w:val="center"/>
          </w:tcPr>
          <w:p w14:paraId="7EC2EF11" w14:textId="77777777" w:rsidR="008C222F" w:rsidRPr="006B15C8" w:rsidRDefault="008C222F" w:rsidP="00DA67F1">
            <w:pPr>
              <w:spacing w:line="240" w:lineRule="auto"/>
              <w:jc w:val="center"/>
              <w:rPr>
                <w:sz w:val="16"/>
                <w:szCs w:val="16"/>
              </w:rPr>
            </w:pPr>
          </w:p>
        </w:tc>
        <w:tc>
          <w:tcPr>
            <w:tcW w:w="156" w:type="pct"/>
            <w:tcBorders>
              <w:top w:val="single" w:sz="4" w:space="0" w:color="auto"/>
              <w:left w:val="single" w:sz="4" w:space="0" w:color="auto"/>
              <w:bottom w:val="single" w:sz="4" w:space="0" w:color="auto"/>
              <w:right w:val="single" w:sz="4" w:space="0" w:color="auto"/>
            </w:tcBorders>
            <w:vAlign w:val="center"/>
          </w:tcPr>
          <w:p w14:paraId="175A527E" w14:textId="77777777" w:rsidR="008C222F" w:rsidRPr="006B15C8" w:rsidRDefault="008C222F" w:rsidP="00DA67F1">
            <w:pPr>
              <w:spacing w:line="240" w:lineRule="auto"/>
              <w:jc w:val="center"/>
              <w:rPr>
                <w:sz w:val="16"/>
                <w:szCs w:val="16"/>
              </w:rPr>
            </w:pPr>
          </w:p>
        </w:tc>
        <w:tc>
          <w:tcPr>
            <w:tcW w:w="159" w:type="pct"/>
            <w:tcBorders>
              <w:top w:val="single" w:sz="4" w:space="0" w:color="auto"/>
              <w:left w:val="single" w:sz="4" w:space="0" w:color="auto"/>
              <w:bottom w:val="single" w:sz="4" w:space="0" w:color="auto"/>
              <w:right w:val="double" w:sz="4" w:space="0" w:color="auto"/>
            </w:tcBorders>
            <w:vAlign w:val="center"/>
          </w:tcPr>
          <w:p w14:paraId="7F1B743A" w14:textId="77777777" w:rsidR="008C222F" w:rsidRPr="006B15C8" w:rsidRDefault="008C222F" w:rsidP="00DA67F1">
            <w:pPr>
              <w:spacing w:line="240" w:lineRule="auto"/>
              <w:jc w:val="center"/>
              <w:rPr>
                <w:sz w:val="16"/>
                <w:szCs w:val="16"/>
              </w:rPr>
            </w:pPr>
          </w:p>
        </w:tc>
        <w:tc>
          <w:tcPr>
            <w:tcW w:w="187" w:type="pct"/>
            <w:tcBorders>
              <w:top w:val="single" w:sz="4" w:space="0" w:color="auto"/>
              <w:left w:val="double" w:sz="4" w:space="0" w:color="auto"/>
              <w:bottom w:val="single" w:sz="4" w:space="0" w:color="auto"/>
              <w:right w:val="single" w:sz="4" w:space="0" w:color="auto"/>
            </w:tcBorders>
            <w:vAlign w:val="center"/>
          </w:tcPr>
          <w:p w14:paraId="5B46C7B6" w14:textId="77777777" w:rsidR="008C222F" w:rsidRPr="006B15C8" w:rsidRDefault="008C222F" w:rsidP="00DA67F1">
            <w:pPr>
              <w:spacing w:line="240" w:lineRule="auto"/>
              <w:jc w:val="center"/>
              <w:rPr>
                <w:sz w:val="16"/>
                <w:szCs w:val="16"/>
              </w:rPr>
            </w:pPr>
          </w:p>
        </w:tc>
        <w:tc>
          <w:tcPr>
            <w:tcW w:w="157" w:type="pct"/>
            <w:tcBorders>
              <w:top w:val="single" w:sz="4" w:space="0" w:color="auto"/>
              <w:left w:val="single" w:sz="4" w:space="0" w:color="auto"/>
              <w:bottom w:val="single" w:sz="4" w:space="0" w:color="auto"/>
              <w:right w:val="single" w:sz="4" w:space="0" w:color="auto"/>
            </w:tcBorders>
            <w:vAlign w:val="center"/>
          </w:tcPr>
          <w:p w14:paraId="456867A9" w14:textId="77777777" w:rsidR="008C222F" w:rsidRPr="006B15C8" w:rsidRDefault="008C222F" w:rsidP="00DA67F1">
            <w:pPr>
              <w:spacing w:line="240" w:lineRule="auto"/>
              <w:jc w:val="center"/>
              <w:rPr>
                <w:sz w:val="16"/>
                <w:szCs w:val="16"/>
              </w:rPr>
            </w:pPr>
          </w:p>
        </w:tc>
        <w:tc>
          <w:tcPr>
            <w:tcW w:w="182" w:type="pct"/>
            <w:tcBorders>
              <w:top w:val="single" w:sz="4" w:space="0" w:color="auto"/>
              <w:left w:val="single" w:sz="4" w:space="0" w:color="auto"/>
              <w:bottom w:val="single" w:sz="4" w:space="0" w:color="auto"/>
              <w:right w:val="single" w:sz="4" w:space="0" w:color="auto"/>
            </w:tcBorders>
            <w:vAlign w:val="center"/>
          </w:tcPr>
          <w:p w14:paraId="515D905E" w14:textId="77777777" w:rsidR="008C222F" w:rsidRPr="006B15C8" w:rsidRDefault="008C222F" w:rsidP="00DA67F1">
            <w:pPr>
              <w:spacing w:line="240" w:lineRule="auto"/>
              <w:jc w:val="center"/>
              <w:rPr>
                <w:sz w:val="16"/>
                <w:szCs w:val="16"/>
              </w:rPr>
            </w:pPr>
          </w:p>
        </w:tc>
        <w:tc>
          <w:tcPr>
            <w:tcW w:w="219" w:type="pct"/>
            <w:tcBorders>
              <w:top w:val="single" w:sz="4" w:space="0" w:color="auto"/>
              <w:left w:val="single" w:sz="4" w:space="0" w:color="auto"/>
              <w:bottom w:val="single" w:sz="4" w:space="0" w:color="auto"/>
              <w:right w:val="double" w:sz="4" w:space="0" w:color="auto"/>
            </w:tcBorders>
            <w:vAlign w:val="center"/>
            <w:hideMark/>
          </w:tcPr>
          <w:p w14:paraId="0D78350D" w14:textId="77777777" w:rsidR="008C222F" w:rsidRPr="006B15C8" w:rsidRDefault="008C222F" w:rsidP="00DA67F1">
            <w:pPr>
              <w:spacing w:line="240" w:lineRule="auto"/>
              <w:jc w:val="center"/>
              <w:rPr>
                <w:sz w:val="16"/>
                <w:szCs w:val="16"/>
              </w:rPr>
            </w:pPr>
            <w:r w:rsidRPr="006B15C8">
              <w:rPr>
                <w:sz w:val="22"/>
                <w:szCs w:val="22"/>
              </w:rPr>
              <w:t>×</w:t>
            </w:r>
          </w:p>
        </w:tc>
      </w:tr>
      <w:tr w:rsidR="003C4EF8" w:rsidRPr="006B15C8" w14:paraId="416B8CF7" w14:textId="77777777" w:rsidTr="00DA67F1">
        <w:tc>
          <w:tcPr>
            <w:tcW w:w="368" w:type="pct"/>
            <w:tcBorders>
              <w:top w:val="single" w:sz="4" w:space="0" w:color="auto"/>
              <w:left w:val="double" w:sz="4" w:space="0" w:color="auto"/>
              <w:bottom w:val="double" w:sz="4" w:space="0" w:color="auto"/>
              <w:right w:val="single" w:sz="4" w:space="0" w:color="auto"/>
            </w:tcBorders>
            <w:vAlign w:val="center"/>
            <w:hideMark/>
          </w:tcPr>
          <w:p w14:paraId="7B172F7A" w14:textId="77777777" w:rsidR="008C222F" w:rsidRPr="006B15C8" w:rsidRDefault="008C222F" w:rsidP="004D553B">
            <w:pPr>
              <w:spacing w:line="240" w:lineRule="auto"/>
              <w:jc w:val="left"/>
              <w:rPr>
                <w:sz w:val="16"/>
                <w:szCs w:val="16"/>
              </w:rPr>
            </w:pPr>
            <w:r w:rsidRPr="006B15C8">
              <w:rPr>
                <w:sz w:val="16"/>
                <w:szCs w:val="16"/>
              </w:rPr>
              <w:t>Hirun, 2016</w:t>
            </w:r>
          </w:p>
        </w:tc>
        <w:tc>
          <w:tcPr>
            <w:tcW w:w="286" w:type="pct"/>
            <w:tcBorders>
              <w:top w:val="single" w:sz="4" w:space="0" w:color="auto"/>
              <w:left w:val="single" w:sz="4" w:space="0" w:color="auto"/>
              <w:bottom w:val="double" w:sz="4" w:space="0" w:color="auto"/>
              <w:right w:val="single" w:sz="4" w:space="0" w:color="auto"/>
            </w:tcBorders>
            <w:vAlign w:val="center"/>
            <w:hideMark/>
          </w:tcPr>
          <w:p w14:paraId="438565F0" w14:textId="77777777" w:rsidR="008C222F" w:rsidRPr="006B15C8" w:rsidRDefault="008C222F" w:rsidP="00DA67F1">
            <w:pPr>
              <w:spacing w:line="240" w:lineRule="auto"/>
              <w:jc w:val="left"/>
              <w:rPr>
                <w:sz w:val="16"/>
                <w:szCs w:val="16"/>
              </w:rPr>
            </w:pPr>
            <w:r w:rsidRPr="006B15C8">
              <w:rPr>
                <w:sz w:val="16"/>
                <w:szCs w:val="16"/>
              </w:rPr>
              <w:t>Thailand</w:t>
            </w:r>
          </w:p>
        </w:tc>
        <w:tc>
          <w:tcPr>
            <w:tcW w:w="409" w:type="pct"/>
            <w:tcBorders>
              <w:top w:val="single" w:sz="4" w:space="0" w:color="auto"/>
              <w:left w:val="single" w:sz="4" w:space="0" w:color="auto"/>
              <w:bottom w:val="double" w:sz="4" w:space="0" w:color="auto"/>
              <w:right w:val="single" w:sz="4" w:space="0" w:color="auto"/>
            </w:tcBorders>
            <w:vAlign w:val="center"/>
            <w:hideMark/>
          </w:tcPr>
          <w:p w14:paraId="6FA48386" w14:textId="77777777" w:rsidR="008C222F" w:rsidRPr="006B15C8" w:rsidRDefault="008C222F" w:rsidP="00DA67F1">
            <w:pPr>
              <w:spacing w:line="240" w:lineRule="auto"/>
              <w:jc w:val="left"/>
              <w:rPr>
                <w:sz w:val="16"/>
                <w:szCs w:val="16"/>
              </w:rPr>
            </w:pPr>
            <w:r w:rsidRPr="006B15C8">
              <w:rPr>
                <w:sz w:val="16"/>
                <w:szCs w:val="16"/>
              </w:rPr>
              <w:t>Survey</w:t>
            </w:r>
          </w:p>
        </w:tc>
        <w:tc>
          <w:tcPr>
            <w:tcW w:w="255" w:type="pct"/>
            <w:tcBorders>
              <w:top w:val="single" w:sz="4" w:space="0" w:color="auto"/>
              <w:left w:val="single" w:sz="4" w:space="0" w:color="auto"/>
              <w:bottom w:val="double" w:sz="4" w:space="0" w:color="auto"/>
              <w:right w:val="single" w:sz="4" w:space="0" w:color="auto"/>
            </w:tcBorders>
            <w:vAlign w:val="center"/>
            <w:hideMark/>
          </w:tcPr>
          <w:p w14:paraId="155695A2" w14:textId="77777777" w:rsidR="008C222F" w:rsidRPr="006B15C8" w:rsidRDefault="008C222F" w:rsidP="00DA67F1">
            <w:pPr>
              <w:spacing w:line="240" w:lineRule="auto"/>
              <w:jc w:val="left"/>
              <w:rPr>
                <w:sz w:val="16"/>
                <w:szCs w:val="16"/>
              </w:rPr>
            </w:pPr>
            <w:r w:rsidRPr="006B15C8">
              <w:rPr>
                <w:sz w:val="16"/>
                <w:szCs w:val="16"/>
              </w:rPr>
              <w:t>--</w:t>
            </w:r>
          </w:p>
        </w:tc>
        <w:tc>
          <w:tcPr>
            <w:tcW w:w="506" w:type="pct"/>
            <w:tcBorders>
              <w:top w:val="single" w:sz="4" w:space="0" w:color="auto"/>
              <w:left w:val="single" w:sz="4" w:space="0" w:color="auto"/>
              <w:bottom w:val="double" w:sz="4" w:space="0" w:color="auto"/>
              <w:right w:val="single" w:sz="4" w:space="0" w:color="auto"/>
            </w:tcBorders>
            <w:vAlign w:val="center"/>
            <w:hideMark/>
          </w:tcPr>
          <w:p w14:paraId="35B71556" w14:textId="77777777" w:rsidR="008C222F" w:rsidRPr="006B15C8" w:rsidRDefault="008C222F" w:rsidP="00DA67F1">
            <w:pPr>
              <w:spacing w:line="240" w:lineRule="auto"/>
              <w:jc w:val="left"/>
              <w:rPr>
                <w:sz w:val="16"/>
                <w:szCs w:val="16"/>
              </w:rPr>
            </w:pPr>
            <w:r w:rsidRPr="006B15C8">
              <w:rPr>
                <w:sz w:val="16"/>
                <w:szCs w:val="16"/>
              </w:rPr>
              <w:t>--</w:t>
            </w:r>
          </w:p>
        </w:tc>
        <w:tc>
          <w:tcPr>
            <w:tcW w:w="148" w:type="pct"/>
            <w:tcBorders>
              <w:top w:val="single" w:sz="4" w:space="0" w:color="auto"/>
              <w:left w:val="single" w:sz="4" w:space="0" w:color="auto"/>
              <w:bottom w:val="double" w:sz="4" w:space="0" w:color="auto"/>
              <w:right w:val="single" w:sz="4" w:space="0" w:color="auto"/>
            </w:tcBorders>
            <w:vAlign w:val="center"/>
            <w:hideMark/>
          </w:tcPr>
          <w:p w14:paraId="4BBA4188" w14:textId="77777777" w:rsidR="008C222F" w:rsidRPr="006B15C8" w:rsidRDefault="008C222F" w:rsidP="004D553B">
            <w:pPr>
              <w:spacing w:line="240" w:lineRule="auto"/>
              <w:jc w:val="center"/>
              <w:rPr>
                <w:sz w:val="16"/>
                <w:szCs w:val="16"/>
              </w:rPr>
            </w:pPr>
            <w:r w:rsidRPr="006B15C8">
              <w:rPr>
                <w:sz w:val="16"/>
                <w:szCs w:val="16"/>
              </w:rPr>
              <w:t>445</w:t>
            </w:r>
          </w:p>
        </w:tc>
        <w:tc>
          <w:tcPr>
            <w:tcW w:w="650" w:type="pct"/>
            <w:tcBorders>
              <w:top w:val="single" w:sz="4" w:space="0" w:color="auto"/>
              <w:left w:val="single" w:sz="4" w:space="0" w:color="auto"/>
              <w:bottom w:val="double" w:sz="4" w:space="0" w:color="auto"/>
              <w:right w:val="double" w:sz="4" w:space="0" w:color="auto"/>
            </w:tcBorders>
            <w:vAlign w:val="center"/>
            <w:hideMark/>
          </w:tcPr>
          <w:p w14:paraId="4370EE93"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 xml:space="preserve">Driver yielding </w:t>
            </w:r>
          </w:p>
        </w:tc>
        <w:tc>
          <w:tcPr>
            <w:tcW w:w="164" w:type="pct"/>
            <w:tcBorders>
              <w:top w:val="single" w:sz="4" w:space="0" w:color="auto"/>
              <w:left w:val="double" w:sz="4" w:space="0" w:color="auto"/>
              <w:bottom w:val="double" w:sz="4" w:space="0" w:color="auto"/>
              <w:right w:val="single" w:sz="4" w:space="0" w:color="auto"/>
            </w:tcBorders>
            <w:vAlign w:val="center"/>
          </w:tcPr>
          <w:p w14:paraId="5E7D5405" w14:textId="77777777" w:rsidR="008C222F" w:rsidRPr="006B15C8" w:rsidRDefault="008C222F" w:rsidP="00DA67F1">
            <w:pPr>
              <w:spacing w:line="240" w:lineRule="auto"/>
              <w:jc w:val="center"/>
              <w:rPr>
                <w:sz w:val="16"/>
                <w:szCs w:val="16"/>
              </w:rPr>
            </w:pPr>
          </w:p>
        </w:tc>
        <w:tc>
          <w:tcPr>
            <w:tcW w:w="134" w:type="pct"/>
            <w:tcBorders>
              <w:top w:val="single" w:sz="4" w:space="0" w:color="auto"/>
              <w:left w:val="single" w:sz="4" w:space="0" w:color="auto"/>
              <w:bottom w:val="double" w:sz="4" w:space="0" w:color="auto"/>
              <w:right w:val="single" w:sz="4" w:space="0" w:color="auto"/>
            </w:tcBorders>
            <w:vAlign w:val="center"/>
          </w:tcPr>
          <w:p w14:paraId="090D1CC3" w14:textId="77777777" w:rsidR="008C222F" w:rsidRPr="006B15C8" w:rsidRDefault="008C222F" w:rsidP="00DA67F1">
            <w:pPr>
              <w:spacing w:line="240" w:lineRule="auto"/>
              <w:jc w:val="center"/>
              <w:rPr>
                <w:sz w:val="16"/>
                <w:szCs w:val="16"/>
              </w:rPr>
            </w:pPr>
          </w:p>
        </w:tc>
        <w:tc>
          <w:tcPr>
            <w:tcW w:w="165" w:type="pct"/>
            <w:tcBorders>
              <w:top w:val="single" w:sz="4" w:space="0" w:color="auto"/>
              <w:left w:val="single" w:sz="4" w:space="0" w:color="auto"/>
              <w:bottom w:val="double" w:sz="4" w:space="0" w:color="auto"/>
              <w:right w:val="single" w:sz="4" w:space="0" w:color="auto"/>
            </w:tcBorders>
            <w:vAlign w:val="center"/>
          </w:tcPr>
          <w:p w14:paraId="57150941" w14:textId="77777777" w:rsidR="008C222F" w:rsidRPr="006B15C8" w:rsidRDefault="008C222F" w:rsidP="00DA67F1">
            <w:pPr>
              <w:spacing w:line="240" w:lineRule="auto"/>
              <w:jc w:val="center"/>
              <w:rPr>
                <w:sz w:val="16"/>
                <w:szCs w:val="16"/>
              </w:rPr>
            </w:pPr>
          </w:p>
        </w:tc>
        <w:tc>
          <w:tcPr>
            <w:tcW w:w="177" w:type="pct"/>
            <w:tcBorders>
              <w:top w:val="single" w:sz="4" w:space="0" w:color="auto"/>
              <w:left w:val="single" w:sz="4" w:space="0" w:color="auto"/>
              <w:bottom w:val="double" w:sz="4" w:space="0" w:color="auto"/>
              <w:right w:val="double" w:sz="4" w:space="0" w:color="auto"/>
            </w:tcBorders>
            <w:vAlign w:val="center"/>
          </w:tcPr>
          <w:p w14:paraId="5D10E717" w14:textId="77777777" w:rsidR="008C222F" w:rsidRPr="006B15C8" w:rsidRDefault="008C222F" w:rsidP="00DA67F1">
            <w:pPr>
              <w:spacing w:line="240" w:lineRule="auto"/>
              <w:jc w:val="center"/>
              <w:rPr>
                <w:sz w:val="16"/>
                <w:szCs w:val="16"/>
              </w:rPr>
            </w:pPr>
          </w:p>
        </w:tc>
        <w:tc>
          <w:tcPr>
            <w:tcW w:w="136" w:type="pct"/>
            <w:tcBorders>
              <w:top w:val="single" w:sz="4" w:space="0" w:color="auto"/>
              <w:left w:val="double" w:sz="4" w:space="0" w:color="auto"/>
              <w:bottom w:val="double" w:sz="4" w:space="0" w:color="auto"/>
              <w:right w:val="single" w:sz="4" w:space="0" w:color="auto"/>
            </w:tcBorders>
            <w:vAlign w:val="center"/>
          </w:tcPr>
          <w:p w14:paraId="6C7E4D72" w14:textId="77777777" w:rsidR="008C222F" w:rsidRPr="006B15C8" w:rsidRDefault="008C222F" w:rsidP="00DA67F1">
            <w:pPr>
              <w:spacing w:line="240" w:lineRule="auto"/>
              <w:jc w:val="center"/>
              <w:rPr>
                <w:sz w:val="16"/>
                <w:szCs w:val="16"/>
              </w:rPr>
            </w:pPr>
          </w:p>
        </w:tc>
        <w:tc>
          <w:tcPr>
            <w:tcW w:w="155" w:type="pct"/>
            <w:tcBorders>
              <w:top w:val="single" w:sz="4" w:space="0" w:color="auto"/>
              <w:left w:val="single" w:sz="4" w:space="0" w:color="auto"/>
              <w:bottom w:val="double" w:sz="4" w:space="0" w:color="auto"/>
              <w:right w:val="single" w:sz="4" w:space="0" w:color="auto"/>
            </w:tcBorders>
            <w:vAlign w:val="center"/>
          </w:tcPr>
          <w:p w14:paraId="446E046D" w14:textId="77777777" w:rsidR="008C222F" w:rsidRPr="006B15C8" w:rsidRDefault="008C222F" w:rsidP="00DA67F1">
            <w:pPr>
              <w:spacing w:line="240" w:lineRule="auto"/>
              <w:jc w:val="center"/>
              <w:rPr>
                <w:sz w:val="16"/>
                <w:szCs w:val="16"/>
              </w:rPr>
            </w:pPr>
          </w:p>
        </w:tc>
        <w:tc>
          <w:tcPr>
            <w:tcW w:w="221" w:type="pct"/>
            <w:tcBorders>
              <w:top w:val="single" w:sz="4" w:space="0" w:color="auto"/>
              <w:left w:val="single" w:sz="4" w:space="0" w:color="auto"/>
              <w:bottom w:val="double" w:sz="4" w:space="0" w:color="auto"/>
              <w:right w:val="double" w:sz="4" w:space="0" w:color="auto"/>
            </w:tcBorders>
            <w:vAlign w:val="center"/>
          </w:tcPr>
          <w:p w14:paraId="4BACA6BC" w14:textId="77777777" w:rsidR="008C222F" w:rsidRPr="006B15C8" w:rsidRDefault="008C222F" w:rsidP="00DA67F1">
            <w:pPr>
              <w:spacing w:line="240" w:lineRule="auto"/>
              <w:jc w:val="center"/>
              <w:rPr>
                <w:sz w:val="16"/>
                <w:szCs w:val="16"/>
              </w:rPr>
            </w:pPr>
          </w:p>
        </w:tc>
        <w:tc>
          <w:tcPr>
            <w:tcW w:w="164" w:type="pct"/>
            <w:tcBorders>
              <w:top w:val="single" w:sz="4" w:space="0" w:color="auto"/>
              <w:left w:val="double" w:sz="4" w:space="0" w:color="auto"/>
              <w:bottom w:val="double" w:sz="4" w:space="0" w:color="auto"/>
              <w:right w:val="single" w:sz="4" w:space="0" w:color="auto"/>
            </w:tcBorders>
            <w:vAlign w:val="center"/>
            <w:hideMark/>
          </w:tcPr>
          <w:p w14:paraId="39854BAB" w14:textId="77777777" w:rsidR="008C222F" w:rsidRPr="006B15C8" w:rsidRDefault="008C222F" w:rsidP="00DA67F1">
            <w:pPr>
              <w:spacing w:line="240" w:lineRule="auto"/>
              <w:jc w:val="center"/>
              <w:rPr>
                <w:sz w:val="22"/>
                <w:szCs w:val="22"/>
              </w:rPr>
            </w:pPr>
            <w:r w:rsidRPr="006B15C8">
              <w:rPr>
                <w:sz w:val="22"/>
                <w:szCs w:val="22"/>
              </w:rPr>
              <w:t>×</w:t>
            </w:r>
          </w:p>
        </w:tc>
        <w:tc>
          <w:tcPr>
            <w:tcW w:w="156" w:type="pct"/>
            <w:tcBorders>
              <w:top w:val="single" w:sz="4" w:space="0" w:color="auto"/>
              <w:left w:val="single" w:sz="4" w:space="0" w:color="auto"/>
              <w:bottom w:val="double" w:sz="4" w:space="0" w:color="auto"/>
              <w:right w:val="single" w:sz="4" w:space="0" w:color="auto"/>
            </w:tcBorders>
            <w:vAlign w:val="center"/>
            <w:hideMark/>
          </w:tcPr>
          <w:p w14:paraId="49B4C300" w14:textId="77777777" w:rsidR="008C222F" w:rsidRPr="006B15C8" w:rsidRDefault="008C222F" w:rsidP="00DA67F1">
            <w:pPr>
              <w:spacing w:line="240" w:lineRule="auto"/>
              <w:jc w:val="center"/>
              <w:rPr>
                <w:sz w:val="22"/>
                <w:szCs w:val="22"/>
              </w:rPr>
            </w:pPr>
            <w:r w:rsidRPr="006B15C8">
              <w:rPr>
                <w:sz w:val="22"/>
                <w:szCs w:val="22"/>
              </w:rPr>
              <w:t>×</w:t>
            </w:r>
          </w:p>
        </w:tc>
        <w:tc>
          <w:tcPr>
            <w:tcW w:w="159" w:type="pct"/>
            <w:tcBorders>
              <w:top w:val="single" w:sz="4" w:space="0" w:color="auto"/>
              <w:left w:val="single" w:sz="4" w:space="0" w:color="auto"/>
              <w:bottom w:val="double" w:sz="4" w:space="0" w:color="auto"/>
              <w:right w:val="double" w:sz="4" w:space="0" w:color="auto"/>
            </w:tcBorders>
            <w:vAlign w:val="center"/>
            <w:hideMark/>
          </w:tcPr>
          <w:p w14:paraId="36A9B5B6" w14:textId="77777777" w:rsidR="008C222F" w:rsidRPr="006B15C8" w:rsidRDefault="008C222F" w:rsidP="00DA67F1">
            <w:pPr>
              <w:spacing w:line="240" w:lineRule="auto"/>
              <w:jc w:val="center"/>
              <w:rPr>
                <w:sz w:val="16"/>
                <w:szCs w:val="16"/>
              </w:rPr>
            </w:pPr>
            <w:r w:rsidRPr="006B15C8">
              <w:rPr>
                <w:sz w:val="22"/>
                <w:szCs w:val="22"/>
              </w:rPr>
              <w:t>×</w:t>
            </w:r>
          </w:p>
        </w:tc>
        <w:tc>
          <w:tcPr>
            <w:tcW w:w="187" w:type="pct"/>
            <w:tcBorders>
              <w:top w:val="single" w:sz="4" w:space="0" w:color="auto"/>
              <w:left w:val="double" w:sz="4" w:space="0" w:color="auto"/>
              <w:bottom w:val="double" w:sz="4" w:space="0" w:color="auto"/>
              <w:right w:val="single" w:sz="4" w:space="0" w:color="auto"/>
            </w:tcBorders>
            <w:vAlign w:val="center"/>
          </w:tcPr>
          <w:p w14:paraId="27ACD15F" w14:textId="77777777" w:rsidR="008C222F" w:rsidRPr="006B15C8" w:rsidRDefault="008C222F" w:rsidP="00DA67F1">
            <w:pPr>
              <w:spacing w:line="240" w:lineRule="auto"/>
              <w:jc w:val="center"/>
              <w:rPr>
                <w:sz w:val="16"/>
                <w:szCs w:val="16"/>
              </w:rPr>
            </w:pPr>
          </w:p>
        </w:tc>
        <w:tc>
          <w:tcPr>
            <w:tcW w:w="157" w:type="pct"/>
            <w:tcBorders>
              <w:top w:val="single" w:sz="4" w:space="0" w:color="auto"/>
              <w:left w:val="single" w:sz="4" w:space="0" w:color="auto"/>
              <w:bottom w:val="double" w:sz="4" w:space="0" w:color="auto"/>
              <w:right w:val="single" w:sz="4" w:space="0" w:color="auto"/>
            </w:tcBorders>
            <w:vAlign w:val="center"/>
          </w:tcPr>
          <w:p w14:paraId="2BE90394" w14:textId="77777777" w:rsidR="008C222F" w:rsidRPr="006B15C8" w:rsidRDefault="008C222F" w:rsidP="00DA67F1">
            <w:pPr>
              <w:spacing w:line="240" w:lineRule="auto"/>
              <w:jc w:val="center"/>
              <w:rPr>
                <w:sz w:val="16"/>
                <w:szCs w:val="16"/>
              </w:rPr>
            </w:pPr>
          </w:p>
        </w:tc>
        <w:tc>
          <w:tcPr>
            <w:tcW w:w="182" w:type="pct"/>
            <w:tcBorders>
              <w:top w:val="single" w:sz="4" w:space="0" w:color="auto"/>
              <w:left w:val="single" w:sz="4" w:space="0" w:color="auto"/>
              <w:bottom w:val="double" w:sz="4" w:space="0" w:color="auto"/>
              <w:right w:val="single" w:sz="4" w:space="0" w:color="auto"/>
            </w:tcBorders>
            <w:vAlign w:val="center"/>
          </w:tcPr>
          <w:p w14:paraId="253B04FB" w14:textId="77777777" w:rsidR="008C222F" w:rsidRPr="006B15C8" w:rsidRDefault="008C222F" w:rsidP="00DA67F1">
            <w:pPr>
              <w:spacing w:line="240" w:lineRule="auto"/>
              <w:jc w:val="center"/>
              <w:rPr>
                <w:sz w:val="16"/>
                <w:szCs w:val="16"/>
              </w:rPr>
            </w:pPr>
          </w:p>
        </w:tc>
        <w:tc>
          <w:tcPr>
            <w:tcW w:w="219" w:type="pct"/>
            <w:tcBorders>
              <w:top w:val="single" w:sz="4" w:space="0" w:color="auto"/>
              <w:left w:val="single" w:sz="4" w:space="0" w:color="auto"/>
              <w:bottom w:val="double" w:sz="4" w:space="0" w:color="auto"/>
              <w:right w:val="double" w:sz="4" w:space="0" w:color="auto"/>
            </w:tcBorders>
            <w:vAlign w:val="center"/>
          </w:tcPr>
          <w:p w14:paraId="643ADE35" w14:textId="77777777" w:rsidR="008C222F" w:rsidRPr="006B15C8" w:rsidRDefault="008C222F" w:rsidP="00DA67F1">
            <w:pPr>
              <w:spacing w:line="240" w:lineRule="auto"/>
              <w:jc w:val="center"/>
              <w:rPr>
                <w:sz w:val="16"/>
                <w:szCs w:val="16"/>
              </w:rPr>
            </w:pPr>
          </w:p>
        </w:tc>
      </w:tr>
      <w:tr w:rsidR="003C4EF8" w:rsidRPr="006B15C8" w14:paraId="14E337AF" w14:textId="77777777" w:rsidTr="00DA67F1">
        <w:tc>
          <w:tcPr>
            <w:tcW w:w="368" w:type="pct"/>
            <w:tcBorders>
              <w:top w:val="double" w:sz="4" w:space="0" w:color="auto"/>
              <w:left w:val="double" w:sz="4" w:space="0" w:color="auto"/>
              <w:bottom w:val="double" w:sz="4" w:space="0" w:color="auto"/>
              <w:right w:val="single" w:sz="4" w:space="0" w:color="auto"/>
            </w:tcBorders>
            <w:shd w:val="clear" w:color="auto" w:fill="DAEEF3"/>
            <w:vAlign w:val="center"/>
            <w:hideMark/>
          </w:tcPr>
          <w:p w14:paraId="560BC748" w14:textId="77777777" w:rsidR="008C222F" w:rsidRPr="006B15C8" w:rsidRDefault="008C222F" w:rsidP="004D553B">
            <w:pPr>
              <w:spacing w:line="240" w:lineRule="auto"/>
              <w:jc w:val="left"/>
              <w:rPr>
                <w:b/>
                <w:bCs/>
                <w:sz w:val="16"/>
                <w:szCs w:val="16"/>
              </w:rPr>
            </w:pPr>
            <w:r w:rsidRPr="006B15C8">
              <w:rPr>
                <w:b/>
                <w:bCs/>
                <w:sz w:val="16"/>
                <w:szCs w:val="16"/>
              </w:rPr>
              <w:t>This Study</w:t>
            </w:r>
          </w:p>
        </w:tc>
        <w:tc>
          <w:tcPr>
            <w:tcW w:w="286"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1CE8F00C" w14:textId="77777777" w:rsidR="008C222F" w:rsidRPr="006B15C8" w:rsidRDefault="008C222F" w:rsidP="00DA67F1">
            <w:pPr>
              <w:spacing w:line="240" w:lineRule="auto"/>
              <w:jc w:val="left"/>
              <w:rPr>
                <w:sz w:val="16"/>
                <w:szCs w:val="16"/>
              </w:rPr>
            </w:pPr>
            <w:r w:rsidRPr="006B15C8">
              <w:rPr>
                <w:sz w:val="16"/>
                <w:szCs w:val="16"/>
              </w:rPr>
              <w:t>Texas</w:t>
            </w:r>
          </w:p>
        </w:tc>
        <w:tc>
          <w:tcPr>
            <w:tcW w:w="409"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2F4DBC80" w14:textId="77777777" w:rsidR="008C222F" w:rsidRPr="006B15C8" w:rsidRDefault="008C222F" w:rsidP="00DA67F1">
            <w:pPr>
              <w:spacing w:line="240" w:lineRule="auto"/>
              <w:jc w:val="left"/>
              <w:rPr>
                <w:sz w:val="16"/>
                <w:szCs w:val="16"/>
              </w:rPr>
            </w:pPr>
            <w:r w:rsidRPr="006B15C8">
              <w:rPr>
                <w:sz w:val="16"/>
                <w:szCs w:val="16"/>
              </w:rPr>
              <w:t>Video recording</w:t>
            </w:r>
          </w:p>
        </w:tc>
        <w:tc>
          <w:tcPr>
            <w:tcW w:w="255"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5445408F" w14:textId="77777777" w:rsidR="008C222F" w:rsidRPr="006B15C8" w:rsidRDefault="008C222F" w:rsidP="00DA67F1">
            <w:pPr>
              <w:spacing w:line="240" w:lineRule="auto"/>
              <w:jc w:val="left"/>
              <w:rPr>
                <w:sz w:val="16"/>
                <w:szCs w:val="16"/>
              </w:rPr>
            </w:pPr>
            <w:r w:rsidRPr="006B15C8">
              <w:rPr>
                <w:sz w:val="16"/>
                <w:szCs w:val="16"/>
              </w:rPr>
              <w:t>1,296 hrs</w:t>
            </w:r>
          </w:p>
        </w:tc>
        <w:tc>
          <w:tcPr>
            <w:tcW w:w="506"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7FCA816A" w14:textId="77777777" w:rsidR="008C222F" w:rsidRPr="006B15C8" w:rsidRDefault="008C222F" w:rsidP="00DA67F1">
            <w:pPr>
              <w:spacing w:line="240" w:lineRule="auto"/>
              <w:jc w:val="left"/>
              <w:rPr>
                <w:sz w:val="16"/>
                <w:szCs w:val="16"/>
              </w:rPr>
            </w:pPr>
            <w:r w:rsidRPr="006B15C8">
              <w:rPr>
                <w:sz w:val="16"/>
                <w:szCs w:val="16"/>
              </w:rPr>
              <w:t>2 signalized intersections</w:t>
            </w:r>
          </w:p>
        </w:tc>
        <w:tc>
          <w:tcPr>
            <w:tcW w:w="148"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16D3CD0D" w14:textId="77777777" w:rsidR="008C222F" w:rsidRPr="006B15C8" w:rsidRDefault="008C222F" w:rsidP="004D553B">
            <w:pPr>
              <w:spacing w:line="240" w:lineRule="auto"/>
              <w:jc w:val="center"/>
              <w:rPr>
                <w:sz w:val="16"/>
                <w:szCs w:val="16"/>
              </w:rPr>
            </w:pPr>
            <w:r w:rsidRPr="006B15C8">
              <w:rPr>
                <w:sz w:val="16"/>
                <w:szCs w:val="16"/>
              </w:rPr>
              <w:t>3,124</w:t>
            </w:r>
          </w:p>
        </w:tc>
        <w:tc>
          <w:tcPr>
            <w:tcW w:w="650" w:type="pct"/>
            <w:tcBorders>
              <w:top w:val="double" w:sz="4" w:space="0" w:color="auto"/>
              <w:left w:val="single" w:sz="4" w:space="0" w:color="auto"/>
              <w:bottom w:val="double" w:sz="4" w:space="0" w:color="auto"/>
              <w:right w:val="double" w:sz="4" w:space="0" w:color="auto"/>
            </w:tcBorders>
            <w:shd w:val="clear" w:color="auto" w:fill="DAEEF3"/>
            <w:vAlign w:val="center"/>
            <w:hideMark/>
          </w:tcPr>
          <w:p w14:paraId="566E23D8" w14:textId="77777777" w:rsidR="008C222F" w:rsidRPr="006B15C8" w:rsidRDefault="008C222F" w:rsidP="004D553B">
            <w:pPr>
              <w:pStyle w:val="ListParagraph"/>
              <w:numPr>
                <w:ilvl w:val="0"/>
                <w:numId w:val="31"/>
              </w:numPr>
              <w:spacing w:line="240" w:lineRule="auto"/>
              <w:ind w:left="201" w:hanging="109"/>
              <w:jc w:val="left"/>
              <w:rPr>
                <w:sz w:val="16"/>
                <w:szCs w:val="16"/>
              </w:rPr>
            </w:pPr>
            <w:r w:rsidRPr="006B15C8">
              <w:rPr>
                <w:sz w:val="16"/>
                <w:szCs w:val="16"/>
              </w:rPr>
              <w:t>Driver yielding</w:t>
            </w:r>
          </w:p>
        </w:tc>
        <w:tc>
          <w:tcPr>
            <w:tcW w:w="164" w:type="pct"/>
            <w:tcBorders>
              <w:top w:val="double" w:sz="4" w:space="0" w:color="auto"/>
              <w:left w:val="double" w:sz="4" w:space="0" w:color="auto"/>
              <w:bottom w:val="double" w:sz="4" w:space="0" w:color="auto"/>
              <w:right w:val="single" w:sz="4" w:space="0" w:color="auto"/>
            </w:tcBorders>
            <w:shd w:val="clear" w:color="auto" w:fill="DAEEF3"/>
            <w:vAlign w:val="center"/>
            <w:hideMark/>
          </w:tcPr>
          <w:p w14:paraId="5A61F12E" w14:textId="77777777" w:rsidR="008C222F" w:rsidRPr="006B15C8" w:rsidRDefault="008C222F" w:rsidP="00DA67F1">
            <w:pPr>
              <w:spacing w:line="240" w:lineRule="auto"/>
              <w:jc w:val="center"/>
              <w:rPr>
                <w:sz w:val="22"/>
                <w:szCs w:val="22"/>
              </w:rPr>
            </w:pPr>
            <w:r w:rsidRPr="006B15C8">
              <w:rPr>
                <w:sz w:val="22"/>
                <w:szCs w:val="22"/>
              </w:rPr>
              <w:t>×</w:t>
            </w:r>
          </w:p>
        </w:tc>
        <w:tc>
          <w:tcPr>
            <w:tcW w:w="134"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7A6E5822" w14:textId="77777777" w:rsidR="008C222F" w:rsidRPr="006B15C8" w:rsidRDefault="008C222F" w:rsidP="00DA67F1">
            <w:pPr>
              <w:spacing w:line="240" w:lineRule="auto"/>
              <w:jc w:val="center"/>
              <w:rPr>
                <w:sz w:val="16"/>
                <w:szCs w:val="16"/>
              </w:rPr>
            </w:pPr>
            <w:r w:rsidRPr="006B15C8">
              <w:rPr>
                <w:sz w:val="22"/>
                <w:szCs w:val="22"/>
              </w:rPr>
              <w:t>×</w:t>
            </w:r>
          </w:p>
        </w:tc>
        <w:tc>
          <w:tcPr>
            <w:tcW w:w="165"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76381C2A" w14:textId="77777777" w:rsidR="008C222F" w:rsidRPr="006B15C8" w:rsidRDefault="008C222F" w:rsidP="00DA67F1">
            <w:pPr>
              <w:spacing w:line="240" w:lineRule="auto"/>
              <w:jc w:val="center"/>
              <w:rPr>
                <w:sz w:val="22"/>
                <w:szCs w:val="22"/>
              </w:rPr>
            </w:pPr>
            <w:r w:rsidRPr="006B15C8">
              <w:rPr>
                <w:sz w:val="22"/>
                <w:szCs w:val="22"/>
              </w:rPr>
              <w:t>×</w:t>
            </w:r>
          </w:p>
        </w:tc>
        <w:tc>
          <w:tcPr>
            <w:tcW w:w="177" w:type="pct"/>
            <w:tcBorders>
              <w:top w:val="double" w:sz="4" w:space="0" w:color="auto"/>
              <w:left w:val="single" w:sz="4" w:space="0" w:color="auto"/>
              <w:bottom w:val="double" w:sz="4" w:space="0" w:color="auto"/>
              <w:right w:val="double" w:sz="4" w:space="0" w:color="auto"/>
            </w:tcBorders>
            <w:shd w:val="clear" w:color="auto" w:fill="DAEEF3"/>
            <w:vAlign w:val="center"/>
            <w:hideMark/>
          </w:tcPr>
          <w:p w14:paraId="619D755C" w14:textId="77777777" w:rsidR="008C222F" w:rsidRPr="006B15C8" w:rsidRDefault="008C222F" w:rsidP="00DA67F1">
            <w:pPr>
              <w:spacing w:line="240" w:lineRule="auto"/>
              <w:jc w:val="center"/>
              <w:rPr>
                <w:sz w:val="16"/>
                <w:szCs w:val="16"/>
              </w:rPr>
            </w:pPr>
            <w:r w:rsidRPr="006B15C8">
              <w:rPr>
                <w:sz w:val="22"/>
                <w:szCs w:val="22"/>
              </w:rPr>
              <w:t>×</w:t>
            </w:r>
          </w:p>
        </w:tc>
        <w:tc>
          <w:tcPr>
            <w:tcW w:w="136" w:type="pct"/>
            <w:tcBorders>
              <w:top w:val="double" w:sz="4" w:space="0" w:color="auto"/>
              <w:left w:val="double" w:sz="4" w:space="0" w:color="auto"/>
              <w:bottom w:val="double" w:sz="4" w:space="0" w:color="auto"/>
              <w:right w:val="single" w:sz="4" w:space="0" w:color="auto"/>
            </w:tcBorders>
            <w:shd w:val="clear" w:color="auto" w:fill="DAEEF3"/>
            <w:vAlign w:val="center"/>
            <w:hideMark/>
          </w:tcPr>
          <w:p w14:paraId="70AC3F3C" w14:textId="77777777" w:rsidR="008C222F" w:rsidRPr="006B15C8" w:rsidRDefault="008C222F" w:rsidP="00DA67F1">
            <w:pPr>
              <w:spacing w:line="240" w:lineRule="auto"/>
              <w:jc w:val="center"/>
              <w:rPr>
                <w:sz w:val="16"/>
                <w:szCs w:val="16"/>
              </w:rPr>
            </w:pPr>
            <w:r w:rsidRPr="006B15C8">
              <w:rPr>
                <w:sz w:val="22"/>
                <w:szCs w:val="22"/>
              </w:rPr>
              <w:t>×</w:t>
            </w:r>
          </w:p>
        </w:tc>
        <w:tc>
          <w:tcPr>
            <w:tcW w:w="155" w:type="pct"/>
            <w:tcBorders>
              <w:top w:val="double" w:sz="4" w:space="0" w:color="auto"/>
              <w:left w:val="single" w:sz="4" w:space="0" w:color="auto"/>
              <w:bottom w:val="double" w:sz="4" w:space="0" w:color="auto"/>
              <w:right w:val="single" w:sz="4" w:space="0" w:color="auto"/>
            </w:tcBorders>
            <w:shd w:val="clear" w:color="auto" w:fill="DAEEF3"/>
            <w:vAlign w:val="center"/>
          </w:tcPr>
          <w:p w14:paraId="1B02C175" w14:textId="77777777" w:rsidR="008C222F" w:rsidRPr="006B15C8" w:rsidRDefault="008C222F" w:rsidP="00DA67F1">
            <w:pPr>
              <w:spacing w:line="240" w:lineRule="auto"/>
              <w:jc w:val="center"/>
              <w:rPr>
                <w:sz w:val="16"/>
                <w:szCs w:val="16"/>
              </w:rPr>
            </w:pPr>
          </w:p>
        </w:tc>
        <w:tc>
          <w:tcPr>
            <w:tcW w:w="221" w:type="pct"/>
            <w:tcBorders>
              <w:top w:val="double" w:sz="4" w:space="0" w:color="auto"/>
              <w:left w:val="single" w:sz="4" w:space="0" w:color="auto"/>
              <w:bottom w:val="double" w:sz="4" w:space="0" w:color="auto"/>
              <w:right w:val="double" w:sz="4" w:space="0" w:color="auto"/>
            </w:tcBorders>
            <w:shd w:val="clear" w:color="auto" w:fill="DAEEF3"/>
            <w:vAlign w:val="center"/>
            <w:hideMark/>
          </w:tcPr>
          <w:p w14:paraId="53C46544" w14:textId="77777777" w:rsidR="008C222F" w:rsidRPr="006B15C8" w:rsidRDefault="008C222F" w:rsidP="00DA67F1">
            <w:pPr>
              <w:spacing w:line="240" w:lineRule="auto"/>
              <w:jc w:val="center"/>
              <w:rPr>
                <w:sz w:val="16"/>
                <w:szCs w:val="16"/>
              </w:rPr>
            </w:pPr>
            <w:r w:rsidRPr="006B15C8">
              <w:rPr>
                <w:sz w:val="22"/>
                <w:szCs w:val="22"/>
              </w:rPr>
              <w:t>×</w:t>
            </w:r>
          </w:p>
        </w:tc>
        <w:tc>
          <w:tcPr>
            <w:tcW w:w="164" w:type="pct"/>
            <w:tcBorders>
              <w:top w:val="double" w:sz="4" w:space="0" w:color="auto"/>
              <w:left w:val="double" w:sz="4" w:space="0" w:color="auto"/>
              <w:bottom w:val="double" w:sz="4" w:space="0" w:color="auto"/>
              <w:right w:val="single" w:sz="4" w:space="0" w:color="auto"/>
            </w:tcBorders>
            <w:shd w:val="clear" w:color="auto" w:fill="DAEEF3"/>
            <w:vAlign w:val="center"/>
          </w:tcPr>
          <w:p w14:paraId="306DD1A6" w14:textId="77777777" w:rsidR="008C222F" w:rsidRPr="006B15C8" w:rsidRDefault="008C222F" w:rsidP="00DA67F1">
            <w:pPr>
              <w:spacing w:line="240" w:lineRule="auto"/>
              <w:jc w:val="center"/>
              <w:rPr>
                <w:sz w:val="16"/>
                <w:szCs w:val="16"/>
              </w:rPr>
            </w:pPr>
          </w:p>
        </w:tc>
        <w:tc>
          <w:tcPr>
            <w:tcW w:w="156" w:type="pct"/>
            <w:tcBorders>
              <w:top w:val="double" w:sz="4" w:space="0" w:color="auto"/>
              <w:left w:val="single" w:sz="4" w:space="0" w:color="auto"/>
              <w:bottom w:val="double" w:sz="4" w:space="0" w:color="auto"/>
              <w:right w:val="single" w:sz="4" w:space="0" w:color="auto"/>
            </w:tcBorders>
            <w:shd w:val="clear" w:color="auto" w:fill="DAEEF3"/>
            <w:vAlign w:val="center"/>
          </w:tcPr>
          <w:p w14:paraId="00108F05" w14:textId="77777777" w:rsidR="008C222F" w:rsidRPr="006B15C8" w:rsidRDefault="008C222F" w:rsidP="00DA67F1">
            <w:pPr>
              <w:spacing w:line="240" w:lineRule="auto"/>
              <w:jc w:val="center"/>
              <w:rPr>
                <w:sz w:val="22"/>
                <w:szCs w:val="22"/>
              </w:rPr>
            </w:pPr>
          </w:p>
        </w:tc>
        <w:tc>
          <w:tcPr>
            <w:tcW w:w="159" w:type="pct"/>
            <w:tcBorders>
              <w:top w:val="double" w:sz="4" w:space="0" w:color="auto"/>
              <w:left w:val="single" w:sz="4" w:space="0" w:color="auto"/>
              <w:bottom w:val="double" w:sz="4" w:space="0" w:color="auto"/>
              <w:right w:val="double" w:sz="4" w:space="0" w:color="auto"/>
            </w:tcBorders>
            <w:shd w:val="clear" w:color="auto" w:fill="DAEEF3"/>
            <w:vAlign w:val="center"/>
          </w:tcPr>
          <w:p w14:paraId="164B71C2" w14:textId="77777777" w:rsidR="008C222F" w:rsidRPr="006B15C8" w:rsidRDefault="008C222F" w:rsidP="00DA67F1">
            <w:pPr>
              <w:spacing w:line="240" w:lineRule="auto"/>
              <w:jc w:val="center"/>
              <w:rPr>
                <w:sz w:val="22"/>
                <w:szCs w:val="22"/>
              </w:rPr>
            </w:pPr>
          </w:p>
        </w:tc>
        <w:tc>
          <w:tcPr>
            <w:tcW w:w="187" w:type="pct"/>
            <w:tcBorders>
              <w:top w:val="double" w:sz="4" w:space="0" w:color="auto"/>
              <w:left w:val="double" w:sz="4" w:space="0" w:color="auto"/>
              <w:bottom w:val="double" w:sz="4" w:space="0" w:color="auto"/>
              <w:right w:val="single" w:sz="4" w:space="0" w:color="auto"/>
            </w:tcBorders>
            <w:shd w:val="clear" w:color="auto" w:fill="DAEEF3"/>
            <w:vAlign w:val="center"/>
            <w:hideMark/>
          </w:tcPr>
          <w:p w14:paraId="6757E921" w14:textId="77777777" w:rsidR="008C222F" w:rsidRPr="006B15C8" w:rsidRDefault="008C222F" w:rsidP="00DA67F1">
            <w:pPr>
              <w:spacing w:line="240" w:lineRule="auto"/>
              <w:jc w:val="center"/>
              <w:rPr>
                <w:sz w:val="16"/>
                <w:szCs w:val="16"/>
              </w:rPr>
            </w:pPr>
            <w:r w:rsidRPr="006B15C8">
              <w:rPr>
                <w:sz w:val="22"/>
                <w:szCs w:val="22"/>
              </w:rPr>
              <w:t>×</w:t>
            </w:r>
          </w:p>
        </w:tc>
        <w:tc>
          <w:tcPr>
            <w:tcW w:w="157" w:type="pct"/>
            <w:tcBorders>
              <w:top w:val="double" w:sz="4" w:space="0" w:color="auto"/>
              <w:left w:val="single" w:sz="4" w:space="0" w:color="auto"/>
              <w:bottom w:val="double" w:sz="4" w:space="0" w:color="auto"/>
              <w:right w:val="single" w:sz="4" w:space="0" w:color="auto"/>
            </w:tcBorders>
            <w:shd w:val="clear" w:color="auto" w:fill="DAEEF3"/>
            <w:vAlign w:val="center"/>
            <w:hideMark/>
          </w:tcPr>
          <w:p w14:paraId="329793B0" w14:textId="77777777" w:rsidR="008C222F" w:rsidRPr="006B15C8" w:rsidRDefault="008C222F" w:rsidP="00DA67F1">
            <w:pPr>
              <w:spacing w:line="240" w:lineRule="auto"/>
              <w:jc w:val="center"/>
              <w:rPr>
                <w:sz w:val="16"/>
                <w:szCs w:val="16"/>
              </w:rPr>
            </w:pPr>
            <w:r w:rsidRPr="006B15C8">
              <w:rPr>
                <w:sz w:val="22"/>
                <w:szCs w:val="22"/>
              </w:rPr>
              <w:t>×</w:t>
            </w:r>
          </w:p>
        </w:tc>
        <w:tc>
          <w:tcPr>
            <w:tcW w:w="182" w:type="pct"/>
            <w:tcBorders>
              <w:top w:val="double" w:sz="4" w:space="0" w:color="auto"/>
              <w:left w:val="single" w:sz="4" w:space="0" w:color="auto"/>
              <w:bottom w:val="double" w:sz="4" w:space="0" w:color="auto"/>
              <w:right w:val="single" w:sz="4" w:space="0" w:color="auto"/>
            </w:tcBorders>
            <w:shd w:val="clear" w:color="auto" w:fill="DAEEF3"/>
            <w:vAlign w:val="center"/>
          </w:tcPr>
          <w:p w14:paraId="7C09A27F" w14:textId="77777777" w:rsidR="008C222F" w:rsidRPr="006B15C8" w:rsidRDefault="008C222F" w:rsidP="00DA67F1">
            <w:pPr>
              <w:spacing w:line="240" w:lineRule="auto"/>
              <w:jc w:val="center"/>
              <w:rPr>
                <w:sz w:val="22"/>
                <w:szCs w:val="22"/>
              </w:rPr>
            </w:pPr>
          </w:p>
        </w:tc>
        <w:tc>
          <w:tcPr>
            <w:tcW w:w="219" w:type="pct"/>
            <w:tcBorders>
              <w:top w:val="double" w:sz="4" w:space="0" w:color="auto"/>
              <w:left w:val="single" w:sz="4" w:space="0" w:color="auto"/>
              <w:bottom w:val="double" w:sz="4" w:space="0" w:color="auto"/>
              <w:right w:val="double" w:sz="4" w:space="0" w:color="auto"/>
            </w:tcBorders>
            <w:shd w:val="clear" w:color="auto" w:fill="DAEEF3"/>
            <w:vAlign w:val="center"/>
            <w:hideMark/>
          </w:tcPr>
          <w:p w14:paraId="18ABE0FE" w14:textId="77777777" w:rsidR="008C222F" w:rsidRPr="006B15C8" w:rsidRDefault="008C222F" w:rsidP="00DA67F1">
            <w:pPr>
              <w:spacing w:line="240" w:lineRule="auto"/>
              <w:jc w:val="center"/>
              <w:rPr>
                <w:sz w:val="22"/>
                <w:szCs w:val="22"/>
              </w:rPr>
            </w:pPr>
            <w:r w:rsidRPr="006B15C8">
              <w:rPr>
                <w:sz w:val="22"/>
                <w:szCs w:val="22"/>
              </w:rPr>
              <w:t>×</w:t>
            </w:r>
          </w:p>
        </w:tc>
      </w:tr>
    </w:tbl>
    <w:p w14:paraId="6BDBEC05" w14:textId="77777777" w:rsidR="00476C9D" w:rsidRPr="006B15C8" w:rsidRDefault="00476C9D" w:rsidP="00476C9D">
      <w:pPr>
        <w:pStyle w:val="NormalWeb"/>
        <w:spacing w:before="0" w:beforeAutospacing="0" w:after="0" w:afterAutospacing="0"/>
        <w:jc w:val="both"/>
        <w:rPr>
          <w:sz w:val="16"/>
          <w:szCs w:val="16"/>
        </w:rPr>
      </w:pPr>
      <w:r w:rsidRPr="006B15C8">
        <w:rPr>
          <w:sz w:val="16"/>
          <w:szCs w:val="16"/>
          <w:vertAlign w:val="superscript"/>
        </w:rPr>
        <w:t>*</w:t>
      </w:r>
      <w:r w:rsidRPr="006B15C8">
        <w:rPr>
          <w:sz w:val="16"/>
          <w:szCs w:val="16"/>
        </w:rPr>
        <w:t xml:space="preserve">The “Other” category under </w:t>
      </w:r>
      <w:r w:rsidR="008C222F" w:rsidRPr="006B15C8">
        <w:rPr>
          <w:sz w:val="16"/>
          <w:szCs w:val="16"/>
        </w:rPr>
        <w:t>“</w:t>
      </w:r>
      <w:r w:rsidRPr="006B15C8">
        <w:rPr>
          <w:rStyle w:val="Strong"/>
          <w:b w:val="0"/>
          <w:bCs w:val="0"/>
          <w:sz w:val="16"/>
          <w:szCs w:val="16"/>
        </w:rPr>
        <w:t>Pedestrian Sociodemographics</w:t>
      </w:r>
      <w:r w:rsidR="008C222F" w:rsidRPr="006B15C8">
        <w:rPr>
          <w:rStyle w:val="Strong"/>
          <w:b w:val="0"/>
          <w:bCs w:val="0"/>
          <w:sz w:val="16"/>
          <w:szCs w:val="16"/>
        </w:rPr>
        <w:t>”</w:t>
      </w:r>
      <w:r w:rsidRPr="006B15C8">
        <w:rPr>
          <w:sz w:val="16"/>
          <w:szCs w:val="16"/>
        </w:rPr>
        <w:t xml:space="preserve"> includes the following variables: majority of pedestrians are White, majority of drivers are White, and presence of a visible disability.</w:t>
      </w:r>
    </w:p>
    <w:p w14:paraId="6EFA658A" w14:textId="77777777" w:rsidR="00101BCB" w:rsidRPr="006B15C8" w:rsidRDefault="00E63F38" w:rsidP="008C222F">
      <w:pPr>
        <w:pStyle w:val="NormalWeb"/>
        <w:spacing w:before="0" w:beforeAutospacing="0" w:after="0" w:afterAutospacing="0"/>
        <w:jc w:val="both"/>
        <w:rPr>
          <w:sz w:val="16"/>
          <w:szCs w:val="16"/>
        </w:rPr>
        <w:sectPr w:rsidR="00101BCB" w:rsidRPr="006B15C8" w:rsidSect="00474741">
          <w:footerReference w:type="default" r:id="rId16"/>
          <w:pgSz w:w="15840" w:h="12240" w:orient="landscape" w:code="1"/>
          <w:pgMar w:top="1008" w:right="864" w:bottom="1008" w:left="864" w:header="576" w:footer="576" w:gutter="0"/>
          <w:cols w:space="720"/>
          <w:docGrid w:linePitch="326"/>
        </w:sectPr>
      </w:pPr>
      <w:r w:rsidRPr="006B15C8">
        <w:rPr>
          <w:sz w:val="16"/>
          <w:szCs w:val="16"/>
          <w:vertAlign w:val="superscript"/>
        </w:rPr>
        <w:t xml:space="preserve">** </w:t>
      </w:r>
      <w:r w:rsidRPr="006B15C8">
        <w:rPr>
          <w:sz w:val="16"/>
          <w:szCs w:val="16"/>
        </w:rPr>
        <w:t xml:space="preserve">The “Other” category under </w:t>
      </w:r>
      <w:r w:rsidR="008C222F" w:rsidRPr="006B15C8">
        <w:rPr>
          <w:sz w:val="16"/>
          <w:szCs w:val="16"/>
        </w:rPr>
        <w:t>“</w:t>
      </w:r>
      <w:r w:rsidRPr="006B15C8">
        <w:rPr>
          <w:sz w:val="16"/>
          <w:szCs w:val="16"/>
        </w:rPr>
        <w:t>Driver Demographics</w:t>
      </w:r>
      <w:r w:rsidR="008C222F" w:rsidRPr="006B15C8">
        <w:rPr>
          <w:sz w:val="16"/>
          <w:szCs w:val="16"/>
        </w:rPr>
        <w:t>”</w:t>
      </w:r>
      <w:r w:rsidRPr="006B15C8">
        <w:rPr>
          <w:sz w:val="16"/>
          <w:szCs w:val="16"/>
        </w:rPr>
        <w:t xml:space="preserve"> includes </w:t>
      </w:r>
      <w:r w:rsidR="00101BCB" w:rsidRPr="006B15C8">
        <w:rPr>
          <w:sz w:val="16"/>
          <w:szCs w:val="16"/>
        </w:rPr>
        <w:t xml:space="preserve">witnessing yielding by other drivers, formal education levels, and knowledge of traffic rules. </w:t>
      </w:r>
    </w:p>
    <w:p w14:paraId="1716445D" w14:textId="77777777" w:rsidR="00353C52" w:rsidRPr="006B15C8" w:rsidRDefault="00A94A0E" w:rsidP="004A6C6E">
      <w:pPr>
        <w:pStyle w:val="Heading2"/>
        <w:numPr>
          <w:ilvl w:val="0"/>
          <w:numId w:val="0"/>
        </w:numPr>
        <w:spacing w:line="271" w:lineRule="auto"/>
      </w:pPr>
      <w:r w:rsidRPr="006B15C8">
        <w:lastRenderedPageBreak/>
        <w:t>2.3 The Current Paper</w:t>
      </w:r>
    </w:p>
    <w:p w14:paraId="4C49668C" w14:textId="5DC951BC" w:rsidR="004F5F15" w:rsidRPr="006B15C8" w:rsidRDefault="00605A82" w:rsidP="004A6C6E">
      <w:pPr>
        <w:spacing w:line="271" w:lineRule="auto"/>
      </w:pPr>
      <w:r w:rsidRPr="006B15C8">
        <w:t xml:space="preserve">Overall, </w:t>
      </w:r>
      <w:r w:rsidR="000404B6" w:rsidRPr="006B15C8">
        <w:t xml:space="preserve">the existing literature </w:t>
      </w:r>
      <w:r w:rsidR="003B6837" w:rsidRPr="006B15C8">
        <w:t>provides valuable insights into the factors that influence pedestrian crossing compliance and shape</w:t>
      </w:r>
      <w:r w:rsidR="000404B6" w:rsidRPr="006B15C8">
        <w:t xml:space="preserve"> pedestrian</w:t>
      </w:r>
      <w:r w:rsidR="00C70254" w:rsidRPr="006B15C8">
        <w:t>-</w:t>
      </w:r>
      <w:r w:rsidR="000404B6" w:rsidRPr="006B15C8">
        <w:t xml:space="preserve">driver interactions. However, </w:t>
      </w:r>
      <w:r w:rsidR="003B6837" w:rsidRPr="006B15C8">
        <w:t>signific</w:t>
      </w:r>
      <w:r w:rsidR="000404B6" w:rsidRPr="006B15C8">
        <w:t xml:space="preserve">ant gaps remain, particularly concerning the </w:t>
      </w:r>
      <w:r w:rsidR="00A31414" w:rsidRPr="006B15C8">
        <w:t xml:space="preserve">entire range </w:t>
      </w:r>
      <w:r w:rsidR="000404B6" w:rsidRPr="006B15C8">
        <w:t xml:space="preserve">of sociodemographic characteristics, </w:t>
      </w:r>
      <w:r w:rsidR="00A31414" w:rsidRPr="006B15C8">
        <w:t xml:space="preserve">pedestrian activity and </w:t>
      </w:r>
      <w:r w:rsidR="000404B6" w:rsidRPr="006B15C8">
        <w:t xml:space="preserve">contextual conditions, and </w:t>
      </w:r>
      <w:r w:rsidR="00A31414" w:rsidRPr="006B15C8">
        <w:t xml:space="preserve">time-of-day/weather </w:t>
      </w:r>
      <w:r w:rsidR="000404B6" w:rsidRPr="006B15C8">
        <w:t>factors in these behaviors.</w:t>
      </w:r>
      <w:r w:rsidR="00C70254" w:rsidRPr="006B15C8">
        <w:t xml:space="preserve"> This study contributes to the literature by addressing several of these limitations and advancing empirical understanding in </w:t>
      </w:r>
      <w:r w:rsidR="3022764B" w:rsidRPr="006B15C8">
        <w:t>eight</w:t>
      </w:r>
      <w:r w:rsidR="00B15C84" w:rsidRPr="006B15C8">
        <w:t xml:space="preserve"> </w:t>
      </w:r>
      <w:r w:rsidR="00C70254" w:rsidRPr="006B15C8">
        <w:t>key ways.</w:t>
      </w:r>
    </w:p>
    <w:p w14:paraId="36EFDCA1" w14:textId="77777777" w:rsidR="003B6837" w:rsidRPr="006B15C8" w:rsidRDefault="000404B6" w:rsidP="004A6C6E">
      <w:pPr>
        <w:spacing w:line="271" w:lineRule="auto"/>
        <w:ind w:firstLine="720"/>
      </w:pPr>
      <w:r w:rsidRPr="006B15C8">
        <w:rPr>
          <w:u w:val="single"/>
        </w:rPr>
        <w:t>First</w:t>
      </w:r>
      <w:r w:rsidRPr="006B15C8">
        <w:t xml:space="preserve">, as </w:t>
      </w:r>
      <w:r w:rsidR="003B6837" w:rsidRPr="006B15C8">
        <w:t>observed in</w:t>
      </w:r>
      <w:r w:rsidRPr="006B15C8">
        <w:t xml:space="preserve"> </w:t>
      </w:r>
      <w:r w:rsidR="003B6837" w:rsidRPr="006B15C8">
        <w:t>Table 1</w:t>
      </w:r>
      <w:r w:rsidRPr="006B15C8">
        <w:t xml:space="preserve">, </w:t>
      </w:r>
      <w:r w:rsidR="003B6837" w:rsidRPr="006B15C8">
        <w:t xml:space="preserve">pedestrian crossing behavior remains relatively understudied in the </w:t>
      </w:r>
      <w:r w:rsidR="008D5A7F" w:rsidRPr="006B15C8">
        <w:t>U.S</w:t>
      </w:r>
      <w:r w:rsidR="003B6837" w:rsidRPr="006B15C8">
        <w:t xml:space="preserve">. Much of the existing evidence originates from international contexts, such as China, Hong Kong, and Iran, where dense urban design, high pedestrian volumes, and walk-oriented cultures create conditions that differ substantially from those in the U.S., thereby limiting the generalizability of the findings. In addition, the few U.S.-based studies that do exist often report </w:t>
      </w:r>
      <w:r w:rsidR="00E4218D" w:rsidRPr="006B15C8">
        <w:t>varying</w:t>
      </w:r>
      <w:r w:rsidR="003B6837" w:rsidRPr="006B15C8">
        <w:t xml:space="preserve"> results across key behavioral outcomes and demographic variables, including gender, age, and distraction</w:t>
      </w:r>
      <w:r w:rsidR="00E4218D" w:rsidRPr="006B15C8">
        <w:t xml:space="preserve">, </w:t>
      </w:r>
      <w:r w:rsidR="003B6837" w:rsidRPr="006B15C8">
        <w:t>highlight</w:t>
      </w:r>
      <w:r w:rsidR="00E4218D" w:rsidRPr="006B15C8">
        <w:t>ing</w:t>
      </w:r>
      <w:r w:rsidR="003B6837" w:rsidRPr="006B15C8">
        <w:t xml:space="preserve"> the need for further empirical research grounded in the U.S. context. Our study addresses this gap by providing detailed, real-world observational data from Texas, offering both a geographic contribution and a context-sensitive analysis that helps clarify and </w:t>
      </w:r>
      <w:r w:rsidR="0095180B" w:rsidRPr="006B15C8">
        <w:t xml:space="preserve">possibly </w:t>
      </w:r>
      <w:r w:rsidR="003B6837" w:rsidRPr="006B15C8">
        <w:t>reconcile conflicting findings in the literature.</w:t>
      </w:r>
    </w:p>
    <w:p w14:paraId="2AEFE92D" w14:textId="63D2165A" w:rsidR="004F5F15" w:rsidRPr="006B15C8" w:rsidRDefault="000404B6" w:rsidP="004A6C6E">
      <w:pPr>
        <w:spacing w:line="271" w:lineRule="auto"/>
        <w:ind w:firstLine="720"/>
      </w:pPr>
      <w:r w:rsidRPr="006B15C8">
        <w:rPr>
          <w:u w:val="single"/>
        </w:rPr>
        <w:t>Second</w:t>
      </w:r>
      <w:r w:rsidRPr="006B15C8">
        <w:t xml:space="preserve">, prior studies </w:t>
      </w:r>
      <w:r w:rsidR="00A31414" w:rsidRPr="006B15C8">
        <w:t xml:space="preserve">have </w:t>
      </w:r>
      <w:r w:rsidRPr="006B15C8">
        <w:t>often rel</w:t>
      </w:r>
      <w:r w:rsidR="003B6837" w:rsidRPr="006B15C8">
        <w:t>ied</w:t>
      </w:r>
      <w:r w:rsidRPr="006B15C8">
        <w:t xml:space="preserve"> on short-duration data collection, frequently limited to a few hours or a single day per site</w:t>
      </w:r>
      <w:r w:rsidR="004F5F15" w:rsidRPr="006B15C8">
        <w:t xml:space="preserve"> (as indicated in </w:t>
      </w:r>
      <w:r w:rsidR="00A31414" w:rsidRPr="006B15C8">
        <w:t xml:space="preserve">the third column of </w:t>
      </w:r>
      <w:r w:rsidR="003B6837" w:rsidRPr="006B15C8">
        <w:t xml:space="preserve">Table 1 and </w:t>
      </w:r>
      <w:r w:rsidR="00A31414" w:rsidRPr="006B15C8">
        <w:t xml:space="preserve">the fourth column of Table </w:t>
      </w:r>
      <w:r w:rsidR="003B6837" w:rsidRPr="006B15C8">
        <w:t>2</w:t>
      </w:r>
      <w:r w:rsidR="004F5F15" w:rsidRPr="006B15C8">
        <w:t>)</w:t>
      </w:r>
      <w:r w:rsidRPr="006B15C8">
        <w:t>. While this approach may simplify data management and annotation, it limits the ability to capture rare events</w:t>
      </w:r>
      <w:r w:rsidR="00626521" w:rsidRPr="006B15C8">
        <w:t xml:space="preserve">, such as </w:t>
      </w:r>
      <w:r w:rsidR="00107AC0" w:rsidRPr="006B15C8">
        <w:t xml:space="preserve">instances of </w:t>
      </w:r>
      <w:r w:rsidR="004F5F15" w:rsidRPr="006B15C8">
        <w:t xml:space="preserve">NCPC or </w:t>
      </w:r>
      <w:r w:rsidR="00107AC0" w:rsidRPr="006B15C8">
        <w:t>DUY</w:t>
      </w:r>
      <w:r w:rsidRPr="006B15C8">
        <w:t>.</w:t>
      </w:r>
      <w:r w:rsidR="004F5F15" w:rsidRPr="006B15C8">
        <w:t xml:space="preserve"> In contrast, our study incorporates continuous video monitoring over periods exceeding two weeks at each </w:t>
      </w:r>
      <w:r w:rsidR="00A31414" w:rsidRPr="006B15C8">
        <w:t xml:space="preserve">of two intersection </w:t>
      </w:r>
      <w:r w:rsidR="004F5F15" w:rsidRPr="006B15C8">
        <w:t>site</w:t>
      </w:r>
      <w:r w:rsidR="00A31414" w:rsidRPr="006B15C8">
        <w:t>s</w:t>
      </w:r>
      <w:r w:rsidR="004F5F15" w:rsidRPr="006B15C8">
        <w:t xml:space="preserve">, </w:t>
      </w:r>
      <w:r w:rsidR="003B6837" w:rsidRPr="006B15C8">
        <w:t>resulting in</w:t>
      </w:r>
      <w:r w:rsidR="004F5F15" w:rsidRPr="006B15C8">
        <w:t xml:space="preserve"> a large and temporally diverse dataset of</w:t>
      </w:r>
      <w:r w:rsidR="007F6F3E" w:rsidRPr="006B15C8">
        <w:t xml:space="preserve"> over</w:t>
      </w:r>
      <w:r w:rsidR="004F5F15" w:rsidRPr="006B15C8">
        <w:t xml:space="preserve"> 20,000 observations. To our knowledge, this is the first study to combine high-volume naturalistic footage with detailed pedestrian-, vehicle-, and context-level variables to examine interactions in shared spaces.</w:t>
      </w:r>
    </w:p>
    <w:p w14:paraId="50D13146" w14:textId="23D21C47" w:rsidR="007F6F3E" w:rsidRPr="006B15C8" w:rsidRDefault="00626521" w:rsidP="004A6C6E">
      <w:pPr>
        <w:spacing w:line="271" w:lineRule="auto"/>
        <w:ind w:firstLine="720"/>
      </w:pPr>
      <w:r w:rsidRPr="006B15C8">
        <w:rPr>
          <w:u w:val="single"/>
        </w:rPr>
        <w:t>Third</w:t>
      </w:r>
      <w:r w:rsidRPr="006B15C8">
        <w:t xml:space="preserve">, </w:t>
      </w:r>
      <w:r w:rsidR="007F6F3E" w:rsidRPr="006B15C8">
        <w:t>while factors such as gender, age, and group size have received substantial attention in past research</w:t>
      </w:r>
      <w:r w:rsidR="007D4342" w:rsidRPr="006B15C8">
        <w:t xml:space="preserve"> (see </w:t>
      </w:r>
      <w:r w:rsidR="003B6837" w:rsidRPr="006B15C8">
        <w:t>Tables 1 and 2</w:t>
      </w:r>
      <w:r w:rsidR="007D4342" w:rsidRPr="006B15C8">
        <w:t>)</w:t>
      </w:r>
      <w:r w:rsidR="007F6F3E" w:rsidRPr="006B15C8">
        <w:t xml:space="preserve">, the effects of pedestrian race, </w:t>
      </w:r>
      <w:r w:rsidR="007D4342" w:rsidRPr="006B15C8">
        <w:t xml:space="preserve">and </w:t>
      </w:r>
      <w:r w:rsidR="007F6F3E" w:rsidRPr="006B15C8">
        <w:t xml:space="preserve">perceived housing insecurity on both NCPC and </w:t>
      </w:r>
      <w:r w:rsidR="00107AC0" w:rsidRPr="006B15C8">
        <w:t xml:space="preserve">DUY </w:t>
      </w:r>
      <w:r w:rsidR="007F6F3E" w:rsidRPr="006B15C8">
        <w:t xml:space="preserve">behavior remain largely </w:t>
      </w:r>
      <w:r w:rsidR="007D4342" w:rsidRPr="006B15C8">
        <w:t>underexplored</w:t>
      </w:r>
      <w:r w:rsidR="007F6F3E" w:rsidRPr="006B15C8">
        <w:t>.</w:t>
      </w:r>
      <w:r w:rsidR="007D4342" w:rsidRPr="006B15C8">
        <w:t xml:space="preserve"> Although a few field experiments </w:t>
      </w:r>
      <w:r w:rsidR="00A31414" w:rsidRPr="006B15C8">
        <w:t xml:space="preserve">in the U.S. </w:t>
      </w:r>
      <w:r w:rsidR="007D4342" w:rsidRPr="006B15C8">
        <w:t xml:space="preserve">have investigated racial disparities in </w:t>
      </w:r>
      <w:r w:rsidR="00107AC0" w:rsidRPr="006B15C8">
        <w:t>DUY</w:t>
      </w:r>
      <w:r w:rsidR="007D4342" w:rsidRPr="006B15C8">
        <w:t xml:space="preserve">, these studies have generally relied on staged crossings with limited variation in pedestrian characteristics and small sample sizes (see </w:t>
      </w:r>
      <w:r w:rsidR="003B6837" w:rsidRPr="006B15C8">
        <w:t>Table 2</w:t>
      </w:r>
      <w:r w:rsidR="007D4342" w:rsidRPr="006B15C8">
        <w:t xml:space="preserve">), constraining the scope and generalizability of their findings. </w:t>
      </w:r>
      <w:r w:rsidR="0095180B" w:rsidRPr="006B15C8">
        <w:t>O</w:t>
      </w:r>
      <w:r w:rsidR="00A31414" w:rsidRPr="006B15C8">
        <w:t xml:space="preserve">ur </w:t>
      </w:r>
      <w:r w:rsidR="007D4342" w:rsidRPr="006B15C8">
        <w:t xml:space="preserve">large-scale naturalistic observational study </w:t>
      </w:r>
      <w:r w:rsidR="003B6837" w:rsidRPr="006B15C8">
        <w:t>highlights</w:t>
      </w:r>
      <w:r w:rsidR="007D4342" w:rsidRPr="006B15C8">
        <w:t xml:space="preserve"> how race and social vulnerability intersect with pedestrian risk, offering evidence that can inform more equitable safety interventions and policy reforms.</w:t>
      </w:r>
      <w:r w:rsidR="00E4218D" w:rsidRPr="006B15C8">
        <w:t xml:space="preserve"> </w:t>
      </w:r>
    </w:p>
    <w:p w14:paraId="045C20AD" w14:textId="77777777" w:rsidR="003B6837" w:rsidRPr="006B15C8" w:rsidRDefault="003B6837" w:rsidP="004A6C6E">
      <w:pPr>
        <w:spacing w:line="271" w:lineRule="auto"/>
        <w:ind w:firstLine="720"/>
      </w:pPr>
      <w:r w:rsidRPr="006B15C8">
        <w:rPr>
          <w:u w:val="single"/>
        </w:rPr>
        <w:t>Fourth</w:t>
      </w:r>
      <w:r w:rsidRPr="006B15C8">
        <w:t xml:space="preserve">, our study incorporates pedestrian activity factors, specifically whether individuals are walking or running, which have received limited attention in the existing literature. To our knowledge, only one prior study </w:t>
      </w:r>
      <w:bookmarkStart w:id="63" w:name="_Hlk203654022"/>
      <w:r w:rsidRPr="006B15C8">
        <w:t xml:space="preserve">(Zhang et al., 2023) </w:t>
      </w:r>
      <w:bookmarkEnd w:id="63"/>
      <w:r w:rsidRPr="006B15C8">
        <w:t xml:space="preserve">differentiated between walking and running activity and reported no statistically significant difference in crossing behavior. </w:t>
      </w:r>
      <w:r w:rsidR="008D5A7F" w:rsidRPr="006B15C8">
        <w:t xml:space="preserve">Accordingly, </w:t>
      </w:r>
      <w:r w:rsidRPr="006B15C8">
        <w:t>this study offers a more refined understanding of how pedestrian movement, whether walking or running, influences crossing behavior and driver response.</w:t>
      </w:r>
    </w:p>
    <w:p w14:paraId="5D5E42F2" w14:textId="77777777" w:rsidR="003B6837" w:rsidRPr="006B15C8" w:rsidRDefault="003B6837" w:rsidP="004A6C6E">
      <w:pPr>
        <w:spacing w:line="271" w:lineRule="auto"/>
        <w:ind w:firstLine="720"/>
      </w:pPr>
      <w:r w:rsidRPr="006B15C8">
        <w:rPr>
          <w:u w:val="single"/>
        </w:rPr>
        <w:lastRenderedPageBreak/>
        <w:t>Fifth</w:t>
      </w:r>
      <w:r w:rsidR="00626521" w:rsidRPr="006B15C8">
        <w:t>, the influence of time</w:t>
      </w:r>
      <w:r w:rsidR="008C222F" w:rsidRPr="006B15C8">
        <w:t>-</w:t>
      </w:r>
      <w:r w:rsidR="00626521" w:rsidRPr="006B15C8">
        <w:t>of</w:t>
      </w:r>
      <w:r w:rsidR="008C222F" w:rsidRPr="006B15C8">
        <w:t>-</w:t>
      </w:r>
      <w:r w:rsidR="00626521" w:rsidRPr="006B15C8">
        <w:t xml:space="preserve">day </w:t>
      </w:r>
      <w:r w:rsidR="00A31414" w:rsidRPr="006B15C8">
        <w:t xml:space="preserve">and weather conditions </w:t>
      </w:r>
      <w:r w:rsidR="00626521" w:rsidRPr="006B15C8">
        <w:t xml:space="preserve">on pedestrian </w:t>
      </w:r>
      <w:r w:rsidRPr="006B15C8">
        <w:t xml:space="preserve">and driver </w:t>
      </w:r>
      <w:r w:rsidR="00626521" w:rsidRPr="006B15C8">
        <w:t>behavior</w:t>
      </w:r>
      <w:r w:rsidRPr="006B15C8">
        <w:t>s</w:t>
      </w:r>
      <w:r w:rsidR="00626521" w:rsidRPr="006B15C8">
        <w:t xml:space="preserve"> remain</w:t>
      </w:r>
      <w:r w:rsidR="004F5F15" w:rsidRPr="006B15C8">
        <w:t>s</w:t>
      </w:r>
      <w:r w:rsidR="00626521" w:rsidRPr="006B15C8">
        <w:t xml:space="preserve"> insufficiently explored. </w:t>
      </w:r>
      <w:r w:rsidR="004F5F15" w:rsidRPr="006B15C8">
        <w:t>Existing studies often focus on daytime or peak-hour data collection under favorable weather conditions, overlooking how risk-taking and activity patterns may vary across different temporal contexts. Our continuous 24/7 observation protocol enables us to examine behavioral variation across a range of time periods and weather scenarios, offering a more comprehensive view of pedestrian risk.</w:t>
      </w:r>
      <w:r w:rsidR="00A31414" w:rsidRPr="006B15C8">
        <w:t xml:space="preserve"> </w:t>
      </w:r>
    </w:p>
    <w:p w14:paraId="043B1D4D" w14:textId="4E93A583" w:rsidR="00B95B1E" w:rsidRPr="006B15C8" w:rsidRDefault="00B95B1E" w:rsidP="004A6C6E">
      <w:pPr>
        <w:spacing w:line="271" w:lineRule="auto"/>
        <w:ind w:firstLine="720"/>
      </w:pPr>
      <w:r w:rsidRPr="006B15C8">
        <w:rPr>
          <w:u w:val="single"/>
        </w:rPr>
        <w:t>Sixth</w:t>
      </w:r>
      <w:r w:rsidRPr="006B15C8">
        <w:t xml:space="preserve">, most earlier studies examine exogenous variables in isolation, without adequately considering potential interaction effects. In </w:t>
      </w:r>
      <w:r w:rsidR="0016574C" w:rsidRPr="006B15C8">
        <w:t>this</w:t>
      </w:r>
      <w:r w:rsidRPr="006B15C8">
        <w:t xml:space="preserve"> study, our large sample enables us to consider a number of interaction effects, such as </w:t>
      </w:r>
      <w:r w:rsidR="00705884" w:rsidRPr="006B15C8">
        <w:t xml:space="preserve">whether there are gender/race, gender/time-of-day, and race/time-of-day interaction effects in both pedestrian </w:t>
      </w:r>
      <w:r w:rsidR="008432A0" w:rsidRPr="006B15C8">
        <w:t>crossing</w:t>
      </w:r>
      <w:r w:rsidR="00705884" w:rsidRPr="006B15C8">
        <w:t xml:space="preserve"> behavior and driver yielding behavior. Similarly, we </w:t>
      </w:r>
      <w:r w:rsidRPr="006B15C8">
        <w:t xml:space="preserve">not only </w:t>
      </w:r>
      <w:r w:rsidR="00705884" w:rsidRPr="006B15C8">
        <w:t xml:space="preserve">consider </w:t>
      </w:r>
      <w:r w:rsidRPr="006B15C8">
        <w:t xml:space="preserve">the general impact of non-compliant </w:t>
      </w:r>
      <w:r w:rsidR="008432A0" w:rsidRPr="006B15C8">
        <w:t>crossing</w:t>
      </w:r>
      <w:r w:rsidRPr="006B15C8">
        <w:t xml:space="preserve"> behavior on driver yielding behavior, but also whether, for example, </w:t>
      </w:r>
      <w:r w:rsidR="008432A0" w:rsidRPr="006B15C8">
        <w:t>male</w:t>
      </w:r>
      <w:r w:rsidRPr="006B15C8">
        <w:t xml:space="preserve"> pedestrians who are non-compliant are yielded to differently than </w:t>
      </w:r>
      <w:r w:rsidR="008432A0" w:rsidRPr="006B15C8">
        <w:t>female</w:t>
      </w:r>
      <w:r w:rsidRPr="006B15C8">
        <w:t xml:space="preserve"> pedestrians who are non-compliant. </w:t>
      </w:r>
      <w:r w:rsidR="00705884" w:rsidRPr="006B15C8">
        <w:t xml:space="preserve">More generally, we consider a whole range of potential determinants of NCPC and </w:t>
      </w:r>
      <w:r w:rsidR="00107AC0" w:rsidRPr="006B15C8">
        <w:t>DUY</w:t>
      </w:r>
      <w:r w:rsidR="00705884" w:rsidRPr="006B15C8">
        <w:t xml:space="preserve"> behavior relative to earlier studies, as well as their interactions, as should be clear from the ‘</w:t>
      </w:r>
      <w:r w:rsidR="008432A0" w:rsidRPr="006B15C8">
        <w:t>×</w:t>
      </w:r>
      <w:r w:rsidR="00705884" w:rsidRPr="006B15C8">
        <w:t xml:space="preserve">’ markings (in the last row of Tables 1 and 2) identifying variables considered in the current study. </w:t>
      </w:r>
    </w:p>
    <w:p w14:paraId="68F08CEE" w14:textId="14BE9716" w:rsidR="007931EC" w:rsidRPr="006B15C8" w:rsidRDefault="4045B49B" w:rsidP="004A6C6E">
      <w:pPr>
        <w:spacing w:line="271" w:lineRule="auto"/>
        <w:ind w:firstLine="720"/>
      </w:pPr>
      <w:r w:rsidRPr="006B15C8">
        <w:rPr>
          <w:u w:val="single"/>
        </w:rPr>
        <w:t>S</w:t>
      </w:r>
      <w:r w:rsidR="3C4A6A01" w:rsidRPr="006B15C8">
        <w:rPr>
          <w:u w:val="single"/>
        </w:rPr>
        <w:t>eventh</w:t>
      </w:r>
      <w:r w:rsidR="3C4A6A01" w:rsidRPr="006B15C8">
        <w:t xml:space="preserve">, we employ a copula-based bivariate logit model to jointly analyze pedestrian crossing behavior and driver yielding behavior. </w:t>
      </w:r>
      <w:r w:rsidR="00282D68" w:rsidRPr="006B15C8">
        <w:t xml:space="preserve">This joint modeling approach accounts for unobserved factors, such as traffic conditions, </w:t>
      </w:r>
      <w:r w:rsidR="000771F2" w:rsidRPr="006B15C8">
        <w:t xml:space="preserve">lighting, </w:t>
      </w:r>
      <w:r w:rsidR="00282D68" w:rsidRPr="006B15C8">
        <w:t xml:space="preserve">weather, or time pressures, that may influence both pedestrian and driver decisions simultaneously. </w:t>
      </w:r>
      <w:r w:rsidR="00EE02EB" w:rsidRPr="006B15C8">
        <w:t xml:space="preserve">For example, </w:t>
      </w:r>
      <w:r w:rsidR="00264215" w:rsidRPr="006B15C8">
        <w:t xml:space="preserve">the presence of </w:t>
      </w:r>
      <w:r w:rsidR="009A2CB6" w:rsidRPr="006B15C8">
        <w:t>a visual obstruction</w:t>
      </w:r>
      <w:r w:rsidR="00EE02EB" w:rsidRPr="006B15C8">
        <w:t xml:space="preserve"> </w:t>
      </w:r>
      <w:r w:rsidR="00264215" w:rsidRPr="006B15C8">
        <w:t xml:space="preserve">(unobserved </w:t>
      </w:r>
      <w:r w:rsidR="009A2CB6" w:rsidRPr="006B15C8">
        <w:t>from the point of view of</w:t>
      </w:r>
      <w:r w:rsidR="00264215" w:rsidRPr="006B15C8">
        <w:t xml:space="preserve"> the analyst) </w:t>
      </w:r>
      <w:r w:rsidR="00EE02EB" w:rsidRPr="006B15C8">
        <w:t>might make it harder for a driver to see a pedestrian crossing, while also making it harder for the pedestrian to see oncoming traffic, potentially affecting both the driver’s yielding decision and the pedestrian’s crossing decision</w:t>
      </w:r>
      <w:r w:rsidR="008A16EB" w:rsidRPr="006B15C8">
        <w:t xml:space="preserve">. By accounting for these unobserved factors that create correlations between outcomes, we can better isolate the causal effect of one behavior on another (such as the effect of NCPC on </w:t>
      </w:r>
      <w:r w:rsidR="00107AC0" w:rsidRPr="006B15C8">
        <w:t>DUY</w:t>
      </w:r>
      <w:r w:rsidR="008A16EB" w:rsidRPr="006B15C8">
        <w:t>).</w:t>
      </w:r>
      <w:r w:rsidR="007931EC" w:rsidRPr="006B15C8">
        <w:t xml:space="preserve"> </w:t>
      </w:r>
      <w:r w:rsidR="009C06DF" w:rsidRPr="006B15C8">
        <w:t xml:space="preserve">Our final model configuration, based on the empirical analysis, reveals that pedestrian NCPC behavior directly affects </w:t>
      </w:r>
      <w:r w:rsidR="00107AC0" w:rsidRPr="006B15C8">
        <w:t xml:space="preserve">DUY </w:t>
      </w:r>
      <w:r w:rsidR="009C06DF" w:rsidRPr="006B15C8">
        <w:t>decisions.</w:t>
      </w:r>
    </w:p>
    <w:p w14:paraId="271D4C52" w14:textId="09E4AB5E" w:rsidR="00705884" w:rsidRPr="006B15C8" w:rsidRDefault="7AB55496" w:rsidP="004A6C6E">
      <w:pPr>
        <w:spacing w:line="271" w:lineRule="auto"/>
        <w:ind w:firstLine="720"/>
      </w:pPr>
      <w:r w:rsidRPr="006B15C8">
        <w:rPr>
          <w:u w:val="single"/>
        </w:rPr>
        <w:t>Lastly</w:t>
      </w:r>
      <w:r w:rsidR="003B6837" w:rsidRPr="006B15C8">
        <w:t xml:space="preserve">, much of the existing literature on </w:t>
      </w:r>
      <w:r w:rsidR="00107AC0" w:rsidRPr="006B15C8">
        <w:t xml:space="preserve">NCPC </w:t>
      </w:r>
      <w:r w:rsidR="003B6837" w:rsidRPr="006B15C8">
        <w:t xml:space="preserve">has focused on traditional four-way signalized intersections, while </w:t>
      </w:r>
      <w:r w:rsidR="00107AC0" w:rsidRPr="006B15C8">
        <w:t xml:space="preserve">DUY behavior </w:t>
      </w:r>
      <w:r w:rsidR="003B6837" w:rsidRPr="006B15C8">
        <w:t xml:space="preserve">is typically examined at unsignalized intersections and midblock crossings (see </w:t>
      </w:r>
      <w:r w:rsidR="00B95B1E" w:rsidRPr="006B15C8">
        <w:t xml:space="preserve">the fourth column of </w:t>
      </w:r>
      <w:r w:rsidR="003B6837" w:rsidRPr="006B15C8">
        <w:t xml:space="preserve">Table 1 and </w:t>
      </w:r>
      <w:r w:rsidR="00B95B1E" w:rsidRPr="006B15C8">
        <w:t xml:space="preserve">the fifth column of Table </w:t>
      </w:r>
      <w:r w:rsidR="003B6837" w:rsidRPr="006B15C8">
        <w:t xml:space="preserve">2). In contrast, </w:t>
      </w:r>
      <w:r w:rsidR="008D5A7F" w:rsidRPr="006B15C8">
        <w:t>we</w:t>
      </w:r>
      <w:r w:rsidR="003B6837" w:rsidRPr="006B15C8">
        <w:t xml:space="preserve"> examine two locations featuring</w:t>
      </w:r>
      <w:r w:rsidR="00CF79F1" w:rsidRPr="006B15C8">
        <w:t xml:space="preserve"> </w:t>
      </w:r>
      <w:r w:rsidR="00B8593F" w:rsidRPr="006B15C8">
        <w:t>channelized slip lanes, which require more discretionary driver judgement in yielding decisions. This intersection design introduces greater complexity to pedestrian-driver interactions and offers novel insights into decision-making under ambiguous right-of-way conditions. To our knowledge, only Fu et al. (20</w:t>
      </w:r>
      <w:r w:rsidR="009B5521">
        <w:t>2</w:t>
      </w:r>
      <w:r w:rsidR="00B8593F" w:rsidRPr="006B15C8">
        <w:t xml:space="preserve">2) have previously examined slip lanes in their way, making our contribution particularly distinctive. </w:t>
      </w:r>
    </w:p>
    <w:p w14:paraId="2A05A973" w14:textId="398E5481" w:rsidR="003F569B" w:rsidRPr="006B15C8" w:rsidRDefault="003F569B" w:rsidP="004A6C6E">
      <w:pPr>
        <w:spacing w:line="271" w:lineRule="auto"/>
      </w:pPr>
    </w:p>
    <w:p w14:paraId="36427B71" w14:textId="4515F21C" w:rsidR="00102339" w:rsidRPr="006B15C8" w:rsidRDefault="00102339" w:rsidP="004A6C6E">
      <w:pPr>
        <w:pStyle w:val="Heading1"/>
        <w:spacing w:line="271" w:lineRule="auto"/>
        <w:ind w:left="360"/>
        <w:rPr>
          <w:caps/>
        </w:rPr>
      </w:pPr>
      <w:r w:rsidRPr="006B15C8">
        <w:rPr>
          <w:caps/>
        </w:rPr>
        <w:t>Dat</w:t>
      </w:r>
      <w:r w:rsidR="00CB2C17" w:rsidRPr="006B15C8">
        <w:rPr>
          <w:caps/>
        </w:rPr>
        <w:t xml:space="preserve">A </w:t>
      </w:r>
      <w:r w:rsidR="006D4C53" w:rsidRPr="006B15C8">
        <w:rPr>
          <w:caps/>
        </w:rPr>
        <w:t>Collection and dESCRIPTION</w:t>
      </w:r>
    </w:p>
    <w:p w14:paraId="2F866FA6" w14:textId="77777777" w:rsidR="00353C52" w:rsidRPr="006B15C8" w:rsidRDefault="00102339" w:rsidP="004A6C6E">
      <w:pPr>
        <w:pStyle w:val="Heading2"/>
        <w:spacing w:line="271" w:lineRule="auto"/>
      </w:pPr>
      <w:r w:rsidRPr="006B15C8">
        <w:t xml:space="preserve"> Study Sites and Context</w:t>
      </w:r>
    </w:p>
    <w:p w14:paraId="537605BA" w14:textId="77777777" w:rsidR="00534A5E" w:rsidRPr="006B15C8" w:rsidRDefault="00214ACD" w:rsidP="004A6C6E">
      <w:pPr>
        <w:spacing w:line="271" w:lineRule="auto"/>
      </w:pPr>
      <w:r w:rsidRPr="006B15C8">
        <w:t xml:space="preserve">To examine pedestrian-driver interactions in naturalistic settings, video footage was collected from two signalized intersections in Austin, Texas. </w:t>
      </w:r>
      <w:r w:rsidR="0016574C" w:rsidRPr="006B15C8">
        <w:t>Figures 1 and 2</w:t>
      </w:r>
      <w:r w:rsidR="00521FB3" w:rsidRPr="006B15C8">
        <w:t xml:space="preserve"> </w:t>
      </w:r>
      <w:r w:rsidR="00534A5E" w:rsidRPr="006B15C8">
        <w:t xml:space="preserve">present detailed site characteristics, including annotated intersection layouts that show traffic flow patterns and pedestrian </w:t>
      </w:r>
      <w:r w:rsidR="00534A5E" w:rsidRPr="006B15C8">
        <w:lastRenderedPageBreak/>
        <w:t xml:space="preserve">infrastructure, </w:t>
      </w:r>
      <w:r w:rsidR="00E17C72" w:rsidRPr="006B15C8">
        <w:t>as well as</w:t>
      </w:r>
      <w:r w:rsidR="00534A5E" w:rsidRPr="006B15C8">
        <w:t xml:space="preserve"> field photographs that illustrate physical design features and operational conditions. </w:t>
      </w:r>
    </w:p>
    <w:p w14:paraId="71C682EA" w14:textId="77777777" w:rsidR="003F569B" w:rsidRPr="006B15C8" w:rsidRDefault="00521FB3" w:rsidP="004A6C6E">
      <w:pPr>
        <w:spacing w:line="271" w:lineRule="auto"/>
        <w:ind w:firstLine="720"/>
      </w:pPr>
      <w:r w:rsidRPr="006B15C8">
        <w:t xml:space="preserve">The </w:t>
      </w:r>
      <w:r w:rsidR="008F22C9" w:rsidRPr="006B15C8">
        <w:rPr>
          <w:u w:val="single"/>
        </w:rPr>
        <w:t xml:space="preserve">first </w:t>
      </w:r>
      <w:r w:rsidRPr="006B15C8">
        <w:rPr>
          <w:u w:val="single"/>
        </w:rPr>
        <w:t>intersection</w:t>
      </w:r>
      <w:r w:rsidRPr="006B15C8">
        <w:t xml:space="preserve"> (hereafter referred to as the MB intersection) is located in north Austin at the junction of the southbound Mopac (Loop 1) </w:t>
      </w:r>
      <w:r w:rsidR="00214ACD" w:rsidRPr="006B15C8">
        <w:t>frontage road</w:t>
      </w:r>
      <w:r w:rsidRPr="006B15C8">
        <w:t xml:space="preserve"> and West Braker Lane. Mopac is a major access-controlled highway running north-south, while Braker Lane is a three-lane, divided arterial road running east-west. </w:t>
      </w:r>
      <w:r w:rsidR="00DB00F2" w:rsidRPr="006B15C8">
        <w:t>As illustrated in</w:t>
      </w:r>
      <w:r w:rsidR="0016574C" w:rsidRPr="006B15C8">
        <w:t xml:space="preserve"> Figure 1</w:t>
      </w:r>
      <w:r w:rsidR="00DB00F2" w:rsidRPr="006B15C8">
        <w:t>, this intersection feature</w:t>
      </w:r>
      <w:r w:rsidR="00214ACD" w:rsidRPr="006B15C8">
        <w:t>s</w:t>
      </w:r>
      <w:r w:rsidR="00DB00F2" w:rsidRPr="006B15C8">
        <w:t xml:space="preserve"> right-turn slip lanes </w:t>
      </w:r>
      <w:r w:rsidR="00C55228" w:rsidRPr="006B15C8">
        <w:t>accompanied by pedestrian refuge islands</w:t>
      </w:r>
      <w:r w:rsidR="00214ACD" w:rsidRPr="006B15C8">
        <w:t>,</w:t>
      </w:r>
      <w:r w:rsidR="00DB00F2" w:rsidRPr="006B15C8">
        <w:t xml:space="preserve"> and unprotected bike lanes along Braker Lane in both directions. The intersection is signalized and equipped with pedestrian push-button</w:t>
      </w:r>
      <w:r w:rsidR="00C55228" w:rsidRPr="006B15C8">
        <w:t>-</w:t>
      </w:r>
      <w:r w:rsidR="00DB00F2" w:rsidRPr="006B15C8">
        <w:t>activated crossing signals at all four corners. Each approach feature</w:t>
      </w:r>
      <w:r w:rsidR="00214ACD" w:rsidRPr="006B15C8">
        <w:t>s</w:t>
      </w:r>
      <w:r w:rsidR="00DB00F2" w:rsidRPr="006B15C8">
        <w:t xml:space="preserve"> a “Walk/Don’t Walk” display and a countdown timer indicating the remaining time for safe pedestrian crossing. Additionally, each channelized right-turn slip lane </w:t>
      </w:r>
      <w:r w:rsidR="00214ACD" w:rsidRPr="006B15C8">
        <w:t xml:space="preserve">is controlled by a “Stop Here </w:t>
      </w:r>
      <w:r w:rsidR="00E17C72" w:rsidRPr="006B15C8">
        <w:t>f</w:t>
      </w:r>
      <w:r w:rsidR="00214ACD" w:rsidRPr="006B15C8">
        <w:t>or Pedestrians” sign, instructing motorists to stop for pedestrians crossing from the sidewalk to the refuge islands.</w:t>
      </w:r>
    </w:p>
    <w:p w14:paraId="67993CBF" w14:textId="5668FA8B" w:rsidR="008F22C9" w:rsidRPr="006B15C8" w:rsidRDefault="008F22C9" w:rsidP="004A6C6E">
      <w:pPr>
        <w:spacing w:line="271" w:lineRule="auto"/>
        <w:ind w:firstLine="720"/>
      </w:pPr>
      <w:r w:rsidRPr="006B15C8">
        <w:t xml:space="preserve">The </w:t>
      </w:r>
      <w:r w:rsidRPr="006B15C8">
        <w:rPr>
          <w:u w:val="single"/>
        </w:rPr>
        <w:t>seco</w:t>
      </w:r>
      <w:r w:rsidR="00DB00F2" w:rsidRPr="006B15C8">
        <w:rPr>
          <w:u w:val="single"/>
        </w:rPr>
        <w:t>n</w:t>
      </w:r>
      <w:r w:rsidRPr="006B15C8">
        <w:rPr>
          <w:u w:val="single"/>
        </w:rPr>
        <w:t>d intersection</w:t>
      </w:r>
      <w:r w:rsidRPr="006B15C8">
        <w:t xml:space="preserve"> (hereafter referred to as the DS intersection) is located in central Austin, </w:t>
      </w:r>
      <w:r w:rsidR="00252F4B" w:rsidRPr="006B15C8">
        <w:t xml:space="preserve">within </w:t>
      </w:r>
      <w:r w:rsidRPr="006B15C8">
        <w:t xml:space="preserve">the University of Texas at Austin’s main campus. It connects East Dean Keeton Street, a four-lane east-west arterial divided by a raised concrete median, </w:t>
      </w:r>
      <w:r w:rsidR="00DB00F2" w:rsidRPr="006B15C8">
        <w:t>with</w:t>
      </w:r>
      <w:r w:rsidRPr="006B15C8">
        <w:t xml:space="preserve"> San Jacinto Boulevard, a two-lane north-south local street</w:t>
      </w:r>
      <w:r w:rsidR="00A3526C" w:rsidRPr="006B15C8">
        <w:t>,</w:t>
      </w:r>
      <w:r w:rsidRPr="006B15C8">
        <w:t xml:space="preserve"> </w:t>
      </w:r>
      <w:r w:rsidR="00A3526C" w:rsidRPr="006B15C8">
        <w:t>a</w:t>
      </w:r>
      <w:r w:rsidRPr="006B15C8">
        <w:t xml:space="preserve">s shown in </w:t>
      </w:r>
      <w:r w:rsidRPr="006B15C8">
        <w:fldChar w:fldCharType="begin"/>
      </w:r>
      <w:r w:rsidRPr="006B15C8">
        <w:instrText xml:space="preserve"> REF _Ref199935471 \h </w:instrText>
      </w:r>
      <w:r w:rsidRPr="006B15C8">
        <w:fldChar w:fldCharType="separate"/>
      </w:r>
      <w:r w:rsidR="0053468C" w:rsidRPr="006B15C8">
        <w:t xml:space="preserve">Figure </w:t>
      </w:r>
      <w:r w:rsidR="0053468C" w:rsidRPr="006B15C8">
        <w:rPr>
          <w:noProof/>
        </w:rPr>
        <w:t>2</w:t>
      </w:r>
      <w:r w:rsidRPr="006B15C8">
        <w:fldChar w:fldCharType="end"/>
      </w:r>
      <w:r w:rsidR="00A3526C" w:rsidRPr="006B15C8">
        <w:t>.</w:t>
      </w:r>
      <w:r w:rsidR="00DB00F2" w:rsidRPr="006B15C8">
        <w:t xml:space="preserve"> </w:t>
      </w:r>
      <w:r w:rsidR="00A3526C" w:rsidRPr="006B15C8">
        <w:t>T</w:t>
      </w:r>
      <w:r w:rsidR="00DB00F2" w:rsidRPr="006B15C8">
        <w:t xml:space="preserve">he intersection is signalized and </w:t>
      </w:r>
      <w:r w:rsidR="00A3526C" w:rsidRPr="006B15C8">
        <w:t>features left-turn lanes on all approaches, along with channelized right-turn slip lanes (each equipped with</w:t>
      </w:r>
      <w:r w:rsidR="00C55228" w:rsidRPr="006B15C8">
        <w:t xml:space="preserve"> a pedestrian refuge island) </w:t>
      </w:r>
      <w:r w:rsidR="00DB00F2" w:rsidRPr="006B15C8">
        <w:t>on the northbound and southbound legs. Pedestrian infrastructure include</w:t>
      </w:r>
      <w:r w:rsidR="0095180B" w:rsidRPr="006B15C8">
        <w:t>s</w:t>
      </w:r>
      <w:r w:rsidR="00DB00F2" w:rsidRPr="006B15C8">
        <w:t xml:space="preserve"> push-button</w:t>
      </w:r>
      <w:r w:rsidR="00C55228" w:rsidRPr="006B15C8">
        <w:t>-</w:t>
      </w:r>
      <w:r w:rsidR="00DB00F2" w:rsidRPr="006B15C8">
        <w:t xml:space="preserve">activated pedestrian signals at all four corners, with “Walk/Don’t Walk” displays and countdown timers. </w:t>
      </w:r>
      <w:r w:rsidR="00214ACD" w:rsidRPr="006B15C8">
        <w:t>“</w:t>
      </w:r>
      <w:r w:rsidR="00DB00F2" w:rsidRPr="006B15C8">
        <w:t>Yield</w:t>
      </w:r>
      <w:r w:rsidR="00214ACD" w:rsidRPr="006B15C8">
        <w:t>”</w:t>
      </w:r>
      <w:r w:rsidR="00DB00F2" w:rsidRPr="006B15C8">
        <w:t xml:space="preserve"> signs </w:t>
      </w:r>
      <w:r w:rsidR="00214ACD" w:rsidRPr="006B15C8">
        <w:t>are</w:t>
      </w:r>
      <w:r w:rsidR="00DB00F2" w:rsidRPr="006B15C8">
        <w:t xml:space="preserve"> also posted at each slip lane, directing motorists to yield to pedestrians within the crosswalks.</w:t>
      </w:r>
      <w:r w:rsidR="00C55228" w:rsidRPr="006B15C8">
        <w:t xml:space="preserve"> Additionally, unprotected bike lanes on both sides of East Dean Keeton Street support substantial bicycle and e-scooter activity. </w:t>
      </w:r>
      <w:r w:rsidR="00214ACD" w:rsidRPr="006B15C8">
        <w:t>This site experiences consistently high pedestrian volumes throughout the day due to the presence of university students, faculty, staff, nearby residents, and event attendees.</w:t>
      </w:r>
    </w:p>
    <w:p w14:paraId="281C18BA" w14:textId="0A2D9419" w:rsidR="000F7B20" w:rsidRPr="006B15C8" w:rsidRDefault="00521FB3" w:rsidP="004A6C6E">
      <w:pPr>
        <w:spacing w:line="271" w:lineRule="auto"/>
        <w:ind w:firstLine="720"/>
      </w:pPr>
      <w:r w:rsidRPr="006B15C8">
        <w:t>The Euclidean distance between the two sites is approximately 7.4 miles, providing spatial variation between central and north Austin.</w:t>
      </w:r>
      <w:r w:rsidR="00214ACD" w:rsidRPr="006B15C8">
        <w:t xml:space="preserve"> Site selection was guided by the availability of nearby university-owned property, which enabled the secure placement of cameras and equipment during the recording period, an approach commonly adopted in similar observational studies </w:t>
      </w:r>
      <w:bookmarkStart w:id="64" w:name="_Hlk203654281"/>
      <w:r w:rsidR="00214ACD" w:rsidRPr="006B15C8">
        <w:t xml:space="preserve">(e.g., </w:t>
      </w:r>
      <w:bookmarkStart w:id="65" w:name="_Hlk202478093"/>
      <w:r w:rsidR="00E67FA5" w:rsidRPr="006B15C8">
        <w:t>Figliozzi and Tipagornwong, 2016</w:t>
      </w:r>
      <w:r w:rsidR="00D530FB" w:rsidRPr="006B15C8">
        <w:t>,</w:t>
      </w:r>
      <w:r w:rsidR="00E67FA5" w:rsidRPr="006B15C8">
        <w:t xml:space="preserve"> </w:t>
      </w:r>
      <w:r w:rsidR="00214ACD" w:rsidRPr="006B15C8">
        <w:fldChar w:fldCharType="begin"/>
      </w:r>
      <w:r w:rsidR="00911EF4" w:rsidRPr="006B15C8">
        <w:instrText xml:space="preserve"> ADDIN ZOTERO_ITEM CSL_CITATION {"citationID":"3SwXHBSG","properties":{"formattedCitation":"(Wells et al., 2018)","plainCitation":"(Wells et al., 2018)","dontUpdate":true,"noteIndex":0},"citationItems":[{"id":419,"uris":["http://zotero.org/groups/5885221/items/E9L2KACA"],"itemData":{"id":419,"type":"article-journal","abstract":"Pedestrian injuries injure about 180,000 individuals and kill 6,000 each year in the United States, and pedestrian injury rates have increased each of the last several years. Distracted pedestrian behavior may play a role in the trend of increasing risk for pedestrian injury. Using in vivo behavioral coding over the course of two weeks on two urban college campuses, this study aimed to 1) understand the type and rate of distractions engaged in by pedestrians on urban college campuses, and 2) investigate the impact of distraction on street-crossing safety and behavior. A total of 10,543 pedestrians were observed, 90% of them young adults. Over one-third of those pedestrians were distracted while actively crossing roadways. Headphones were the most common distraction (19% of all pedestrians), followed by text-messaging (8%) and talking on the phone (5%). Women were more likely to text and talk on the phone than men, and men were more likely to be wearing headphones. Distracted pedestrians were somewhat less likely to look for traffic when they entered roadways. As handheld device usage continues to increase, behavioral interventions should be developed and implemented. Changes to policy concerning distracted pedestrian behavior, including improvement of the built environment to reduce pedestrian risk, should be considered in busy pedestrian areas like urban college campuses.","container-title":"Journal of community health","DOI":"10.1007/s10900-017-0392-x","ISSN":"0094-5145","issue":"1","journalAbbreviation":"J Community Health","note":"PMID: 28695427\nPMCID: PMC5762430","page":"96-102","source":"PubMed Central","title":"Distracted pedestrian behavior on two urban college campuses","volume":"43","author":[{"family":"Wells","given":"Hayley L."},{"family":"McClure","given":"Leslie A."},{"family":"Porter","given":"Bryan E."},{"family":"Schwebel","given":"David C."}],"issued":{"date-parts":[["2018",2]]}}}],"schema":"https://github.com/citation-style-language/schema/raw/master/csl-citation.json"} </w:instrText>
      </w:r>
      <w:r w:rsidR="00214ACD" w:rsidRPr="006B15C8">
        <w:fldChar w:fldCharType="separate"/>
      </w:r>
      <w:r w:rsidR="00214ACD" w:rsidRPr="006B15C8">
        <w:t>Wells et al., 2018</w:t>
      </w:r>
      <w:r w:rsidR="00214ACD" w:rsidRPr="006B15C8">
        <w:fldChar w:fldCharType="end"/>
      </w:r>
      <w:r w:rsidR="00D530FB" w:rsidRPr="006B15C8">
        <w:t>,</w:t>
      </w:r>
      <w:r w:rsidR="00214ACD" w:rsidRPr="006B15C8">
        <w:t xml:space="preserve"> </w:t>
      </w:r>
      <w:r w:rsidR="00214ACD" w:rsidRPr="006B15C8">
        <w:fldChar w:fldCharType="begin"/>
      </w:r>
      <w:r w:rsidR="00911EF4" w:rsidRPr="006B15C8">
        <w:instrText xml:space="preserve"> ADDIN ZOTERO_ITEM CSL_CITATION {"citationID":"hH22OXGV","properties":{"formattedCitation":"(Baker et al., 2022)","plainCitation":"(Baker et al., 2022)","dontUpdate":true,"noteIndex":0},"citationItems":[{"id":355,"uris":["http://zotero.org/groups/5885221/items/MHBDDACK"],"itemData":{"id":355,"type":"article-journal","abstract":"Gender differences in risky behavior and decision-making have been observed across a number of behavioral domains. Reviews of this literature have tended to overlook the question of whether specific objective situational factors that are relevant to a particular risky decision moderate observed gender differences within risk domains. The current work explores this question by employing a naturalistic observation method. Over 2,700 pedestrians were observed crossing a busy intersection adjacent to a college campus in the southeastern U.S. Observers noted the number of male and female pedestrians present during each cycle of the traffic signal as well as how many individuals of each gender either crossed when the ‘don’t walk’ sign was active or waited for the safer ‘walk’ signal in order to cross. Also noted was whether these pedestrians were crossing at a ‘low risk’ area of the intersection, where a concrete safety island was present, or a ‘high risk’ area, where there was no safety island. The oft-observed gender difference in physical risk-taking was observed, with men being substantially more likely to cross during a ‘don’t walk’ signal compared to women. However, this was only observed at the ‘low risk’ area of the intersection. In contrast, risk-taking did not differ by gender at the ‘high risk’ crossing area. Implications for the understanding of the nature of gender-differences in risk taking are discussed.","container-title":"Journal of Risk Research","DOI":"10.1080/13669877.2021.1962953","ISSN":"1366-9877","issue":"4","note":"publisher: Routledge\n_eprint: https://doi.org/10.1080/13669877.2021.1962953","page":"536-545","source":"Taylor and Francis+NEJM","title":"Boundary conditions for gender differences in risk taking","volume":"25","author":[{"family":"Baker","given":"Michael D."},{"family":"","given":"Owens ,Brittnie T."},{"family":"","given":"Utter ,Rachel L."},{"family":"","given":"Boachie ,Rebecca J."},{"family":"Keith","given":"Delaney R.","non-dropping-particle":"and"}],"issued":{"date-parts":[["2022",4,24]]}}}],"schema":"https://github.com/citation-style-language/schema/raw/master/csl-citation.json"} </w:instrText>
      </w:r>
      <w:r w:rsidR="00214ACD" w:rsidRPr="006B15C8">
        <w:fldChar w:fldCharType="separate"/>
      </w:r>
      <w:r w:rsidR="00214ACD" w:rsidRPr="006B15C8">
        <w:t>Baker et al., 2022</w:t>
      </w:r>
      <w:r w:rsidR="00214ACD" w:rsidRPr="006B15C8">
        <w:fldChar w:fldCharType="end"/>
      </w:r>
      <w:r w:rsidR="00D530FB" w:rsidRPr="006B15C8">
        <w:t>,</w:t>
      </w:r>
      <w:r w:rsidR="00214ACD" w:rsidRPr="006B15C8">
        <w:t xml:space="preserve"> </w:t>
      </w:r>
      <w:r w:rsidR="00214ACD" w:rsidRPr="006B15C8">
        <w:fldChar w:fldCharType="begin"/>
      </w:r>
      <w:r w:rsidR="003F5890" w:rsidRPr="006B15C8">
        <w:instrText xml:space="preserve"> ADDIN ZOTERO_ITEM CSL_CITATION {"citationID":"f609Ip1l","properties":{"formattedCitation":"(Piazza et al., 2022)","plainCitation":"(Piazza et al., 2022)","dontUpdate":true,"noteIndex":0},"citationItems":[{"id":"ReAbCZ5Q/rb11kcYX","uris":["http://zotero.org/users/9292995/items/SAX4ZAIM"],"itemData":{"id":3440,"type":"article-journal","abstract":"Objective:\nTo estimate the incidence of mobile device use among street-crossing pedestrians and explore differences by sex and intersection type at a large public South-eastern university in the United States.\n\nParticipants:\nAll instances of campus pedestrians crossing the street during the observation period (N = 4,878).\n\nMethods:\nVideo recordings of crosswalk activity at four locations were analyzed for pedestrian use of a mobile device while crossing.\n\nResults:\nDevice use while crossing was observed 1,201 (24.6%) times. Of male crossing instances, 277 (16.8%) were coded as using a device. Of female instances, 924 (28.6%) were coded as using a device. Differences in device use while crossing were found between sexes and some intersection types.\n\nConclusions:\nThis study estimates mobile device use while crossing the street and suggests differences by sex and intersection type. Future research should focus on improving understanding of the problem and evaluation of interventions to address the issue.","container-title":"Journal of American college health : J of ACH","DOI":"10.1080/07448481.2020.1845182","ISSN":"0744-8481","issue":"7","journalAbbreviation":"J Am Coll Health","note":"PMID: 33258736\nPMCID: PMC10131086","page":"2135-2142","source":"PubMed Central","title":"Distracted mobile device use among street-crossing college student pedestrians: an observational approach","title-short":"Distracted mobile device use among street-crossing college student pedestrians","volume":"70","author":[{"family":"Piazza","given":"Andrew J."},{"family":"Knowlden","given":"Adam P."},{"family":"Hibberd","given":"Elizabeth"},{"family":"Leeper","given":"James"},{"family":"Paschal","given":"Angelia M."},{"family":"Usdan","given":"Stuart"}],"issued":{"date-parts":[["2022",10]]}}}],"schema":"https://github.com/citation-style-language/schema/raw/master/csl-citation.json"} </w:instrText>
      </w:r>
      <w:r w:rsidR="00214ACD" w:rsidRPr="006B15C8">
        <w:fldChar w:fldCharType="separate"/>
      </w:r>
      <w:r w:rsidR="00214ACD" w:rsidRPr="006B15C8">
        <w:t>Piazza et al., 2022</w:t>
      </w:r>
      <w:r w:rsidR="00214ACD" w:rsidRPr="006B15C8">
        <w:fldChar w:fldCharType="end"/>
      </w:r>
      <w:r w:rsidR="00D530FB" w:rsidRPr="006B15C8">
        <w:t>,</w:t>
      </w:r>
      <w:r w:rsidR="00214ACD" w:rsidRPr="006B15C8">
        <w:t xml:space="preserve"> </w:t>
      </w:r>
      <w:r w:rsidR="00214ACD" w:rsidRPr="006B15C8">
        <w:fldChar w:fldCharType="begin"/>
      </w:r>
      <w:r w:rsidR="00911EF4" w:rsidRPr="006B15C8">
        <w:instrText xml:space="preserve"> ADDIN ZOTERO_ITEM CSL_CITATION {"citationID":"hsxw1xA7","properties":{"formattedCitation":"(Gerogiannis &amp; Bode, 2024)","plainCitation":"(Gerogiannis &amp; Bode, 2024)","dontUpdate":true,"noteIndex":0},"citationItems":[{"id":7,"uris":["http://zotero.org/groups/5885221/items/G3UKAELB"],"itemData":{"id":7,"type":"article-journal","abstract":"Crossing roads is dangerous for pedestrians. Roads can be crossed at controlled locations, where traffic lights or zebra crossings regulate the behaviour of all traffic participants, or at unmarked locations, where pedestrians typically do not have priority. Technological advances mean observational data on pedestrian road crossing behaviour from public roads can now be recorded almost continuously. Here, we report on such a data collection campaign in Bristol, UK. We record the movement paths of traffic participants within the field of view of commercial camera-based sensors at two unmarked crossing locations. Between January and April 2022, we detect over 30,000 pedestrian road crossings across the two locations. We first explore the time series of hourly crossing counts, finding pronounced and regular temporal patterns that differ between locations. We then investigate the relationship of crossing numbers with road traffic characteristics and extraneous factors, such as university term dates, confirming previous findings on traffic volume reducing crossing frequency and the differences between our study sites. Finally, by studying the timing and distance between consecutive crossings we find evidence for social crossing behaviour, such as groups crossing synchronously. In addition to the specific findings on road crossing behaviour of our study, a key contribution of our work is a case study for how to work with large-volume, low-fidelity observational data on pedestrian behaviour that is becoming increasingly available and has the potential to transform pedestrian road safety research.","container-title":"Safety Science","DOI":"10.1016/j.ssci.2024.106420","ISSN":"0925-7535","journalAbbreviation":"Safety Science","page":"106420","source":"ScienceDirect","title":"Analysis of long-term observational data on pedestrian road crossings at unmarked locations","volume":"172","author":[{"family":"Gerogiannis","given":"Anastasis"},{"family":"Bode","given":"Nikolai W. F."}],"issued":{"date-parts":[["2024",4,1]]}}}],"schema":"https://github.com/citation-style-language/schema/raw/master/csl-citation.json"} </w:instrText>
      </w:r>
      <w:r w:rsidR="00214ACD" w:rsidRPr="006B15C8">
        <w:fldChar w:fldCharType="separate"/>
      </w:r>
      <w:r w:rsidR="00214ACD" w:rsidRPr="006B15C8">
        <w:t>Gerogiannis and Bode, 2024)</w:t>
      </w:r>
      <w:r w:rsidR="00214ACD" w:rsidRPr="006B15C8">
        <w:fldChar w:fldCharType="end"/>
      </w:r>
      <w:r w:rsidR="00214ACD" w:rsidRPr="006B15C8">
        <w:t>.</w:t>
      </w:r>
      <w:bookmarkEnd w:id="64"/>
      <w:bookmarkEnd w:id="65"/>
      <w:r w:rsidR="00A00C2E" w:rsidRPr="006B15C8">
        <w:t xml:space="preserve"> </w:t>
      </w:r>
      <w:r w:rsidR="000F7B20" w:rsidRPr="006B15C8">
        <w:t xml:space="preserve">In addition to these practical considerations, the study intersections were selected because they feature right-turn slip lanes and are representative of similar 4-leg, multi-lane geometries that allow discretionary yielding and complex pedestrian-vehicle interactions (Fu et al., 2022). </w:t>
      </w:r>
      <w:r w:rsidR="00554E97" w:rsidRPr="006B15C8">
        <w:t>Furthermore</w:t>
      </w:r>
      <w:r w:rsidR="000F7B20" w:rsidRPr="006B15C8">
        <w:t>, the two intersections were also chosen because they represent variations in (a) vehicle and pedestrian volumes (with the MB intersection featuring relatively low pedestrian volumes but high vehicular volumes, and the DS intersection having relatively high pedestrian volumes but low vehicular volumes), (b) land-use patterns that also brought good variation in the pedestrian and driver demographic mix (with the MB intersection within 0.35 miles of a large shopping center in a mixed land-use setting with mostly middle-aged and older employed individuals, and the DS intersection in a university campus setting with more younger student individuals)</w:t>
      </w:r>
      <w:r w:rsidR="000F7B20" w:rsidRPr="006B15C8">
        <w:rPr>
          <w:i/>
          <w:iCs/>
          <w:color w:val="222222"/>
          <w:highlight w:val="white"/>
        </w:rPr>
        <w:t xml:space="preserve">, </w:t>
      </w:r>
      <w:r w:rsidR="000F7B20" w:rsidRPr="006B15C8">
        <w:rPr>
          <w:color w:val="222222"/>
          <w:highlight w:val="white"/>
        </w:rPr>
        <w:t>and (c) neighborhood income levels (with the MB intersection located in a census tract with a</w:t>
      </w:r>
      <w:r w:rsidR="000F7B20" w:rsidRPr="006B15C8">
        <w:t xml:space="preserve"> </w:t>
      </w:r>
      <w:r w:rsidR="000F7B20" w:rsidRPr="006B15C8">
        <w:rPr>
          <w:color w:val="222222"/>
          <w:highlight w:val="white"/>
        </w:rPr>
        <w:t>median annual household income of $8</w:t>
      </w:r>
      <w:r w:rsidR="000F7B20" w:rsidRPr="006B15C8">
        <w:t>6</w:t>
      </w:r>
      <w:r w:rsidR="000F7B20" w:rsidRPr="006B15C8">
        <w:rPr>
          <w:color w:val="222222"/>
          <w:highlight w:val="white"/>
        </w:rPr>
        <w:t>,</w:t>
      </w:r>
      <w:r w:rsidR="000F7B20" w:rsidRPr="006B15C8">
        <w:t>806</w:t>
      </w:r>
      <w:r w:rsidR="000F7B20" w:rsidRPr="006B15C8">
        <w:rPr>
          <w:color w:val="222222"/>
          <w:highlight w:val="white"/>
        </w:rPr>
        <w:t xml:space="preserve">, and the DS </w:t>
      </w:r>
      <w:r w:rsidR="000F7B20" w:rsidRPr="006B15C8">
        <w:rPr>
          <w:color w:val="222222"/>
          <w:highlight w:val="white"/>
        </w:rPr>
        <w:lastRenderedPageBreak/>
        <w:t xml:space="preserve">intersection located in </w:t>
      </w:r>
      <w:r w:rsidR="000F7B20" w:rsidRPr="006B15C8">
        <w:t xml:space="preserve">two </w:t>
      </w:r>
      <w:r w:rsidR="000F7B20" w:rsidRPr="006B15C8">
        <w:rPr>
          <w:color w:val="222222"/>
          <w:highlight w:val="white"/>
        </w:rPr>
        <w:t>census tract</w:t>
      </w:r>
      <w:r w:rsidR="000F7B20" w:rsidRPr="006B15C8">
        <w:t>s</w:t>
      </w:r>
      <w:r w:rsidR="000F7B20" w:rsidRPr="006B15C8">
        <w:rPr>
          <w:color w:val="222222"/>
          <w:highlight w:val="white"/>
        </w:rPr>
        <w:t xml:space="preserve"> with an average median annual household income of $</w:t>
      </w:r>
      <w:r w:rsidR="000F7B20" w:rsidRPr="006B15C8">
        <w:t>40</w:t>
      </w:r>
      <w:r w:rsidR="000F7B20" w:rsidRPr="006B15C8">
        <w:rPr>
          <w:color w:val="222222"/>
          <w:highlight w:val="white"/>
        </w:rPr>
        <w:t>,</w:t>
      </w:r>
      <w:r w:rsidR="000F7B20" w:rsidRPr="006B15C8">
        <w:t>510</w:t>
      </w:r>
      <w:r w:rsidR="000F7B20" w:rsidRPr="006B15C8">
        <w:rPr>
          <w:color w:val="222222"/>
          <w:highlight w:val="white"/>
        </w:rPr>
        <w:t xml:space="preserve"> (U.S. Census Bureau, 2023). Together, these factors contribute to good contextual variation across the study locations, capturing diverse driver and pedestrian behaviors. Such variations across the two intersections aid in better generalizability of the findings from the study because range variation is more important for consistently estimating the effects of the exogenous covariates than representativeness of the two intersections to the broader set of urban environment intersections.</w:t>
      </w:r>
      <w:r w:rsidR="000F7B20" w:rsidRPr="006B15C8">
        <w:rPr>
          <w:rStyle w:val="FootnoteReference"/>
        </w:rPr>
        <w:footnoteReference w:id="3"/>
      </w:r>
    </w:p>
    <w:p w14:paraId="04744075" w14:textId="77777777" w:rsidR="008C222F" w:rsidRPr="006B15C8" w:rsidRDefault="008C222F" w:rsidP="004A6C6E">
      <w:pPr>
        <w:spacing w:line="271" w:lineRule="auto"/>
        <w:ind w:firstLine="720"/>
      </w:pPr>
    </w:p>
    <w:p w14:paraId="7AD971B6" w14:textId="77777777" w:rsidR="008C222F" w:rsidRPr="006B15C8" w:rsidRDefault="008C222F" w:rsidP="004A6C6E">
      <w:pPr>
        <w:pStyle w:val="Heading2"/>
        <w:spacing w:line="271" w:lineRule="auto"/>
      </w:pPr>
      <w:r w:rsidRPr="006B15C8">
        <w:t>Video Setup and Data Collection</w:t>
      </w:r>
    </w:p>
    <w:p w14:paraId="02EC4F94" w14:textId="77777777" w:rsidR="00B9193B" w:rsidRPr="006B15C8" w:rsidRDefault="008C222F" w:rsidP="004A6C6E">
      <w:pPr>
        <w:spacing w:line="271" w:lineRule="auto"/>
      </w:pPr>
      <w:r w:rsidRPr="006B15C8">
        <w:t xml:space="preserve">A custom-built outdoor video recording system was </w:t>
      </w:r>
      <w:r w:rsidR="0016574C" w:rsidRPr="006B15C8">
        <w:t>developed</w:t>
      </w:r>
      <w:r w:rsidRPr="006B15C8">
        <w:t xml:space="preserve"> to capture pedestrian and driver behavior at the selected intersections. As shown in</w:t>
      </w:r>
      <w:r w:rsidR="0016574C" w:rsidRPr="006B15C8">
        <w:t xml:space="preserve"> Figure 3</w:t>
      </w:r>
      <w:r w:rsidRPr="006B15C8">
        <w:t xml:space="preserve">, the system utilized an off-the-shelf 4K Ultra High Definition, 360° PoE IP security camera with 16x optical zoom, housed in a weatherproof enclosure to ensure continuous operation during adverse weather conditions. Video footage was managed using the open-source </w:t>
      </w:r>
      <w:r w:rsidRPr="006B15C8">
        <w:rPr>
          <w:i/>
          <w:iCs/>
        </w:rPr>
        <w:t>Shinobi</w:t>
      </w:r>
      <w:r w:rsidRPr="006B15C8">
        <w:t xml:space="preserve"> surveillance software, installed on a Raspberry Pi 3. </w:t>
      </w:r>
      <w:r w:rsidRPr="006B15C8">
        <w:rPr>
          <w:i/>
          <w:iCs/>
        </w:rPr>
        <w:t>Shinobi</w:t>
      </w:r>
      <w:r w:rsidRPr="006B15C8">
        <w:t xml:space="preserve"> was selected for its ability to support continuous, high-resolution video capture, compatibility with IP cameras, and flexible configuration options, including scheduling and timestamping </w:t>
      </w:r>
      <w:bookmarkStart w:id="66" w:name="_Hlk203654358"/>
      <w:bookmarkStart w:id="67" w:name="_Hlk202478101"/>
      <w:r w:rsidRPr="006B15C8">
        <w:fldChar w:fldCharType="begin"/>
      </w:r>
      <w:r w:rsidR="00911EF4" w:rsidRPr="006B15C8">
        <w:instrText xml:space="preserve"> ADDIN ZOTERO_ITEM CSL_CITATION {"citationID":"JgBRvrac","properties":{"formattedCitation":"(Shinobi Systems, 2025)","plainCitation":"(Shinobi Systems, 2025)","noteIndex":0},"citationItems":[{"id":351,"uris":["http://zotero.org/groups/5885221/items/CZNS7VTX"],"itemData":{"id":351,"type":"report","title":"ShinobiDocs","URL":"https://docs.shinobi.video/","author":[{"literal":"Shinobi Systems"}],"issued":{"date-parts":[["2025"]]}}}],"schema":"https://github.com/citation-style-language/schema/raw/master/csl-citation.json"} </w:instrText>
      </w:r>
      <w:r w:rsidRPr="006B15C8">
        <w:fldChar w:fldCharType="separate"/>
      </w:r>
      <w:r w:rsidRPr="006B15C8">
        <w:t>(Shinobi Systems, 2025)</w:t>
      </w:r>
      <w:r w:rsidRPr="006B15C8">
        <w:fldChar w:fldCharType="end"/>
      </w:r>
      <w:r w:rsidRPr="006B15C8">
        <w:t xml:space="preserve">. </w:t>
      </w:r>
      <w:bookmarkEnd w:id="66"/>
      <w:bookmarkEnd w:id="67"/>
      <w:r w:rsidR="00A46FFE" w:rsidRPr="006B15C8">
        <w:t xml:space="preserve">The recorded data were then stored locally on a 5TB hard drive. </w:t>
      </w:r>
      <w:r w:rsidRPr="006B15C8">
        <w:t>This low-power, cost-effective system enabled extended unattended monitoring, making it well-suited for detailed behavioral observation in naturalistic settings.</w:t>
      </w:r>
    </w:p>
    <w:p w14:paraId="3EB58901" w14:textId="17BB8808" w:rsidR="00A45734" w:rsidRPr="006B15C8" w:rsidRDefault="0074294B" w:rsidP="004A6C6E">
      <w:pPr>
        <w:spacing w:line="271" w:lineRule="auto"/>
        <w:ind w:firstLine="720"/>
      </w:pPr>
      <w:r w:rsidRPr="006B15C8">
        <w:t>At each site, the camera was strategically positioned to maximize visibility of the intersection area. The crosswalks captured in the recordings are indicated on the annotated intersection layouts in the upper panels of Figures 1 and 2. The field photographs in the lower panel of each figure further illustrate the camera’s field of view at each site. At the MB intersection (Figure 1), the camera captured the eastbound crosswalk on Braker Lane and both crosswalks on the southbound Mopac Frontage Road, providing complete coverage of all crosswalks at this site with no visual obstructions. At the DS intersection (Figure 2), the camera captured three of the four crosswalks. The crossing on San Jacinto Boulevard at the southern end of the intersection was completely obstructed by vegetation and therefore excluded entirely from the analysis. Our analysis at the DS site thus represents 75% spatial coverage of the intersection’s crosswalks, with complete observation of the three included crosswalks.</w:t>
      </w:r>
    </w:p>
    <w:p w14:paraId="5555B398" w14:textId="238B6356" w:rsidR="00926D85" w:rsidRPr="006B15C8" w:rsidRDefault="00926D85" w:rsidP="004A6C6E">
      <w:pPr>
        <w:spacing w:line="271" w:lineRule="auto"/>
        <w:ind w:firstLine="720"/>
      </w:pPr>
      <w:r w:rsidRPr="006B15C8">
        <w:t xml:space="preserve">Videos were analyzed at a resolution of 2560 × 1440 pixels. At the average mid-crossing distance, this yielded a pixel-to-meter ratio of approximately 55.4 pixels per meter. While this pixel density falls below thresholds typically required for automated computer vision systems to reliably infer demographic characteristics such as age, gender, or skin tone (Hall </w:t>
      </w:r>
      <w:r w:rsidR="001114DB" w:rsidRPr="006B15C8">
        <w:t>and</w:t>
      </w:r>
      <w:r w:rsidRPr="006B15C8">
        <w:t xml:space="preserve"> Perona, 2015</w:t>
      </w:r>
      <w:r w:rsidR="00123993" w:rsidRPr="006B15C8">
        <w:t>,</w:t>
      </w:r>
      <w:r w:rsidRPr="006B15C8">
        <w:t xml:space="preserve"> </w:t>
      </w:r>
      <w:r w:rsidRPr="006B15C8">
        <w:lastRenderedPageBreak/>
        <w:t xml:space="preserve">Junejo </w:t>
      </w:r>
      <w:r w:rsidR="001114DB" w:rsidRPr="006B15C8">
        <w:t>and</w:t>
      </w:r>
      <w:r w:rsidRPr="006B15C8">
        <w:t xml:space="preserve"> Ahmed, 2020</w:t>
      </w:r>
      <w:r w:rsidR="00123993" w:rsidRPr="006B15C8">
        <w:t>,</w:t>
      </w:r>
      <w:r w:rsidRPr="006B15C8">
        <w:t xml:space="preserve"> Sakib et al., 2022</w:t>
      </w:r>
      <w:r w:rsidR="00123993" w:rsidRPr="006B15C8">
        <w:t>, Fernández Llorca et al., 2024</w:t>
      </w:r>
      <w:r w:rsidRPr="006B15C8">
        <w:t>), the use of trained human coders rather than automated algorithms mitigated this limitation. Human coders could pause, replay, and digitally zoom during video review to examine details more closely. Additionally, many pedestrians passed closer to the camera at some point during their crossing trajectory, providing higher-resolution views for classification.</w:t>
      </w:r>
    </w:p>
    <w:p w14:paraId="53D7C2F5" w14:textId="6CC69820" w:rsidR="008C222F" w:rsidRPr="006B15C8" w:rsidRDefault="008C222F" w:rsidP="004A6C6E">
      <w:pPr>
        <w:spacing w:line="271" w:lineRule="auto"/>
        <w:ind w:firstLine="720"/>
      </w:pPr>
      <w:r w:rsidRPr="006B15C8">
        <w:t xml:space="preserve">Extended-duration, continuous video monitoring was implemented at both sites. The MB intersection monitoring period, which </w:t>
      </w:r>
      <w:r w:rsidR="00107AC0" w:rsidRPr="006B15C8">
        <w:t>spanned</w:t>
      </w:r>
      <w:r w:rsidRPr="006B15C8">
        <w:t xml:space="preserve"> from April 19 to May 6, 2024, resulted in 18 days of continuous data acquisition, yielding 2,976 documented crossing observations</w:t>
      </w:r>
      <w:r w:rsidR="00B079AD" w:rsidRPr="006B15C8">
        <w:t xml:space="preserve"> with an average rate of </w:t>
      </w:r>
      <w:r w:rsidR="00FA2252" w:rsidRPr="006B15C8">
        <w:t>8.00</w:t>
      </w:r>
      <w:r w:rsidR="00B079AD" w:rsidRPr="006B15C8">
        <w:t xml:space="preserve"> pedestrians/hour</w:t>
      </w:r>
      <w:r w:rsidRPr="006B15C8">
        <w:t>. At the DS intersection, data collection took place from May 23 to June 27, 2024, resulting in 36 full days of footage and 18,019 recorded pedestrian crossings</w:t>
      </w:r>
      <w:r w:rsidR="00B079AD" w:rsidRPr="006B15C8">
        <w:t>,</w:t>
      </w:r>
      <w:r w:rsidR="00B95601" w:rsidRPr="006B15C8">
        <w:t xml:space="preserve"> correspond</w:t>
      </w:r>
      <w:r w:rsidR="00B079AD" w:rsidRPr="006B15C8">
        <w:t>ing</w:t>
      </w:r>
      <w:r w:rsidR="00B95601" w:rsidRPr="006B15C8">
        <w:t xml:space="preserve"> to an average </w:t>
      </w:r>
      <w:r w:rsidR="00613C1E" w:rsidRPr="006B15C8">
        <w:t>rate of 2</w:t>
      </w:r>
      <w:r w:rsidR="00B82738" w:rsidRPr="006B15C8">
        <w:t>4</w:t>
      </w:r>
      <w:r w:rsidR="00613C1E" w:rsidRPr="006B15C8">
        <w:t>.</w:t>
      </w:r>
      <w:r w:rsidR="00B82738" w:rsidRPr="006B15C8">
        <w:t>21</w:t>
      </w:r>
      <w:r w:rsidR="00613C1E" w:rsidRPr="006B15C8">
        <w:t xml:space="preserve"> pedestrians/hour.</w:t>
      </w:r>
    </w:p>
    <w:p w14:paraId="175F0AB2" w14:textId="77777777" w:rsidR="008C222F" w:rsidRPr="006B15C8" w:rsidRDefault="008C222F" w:rsidP="004A6C6E">
      <w:pPr>
        <w:spacing w:line="271" w:lineRule="auto"/>
        <w:ind w:firstLine="720"/>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41"/>
      </w:tblGrid>
      <w:tr w:rsidR="008C222F" w:rsidRPr="006B15C8" w14:paraId="14F0916B" w14:textId="77777777" w:rsidTr="004D553B">
        <w:trPr>
          <w:jc w:val="center"/>
        </w:trPr>
        <w:tc>
          <w:tcPr>
            <w:tcW w:w="7195" w:type="dxa"/>
          </w:tcPr>
          <w:p w14:paraId="342A1266" w14:textId="765534BF" w:rsidR="008C222F" w:rsidRPr="006B15C8" w:rsidRDefault="00726FC6" w:rsidP="004D553B">
            <w:pPr>
              <w:spacing w:line="240" w:lineRule="auto"/>
              <w:jc w:val="center"/>
            </w:pPr>
            <w:r w:rsidRPr="006B15C8">
              <w:rPr>
                <w:noProof/>
              </w:rPr>
              <w:drawing>
                <wp:inline distT="0" distB="0" distL="0" distR="0" wp14:anchorId="4F02BC4D" wp14:editId="3907ABC3">
                  <wp:extent cx="5286375" cy="324802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3578" t="5963" r="7497" b="21288"/>
                          <a:stretch>
                            <a:fillRect/>
                          </a:stretch>
                        </pic:blipFill>
                        <pic:spPr bwMode="auto">
                          <a:xfrm>
                            <a:off x="0" y="0"/>
                            <a:ext cx="5286375" cy="3248025"/>
                          </a:xfrm>
                          <a:prstGeom prst="rect">
                            <a:avLst/>
                          </a:prstGeom>
                          <a:noFill/>
                          <a:ln>
                            <a:noFill/>
                          </a:ln>
                        </pic:spPr>
                      </pic:pic>
                    </a:graphicData>
                  </a:graphic>
                </wp:inline>
              </w:drawing>
            </w:r>
          </w:p>
          <w:p w14:paraId="4D10B4B0" w14:textId="77777777" w:rsidR="008C222F" w:rsidRPr="006B15C8" w:rsidRDefault="008C222F" w:rsidP="004D553B">
            <w:pPr>
              <w:spacing w:line="240" w:lineRule="auto"/>
              <w:jc w:val="center"/>
              <w:rPr>
                <w:sz w:val="10"/>
                <w:szCs w:val="10"/>
              </w:rPr>
            </w:pPr>
          </w:p>
        </w:tc>
      </w:tr>
      <w:tr w:rsidR="008C222F" w:rsidRPr="006B15C8" w14:paraId="78F91707" w14:textId="77777777" w:rsidTr="004D553B">
        <w:trPr>
          <w:jc w:val="center"/>
        </w:trPr>
        <w:tc>
          <w:tcPr>
            <w:tcW w:w="7195" w:type="dxa"/>
          </w:tcPr>
          <w:p w14:paraId="6C07624D" w14:textId="401D6850" w:rsidR="008C222F" w:rsidRPr="006B15C8" w:rsidRDefault="00726FC6" w:rsidP="004D553B">
            <w:pPr>
              <w:spacing w:line="240" w:lineRule="auto"/>
              <w:jc w:val="center"/>
            </w:pPr>
            <w:r w:rsidRPr="006B15C8">
              <w:rPr>
                <w:noProof/>
              </w:rPr>
              <w:drawing>
                <wp:inline distT="0" distB="0" distL="0" distR="0" wp14:anchorId="36FEBDC0" wp14:editId="03070A29">
                  <wp:extent cx="4714875" cy="2190750"/>
                  <wp:effectExtent l="0" t="0" r="0" b="0"/>
                  <wp:docPr id="2" name="Picture 4"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vide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t="16701" b="21457"/>
                          <a:stretch>
                            <a:fillRect/>
                          </a:stretch>
                        </pic:blipFill>
                        <pic:spPr bwMode="auto">
                          <a:xfrm>
                            <a:off x="0" y="0"/>
                            <a:ext cx="4714875" cy="2190750"/>
                          </a:xfrm>
                          <a:prstGeom prst="rect">
                            <a:avLst/>
                          </a:prstGeom>
                          <a:noFill/>
                          <a:ln>
                            <a:noFill/>
                          </a:ln>
                        </pic:spPr>
                      </pic:pic>
                    </a:graphicData>
                  </a:graphic>
                </wp:inline>
              </w:drawing>
            </w:r>
          </w:p>
          <w:p w14:paraId="72531928" w14:textId="77777777" w:rsidR="008C222F" w:rsidRPr="006B15C8" w:rsidRDefault="008C222F" w:rsidP="004D553B">
            <w:pPr>
              <w:spacing w:line="240" w:lineRule="auto"/>
              <w:jc w:val="center"/>
              <w:rPr>
                <w:sz w:val="10"/>
                <w:szCs w:val="10"/>
              </w:rPr>
            </w:pPr>
          </w:p>
        </w:tc>
      </w:tr>
    </w:tbl>
    <w:p w14:paraId="06F55F5B" w14:textId="274640BB" w:rsidR="008C222F" w:rsidRPr="006B15C8" w:rsidRDefault="008C222F" w:rsidP="008C222F">
      <w:pPr>
        <w:pStyle w:val="Caption"/>
        <w:spacing w:after="0"/>
      </w:pPr>
      <w:bookmarkStart w:id="68" w:name="_Ref199935472"/>
      <w:r w:rsidRPr="006B15C8">
        <w:t xml:space="preserve">Figure </w:t>
      </w:r>
      <w:r w:rsidR="00464D81">
        <w:fldChar w:fldCharType="begin"/>
      </w:r>
      <w:r w:rsidR="00464D81">
        <w:instrText xml:space="preserve"> SEQ Figure \* ARABIC </w:instrText>
      </w:r>
      <w:r w:rsidR="00464D81">
        <w:fldChar w:fldCharType="separate"/>
      </w:r>
      <w:r w:rsidR="0053468C" w:rsidRPr="006B15C8">
        <w:rPr>
          <w:noProof/>
        </w:rPr>
        <w:t>1</w:t>
      </w:r>
      <w:r w:rsidR="00464D81">
        <w:rPr>
          <w:noProof/>
        </w:rPr>
        <w:fldChar w:fldCharType="end"/>
      </w:r>
      <w:bookmarkEnd w:id="68"/>
      <w:r w:rsidRPr="006B15C8">
        <w:t>. MB Intersection Layout</w:t>
      </w:r>
    </w:p>
    <w:p w14:paraId="0E57EA9F" w14:textId="77777777" w:rsidR="008C222F" w:rsidRPr="006B15C8" w:rsidRDefault="008C222F" w:rsidP="00521FB3">
      <w:pPr>
        <w:ind w:firstLine="720"/>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A07BEF" w:rsidRPr="006B15C8" w14:paraId="2555CD83" w14:textId="77777777" w:rsidTr="004D553B">
        <w:tc>
          <w:tcPr>
            <w:tcW w:w="9350" w:type="dxa"/>
          </w:tcPr>
          <w:p w14:paraId="5DD090F4" w14:textId="1976E235" w:rsidR="001F6E4E" w:rsidRPr="006B15C8" w:rsidRDefault="00726FC6" w:rsidP="004D553B">
            <w:pPr>
              <w:spacing w:line="240" w:lineRule="auto"/>
              <w:jc w:val="center"/>
            </w:pPr>
            <w:r w:rsidRPr="006B15C8">
              <w:rPr>
                <w:noProof/>
              </w:rPr>
              <w:drawing>
                <wp:inline distT="0" distB="0" distL="0" distR="0" wp14:anchorId="65C2382E" wp14:editId="4E61D00A">
                  <wp:extent cx="5295900" cy="34671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1740" t="7309" r="8881" b="14787"/>
                          <a:stretch>
                            <a:fillRect/>
                          </a:stretch>
                        </pic:blipFill>
                        <pic:spPr bwMode="auto">
                          <a:xfrm>
                            <a:off x="0" y="0"/>
                            <a:ext cx="5295900" cy="3467100"/>
                          </a:xfrm>
                          <a:prstGeom prst="rect">
                            <a:avLst/>
                          </a:prstGeom>
                          <a:noFill/>
                          <a:ln>
                            <a:noFill/>
                          </a:ln>
                        </pic:spPr>
                      </pic:pic>
                    </a:graphicData>
                  </a:graphic>
                </wp:inline>
              </w:drawing>
            </w:r>
          </w:p>
        </w:tc>
      </w:tr>
      <w:tr w:rsidR="00A07BEF" w:rsidRPr="006B15C8" w14:paraId="47A28B81" w14:textId="77777777" w:rsidTr="004D553B">
        <w:tc>
          <w:tcPr>
            <w:tcW w:w="9350" w:type="dxa"/>
          </w:tcPr>
          <w:p w14:paraId="67B9F181" w14:textId="3DB3DA9B" w:rsidR="00A07BEF" w:rsidRPr="006B15C8" w:rsidRDefault="00726FC6" w:rsidP="004D553B">
            <w:pPr>
              <w:spacing w:line="240" w:lineRule="auto"/>
              <w:jc w:val="center"/>
            </w:pPr>
            <w:r w:rsidRPr="006B15C8">
              <w:rPr>
                <w:noProof/>
              </w:rPr>
              <w:drawing>
                <wp:inline distT="0" distB="0" distL="0" distR="0" wp14:anchorId="66F216D9" wp14:editId="39243938">
                  <wp:extent cx="4467225" cy="21717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11346" t="27858" r="11310" b="22110"/>
                          <a:stretch>
                            <a:fillRect/>
                          </a:stretch>
                        </pic:blipFill>
                        <pic:spPr bwMode="auto">
                          <a:xfrm>
                            <a:off x="0" y="0"/>
                            <a:ext cx="4467225" cy="2171700"/>
                          </a:xfrm>
                          <a:prstGeom prst="rect">
                            <a:avLst/>
                          </a:prstGeom>
                          <a:noFill/>
                          <a:ln>
                            <a:noFill/>
                          </a:ln>
                        </pic:spPr>
                      </pic:pic>
                    </a:graphicData>
                  </a:graphic>
                </wp:inline>
              </w:drawing>
            </w:r>
          </w:p>
          <w:p w14:paraId="6372D6AD" w14:textId="77777777" w:rsidR="00A07BEF" w:rsidRPr="006B15C8" w:rsidRDefault="00A07BEF" w:rsidP="004D553B">
            <w:pPr>
              <w:spacing w:line="240" w:lineRule="auto"/>
              <w:jc w:val="center"/>
              <w:rPr>
                <w:sz w:val="10"/>
                <w:szCs w:val="10"/>
              </w:rPr>
            </w:pPr>
          </w:p>
        </w:tc>
      </w:tr>
    </w:tbl>
    <w:p w14:paraId="41CEB9D7" w14:textId="763EB937" w:rsidR="00A07BEF" w:rsidRPr="006B15C8" w:rsidRDefault="00A07BEF" w:rsidP="00F6362D">
      <w:pPr>
        <w:pStyle w:val="Caption"/>
        <w:spacing w:after="0"/>
      </w:pPr>
      <w:bookmarkStart w:id="69" w:name="_Ref199935471"/>
      <w:r w:rsidRPr="006B15C8">
        <w:t xml:space="preserve">Figure </w:t>
      </w:r>
      <w:r w:rsidR="00464D81">
        <w:fldChar w:fldCharType="begin"/>
      </w:r>
      <w:r w:rsidR="00464D81">
        <w:instrText xml:space="preserve"> SEQ Figure \* ARABIC </w:instrText>
      </w:r>
      <w:r w:rsidR="00464D81">
        <w:fldChar w:fldCharType="separate"/>
      </w:r>
      <w:r w:rsidR="0053468C" w:rsidRPr="006B15C8">
        <w:rPr>
          <w:noProof/>
        </w:rPr>
        <w:t>2</w:t>
      </w:r>
      <w:r w:rsidR="00464D81">
        <w:rPr>
          <w:noProof/>
        </w:rPr>
        <w:fldChar w:fldCharType="end"/>
      </w:r>
      <w:bookmarkEnd w:id="69"/>
      <w:r w:rsidRPr="006B15C8">
        <w:t>. DS Intersection Layout</w:t>
      </w:r>
    </w:p>
    <w:p w14:paraId="32BC4F1D" w14:textId="77777777" w:rsidR="00F6362D" w:rsidRPr="006B15C8" w:rsidRDefault="00F6362D" w:rsidP="008C222F">
      <w:pPr>
        <w:ind w:firstLine="720"/>
      </w:pPr>
    </w:p>
    <w:p w14:paraId="03EC87EC" w14:textId="77777777" w:rsidR="0074294B" w:rsidRPr="006B15C8" w:rsidRDefault="002B53CE" w:rsidP="004A6C6E">
      <w:pPr>
        <w:spacing w:line="271" w:lineRule="auto"/>
        <w:ind w:firstLine="720"/>
      </w:pPr>
      <w:r w:rsidRPr="006B15C8">
        <w:t xml:space="preserve">It is important to note that several contextual factors may have influenced the representativeness of the collected data. </w:t>
      </w:r>
      <w:r w:rsidR="00D16401" w:rsidRPr="006B15C8">
        <w:t xml:space="preserve">First, the DS intersection observation period fell outside the University of Texas at Austin’s regular academic calendar. While this may have contributed to lower-than-usual pedestrian volumes at the DS site, the presence of summer classes ensured a consistent flow of student walking activity. Second, </w:t>
      </w:r>
      <w:r w:rsidR="00640614" w:rsidRPr="006B15C8">
        <w:t>data collection occurred during late spring and early summer months, when elevated Texas temperatures may have introduced seasonal bias in pedestrian behavior. The average high temperature in Austin was 79.4°F during the MB intersection monitoring period and 93.6°F during the DS intersection observation period</w:t>
      </w:r>
      <w:r w:rsidRPr="006B15C8">
        <w:t xml:space="preserve">. </w:t>
      </w:r>
      <w:r w:rsidR="0074294B" w:rsidRPr="006B15C8">
        <w:t xml:space="preserve">Although the study avoided peak summer heat, elevated midday temperatures may have influenced </w:t>
      </w:r>
      <w:r w:rsidR="0074294B" w:rsidRPr="006B15C8">
        <w:lastRenderedPageBreak/>
        <w:t xml:space="preserve">pedestrian volume and temporal distribution patterns. In any case, and as discussed earlier, strict representativeness of foot and vehicle movements is not necessary to develop consistent relationships between exogenous covariates and the two outcomes of interest. </w:t>
      </w:r>
    </w:p>
    <w:p w14:paraId="70E8E7BF" w14:textId="69F8A4A2" w:rsidR="0074294B" w:rsidRPr="006B15C8" w:rsidRDefault="0074294B" w:rsidP="004A6C6E">
      <w:pPr>
        <w:spacing w:line="271" w:lineRule="auto"/>
        <w:ind w:firstLine="720"/>
      </w:pPr>
      <w:r w:rsidRPr="006B15C8">
        <w:t xml:space="preserve">A final note related to our sample. In the original data collected, precipitation occurred during only 27.5 hours of the total 1,296 recorded hours (2.12% of total recorded hours). Due to very few NCPC </w:t>
      </w:r>
      <w:r w:rsidR="00107AC0" w:rsidRPr="006B15C8">
        <w:t xml:space="preserve">and DUY instances </w:t>
      </w:r>
      <w:r w:rsidRPr="006B15C8">
        <w:t xml:space="preserve">during the few hours of periods of precipitation, we excluded these periods of precipitation from the sample for analysis. Dropping such a small percentage of observations should not lead to any substantial self-selection bias in the estimates for dry weather conditions. </w:t>
      </w:r>
    </w:p>
    <w:p w14:paraId="489200F7" w14:textId="77777777" w:rsidR="008C222F" w:rsidRPr="006B15C8" w:rsidRDefault="008C222F" w:rsidP="004A6C6E">
      <w:pPr>
        <w:spacing w:line="271" w:lineRule="auto"/>
        <w:ind w:firstLine="720"/>
      </w:pPr>
    </w:p>
    <w:p w14:paraId="243BD495" w14:textId="31C68B48" w:rsidR="00102339" w:rsidRPr="006B15C8" w:rsidRDefault="00726FC6" w:rsidP="004A6C6E">
      <w:pPr>
        <w:spacing w:line="271" w:lineRule="auto"/>
        <w:ind w:firstLine="720"/>
      </w:pPr>
      <w:r w:rsidRPr="006B15C8">
        <w:rPr>
          <w:noProof/>
        </w:rPr>
        <w:drawing>
          <wp:inline distT="0" distB="0" distL="0" distR="0" wp14:anchorId="70637060" wp14:editId="1B3D467A">
            <wp:extent cx="5000625" cy="1924050"/>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0625" cy="1924050"/>
                    </a:xfrm>
                    <a:prstGeom prst="rect">
                      <a:avLst/>
                    </a:prstGeom>
                    <a:noFill/>
                    <a:ln>
                      <a:noFill/>
                    </a:ln>
                  </pic:spPr>
                </pic:pic>
              </a:graphicData>
            </a:graphic>
          </wp:inline>
        </w:drawing>
      </w:r>
    </w:p>
    <w:p w14:paraId="26570B3B" w14:textId="6BC30E70" w:rsidR="00F26E60" w:rsidRPr="006B15C8" w:rsidRDefault="00F26E60" w:rsidP="004A6C6E">
      <w:pPr>
        <w:pStyle w:val="Caption"/>
        <w:spacing w:after="0" w:line="271" w:lineRule="auto"/>
      </w:pPr>
      <w:bookmarkStart w:id="70" w:name="_Ref199935519"/>
      <w:r w:rsidRPr="006B15C8">
        <w:t xml:space="preserve">Figure </w:t>
      </w:r>
      <w:r w:rsidR="00464D81">
        <w:fldChar w:fldCharType="begin"/>
      </w:r>
      <w:r w:rsidR="00464D81">
        <w:instrText xml:space="preserve"> SEQ Figure \* ARABIC </w:instrText>
      </w:r>
      <w:r w:rsidR="00464D81">
        <w:fldChar w:fldCharType="separate"/>
      </w:r>
      <w:r w:rsidR="0053468C" w:rsidRPr="006B15C8">
        <w:rPr>
          <w:noProof/>
        </w:rPr>
        <w:t>3</w:t>
      </w:r>
      <w:r w:rsidR="00464D81">
        <w:rPr>
          <w:noProof/>
        </w:rPr>
        <w:fldChar w:fldCharType="end"/>
      </w:r>
      <w:bookmarkEnd w:id="70"/>
      <w:r w:rsidRPr="006B15C8">
        <w:t>. Video Recording Setup</w:t>
      </w:r>
    </w:p>
    <w:p w14:paraId="7456ABA0" w14:textId="77777777" w:rsidR="003F569B" w:rsidRPr="006B15C8" w:rsidRDefault="003F569B" w:rsidP="004A6C6E">
      <w:pPr>
        <w:spacing w:line="271" w:lineRule="auto"/>
      </w:pPr>
    </w:p>
    <w:p w14:paraId="3C03071F" w14:textId="77777777" w:rsidR="00353C52" w:rsidRPr="006B15C8" w:rsidRDefault="00102339" w:rsidP="004A6C6E">
      <w:pPr>
        <w:pStyle w:val="Heading2"/>
        <w:spacing w:line="271" w:lineRule="auto"/>
      </w:pPr>
      <w:r w:rsidRPr="006B15C8">
        <w:t xml:space="preserve"> </w:t>
      </w:r>
      <w:r w:rsidR="00A94A0E" w:rsidRPr="006B15C8">
        <w:t>Data Coding Process</w:t>
      </w:r>
    </w:p>
    <w:p w14:paraId="5B34FC9D" w14:textId="77777777" w:rsidR="006A0AA5" w:rsidRPr="006B15C8" w:rsidRDefault="006A0AA5" w:rsidP="004A6C6E">
      <w:pPr>
        <w:spacing w:line="271" w:lineRule="auto"/>
      </w:pPr>
      <w:r w:rsidRPr="006B15C8">
        <w:t xml:space="preserve">Upon completion of data collection, trained research assistants conducted systematic video analysis to extract key parameters from individual pedestrian crossings and vehicle-pedestrian interaction events. Each video recording was reviewed frame by frame to ensure the accurate identification and measurement of the variables of interest. These variables </w:t>
      </w:r>
      <w:r w:rsidR="00D323F2" w:rsidRPr="006B15C8">
        <w:t>include</w:t>
      </w:r>
      <w:r w:rsidR="003E55E0" w:rsidRPr="006B15C8">
        <w:t>d</w:t>
      </w:r>
      <w:r w:rsidR="00D323F2" w:rsidRPr="006B15C8">
        <w:t xml:space="preserve"> a range of pedestrian characteristics, vehicle characteristics, other contextual factors, and dynamics of crossing situations. </w:t>
      </w:r>
    </w:p>
    <w:p w14:paraId="32CD4818" w14:textId="70BF3175" w:rsidR="000D20F4" w:rsidRPr="006B15C8" w:rsidRDefault="006A0AA5" w:rsidP="004A6C6E">
      <w:pPr>
        <w:spacing w:line="271" w:lineRule="auto"/>
        <w:ind w:firstLine="720"/>
      </w:pPr>
      <w:r w:rsidRPr="006B15C8">
        <w:t>Pedestrian demographic characteristics were coded through systematic observation, with gender classification determined through visual assessment of morphological features and coded as male, female, or unknown when classification was not possible due to image quality or other observational constraints. Additionally, pedestrian age was estimated through visual assessment and categorized into three distinct groups: individuals appearing to be under 18 years were classified as “minors,” those appearing to be 18-40 years were categorized as “young adults,” and individuals appearing to be over 40 years were classified as “older adults.”</w:t>
      </w:r>
      <w:r w:rsidR="00BC783F" w:rsidRPr="006B15C8">
        <w:t xml:space="preserve"> </w:t>
      </w:r>
      <w:r w:rsidR="002B53CE" w:rsidRPr="006B15C8">
        <w:t>While visual estimation of age may introduce classification error</w:t>
      </w:r>
      <w:r w:rsidR="0016574C" w:rsidRPr="006B15C8">
        <w:t>s</w:t>
      </w:r>
      <w:r w:rsidR="002B53CE" w:rsidRPr="006B15C8">
        <w:t xml:space="preserve">, this method has been used in prior observational studies and is considered acceptable for behavioral fieldwork where direct demographic data are unavailable </w:t>
      </w:r>
      <w:bookmarkStart w:id="71" w:name="_Hlk203657480"/>
      <w:r w:rsidR="002B53CE" w:rsidRPr="006B15C8">
        <w:t>(see, for example,</w:t>
      </w:r>
      <w:bookmarkStart w:id="72" w:name="_Hlk202478111"/>
      <w:r w:rsidR="002B53CE" w:rsidRPr="006B15C8">
        <w:t xml:space="preserve"> </w:t>
      </w:r>
      <w:r w:rsidR="002B53CE" w:rsidRPr="006B15C8">
        <w:fldChar w:fldCharType="begin"/>
      </w:r>
      <w:r w:rsidR="00911EF4" w:rsidRPr="006B15C8">
        <w:instrText xml:space="preserve"> ADDIN ZOTERO_ITEM CSL_CITATION {"citationID":"P4RhWdSx","properties":{"formattedCitation":"(Brosseau et al., 2013)","plainCitation":"(Brosseau et al., 2013)","dontUpdate":true,"noteIndex":0},"citationItems":[{"id":42,"uris":["http://zotero.org/groups/5885221/items/C6MJDJYF"],"itemData":{"id":42,"type":"article-journal","abstract":"Pedestrian violations of traffic signals and dangerous crossings at intersections are common. The objective of this study is to determine the impact of pedestrian waiting time at an intersection on the proportion and type of pedestrian violations and dangerous crossings. The amount of waiting depends on signal phasing, time of arrival, and the presence of a pedestrian signal. Thirteen intersections with similar geometry and traffic conditions but different maximum waiting times, seven of which had a pedestrian signal, were observed over at least 2h to collect crossing information. Data was collected manually for the main analysis and complementary video data was used for validation. Several factors were identified as having an impact on the proportion of pedestrian violations. In accordance with the literature, age, sex, group size, pedestrian flow and pedestrian signals are associated to pedestrian violations. In addition, other factors were identified in this research, such as maximum waiting time (red phase). It was also determined that an intersection clearing time had an impact on violations and on the proportion of dangerous crossings committed. Also, pedestrians’ speeds depended on the type of crossing. The results underline the importance of providing pedestrian signals including countdown displays, which is significantly and negatively linked to dangerous violations and crossings. The results also highlight the importance of pedestrian maximum waiting time as well as clearing time. When designing cycle and phase lengths, particular attention should be paid to pedestrian waiting times that are positively correlated to violations. Minimizing waiting times for pedestrians is expected to reduce dangerous pedestrian behaviors at signalized intersections.","container-title":"Transportation Research Part F: Traffic Psychology and Behaviour","DOI":"10.1016/j.trf.2013.09.010","ISSN":"1369-8478","journalAbbreviation":"Transportation Research Part F: Traffic Psychology and Behaviour","page":"159-172","source":"ScienceDirect","title":"The impact of waiting time and other factors on dangerous pedestrian crossings and violations at signalized intersections: A case study in Montreal","title-short":"The impact of waiting time and other factors on dangerous pedestrian crossings and violations at signalized intersections","volume":"21","author":[{"family":"Brosseau","given":"Marilyne"},{"family":"Zangenehpour","given":"Sohail"},{"family":"Saunier","given":"Nicolas"},{"family":"Miranda-Moreno","given":"Luis"}],"issued":{"date-parts":[["2013",11,1]]}}}],"schema":"https://github.com/citation-style-language/schema/raw/master/csl-citation.json"} </w:instrText>
      </w:r>
      <w:r w:rsidR="002B53CE" w:rsidRPr="006B15C8">
        <w:fldChar w:fldCharType="separate"/>
      </w:r>
      <w:r w:rsidR="002B53CE" w:rsidRPr="006B15C8">
        <w:t>Brosseau et al., 2013</w:t>
      </w:r>
      <w:r w:rsidR="002B53CE" w:rsidRPr="006B15C8">
        <w:fldChar w:fldCharType="end"/>
      </w:r>
      <w:r w:rsidR="002B53CE" w:rsidRPr="006B15C8">
        <w:t xml:space="preserve">, </w:t>
      </w:r>
      <w:r w:rsidR="002B53CE" w:rsidRPr="006B15C8">
        <w:fldChar w:fldCharType="begin"/>
      </w:r>
      <w:r w:rsidR="00911EF4" w:rsidRPr="006B15C8">
        <w:instrText xml:space="preserve"> ADDIN ZOTERO_ITEM CSL_CITATION {"citationID":"6JWkfygE","properties":{"formattedCitation":"(Aghabayk et al., 2021)","plainCitation":"(Aghabayk et al., 2021)","dontUpdate":true,"noteIndex":0},"citationItems":[{"id":97,"uris":["http://zotero.org/groups/5885221/items/T2UPR4SI"],"itemData":{"id":97,"type":"article-journal","abstract":"Despite many studies on exploring the behaviors of pedestrians crossing the road, there is a need for comprehensive studies that identify the factors that may influence pedestrians crossing behavior at signalized and unsignalized intersections. This study aims to comprehensively examine the influence of gender, age group, group-crossing, technological devices and carrying items on pedestrians crossing behaviors at signalized and unsignalized crosswalks simultaneously. Observational data of 552 pedestrians at two signalized and two unsignalized crosswalks in Tehran were collected. Temporal and spatial violations, conflict experience and collision avoidance, situational awareness, and pedestrians crossing speed were used as pedestrians crossing behaviors indicators. To model crossing behaviors, linear mixed models (LMMs) and Generalized linear mixed models (GLMMs) with fixed-effect approach were applied for the continuous outcome (pedestrians’ crossing speed) and binary outcomes, respectively. Phi and Cramer's V coefficients were used to avoid multicollinearity. Results showed that traffic checks before and while crossing showed a high positive correlation with crossing at “don’t walk” and flashing “don’t walk” signals and conflict experience at signalized crosswalks. As compared to females, males started their crossing more on flashing “don’t walk” signal and crossed the crosswalk faster. Older pedestrians exhibited more cautious behaviors at signalized intersections but less in unsignalized intersections. Alone pedestrians behaved more cautiously than groups and crossed the crosswalk more quickly. Using technological devices, regardless of their types, caused pedestrians to not exhibit one or more safe crossing indicators considered in this study. Pedestrians talking on their phones had the least cautious behaviors. Pedestrians listening to music mostly looked at the ground or straight direction rather than looking left-right for traffic. The findings from this study are a valuable resource to road authorities and policy makers to develop appropriate targeted strategies to prevent pedestrians’ injuries and fatalities and improve crosswalks safety.","container-title":"Accident Analysis &amp; Prevention","DOI":"10.1016/j.aap.2021.105990","ISSN":"0001-4575","journalAbbreviation":"Accident Analysis &amp; Prevention","page":"105990","source":"ScienceDirect","title":"Observational-based study to explore pedestrian crossing behaviors at signalized and unsignalized crosswalks","volume":"151","author":[{"family":"Aghabayk","given":"Kayvan"},{"family":"Esmailpour","given":"Javad"},{"family":"Jafari","given":"Ahmad"},{"family":"Shiwakoti","given":"Nirajan"}],"issued":{"date-parts":[["2021",3,1]]}}}],"schema":"https://github.com/citation-style-language/schema/raw/master/csl-citation.json"} </w:instrText>
      </w:r>
      <w:r w:rsidR="002B53CE" w:rsidRPr="006B15C8">
        <w:fldChar w:fldCharType="separate"/>
      </w:r>
      <w:r w:rsidR="002B53CE" w:rsidRPr="006B15C8">
        <w:t>Aghabayk et al., 2021</w:t>
      </w:r>
      <w:r w:rsidR="002B53CE" w:rsidRPr="006B15C8">
        <w:fldChar w:fldCharType="end"/>
      </w:r>
      <w:r w:rsidR="002B53CE" w:rsidRPr="006B15C8">
        <w:t xml:space="preserve">, and </w:t>
      </w:r>
      <w:r w:rsidR="002B53CE" w:rsidRPr="006B15C8">
        <w:fldChar w:fldCharType="begin"/>
      </w:r>
      <w:r w:rsidR="00911EF4" w:rsidRPr="006B15C8">
        <w:instrText xml:space="preserve"> ADDIN ZOTERO_ITEM CSL_CITATION {"citationID":"p7gEEzPz","properties":{"formattedCitation":"(Schwebel et al., 2022)","plainCitation":"(Schwebel et al., 2022)","dontUpdate":true,"noteIndex":0},"citationItems":[{"id":348,"uris":["http://zotero.org/groups/5885221/items/VV25MGIV"],"itemData":{"id":348,"type":"article-journal","abstract":"OBJECTIVE: Pedestrian-related death rates are increasing in the United States, partly due to increased use of distracting smartphones by pedestrians. Previous research documents high frequency of smartphone use while crossing streets near college campuses and in downtown business districts, but little is known about distracted pedestrian behavior in other urban environments. The current study used observational methods to examine and compare distracted pedestrian behavior in four urban areas - near an urban college campus, in a downtown commercial business district, near middle and high schools, and in entertainment districts - as well as examining whether the occurrence of distraction was associated with unsafe crossing behaviors.\nMETHODS: We observed 112 intersections in 46 downtown, 30 school, 25 entertainment district, and 11 college campus-area intersections. Coders recorded distraction, crossing safety, pedestrian demographics, and traffic volume. Chi-square tests compared pedestrian characteristics by intersection type. Log binomial regressions estimated risk ratios (RRs) and associated 95% confidence intervals (CIs) for associations between pedestrians walking alone and traffic volume with distracted crossing behavior, adjusting for age and gender. Similar models examined risk of unsafe crossing behavior by distraction behavior. All models were stratified by intersection type.\nRESULTS: Distraction incidence was highest in campus locations (52.9%) and lowest in entertainment districts (16.2%). Walking alone was associated with a 45% higher risk of distraction (RR 1.45, 95% CI 1.30-1.62), although the increased association was limited to entertainment locations (RR 1.61, 95% CI 1.25-2.08) and was significantly decreased in all other locations. Higher traffic volume was associated with lower risk of distraction in downtown locations (RR 0.69, 95% CI 0.56-0.85) but higher distraction risk in entertainment locations (RR 1.71, 95% CI 1.27-2.31). Associations between distraction and unsafe crossing behaviors were minimal.\nCONCLUSION: Distracted pedestrian behavior occurs at different rates and in different circumstances, depending on the setting. These results offer valuable data to inform intervention programs that target appropriate populations in appropriate locations.","container-title":"Traffic Injury Prevention","DOI":"10.1080/15389588.2022.2076282","ISSN":"1538-957X","issue":"6","journalAbbreviation":"Traffic Inj Prev","language":"eng","note":"PMID: 35617465\nPMCID: PMC10413048","page":"346-351","source":"PubMed","title":"Distracted pedestrian behavior: An observational study of risk by situational environments","title-short":"Distracted pedestrian behavior","volume":"23","author":[{"family":"Schwebel","given":"David C."},{"family":"Canter","given":"Margaret F."},{"family":"Hasan","given":"Ragib"},{"family":"Griffin","given":"Russell"},{"family":"White","given":"Taylor R."},{"family":"Johnston","given":"Anna"}],"issued":{"date-parts":[["2022"]]}}}],"schema":"https://github.com/citation-style-language/schema/raw/master/csl-citation.json"} </w:instrText>
      </w:r>
      <w:r w:rsidR="002B53CE" w:rsidRPr="006B15C8">
        <w:fldChar w:fldCharType="separate"/>
      </w:r>
      <w:r w:rsidR="002B53CE" w:rsidRPr="006B15C8">
        <w:t>Schwebel et al., 2022)</w:t>
      </w:r>
      <w:r w:rsidR="002B53CE" w:rsidRPr="006B15C8">
        <w:fldChar w:fldCharType="end"/>
      </w:r>
      <w:r w:rsidR="002B53CE" w:rsidRPr="006B15C8">
        <w:t xml:space="preserve">. </w:t>
      </w:r>
      <w:bookmarkEnd w:id="71"/>
      <w:bookmarkEnd w:id="72"/>
      <w:r w:rsidR="00BC783F" w:rsidRPr="006B15C8">
        <w:t xml:space="preserve">Skin tone classification was performed using the Monk Skin Tone (MST) Scale, which was developed </w:t>
      </w:r>
      <w:r w:rsidR="00765615" w:rsidRPr="006B15C8">
        <w:t xml:space="preserve">by </w:t>
      </w:r>
      <w:r w:rsidR="00BC783F" w:rsidRPr="006B15C8">
        <w:t xml:space="preserve">experts in social psychology, social categorization, and underrepresented </w:t>
      </w:r>
      <w:r w:rsidR="00BC783F" w:rsidRPr="006B15C8">
        <w:lastRenderedPageBreak/>
        <w:t xml:space="preserve">communities </w:t>
      </w:r>
      <w:bookmarkStart w:id="73" w:name="_Hlk202478115"/>
      <w:r w:rsidR="00BC783F" w:rsidRPr="006B15C8">
        <w:fldChar w:fldCharType="begin"/>
      </w:r>
      <w:r w:rsidR="00911EF4" w:rsidRPr="006B15C8">
        <w:instrText xml:space="preserve"> ADDIN ZOTERO_ITEM CSL_CITATION {"citationID":"GubQVCls","properties":{"formattedCitation":"(Monk, 2022)","plainCitation":"(Monk, 2022)","noteIndex":0},"citationItems":[{"id":108,"uris":["http://zotero.org/groups/5885221/items/EVBF2NKL"],"itemData":{"id":108,"type":"webpage","abstract":"Introducing the Monk Skin Tone Scale, a new open licensed tool in computer vision in partnership with Google AI and Dr. Ellis Monk.","container-title":"Skin Tone Research @ Google AI","language":"en","title":"Monk skin tone scale","URL":"https://skintone.google/","author":[{"family":"Monk","given":"Ellis"}],"accessed":{"date-parts":[["2025",4,13]]},"issued":{"date-parts":[["2022"]]}}}],"schema":"https://github.com/citation-style-language/schema/raw/master/csl-citation.json"} </w:instrText>
      </w:r>
      <w:r w:rsidR="00BC783F" w:rsidRPr="006B15C8">
        <w:fldChar w:fldCharType="separate"/>
      </w:r>
      <w:r w:rsidR="00BC783F" w:rsidRPr="006B15C8">
        <w:t>(Monk, 2022)</w:t>
      </w:r>
      <w:r w:rsidR="00BC783F" w:rsidRPr="006B15C8">
        <w:fldChar w:fldCharType="end"/>
      </w:r>
      <w:r w:rsidR="00BC783F" w:rsidRPr="006B15C8">
        <w:t xml:space="preserve">. </w:t>
      </w:r>
      <w:bookmarkEnd w:id="73"/>
      <w:r w:rsidR="00BC783F" w:rsidRPr="006B15C8">
        <w:t xml:space="preserve">The scale captures socially meaningful variation in skin tone within a framework focused on social inequality, making it particularly well-suited for behavioral research on demographic disparities in pedestrian-vehicle interactions. </w:t>
      </w:r>
      <w:r w:rsidR="000D20F4" w:rsidRPr="006B15C8">
        <w:t xml:space="preserve">The MST Scale comprises ten skin tone categories (Monk, 2022), each represented by a standardized color swatch used as a visual reference for coding pedestrians’ skin tone from video footage. In practice, we found it difficult to reliably distinguish among intermediate skin tones (categories 3-8), while the extreme categories (1-2 and 9-10) were visually distinct and more consistently identified. Besides, as shown in Table 3, there were 1,133 NCPC instances for the grouped 1-2 category (8.2% of all pedestrians classified as 1-2), 129 (5.8%) for the grouped 3-8 category, and 143 (11.4%) for the grouped 9-10 category. In the subset of pedestrian-vehicle interactions used to model </w:t>
      </w:r>
      <w:r w:rsidR="00107AC0" w:rsidRPr="006B15C8">
        <w:t xml:space="preserve">DUY </w:t>
      </w:r>
      <w:r w:rsidR="000D20F4" w:rsidRPr="006B15C8">
        <w:t xml:space="preserve">behavior, the corresponding numbers of non-yielding instances were 279 (12.1%) for the 1-2 group, 60 (15.7%) for the 3-8 group, and 32 (16.2%) for the 9-10 group. Given the small number of NCPC and driver (un)yielding events within the collective 3-8 category, and the corresponding low </w:t>
      </w:r>
      <w:r w:rsidR="000D20F4" w:rsidRPr="006B15C8">
        <w:rPr>
          <w:color w:val="222222"/>
          <w:highlight w:val="white"/>
        </w:rPr>
        <w:t xml:space="preserve">splits of these </w:t>
      </w:r>
      <w:r w:rsidR="000D20F4" w:rsidRPr="006B15C8">
        <w:t>events in the 3-8 category, more granular subdivisions would result in imprecise estimates and unstable model parameters. Accordingly, based on both coding reliability and outcome distributions, we grouped skin tones into three categories—White (1–2 MST), Brown (3–8 MST), and Black (9–10 MST)—which provided the most appropriate balance between interpretability and statistical stability for modeling purposes.</w:t>
      </w:r>
      <w:r w:rsidR="00BC783F" w:rsidRPr="006B15C8">
        <w:t xml:space="preserve"> </w:t>
      </w:r>
      <w:r w:rsidR="000D20F4" w:rsidRPr="006B15C8">
        <w:t>Additionally, annotators flagged pedestrians exhibiting visual indicators of housing insecurity (VHI) using a structured binary checklist developed through an extensive literature review in sociology and homelessness studies (Goldfischer, 2018</w:t>
      </w:r>
      <w:r w:rsidR="00123993" w:rsidRPr="006B15C8">
        <w:t>,</w:t>
      </w:r>
      <w:r w:rsidR="000D20F4" w:rsidRPr="006B15C8">
        <w:t xml:space="preserve"> Speer, 2019</w:t>
      </w:r>
      <w:r w:rsidR="00123993" w:rsidRPr="006B15C8">
        <w:t>, Bowen and Capozziello, 2024, Long, 2024</w:t>
      </w:r>
      <w:r w:rsidR="000D20F4" w:rsidRPr="006B15C8">
        <w:t>). The checklist comprised observable attributes across three categories: (1) appearance indicators (untidy or soiled clothing, multiple layers of clothing inconsistent with weather, disheveled appearance, lack of recent grooming), (2) possessions/accessories (carrying multiple bags or belongings simultaneously, use of shopping carts for personal belongings, display of solicitation signs), and (3) behavioral indicators (prolonged stationary presence in the intersection area beyond typical crossing wait times, actively soliciting donations from passing vehicles or pedestrians). A pedestrian was coded as exhibiting VHI if they displayed two or more indicators from at least two different categories. This multi-indicator, multi-category threshold was established through sensitivity analysis during annotator training to reduce false positives while maintaining adequate specificity. However, we acknowledge that reliance on visual evidence alone cannot definitively determine an individual’s housing status and may be subject to misclassification. Accordingly, the VHI measure is treated as an observational proxy grounded in prior literature rather than a definitive identification of housing insecurity and should be interpreted with appropriate caution.</w:t>
      </w:r>
    </w:p>
    <w:p w14:paraId="1CD238F9" w14:textId="484E55A9" w:rsidR="00902CF6" w:rsidRPr="006B15C8" w:rsidRDefault="002B53CE" w:rsidP="004A6C6E">
      <w:pPr>
        <w:spacing w:line="271" w:lineRule="auto"/>
        <w:ind w:firstLine="720"/>
      </w:pPr>
      <w:r w:rsidRPr="006B15C8">
        <w:t xml:space="preserve">Additional contextual variables related to pedestrian behavior and environmental conditions were </w:t>
      </w:r>
      <w:r w:rsidR="00765615" w:rsidRPr="006B15C8">
        <w:t>also recorded</w:t>
      </w:r>
      <w:r w:rsidR="00A55A78" w:rsidRPr="006B15C8">
        <w:t xml:space="preserve">. </w:t>
      </w:r>
      <w:r w:rsidR="006119D4" w:rsidRPr="006B15C8">
        <w:t>Pedestrian activity level, classified as walking or running, was identified through direct observational judgment based on evident differences in gait and acceleration, similar to earlier published behavioral observation studies (Dommes et al., 2015</w:t>
      </w:r>
      <w:r w:rsidR="00123993" w:rsidRPr="006B15C8">
        <w:t xml:space="preserve">, </w:t>
      </w:r>
      <w:r w:rsidR="006119D4" w:rsidRPr="006B15C8">
        <w:t xml:space="preserve">Zafri, 2023). Specifically, pedestrians who visually appeared to be engaged in recreational or fitness running, as well as individuals who briefly ran to cross before a signal change or while engaging in NCPC, were included in the “runner” category. Pedestrian distraction was </w:t>
      </w:r>
      <w:r w:rsidR="006119D4" w:rsidRPr="006B15C8">
        <w:lastRenderedPageBreak/>
        <w:t>characterized in our study as visibly engaging with a smartphone, such as texting or using phone applications while crossing, accompanied by limited visual attention toward the roadway (such as a downward gaze), similar to the characterization adopted in many earlier observational studies of pedestrian crossings (see</w:t>
      </w:r>
      <w:r w:rsidR="00554E97" w:rsidRPr="006B15C8">
        <w:t xml:space="preserve"> Russo et al., 2018,</w:t>
      </w:r>
      <w:r w:rsidR="006119D4" w:rsidRPr="006B15C8">
        <w:t xml:space="preserve"> Aghabayk et al., 2021</w:t>
      </w:r>
      <w:r w:rsidR="00123993" w:rsidRPr="006B15C8">
        <w:t>,</w:t>
      </w:r>
      <w:r w:rsidR="006119D4" w:rsidRPr="006B15C8">
        <w:t xml:space="preserve"> Bendak et al., 2021</w:t>
      </w:r>
      <w:r w:rsidR="00123993" w:rsidRPr="006B15C8">
        <w:t>,</w:t>
      </w:r>
      <w:r w:rsidR="006119D4" w:rsidRPr="006B15C8">
        <w:t xml:space="preserve"> Schwebel et al., 2022).</w:t>
      </w:r>
      <w:r w:rsidR="006119D4" w:rsidRPr="006B15C8">
        <w:rPr>
          <w:rStyle w:val="FootnoteReference"/>
        </w:rPr>
        <w:footnoteReference w:id="4"/>
      </w:r>
      <w:r w:rsidR="006119D4" w:rsidRPr="006B15C8">
        <w:t xml:space="preserve"> Instances of distracted crossing were recorded only when these behaviors were clearly discernible from video footage.</w:t>
      </w:r>
      <w:r w:rsidR="006119D4" w:rsidRPr="006B15C8">
        <w:rPr>
          <w:i/>
          <w:iCs/>
        </w:rPr>
        <w:t xml:space="preserve"> </w:t>
      </w:r>
      <w:r w:rsidR="00705884" w:rsidRPr="006B15C8">
        <w:t>The social context of g</w:t>
      </w:r>
      <w:r w:rsidRPr="006B15C8">
        <w:t>roup crossing dynamics w</w:t>
      </w:r>
      <w:r w:rsidR="00705884" w:rsidRPr="006B15C8">
        <w:t xml:space="preserve">as also </w:t>
      </w:r>
      <w:r w:rsidRPr="006B15C8">
        <w:t xml:space="preserve">assessed by identifying instances in which two or more individuals simultaneously occupied or queued for crosswalk access. </w:t>
      </w:r>
    </w:p>
    <w:p w14:paraId="47E0599C" w14:textId="60EF8C6B" w:rsidR="0016574C" w:rsidRPr="006B15C8" w:rsidRDefault="000D20F4" w:rsidP="004A6C6E">
      <w:pPr>
        <w:spacing w:line="271" w:lineRule="auto"/>
        <w:ind w:firstLine="720"/>
      </w:pPr>
      <w:r w:rsidRPr="006B15C8">
        <w:t>Time-of-day data were extracted from video timestamps and converted to standardized time-of-day categories during post-processing: Dawn (04:00-05:59), Morning (06:00-11:59), Noon (12:00-13:59), Afternoon (14:00-17:59), Dusk (18:00-19:59), Evening (20:00-21:59), and Night (22:00-03:59). This seven-category temporal scheme was selected through preliminary testing of alternative temporal aggregations, and reflects a balance between behaviorally meaningful lighting/traffic condition periods and sufficient observation counts to reliably identify time-of-day effects</w:t>
      </w:r>
      <w:r w:rsidR="00056FB2" w:rsidRPr="006B15C8">
        <w:t>.</w:t>
      </w:r>
      <w:r w:rsidR="00056FB2" w:rsidRPr="006B15C8">
        <w:rPr>
          <w:i/>
          <w:iCs/>
        </w:rPr>
        <w:t xml:space="preserve"> </w:t>
      </w:r>
      <w:r w:rsidR="00705884" w:rsidRPr="006B15C8">
        <w:t xml:space="preserve">Weather </w:t>
      </w:r>
      <w:r w:rsidR="00975829" w:rsidRPr="006B15C8">
        <w:t>conditions, specifically precipitation</w:t>
      </w:r>
      <w:r w:rsidR="00705884" w:rsidRPr="006B15C8">
        <w:t xml:space="preserve">, were </w:t>
      </w:r>
      <w:r w:rsidR="00975829" w:rsidRPr="006B15C8">
        <w:t>also documented to account for potential weather-related influences on crossing behavior.</w:t>
      </w:r>
      <w:r w:rsidR="0016574C" w:rsidRPr="006B15C8">
        <w:t xml:space="preserve"> </w:t>
      </w:r>
    </w:p>
    <w:p w14:paraId="27869399" w14:textId="5AD882CE" w:rsidR="000D20F4" w:rsidRPr="006B15C8" w:rsidRDefault="000D20F4" w:rsidP="004A6C6E">
      <w:pPr>
        <w:spacing w:line="271" w:lineRule="auto"/>
        <w:ind w:firstLine="720"/>
      </w:pPr>
      <w:r w:rsidRPr="006B15C8">
        <w:t>In instances where pedestrians crossed in the presence of a vehicle, the vehicle type was recorded as SUV, sedan, pickup truck, commercial (including box-trucks, company-branded cars and vans, garbage trucks, and city buses), or “other,” (encompassing motorcycles, emergency vehicles, and any vehicles that could not be clearly identified). In the case of multiple vehicles arriving sequentially, the characteristics of the first vehicle to interact with the pedestrian were recorded.</w:t>
      </w:r>
    </w:p>
    <w:p w14:paraId="51385418" w14:textId="1CF1807B" w:rsidR="00663636" w:rsidRPr="006B15C8" w:rsidRDefault="00975829" w:rsidP="004A6C6E">
      <w:pPr>
        <w:spacing w:line="271" w:lineRule="auto"/>
        <w:ind w:firstLine="720"/>
      </w:pPr>
      <w:r w:rsidRPr="006B15C8">
        <w:t>Lastly, crossing dynamics variables, which constitute the primary outcome measures examined in this study, include</w:t>
      </w:r>
      <w:r w:rsidR="002568C5" w:rsidRPr="006B15C8">
        <w:t>d</w:t>
      </w:r>
      <w:r w:rsidRPr="006B15C8">
        <w:t xml:space="preserve"> </w:t>
      </w:r>
      <w:r w:rsidR="0016574C" w:rsidRPr="006B15C8">
        <w:t xml:space="preserve">Non-Compliant Pedestrian Crossing (NCPC) behavior </w:t>
      </w:r>
      <w:r w:rsidR="00107AC0" w:rsidRPr="006B15C8">
        <w:t xml:space="preserve">and Driver Unyielding (DUY) behavior. NCPC </w:t>
      </w:r>
      <w:r w:rsidR="0016574C" w:rsidRPr="006B15C8">
        <w:t xml:space="preserve">was defined as a composite measure indicating that the pedestrian violated at least one of two statutory conditions. A temporal violation occurred when a pedestrian entered the roadway against a steady red, steady yellow, “Don’t Walk,” or “Wait” signal, as prohibited under Sections 552.001(c) and 552.002(c) of the Texas Transportation Code (2023). A spatial violation occurred when a pedestrian crossed outside a marked or unmarked crosswalk (Section 552.005(a)), or crossed midblock between adjacent signalized intersections where no marked crosswalk was present (Section 552.005(b)). </w:t>
      </w:r>
      <w:r w:rsidR="00107AC0" w:rsidRPr="006B15C8">
        <w:t xml:space="preserve">DUY </w:t>
      </w:r>
      <w:r w:rsidR="0016574C" w:rsidRPr="006B15C8">
        <w:t xml:space="preserve">was assessed through systematic observation of pedestrian-vehicle interactions and was defined more broadly than statutory right-of-way violations to reflect both legal and safety considerations. A driver was coded as </w:t>
      </w:r>
      <w:r w:rsidR="005C1263" w:rsidRPr="006B15C8">
        <w:t>“un</w:t>
      </w:r>
      <w:r w:rsidR="0016574C" w:rsidRPr="006B15C8">
        <w:t>yielding</w:t>
      </w:r>
      <w:r w:rsidR="005C1263" w:rsidRPr="006B15C8">
        <w:t>”</w:t>
      </w:r>
      <w:r w:rsidR="0016574C" w:rsidRPr="006B15C8">
        <w:t xml:space="preserve"> if they either (1) violated a legal obligation to yield, such as failing to yield to a pedestrian lawfully crossing with a “Walk” signal (Section 552.002(b)) or at a location controlled by a Stop or Yield sign (Section 545.153(b)), or (2) failed to exercise reasonable care to avoid a pedestrian already in the roadway, consistent with the general duty of due care under Section </w:t>
      </w:r>
      <w:r w:rsidR="0016574C" w:rsidRPr="006B15C8">
        <w:lastRenderedPageBreak/>
        <w:t xml:space="preserve">552.008. This broader operationalization allows </w:t>
      </w:r>
      <w:r w:rsidR="005C1263" w:rsidRPr="006B15C8">
        <w:t xml:space="preserve">DUY </w:t>
      </w:r>
      <w:r w:rsidR="0016574C" w:rsidRPr="006B15C8">
        <w:t>behavior to be recorded even when a pedestrian was in violation of crossing laws, reflecting real-world instances in which both parties may contribute to conflict risk.</w:t>
      </w:r>
      <w:r w:rsidR="00986774" w:rsidRPr="006B15C8">
        <w:t xml:space="preserve">  </w:t>
      </w:r>
    </w:p>
    <w:p w14:paraId="30676348" w14:textId="72F770E1" w:rsidR="00663636" w:rsidRPr="006B15C8" w:rsidRDefault="00663636" w:rsidP="004A6C6E">
      <w:pPr>
        <w:spacing w:line="271" w:lineRule="auto"/>
        <w:ind w:firstLine="720"/>
      </w:pPr>
      <w:r w:rsidRPr="006B15C8">
        <w:t>To ensure inter-rater reliability and good data quality, all research assistants underwent standardized training protocols designed to promote consistent variable categorization across the coding process, including under varying lighting conditions. Training included practice coding from both daytime and nighttime footage to establish reliable decision rules for low-visibility scenarios and to calibrate observers’ thresholds for classifying observations as “unknown” when visibility was insufficient. Regular calibration meetings were conducted throughout the data collection period to maintain coding consistency and address classification challenges. Additionally, for ambiguous cases requiring subjective interpretation, a consensus-based approach was implemented, whereby four observers provided independent assessments before reaching final coding decisions.</w:t>
      </w:r>
      <w:r w:rsidRPr="006B15C8">
        <w:rPr>
          <w:rStyle w:val="FootnoteReference"/>
        </w:rPr>
        <w:footnoteReference w:id="5"/>
      </w:r>
      <w:r w:rsidRPr="006B15C8">
        <w:t xml:space="preserve"> When consensus could not be achieved for variables with inherent classification difficulties (e.g., gender, age, or skin tone), or when limited visibility rendered reliable classification difficult, observers were instructed to record “unknown” classifications. These cases were subsequently excluded from the analysis to maintain analytic integrity and avoid introducing misclassification error.</w:t>
      </w:r>
    </w:p>
    <w:p w14:paraId="23627162" w14:textId="77777777" w:rsidR="00CB2C17" w:rsidRPr="006B15C8" w:rsidRDefault="00CB2C17" w:rsidP="004A6C6E">
      <w:pPr>
        <w:spacing w:line="271" w:lineRule="auto"/>
        <w:ind w:firstLine="720"/>
      </w:pPr>
    </w:p>
    <w:p w14:paraId="12A47B2B" w14:textId="77777777" w:rsidR="00CB2C17" w:rsidRPr="006B15C8" w:rsidRDefault="00CB2C17" w:rsidP="004A6C6E">
      <w:pPr>
        <w:pStyle w:val="Heading2"/>
        <w:spacing w:line="271" w:lineRule="auto"/>
      </w:pPr>
      <w:r w:rsidRPr="006B15C8">
        <w:t xml:space="preserve"> Sample Characteristics</w:t>
      </w:r>
    </w:p>
    <w:p w14:paraId="4B15EDCC" w14:textId="737442E1" w:rsidR="00CB2C17" w:rsidRPr="006B15C8" w:rsidRDefault="00CB2C17" w:rsidP="004A6C6E">
      <w:pPr>
        <w:spacing w:after="120" w:line="271" w:lineRule="auto"/>
      </w:pPr>
      <w:r w:rsidRPr="006B15C8">
        <w:t xml:space="preserve">Following data collection, a systematic data cleaning procedure was implemented to ensure data quality and analytical validity. </w:t>
      </w:r>
      <w:r w:rsidR="000B7392" w:rsidRPr="006B15C8">
        <w:t xml:space="preserve">Observations containing incomplete records or variables coded as “unknown” were excluded from the analysis. </w:t>
      </w:r>
      <w:r w:rsidR="00663636" w:rsidRPr="006B15C8">
        <w:t xml:space="preserve">After cleaning, 1,158 pedestrian crossing instance observations (6.6% of the sample) included at least one “unknown” classification based on either age (2.7% of observations classified as “unknown” age), gender (2.8% classified as “unknown” gender), or skin tone (4.5% classified as “unknown” skin tone). As expected, “unknown” classifications were more common under limited lighting conditions, occurring in 13.3% of observations (316 cases) when dark relative to 5.3% of observations (842 cases) when not dark. This distribution reflects anticipated visibility (or, to be precise, lack thereof) conditions. </w:t>
      </w:r>
      <w:r w:rsidR="006D6A10" w:rsidRPr="006B15C8">
        <w:t>To more accurately represent group instances in the pedestrian-vehicle interaction subset, heterogeneous groups of two or more pedestrians interacting with vehicles at the same time were assigned gender, age, and skin tone classifications based on the proportions observed within the sample. This approach avoids the exclusion of group observations that would otherwise have been dropped due to mixed characteristics.</w:t>
      </w:r>
      <w:r w:rsidR="0022307E" w:rsidRPr="006B15C8">
        <w:t xml:space="preserve"> The</w:t>
      </w:r>
      <w:r w:rsidRPr="006B15C8">
        <w:t xml:space="preserve"> final sample used in model estimation comprises 17,</w:t>
      </w:r>
      <w:r w:rsidR="0022307E" w:rsidRPr="006B15C8">
        <w:t>374</w:t>
      </w:r>
      <w:r w:rsidRPr="006B15C8">
        <w:t xml:space="preserve"> pedestrian crossing observations, of which 2,</w:t>
      </w:r>
      <w:r w:rsidR="0022307E" w:rsidRPr="006B15C8">
        <w:t>890</w:t>
      </w:r>
      <w:r w:rsidRPr="006B15C8">
        <w:t xml:space="preserve"> observations (16.0%) correspond to instances involving pedestrian-vehicle interactions. Table 3 presents the descriptive statistics for all outcome and explanatory variables included in the analysis. The table structure accommodates the hierarchical </w:t>
      </w:r>
      <w:r w:rsidRPr="006B15C8">
        <w:lastRenderedPageBreak/>
        <w:t>nature of the data, where pedestrian-vehicle interactions represent a subset of all observed pedestrian crossings. For each variable, four statistical measures are reported:</w:t>
      </w:r>
    </w:p>
    <w:p w14:paraId="23508866" w14:textId="18E434B8" w:rsidR="00CB2C17" w:rsidRPr="006B15C8" w:rsidRDefault="00CB2C17" w:rsidP="004A6C6E">
      <w:pPr>
        <w:pStyle w:val="ListParagraph"/>
        <w:numPr>
          <w:ilvl w:val="0"/>
          <w:numId w:val="15"/>
        </w:numPr>
        <w:spacing w:line="271" w:lineRule="auto"/>
      </w:pPr>
      <w:r w:rsidRPr="006B15C8">
        <w:t>Total Number of Observations (Relative Frequency): The absolute frequency and relative frequency of each variable category. In calculating the relative frequency, the denominator varies based on variable applicability. Variables specific to pedestrian-vehicle interactions (such as yielding behaviors and vehicle type) are calculated based on 2,</w:t>
      </w:r>
      <w:r w:rsidR="0022307E" w:rsidRPr="006B15C8">
        <w:t>890</w:t>
      </w:r>
      <w:r w:rsidRPr="006B15C8">
        <w:t xml:space="preserve"> total interactions, while general pedestrian variables applicable to all crossings are calculated based on 17,</w:t>
      </w:r>
      <w:r w:rsidR="0022307E" w:rsidRPr="006B15C8">
        <w:t>374</w:t>
      </w:r>
      <w:r w:rsidRPr="006B15C8">
        <w:t xml:space="preserve"> total observations.</w:t>
      </w:r>
    </w:p>
    <w:p w14:paraId="638D6A00" w14:textId="77777777" w:rsidR="00CB2C17" w:rsidRPr="006B15C8" w:rsidRDefault="00CB2C17" w:rsidP="004A6C6E">
      <w:pPr>
        <w:pStyle w:val="ListParagraph"/>
        <w:numPr>
          <w:ilvl w:val="0"/>
          <w:numId w:val="15"/>
        </w:numPr>
        <w:spacing w:line="271" w:lineRule="auto"/>
      </w:pPr>
      <w:r w:rsidRPr="006B15C8">
        <w:t>Vehicle Interaction Rate: The proportion of observations for each variable category that involved a pedestrian-vehicle interaction, computed as the number of observations with vehicle interaction divided by the total number of observations for that variable category.</w:t>
      </w:r>
    </w:p>
    <w:p w14:paraId="43285DA3" w14:textId="1B57BBE0" w:rsidR="00CB2C17" w:rsidRPr="006B15C8" w:rsidRDefault="00CB2C17" w:rsidP="004A6C6E">
      <w:pPr>
        <w:pStyle w:val="ListParagraph"/>
        <w:numPr>
          <w:ilvl w:val="0"/>
          <w:numId w:val="15"/>
        </w:numPr>
        <w:spacing w:line="271" w:lineRule="auto"/>
      </w:pPr>
      <w:r w:rsidRPr="006B15C8">
        <w:t>NCPC Rate: The proportion of observations for each variable category that exhibited NCPC behavior, calculated as the number of NCPC observations divided by the total number of observations for that variable category.</w:t>
      </w:r>
    </w:p>
    <w:p w14:paraId="7E9D15AC" w14:textId="0FCF52B9" w:rsidR="00CB2C17" w:rsidRPr="006B15C8" w:rsidRDefault="005C1263" w:rsidP="004A6C6E">
      <w:pPr>
        <w:pStyle w:val="ListParagraph"/>
        <w:numPr>
          <w:ilvl w:val="0"/>
          <w:numId w:val="15"/>
        </w:numPr>
        <w:spacing w:line="271" w:lineRule="auto"/>
      </w:pPr>
      <w:r w:rsidRPr="006B15C8">
        <w:t xml:space="preserve">DUY </w:t>
      </w:r>
      <w:r w:rsidR="00CB2C17" w:rsidRPr="006B15C8">
        <w:t>Rate: The proportion of observations for each variable category where the driver failed to yield to the pedestrian, computed as the number of non-yielding instances divided by the total number of pedestrian-vehicle interactions for that variable category.</w:t>
      </w:r>
    </w:p>
    <w:p w14:paraId="6B55510E" w14:textId="34CB9812" w:rsidR="00CB2C17" w:rsidRPr="006B15C8" w:rsidRDefault="00CB2C17" w:rsidP="004A6C6E">
      <w:pPr>
        <w:spacing w:before="120" w:line="271" w:lineRule="auto"/>
        <w:ind w:firstLine="720"/>
      </w:pPr>
      <w:r w:rsidRPr="006B15C8">
        <w:t>The analysis of outcome variables (top panel of Table 3) reveals distinct patterns in pedestrian crossing compliance and driver yielding behavior. NCPC behavior was observed in 8.1% of all pedestrian crossings (N=17,</w:t>
      </w:r>
      <w:r w:rsidR="0022307E" w:rsidRPr="006B15C8">
        <w:t>374</w:t>
      </w:r>
      <w:r w:rsidRPr="006B15C8">
        <w:t>). Among pedestrians exhibiting NCPC behavior, 8.</w:t>
      </w:r>
      <w:r w:rsidR="00E06CE1" w:rsidRPr="006B15C8">
        <w:t>3</w:t>
      </w:r>
      <w:r w:rsidRPr="006B15C8">
        <w:t xml:space="preserve">% involved vehicle interactions. Regarding </w:t>
      </w:r>
      <w:r w:rsidR="005C1263" w:rsidRPr="006B15C8">
        <w:t xml:space="preserve">DUY </w:t>
      </w:r>
      <w:r w:rsidRPr="006B15C8">
        <w:t>behavior, non-yielding incidents occurred in 1</w:t>
      </w:r>
      <w:r w:rsidR="00E06CE1" w:rsidRPr="006B15C8">
        <w:t>2</w:t>
      </w:r>
      <w:r w:rsidRPr="006B15C8">
        <w:t>.</w:t>
      </w:r>
      <w:r w:rsidR="00E06CE1" w:rsidRPr="006B15C8">
        <w:t>8</w:t>
      </w:r>
      <w:r w:rsidRPr="006B15C8">
        <w:t>% of all pedestrian-vehicle interactions (N=2,</w:t>
      </w:r>
      <w:r w:rsidR="0022307E" w:rsidRPr="006B15C8">
        <w:t>890</w:t>
      </w:r>
      <w:r w:rsidRPr="006B15C8">
        <w:t xml:space="preserve">). Additionally, </w:t>
      </w:r>
      <w:r w:rsidR="005C1263" w:rsidRPr="006B15C8">
        <w:t xml:space="preserve">DUY </w:t>
      </w:r>
      <w:r w:rsidRPr="006B15C8">
        <w:t xml:space="preserve">was higher at </w:t>
      </w:r>
      <w:r w:rsidR="00E06CE1" w:rsidRPr="006B15C8">
        <w:t>34</w:t>
      </w:r>
      <w:r w:rsidRPr="006B15C8">
        <w:t>.</w:t>
      </w:r>
      <w:r w:rsidR="00E06CE1" w:rsidRPr="006B15C8">
        <w:t>5</w:t>
      </w:r>
      <w:r w:rsidRPr="006B15C8">
        <w:t xml:space="preserve">% in vehicle-pedestrian interactions when the pedestrian exhibited NCPC behavior, compared to </w:t>
      </w:r>
      <w:r w:rsidR="00E06CE1" w:rsidRPr="006B15C8">
        <w:t>11</w:t>
      </w:r>
      <w:r w:rsidRPr="006B15C8">
        <w:t>.</w:t>
      </w:r>
      <w:r w:rsidR="00E06CE1" w:rsidRPr="006B15C8">
        <w:t>9</w:t>
      </w:r>
      <w:r w:rsidRPr="006B15C8">
        <w:t>% when the pedestrian did not exhibit NCPC behavior.</w:t>
      </w:r>
    </w:p>
    <w:p w14:paraId="431383BE" w14:textId="6974F5B3" w:rsidR="00CB2C17" w:rsidRPr="006B15C8" w:rsidRDefault="00CB2C17" w:rsidP="004A6C6E">
      <w:pPr>
        <w:spacing w:line="271" w:lineRule="auto"/>
        <w:ind w:firstLine="720"/>
      </w:pPr>
      <w:r w:rsidRPr="006B15C8">
        <w:t xml:space="preserve">The bottom panel of Table 3 summarizes the distribution of explanatory variables in the sample. In the category of </w:t>
      </w:r>
      <w:r w:rsidRPr="006B15C8">
        <w:rPr>
          <w:u w:val="single"/>
        </w:rPr>
        <w:t>pedestrian sociodemographic variables</w:t>
      </w:r>
      <w:r w:rsidRPr="006B15C8">
        <w:t>, male pedestrians accounted for a greater share of observations compared to female pedestrians (67.1</w:t>
      </w:r>
      <w:r w:rsidRPr="00AE58BE">
        <w:t>% vs.</w:t>
      </w:r>
      <w:r w:rsidRPr="006B15C8">
        <w:t xml:space="preserve"> 32.9%, respectively). While a slightly higher proportion of female pedestrians were involved in vehicle-pedestrian interactions, both the NCPC rate and the non-yielding rate were higher among male pedestrians. Regarding age, young adults were overrepresented in the sample, which is consistent with the study location on or near a university campus. The vehicle interaction rate and NCPC rate were comparable between young adults and older adults. However, the </w:t>
      </w:r>
      <w:r w:rsidR="005C1263" w:rsidRPr="006B15C8">
        <w:t xml:space="preserve">DUY </w:t>
      </w:r>
      <w:r w:rsidRPr="006B15C8">
        <w:t>rate toward older adult pedestrians was significantly higher, reaching 2</w:t>
      </w:r>
      <w:r w:rsidR="00E06CE1" w:rsidRPr="006B15C8">
        <w:t>2</w:t>
      </w:r>
      <w:r w:rsidRPr="006B15C8">
        <w:t>.</w:t>
      </w:r>
      <w:r w:rsidR="00E06CE1" w:rsidRPr="006B15C8">
        <w:t>5</w:t>
      </w:r>
      <w:r w:rsidRPr="006B15C8">
        <w:t>%. Skin tone distribution analysis revealed that the majority of observed pedestrians had lighter skin tones, though pedestrians with dark (</w:t>
      </w:r>
      <w:r w:rsidR="00E06CE1" w:rsidRPr="006B15C8">
        <w:t>B</w:t>
      </w:r>
      <w:r w:rsidRPr="006B15C8">
        <w:t>lack) skin tones (MST 9-10) exhibited the highest rates of NCPC behavior (11.</w:t>
      </w:r>
      <w:r w:rsidR="00E06CE1" w:rsidRPr="006B15C8">
        <w:t>4</w:t>
      </w:r>
      <w:r w:rsidRPr="006B15C8">
        <w:t>%) and experienced the highest driver non-yielding rates (16.</w:t>
      </w:r>
      <w:r w:rsidR="00E06CE1" w:rsidRPr="006B15C8">
        <w:t>2</w:t>
      </w:r>
      <w:r w:rsidRPr="006B15C8">
        <w:t xml:space="preserve">%), indicating potential disparities in both pedestrian behavior and driver response patterns across different demographic groups. Although pedestrians exhibiting visual markers of housing insecurity (VHI) represented fewer than 2% of the total sample, this subgroup demonstrated disproportionately high rates of risky interactions. </w:t>
      </w:r>
      <w:r w:rsidRPr="006B15C8">
        <w:lastRenderedPageBreak/>
        <w:t xml:space="preserve">Specifically, 21.1% of individuals with VHI engaged in NCPC behavior, and 39.7% were subject to </w:t>
      </w:r>
      <w:r w:rsidR="005C1263" w:rsidRPr="006B15C8">
        <w:t xml:space="preserve">DUY </w:t>
      </w:r>
      <w:r w:rsidRPr="006B15C8">
        <w:t xml:space="preserve">behavior during vehicle-pedestrian interactions. </w:t>
      </w:r>
    </w:p>
    <w:p w14:paraId="5EB1DB06" w14:textId="4ED7782C" w:rsidR="00CB2C17" w:rsidRPr="006B15C8" w:rsidRDefault="00CB2C17" w:rsidP="004A6C6E">
      <w:pPr>
        <w:spacing w:line="271" w:lineRule="auto"/>
        <w:ind w:firstLine="720"/>
      </w:pPr>
      <w:r w:rsidRPr="006B15C8">
        <w:t xml:space="preserve">The statistics for </w:t>
      </w:r>
      <w:r w:rsidRPr="006B15C8">
        <w:rPr>
          <w:u w:val="single"/>
        </w:rPr>
        <w:t>pedestrian activity and contextual variables</w:t>
      </w:r>
      <w:r w:rsidRPr="006B15C8">
        <w:t xml:space="preserve"> in Table 3 show that most pedestrians crossed alone rather than in groups. Descriptive statistics show that solo crossers had a vehicle interaction rate of 15.5%, compared to 2</w:t>
      </w:r>
      <w:r w:rsidR="00E06CE1" w:rsidRPr="006B15C8">
        <w:t>5</w:t>
      </w:r>
      <w:r w:rsidRPr="006B15C8">
        <w:t>.</w:t>
      </w:r>
      <w:r w:rsidR="00E06CE1" w:rsidRPr="006B15C8">
        <w:t>9</w:t>
      </w:r>
      <w:r w:rsidRPr="006B15C8">
        <w:t>% for group crossers. However, solo crossers exhibited a higher NCPC rate (8.4%) than those crossing in groups (5.</w:t>
      </w:r>
      <w:r w:rsidR="00E06CE1" w:rsidRPr="006B15C8">
        <w:t>6</w:t>
      </w:r>
      <w:r w:rsidRPr="006B15C8">
        <w:t xml:space="preserve">%). The </w:t>
      </w:r>
      <w:r w:rsidR="005C1263" w:rsidRPr="006B15C8">
        <w:t xml:space="preserve">DUY </w:t>
      </w:r>
      <w:r w:rsidRPr="006B15C8">
        <w:t xml:space="preserve">rate was </w:t>
      </w:r>
      <w:r w:rsidR="00E06CE1" w:rsidRPr="006B15C8">
        <w:t>slightly higher for solo crossings, at 13.3% for pedestrians crossing alone and 10.5% for pedestrians crossing in groups.</w:t>
      </w:r>
      <w:r w:rsidRPr="006B15C8">
        <w:t xml:space="preserve"> Distracted pedestrians made up only a small share of all crossers, and NCPC and </w:t>
      </w:r>
      <w:r w:rsidR="005C1263" w:rsidRPr="006B15C8">
        <w:t xml:space="preserve">DUY </w:t>
      </w:r>
      <w:r w:rsidRPr="006B15C8">
        <w:t>behaviors were largely comparable to those of non-distracted pedestrians. Also, the majority of observed pedestrians were walking, with runners comprising only 7.</w:t>
      </w:r>
      <w:r w:rsidR="00E06CE1" w:rsidRPr="006B15C8">
        <w:t>1</w:t>
      </w:r>
      <w:r w:rsidRPr="006B15C8">
        <w:t xml:space="preserve">% of the sample. However, runners exhibited a higher rate of NCPC behavior and were less likely to be yielded to by drivers. </w:t>
      </w:r>
    </w:p>
    <w:p w14:paraId="682C6E90" w14:textId="0394C4BF" w:rsidR="00CB2C17" w:rsidRPr="006B15C8" w:rsidRDefault="00CB2C17" w:rsidP="004A6C6E">
      <w:pPr>
        <w:spacing w:line="271" w:lineRule="auto"/>
        <w:ind w:firstLine="720"/>
      </w:pPr>
      <w:r w:rsidRPr="006B15C8">
        <w:t xml:space="preserve">The </w:t>
      </w:r>
      <w:r w:rsidRPr="006B15C8">
        <w:rPr>
          <w:u w:val="single"/>
        </w:rPr>
        <w:t>time-of-day and weather variable</w:t>
      </w:r>
      <w:r w:rsidRPr="006B15C8">
        <w:t xml:space="preserve"> statistics in Table 3 indicate that the majority of pedestrian crossings occurred during the morning and afternoon periods. The data indicate notable temporal overlap between periods of heightened NCPC </w:t>
      </w:r>
      <w:r w:rsidR="005C1263" w:rsidRPr="006B15C8">
        <w:t>instances</w:t>
      </w:r>
      <w:r w:rsidRPr="006B15C8">
        <w:t xml:space="preserve"> and increased </w:t>
      </w:r>
      <w:r w:rsidR="005C1263" w:rsidRPr="006B15C8">
        <w:t>DUY</w:t>
      </w:r>
      <w:r w:rsidRPr="006B15C8">
        <w:t>. Specifically, both behaviors were more frequently observed during the morning, evening, and nighttime hours, indicating a potential convergence of risk during periods of low visibility and/or high traffic volume</w:t>
      </w:r>
      <w:r w:rsidR="00822FC3" w:rsidRPr="006B15C8">
        <w:t>s</w:t>
      </w:r>
      <w:r w:rsidRPr="006B15C8">
        <w:t>. Lastly, fewer than 1% of observations occurred during rainfall. Although the</w:t>
      </w:r>
      <w:r w:rsidR="005C1263" w:rsidRPr="006B15C8">
        <w:t xml:space="preserve"> DUY </w:t>
      </w:r>
      <w:r w:rsidRPr="006B15C8">
        <w:t xml:space="preserve">rate appeared higher in these conditions compared to dry weather, this descriptive statistic is based on only 10 instances of non-yielding in the rain </w:t>
      </w:r>
      <w:r w:rsidRPr="006B15C8">
        <w:rPr>
          <w:i/>
          <w:iCs/>
        </w:rPr>
        <w:t>versus</w:t>
      </w:r>
      <w:r w:rsidRPr="006B15C8">
        <w:t xml:space="preserve"> 3</w:t>
      </w:r>
      <w:r w:rsidR="00E06CE1" w:rsidRPr="006B15C8">
        <w:t>6</w:t>
      </w:r>
      <w:r w:rsidR="003B6FAE" w:rsidRPr="006B15C8">
        <w:t>1</w:t>
      </w:r>
      <w:r w:rsidRPr="006B15C8">
        <w:t xml:space="preserve"> in non-rain conditions. Given the small sample size, no meaningful conclusions can be drawn regarding the effect of rain on </w:t>
      </w:r>
      <w:r w:rsidR="005C1263" w:rsidRPr="006B15C8">
        <w:t xml:space="preserve">DUY </w:t>
      </w:r>
      <w:r w:rsidRPr="006B15C8">
        <w:t xml:space="preserve">behavior, and so we do not consider weather conditions in our estimation. </w:t>
      </w:r>
    </w:p>
    <w:p w14:paraId="0B9A6E0C" w14:textId="1432BE93" w:rsidR="00CB2C17" w:rsidRPr="006B15C8" w:rsidRDefault="00CB2C17" w:rsidP="004A6C6E">
      <w:pPr>
        <w:spacing w:line="271" w:lineRule="auto"/>
        <w:ind w:firstLine="720"/>
      </w:pPr>
      <w:r w:rsidRPr="006B15C8">
        <w:t xml:space="preserve">Finally, in the category of </w:t>
      </w:r>
      <w:r w:rsidRPr="006B15C8">
        <w:rPr>
          <w:u w:val="single"/>
        </w:rPr>
        <w:t>vehicle characteristics</w:t>
      </w:r>
      <w:r w:rsidRPr="006B15C8">
        <w:t>, among all observed vehicle-pedestrian interactions, SUVs were the most frequently observed vehicle type, accounting for 42.</w:t>
      </w:r>
      <w:r w:rsidR="00E06CE1" w:rsidRPr="006B15C8">
        <w:t>6</w:t>
      </w:r>
      <w:r w:rsidRPr="006B15C8">
        <w:t>% of cases. This was followed by sedans (38.</w:t>
      </w:r>
      <w:r w:rsidR="00E06CE1" w:rsidRPr="006B15C8">
        <w:t>4</w:t>
      </w:r>
      <w:r w:rsidRPr="006B15C8">
        <w:t>%), pickup trucks (11.</w:t>
      </w:r>
      <w:r w:rsidR="00E06CE1" w:rsidRPr="006B15C8">
        <w:t>3</w:t>
      </w:r>
      <w:r w:rsidRPr="006B15C8">
        <w:t>%), commercial vehicles (5.</w:t>
      </w:r>
      <w:r w:rsidR="00E06CE1" w:rsidRPr="006B15C8">
        <w:t>6</w:t>
      </w:r>
      <w:r w:rsidRPr="006B15C8">
        <w:t>%), and other vehicle types (2.</w:t>
      </w:r>
      <w:r w:rsidR="00E06CE1" w:rsidRPr="006B15C8">
        <w:t>1</w:t>
      </w:r>
      <w:r w:rsidRPr="006B15C8">
        <w:t xml:space="preserve">%). The data suggest that NCPC rates were higher in the case of pedestrian interactions with pick-up trucks and commercial vehicles (relative to SUVs, sedans, and other vehicle types). In contrast, </w:t>
      </w:r>
      <w:r w:rsidR="005C1263" w:rsidRPr="006B15C8">
        <w:t>DUY</w:t>
      </w:r>
      <w:r w:rsidRPr="006B15C8">
        <w:t xml:space="preserve"> behavior was lowest among commercial vehicle drivers but highest among drivers of “other” vehicle types. However, due to the small number of observations in some vehicle categories, these results should be interpreted with caution.</w:t>
      </w:r>
    </w:p>
    <w:p w14:paraId="41EE0321" w14:textId="602E948F" w:rsidR="00CB2C17" w:rsidRPr="006B15C8" w:rsidRDefault="00CB2C17" w:rsidP="004A6C6E">
      <w:pPr>
        <w:spacing w:line="271" w:lineRule="auto"/>
        <w:ind w:firstLine="720"/>
      </w:pPr>
      <w:r w:rsidRPr="006B15C8">
        <w:t xml:space="preserve">Overall, the descriptive statistics offer insight into the distributional characteristics of the data and preliminary behavioral patterns across different variable categories. However, these are univariate relationships of a single exogenous variable with each of the two binary endogenous outcomes (NCPC and </w:t>
      </w:r>
      <w:r w:rsidR="005C1263" w:rsidRPr="006B15C8">
        <w:t>DUY</w:t>
      </w:r>
      <w:r w:rsidRPr="006B15C8">
        <w:t xml:space="preserve">), without </w:t>
      </w:r>
      <w:r w:rsidR="005C1263" w:rsidRPr="006B15C8">
        <w:t xml:space="preserve">recognizing potential unobserved characteristics jointly affecting the two outcomes and without </w:t>
      </w:r>
      <w:r w:rsidRPr="006B15C8">
        <w:t xml:space="preserve">controlling for the effects of </w:t>
      </w:r>
      <w:r w:rsidR="005C1263" w:rsidRPr="006B15C8">
        <w:t>multiple</w:t>
      </w:r>
      <w:r w:rsidRPr="006B15C8">
        <w:t xml:space="preserve"> variables at the same time. </w:t>
      </w:r>
      <w:r w:rsidR="005C1263" w:rsidRPr="006B15C8">
        <w:t xml:space="preserve">In this context, it is </w:t>
      </w:r>
      <w:r w:rsidRPr="006B15C8">
        <w:t xml:space="preserve">important to consider </w:t>
      </w:r>
      <w:r w:rsidR="004056C5" w:rsidRPr="006B15C8">
        <w:t xml:space="preserve">a </w:t>
      </w:r>
      <w:r w:rsidR="005C1263" w:rsidRPr="006B15C8">
        <w:t>b</w:t>
      </w:r>
      <w:r w:rsidRPr="006B15C8">
        <w:t xml:space="preserve">ivariate </w:t>
      </w:r>
      <w:r w:rsidR="005C1263" w:rsidRPr="006B15C8">
        <w:t xml:space="preserve">and multivariable </w:t>
      </w:r>
      <w:r w:rsidRPr="006B15C8">
        <w:t>analy</w:t>
      </w:r>
      <w:r w:rsidR="004056C5" w:rsidRPr="006B15C8">
        <w:t xml:space="preserve">tic approach, as discussed next. </w:t>
      </w:r>
      <w:r w:rsidRPr="006B15C8">
        <w:t xml:space="preserve"> </w:t>
      </w:r>
    </w:p>
    <w:p w14:paraId="62FAD03E" w14:textId="591CEE80" w:rsidR="00CB2C17" w:rsidRPr="006B15C8" w:rsidRDefault="008A1EB9" w:rsidP="00CB2C17">
      <w:pPr>
        <w:pStyle w:val="Caption"/>
        <w:keepNext/>
        <w:spacing w:after="0"/>
        <w:jc w:val="left"/>
      </w:pPr>
      <w:bookmarkStart w:id="74" w:name="_Ref200035599"/>
      <w:r w:rsidRPr="006B15C8">
        <w:br w:type="page"/>
      </w:r>
      <w:r w:rsidR="00CB2C17" w:rsidRPr="006B15C8">
        <w:lastRenderedPageBreak/>
        <w:t>Table</w:t>
      </w:r>
      <w:bookmarkEnd w:id="74"/>
      <w:r w:rsidR="00CB2C17" w:rsidRPr="006B15C8">
        <w:t xml:space="preserve"> 3. Sample Descriptive Statistics</w:t>
      </w:r>
    </w:p>
    <w:tbl>
      <w:tblPr>
        <w:tblW w:w="9360"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600" w:firstRow="0" w:lastRow="0" w:firstColumn="0" w:lastColumn="0" w:noHBand="1" w:noVBand="1"/>
      </w:tblPr>
      <w:tblGrid>
        <w:gridCol w:w="2595"/>
        <w:gridCol w:w="1691"/>
        <w:gridCol w:w="1691"/>
        <w:gridCol w:w="1691"/>
        <w:gridCol w:w="1692"/>
      </w:tblGrid>
      <w:tr w:rsidR="005C0B57" w:rsidRPr="006B15C8" w14:paraId="799B19C1" w14:textId="77777777" w:rsidTr="004D553B">
        <w:trPr>
          <w:trHeight w:val="20"/>
          <w:tblHeader/>
        </w:trPr>
        <w:tc>
          <w:tcPr>
            <w:tcW w:w="2595" w:type="dxa"/>
            <w:tcBorders>
              <w:top w:val="double" w:sz="4" w:space="0" w:color="auto"/>
              <w:bottom w:val="double" w:sz="4" w:space="0" w:color="auto"/>
              <w:right w:val="double" w:sz="4" w:space="0" w:color="auto"/>
            </w:tcBorders>
            <w:tcMar>
              <w:top w:w="40" w:type="dxa"/>
              <w:left w:w="40" w:type="dxa"/>
              <w:bottom w:w="40" w:type="dxa"/>
              <w:right w:w="40" w:type="dxa"/>
            </w:tcMar>
            <w:vAlign w:val="center"/>
          </w:tcPr>
          <w:p w14:paraId="4B13D0C3" w14:textId="77777777" w:rsidR="00CB2C17" w:rsidRPr="006B15C8" w:rsidRDefault="00CB2C17" w:rsidP="004D553B">
            <w:pPr>
              <w:spacing w:line="240" w:lineRule="auto"/>
              <w:contextualSpacing/>
              <w:jc w:val="left"/>
              <w:rPr>
                <w:rFonts w:eastAsia="Arial"/>
                <w:b/>
                <w:bCs/>
                <w:sz w:val="22"/>
                <w:szCs w:val="22"/>
              </w:rPr>
            </w:pPr>
            <w:r w:rsidRPr="006B15C8">
              <w:rPr>
                <w:rFonts w:eastAsia="Arial"/>
                <w:b/>
                <w:bCs/>
                <w:sz w:val="22"/>
                <w:szCs w:val="22"/>
              </w:rPr>
              <w:t>Variable</w:t>
            </w:r>
          </w:p>
        </w:tc>
        <w:tc>
          <w:tcPr>
            <w:tcW w:w="1691" w:type="dxa"/>
            <w:tcBorders>
              <w:top w:val="double" w:sz="4" w:space="0" w:color="auto"/>
              <w:left w:val="double" w:sz="4" w:space="0" w:color="auto"/>
              <w:bottom w:val="double" w:sz="4" w:space="0" w:color="auto"/>
              <w:right w:val="single" w:sz="4" w:space="0" w:color="auto"/>
            </w:tcBorders>
            <w:tcMar>
              <w:top w:w="40" w:type="dxa"/>
              <w:left w:w="40" w:type="dxa"/>
              <w:bottom w:w="40" w:type="dxa"/>
              <w:right w:w="40" w:type="dxa"/>
            </w:tcMar>
            <w:vAlign w:val="center"/>
          </w:tcPr>
          <w:p w14:paraId="523C9471" w14:textId="77777777" w:rsidR="00CB2C17" w:rsidRPr="006B15C8" w:rsidRDefault="00CB2C17" w:rsidP="004D553B">
            <w:pPr>
              <w:spacing w:line="240" w:lineRule="auto"/>
              <w:contextualSpacing/>
              <w:jc w:val="center"/>
              <w:rPr>
                <w:rFonts w:eastAsia="Arial"/>
                <w:b/>
                <w:bCs/>
                <w:sz w:val="22"/>
                <w:szCs w:val="22"/>
              </w:rPr>
            </w:pPr>
            <w:r w:rsidRPr="006B15C8">
              <w:rPr>
                <w:rFonts w:eastAsia="Arial"/>
                <w:b/>
                <w:bCs/>
                <w:sz w:val="22"/>
                <w:szCs w:val="22"/>
              </w:rPr>
              <w:t>Total Number of Observations (Rel. Freq.)</w:t>
            </w:r>
          </w:p>
        </w:tc>
        <w:tc>
          <w:tcPr>
            <w:tcW w:w="1691" w:type="dxa"/>
            <w:tcBorders>
              <w:top w:val="double" w:sz="4" w:space="0" w:color="auto"/>
              <w:left w:val="single" w:sz="4" w:space="0" w:color="auto"/>
              <w:bottom w:val="double" w:sz="4" w:space="0" w:color="auto"/>
              <w:right w:val="single" w:sz="4" w:space="0" w:color="auto"/>
            </w:tcBorders>
            <w:tcMar>
              <w:top w:w="40" w:type="dxa"/>
              <w:left w:w="40" w:type="dxa"/>
              <w:bottom w:w="40" w:type="dxa"/>
              <w:right w:w="40" w:type="dxa"/>
            </w:tcMar>
            <w:vAlign w:val="center"/>
          </w:tcPr>
          <w:p w14:paraId="79179774" w14:textId="77777777" w:rsidR="00CB2C17" w:rsidRPr="006B15C8" w:rsidRDefault="00CB2C17" w:rsidP="004D553B">
            <w:pPr>
              <w:spacing w:line="240" w:lineRule="auto"/>
              <w:contextualSpacing/>
              <w:jc w:val="center"/>
              <w:rPr>
                <w:rFonts w:eastAsia="Arial"/>
                <w:b/>
                <w:bCs/>
                <w:sz w:val="22"/>
                <w:szCs w:val="22"/>
              </w:rPr>
            </w:pPr>
            <w:r w:rsidRPr="006B15C8">
              <w:rPr>
                <w:rFonts w:eastAsia="Arial"/>
                <w:b/>
                <w:bCs/>
                <w:sz w:val="22"/>
                <w:szCs w:val="22"/>
              </w:rPr>
              <w:t>Vehicle Interaction Rate (%)</w:t>
            </w:r>
          </w:p>
        </w:tc>
        <w:tc>
          <w:tcPr>
            <w:tcW w:w="1691" w:type="dxa"/>
            <w:tcBorders>
              <w:top w:val="double" w:sz="4" w:space="0" w:color="auto"/>
              <w:left w:val="single" w:sz="4" w:space="0" w:color="auto"/>
              <w:bottom w:val="double" w:sz="4" w:space="0" w:color="auto"/>
              <w:right w:val="single" w:sz="4" w:space="0" w:color="auto"/>
            </w:tcBorders>
            <w:tcMar>
              <w:top w:w="40" w:type="dxa"/>
              <w:left w:w="40" w:type="dxa"/>
              <w:bottom w:w="40" w:type="dxa"/>
              <w:right w:w="40" w:type="dxa"/>
            </w:tcMar>
            <w:vAlign w:val="center"/>
          </w:tcPr>
          <w:p w14:paraId="191A2645" w14:textId="77777777" w:rsidR="00CB2C17" w:rsidRPr="006B15C8" w:rsidRDefault="00CB2C17" w:rsidP="004D553B">
            <w:pPr>
              <w:spacing w:line="240" w:lineRule="auto"/>
              <w:contextualSpacing/>
              <w:jc w:val="center"/>
              <w:rPr>
                <w:rFonts w:eastAsia="Arial"/>
                <w:b/>
                <w:bCs/>
                <w:sz w:val="22"/>
                <w:szCs w:val="22"/>
              </w:rPr>
            </w:pPr>
            <w:r w:rsidRPr="006B15C8">
              <w:rPr>
                <w:rFonts w:eastAsia="Arial"/>
                <w:b/>
                <w:bCs/>
                <w:sz w:val="22"/>
                <w:szCs w:val="22"/>
              </w:rPr>
              <w:t xml:space="preserve">Non-Compliant Pedestrian Crossing Rate </w:t>
            </w:r>
          </w:p>
          <w:p w14:paraId="1B3AD28D" w14:textId="77777777" w:rsidR="00CB2C17" w:rsidRPr="006B15C8" w:rsidRDefault="00CB2C17" w:rsidP="004D553B">
            <w:pPr>
              <w:spacing w:line="240" w:lineRule="auto"/>
              <w:contextualSpacing/>
              <w:jc w:val="center"/>
              <w:rPr>
                <w:rFonts w:eastAsia="Arial"/>
                <w:b/>
                <w:bCs/>
                <w:sz w:val="22"/>
                <w:szCs w:val="22"/>
              </w:rPr>
            </w:pPr>
            <w:r w:rsidRPr="006B15C8">
              <w:rPr>
                <w:rFonts w:eastAsia="Arial"/>
                <w:b/>
                <w:bCs/>
                <w:sz w:val="22"/>
                <w:szCs w:val="22"/>
              </w:rPr>
              <w:t>(%)</w:t>
            </w:r>
          </w:p>
        </w:tc>
        <w:tc>
          <w:tcPr>
            <w:tcW w:w="1692" w:type="dxa"/>
            <w:tcBorders>
              <w:top w:val="double" w:sz="4" w:space="0" w:color="auto"/>
              <w:left w:val="single" w:sz="4" w:space="0" w:color="auto"/>
              <w:bottom w:val="double" w:sz="4" w:space="0" w:color="auto"/>
            </w:tcBorders>
            <w:tcMar>
              <w:top w:w="40" w:type="dxa"/>
              <w:left w:w="40" w:type="dxa"/>
              <w:bottom w:w="40" w:type="dxa"/>
              <w:right w:w="40" w:type="dxa"/>
            </w:tcMar>
            <w:vAlign w:val="center"/>
          </w:tcPr>
          <w:p w14:paraId="3AAC2884" w14:textId="77777777" w:rsidR="00CB2C17" w:rsidRPr="006B15C8" w:rsidRDefault="00CB2C17" w:rsidP="004D553B">
            <w:pPr>
              <w:spacing w:line="240" w:lineRule="auto"/>
              <w:contextualSpacing/>
              <w:jc w:val="center"/>
              <w:rPr>
                <w:rFonts w:eastAsia="Arial"/>
                <w:b/>
                <w:bCs/>
                <w:sz w:val="22"/>
                <w:szCs w:val="22"/>
              </w:rPr>
            </w:pPr>
            <w:r w:rsidRPr="006B15C8">
              <w:rPr>
                <w:rFonts w:eastAsia="Arial"/>
                <w:b/>
                <w:bCs/>
                <w:sz w:val="22"/>
                <w:szCs w:val="22"/>
              </w:rPr>
              <w:t>Non-Yielding Rate (%)</w:t>
            </w:r>
          </w:p>
        </w:tc>
      </w:tr>
      <w:tr w:rsidR="005C0B57" w:rsidRPr="006B15C8" w14:paraId="551BB7A8" w14:textId="77777777" w:rsidTr="004D553B">
        <w:trPr>
          <w:trHeight w:val="20"/>
        </w:trPr>
        <w:tc>
          <w:tcPr>
            <w:tcW w:w="9360" w:type="dxa"/>
            <w:gridSpan w:val="5"/>
            <w:tcBorders>
              <w:top w:val="double" w:sz="4" w:space="0" w:color="auto"/>
              <w:bottom w:val="double" w:sz="4" w:space="0" w:color="auto"/>
              <w:right w:val="double" w:sz="4" w:space="0" w:color="auto"/>
            </w:tcBorders>
            <w:tcMar>
              <w:top w:w="40" w:type="dxa"/>
              <w:left w:w="40" w:type="dxa"/>
              <w:bottom w:w="40" w:type="dxa"/>
              <w:right w:w="40" w:type="dxa"/>
            </w:tcMar>
            <w:vAlign w:val="center"/>
          </w:tcPr>
          <w:p w14:paraId="4E37FE18" w14:textId="77777777" w:rsidR="00CB2C17" w:rsidRPr="006B15C8" w:rsidRDefault="00CB2C17" w:rsidP="004D553B">
            <w:pPr>
              <w:spacing w:line="240" w:lineRule="auto"/>
              <w:contextualSpacing/>
              <w:jc w:val="center"/>
              <w:rPr>
                <w:rFonts w:eastAsia="Arial"/>
                <w:b/>
                <w:bCs/>
                <w:sz w:val="22"/>
                <w:szCs w:val="22"/>
              </w:rPr>
            </w:pPr>
            <w:r w:rsidRPr="006B15C8">
              <w:rPr>
                <w:rFonts w:eastAsia="Arial"/>
                <w:b/>
                <w:bCs/>
                <w:sz w:val="22"/>
                <w:szCs w:val="22"/>
              </w:rPr>
              <w:t>Outcome Variables</w:t>
            </w:r>
          </w:p>
        </w:tc>
      </w:tr>
      <w:tr w:rsidR="005C0B57" w:rsidRPr="006B15C8" w14:paraId="723E1176" w14:textId="77777777" w:rsidTr="004D553B">
        <w:trPr>
          <w:trHeight w:val="20"/>
        </w:trPr>
        <w:tc>
          <w:tcPr>
            <w:tcW w:w="9360" w:type="dxa"/>
            <w:gridSpan w:val="5"/>
            <w:tcBorders>
              <w:top w:val="double" w:sz="4" w:space="0" w:color="auto"/>
              <w:bottom w:val="single" w:sz="4" w:space="0" w:color="auto"/>
              <w:right w:val="double" w:sz="4" w:space="0" w:color="auto"/>
            </w:tcBorders>
            <w:tcMar>
              <w:top w:w="40" w:type="dxa"/>
              <w:left w:w="40" w:type="dxa"/>
              <w:bottom w:w="40" w:type="dxa"/>
              <w:right w:w="40" w:type="dxa"/>
            </w:tcMar>
            <w:vAlign w:val="center"/>
          </w:tcPr>
          <w:p w14:paraId="2361992D" w14:textId="77777777" w:rsidR="00CB2C17" w:rsidRPr="006B15C8" w:rsidRDefault="00CB2C17" w:rsidP="004D553B">
            <w:pPr>
              <w:spacing w:line="240" w:lineRule="auto"/>
              <w:contextualSpacing/>
              <w:rPr>
                <w:rFonts w:eastAsia="Arial"/>
                <w:b/>
                <w:bCs/>
                <w:i/>
                <w:iCs/>
                <w:sz w:val="22"/>
                <w:szCs w:val="22"/>
              </w:rPr>
            </w:pPr>
            <w:r w:rsidRPr="006B15C8">
              <w:rPr>
                <w:rFonts w:eastAsia="Arial"/>
                <w:b/>
                <w:bCs/>
                <w:i/>
                <w:iCs/>
                <w:sz w:val="22"/>
                <w:szCs w:val="22"/>
              </w:rPr>
              <w:t xml:space="preserve">Pedestrian Crossing Behavior </w:t>
            </w:r>
          </w:p>
        </w:tc>
      </w:tr>
      <w:tr w:rsidR="005C0B57" w:rsidRPr="006B15C8" w14:paraId="2E8EB8C9" w14:textId="77777777" w:rsidTr="004D553B">
        <w:trPr>
          <w:trHeight w:val="20"/>
        </w:trPr>
        <w:tc>
          <w:tcPr>
            <w:tcW w:w="2595" w:type="dxa"/>
            <w:tcBorders>
              <w:top w:val="single" w:sz="4" w:space="0" w:color="auto"/>
              <w:bottom w:val="nil"/>
              <w:right w:val="double" w:sz="4" w:space="0" w:color="auto"/>
            </w:tcBorders>
            <w:tcMar>
              <w:top w:w="40" w:type="dxa"/>
              <w:left w:w="40" w:type="dxa"/>
              <w:bottom w:w="40" w:type="dxa"/>
              <w:right w:w="40" w:type="dxa"/>
            </w:tcMar>
            <w:vAlign w:val="center"/>
          </w:tcPr>
          <w:p w14:paraId="5230CBF6" w14:textId="77777777" w:rsidR="00CB2C17" w:rsidRPr="006B15C8" w:rsidRDefault="00CB2C17" w:rsidP="004D553B">
            <w:pPr>
              <w:spacing w:line="240" w:lineRule="auto"/>
              <w:ind w:left="220" w:right="-477"/>
              <w:contextualSpacing/>
              <w:rPr>
                <w:rFonts w:eastAsia="Arial"/>
                <w:sz w:val="22"/>
                <w:szCs w:val="22"/>
              </w:rPr>
            </w:pPr>
            <w:r w:rsidRPr="006B15C8">
              <w:rPr>
                <w:rFonts w:eastAsia="Arial"/>
                <w:sz w:val="22"/>
                <w:szCs w:val="22"/>
              </w:rPr>
              <w:t>CPC</w:t>
            </w:r>
          </w:p>
        </w:tc>
        <w:tc>
          <w:tcPr>
            <w:tcW w:w="1691" w:type="dxa"/>
            <w:tcBorders>
              <w:top w:val="single" w:sz="4" w:space="0" w:color="auto"/>
              <w:left w:val="double" w:sz="4" w:space="0" w:color="auto"/>
              <w:bottom w:val="nil"/>
              <w:right w:val="single" w:sz="4" w:space="0" w:color="auto"/>
            </w:tcBorders>
            <w:tcMar>
              <w:top w:w="40" w:type="dxa"/>
              <w:left w:w="40" w:type="dxa"/>
              <w:bottom w:w="40" w:type="dxa"/>
              <w:right w:w="40" w:type="dxa"/>
            </w:tcMar>
            <w:vAlign w:val="center"/>
          </w:tcPr>
          <w:p w14:paraId="350D6C04" w14:textId="4D7740D7" w:rsidR="00CB2C17" w:rsidRPr="006B15C8" w:rsidRDefault="00822FC3" w:rsidP="004D553B">
            <w:pPr>
              <w:spacing w:line="240" w:lineRule="auto"/>
              <w:contextualSpacing/>
              <w:jc w:val="center"/>
              <w:rPr>
                <w:rFonts w:eastAsia="Arial"/>
                <w:bCs/>
                <w:sz w:val="22"/>
                <w:szCs w:val="22"/>
              </w:rPr>
            </w:pPr>
            <w:r w:rsidRPr="006B15C8">
              <w:rPr>
                <w:rFonts w:eastAsia="Arial"/>
                <w:bCs/>
                <w:sz w:val="22"/>
                <w:szCs w:val="22"/>
              </w:rPr>
              <w:t xml:space="preserve"> </w:t>
            </w:r>
            <w:r w:rsidR="005C0B57" w:rsidRPr="006B15C8">
              <w:rPr>
                <w:rFonts w:eastAsia="Arial"/>
                <w:bCs/>
                <w:sz w:val="22"/>
                <w:szCs w:val="22"/>
              </w:rPr>
              <w:t>15969</w:t>
            </w:r>
            <w:r w:rsidRPr="006B15C8">
              <w:rPr>
                <w:rFonts w:eastAsia="Arial"/>
                <w:bCs/>
                <w:sz w:val="22"/>
                <w:szCs w:val="22"/>
              </w:rPr>
              <w:t xml:space="preserve"> </w:t>
            </w:r>
            <w:r w:rsidR="00CB2C17" w:rsidRPr="006B15C8">
              <w:rPr>
                <w:rFonts w:eastAsia="Arial"/>
                <w:bCs/>
                <w:sz w:val="22"/>
                <w:szCs w:val="22"/>
              </w:rPr>
              <w:t>(</w:t>
            </w:r>
            <w:r w:rsidR="00BF58B7" w:rsidRPr="006B15C8">
              <w:rPr>
                <w:rFonts w:eastAsia="Arial"/>
                <w:bCs/>
                <w:sz w:val="22"/>
                <w:szCs w:val="22"/>
              </w:rPr>
              <w:t>91.9</w:t>
            </w:r>
            <w:r w:rsidR="00CB2C17" w:rsidRPr="006B15C8">
              <w:rPr>
                <w:rFonts w:eastAsia="Arial"/>
                <w:bCs/>
                <w:sz w:val="22"/>
                <w:szCs w:val="22"/>
              </w:rPr>
              <w:t xml:space="preserve">%) </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5EF5B283" w14:textId="1F62E9DE" w:rsidR="00CB2C17" w:rsidRPr="006B15C8" w:rsidRDefault="005E4032" w:rsidP="004D553B">
            <w:pPr>
              <w:spacing w:line="240" w:lineRule="auto"/>
              <w:contextualSpacing/>
              <w:jc w:val="center"/>
              <w:rPr>
                <w:rFonts w:eastAsia="Arial"/>
                <w:bCs/>
                <w:sz w:val="22"/>
                <w:szCs w:val="22"/>
              </w:rPr>
            </w:pPr>
            <w:r w:rsidRPr="006B15C8">
              <w:rPr>
                <w:rFonts w:eastAsia="Arial"/>
                <w:bCs/>
                <w:sz w:val="22"/>
                <w:szCs w:val="22"/>
              </w:rPr>
              <w:t>17.4%</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12CE3C5C" w14:textId="52E5FC65" w:rsidR="00CB2C17" w:rsidRPr="006B15C8" w:rsidRDefault="00570237" w:rsidP="004D553B">
            <w:pPr>
              <w:spacing w:line="240" w:lineRule="auto"/>
              <w:contextualSpacing/>
              <w:jc w:val="center"/>
              <w:rPr>
                <w:rFonts w:eastAsia="Arial"/>
                <w:bCs/>
                <w:sz w:val="22"/>
                <w:szCs w:val="22"/>
              </w:rPr>
            </w:pPr>
            <w:r w:rsidRPr="006B15C8">
              <w:rPr>
                <w:rFonts w:eastAsia="Arial"/>
                <w:bCs/>
                <w:color w:val="FFFFFF"/>
                <w:sz w:val="22"/>
                <w:szCs w:val="22"/>
              </w:rPr>
              <w:t>00</w:t>
            </w:r>
            <w:r w:rsidR="005E4032" w:rsidRPr="006B15C8">
              <w:rPr>
                <w:rFonts w:eastAsia="Arial"/>
                <w:bCs/>
                <w:sz w:val="22"/>
                <w:szCs w:val="22"/>
              </w:rPr>
              <w:t>0.0%</w:t>
            </w:r>
          </w:p>
        </w:tc>
        <w:tc>
          <w:tcPr>
            <w:tcW w:w="1692" w:type="dxa"/>
            <w:tcBorders>
              <w:top w:val="single" w:sz="4" w:space="0" w:color="auto"/>
              <w:left w:val="single" w:sz="4" w:space="0" w:color="auto"/>
              <w:bottom w:val="nil"/>
            </w:tcBorders>
            <w:tcMar>
              <w:top w:w="40" w:type="dxa"/>
              <w:left w:w="40" w:type="dxa"/>
              <w:bottom w:w="40" w:type="dxa"/>
              <w:right w:w="40" w:type="dxa"/>
            </w:tcMar>
            <w:vAlign w:val="center"/>
          </w:tcPr>
          <w:p w14:paraId="0CEE5710" w14:textId="5C108F93" w:rsidR="00CB2C17" w:rsidRPr="006B15C8" w:rsidRDefault="005E4032" w:rsidP="004D553B">
            <w:pPr>
              <w:spacing w:line="240" w:lineRule="auto"/>
              <w:contextualSpacing/>
              <w:jc w:val="center"/>
              <w:rPr>
                <w:rFonts w:eastAsia="Arial"/>
                <w:bCs/>
                <w:sz w:val="22"/>
                <w:szCs w:val="22"/>
              </w:rPr>
            </w:pPr>
            <w:r w:rsidRPr="006B15C8">
              <w:rPr>
                <w:rFonts w:eastAsia="Arial"/>
                <w:bCs/>
                <w:sz w:val="22"/>
                <w:szCs w:val="22"/>
              </w:rPr>
              <w:t>11.9%</w:t>
            </w:r>
          </w:p>
        </w:tc>
      </w:tr>
      <w:tr w:rsidR="005C0B57" w:rsidRPr="006B15C8" w14:paraId="258DCCBE" w14:textId="77777777" w:rsidTr="004D553B">
        <w:trPr>
          <w:trHeight w:val="20"/>
        </w:trPr>
        <w:tc>
          <w:tcPr>
            <w:tcW w:w="2595" w:type="dxa"/>
            <w:tcBorders>
              <w:top w:val="nil"/>
              <w:bottom w:val="single" w:sz="4" w:space="0" w:color="auto"/>
              <w:right w:val="double" w:sz="4" w:space="0" w:color="auto"/>
            </w:tcBorders>
            <w:tcMar>
              <w:top w:w="40" w:type="dxa"/>
              <w:left w:w="40" w:type="dxa"/>
              <w:bottom w:w="40" w:type="dxa"/>
              <w:right w:w="40" w:type="dxa"/>
            </w:tcMar>
            <w:vAlign w:val="center"/>
          </w:tcPr>
          <w:p w14:paraId="3453C4CC" w14:textId="77777777" w:rsidR="00CB2C17" w:rsidRPr="006B15C8" w:rsidRDefault="00CB2C17" w:rsidP="004D553B">
            <w:pPr>
              <w:spacing w:line="240" w:lineRule="auto"/>
              <w:ind w:left="220" w:right="-477"/>
              <w:contextualSpacing/>
              <w:rPr>
                <w:rFonts w:eastAsia="Arial"/>
                <w:sz w:val="22"/>
                <w:szCs w:val="22"/>
              </w:rPr>
            </w:pPr>
            <w:r w:rsidRPr="006B15C8">
              <w:rPr>
                <w:rFonts w:eastAsia="Arial"/>
                <w:sz w:val="22"/>
                <w:szCs w:val="22"/>
              </w:rPr>
              <w:t>NCPC</w:t>
            </w:r>
          </w:p>
        </w:tc>
        <w:tc>
          <w:tcPr>
            <w:tcW w:w="1691" w:type="dxa"/>
            <w:tcBorders>
              <w:top w:val="nil"/>
              <w:left w:val="double" w:sz="4" w:space="0" w:color="auto"/>
              <w:bottom w:val="single" w:sz="4" w:space="0" w:color="auto"/>
              <w:right w:val="single" w:sz="4" w:space="0" w:color="auto"/>
            </w:tcBorders>
            <w:tcMar>
              <w:top w:w="40" w:type="dxa"/>
              <w:left w:w="40" w:type="dxa"/>
              <w:bottom w:w="40" w:type="dxa"/>
              <w:right w:w="40" w:type="dxa"/>
            </w:tcMar>
            <w:vAlign w:val="center"/>
          </w:tcPr>
          <w:p w14:paraId="0CB18E6B" w14:textId="648F49EA" w:rsidR="00CB2C17" w:rsidRPr="006B15C8" w:rsidRDefault="00570237" w:rsidP="004D553B">
            <w:pPr>
              <w:spacing w:line="240" w:lineRule="auto"/>
              <w:contextualSpacing/>
              <w:jc w:val="center"/>
              <w:rPr>
                <w:rFonts w:eastAsia="Arial"/>
                <w:bCs/>
                <w:sz w:val="22"/>
                <w:szCs w:val="22"/>
              </w:rPr>
            </w:pPr>
            <w:r w:rsidRPr="006B15C8">
              <w:rPr>
                <w:rFonts w:eastAsia="Arial"/>
                <w:bCs/>
                <w:color w:val="FFFFFF"/>
                <w:sz w:val="22"/>
                <w:szCs w:val="22"/>
              </w:rPr>
              <w:t>0</w:t>
            </w:r>
            <w:r w:rsidR="00822FC3" w:rsidRPr="006B15C8">
              <w:rPr>
                <w:rFonts w:eastAsia="Arial"/>
                <w:bCs/>
                <w:color w:val="FFFFFF"/>
                <w:sz w:val="22"/>
                <w:szCs w:val="22"/>
              </w:rPr>
              <w:t xml:space="preserve"> </w:t>
            </w:r>
            <w:r w:rsidR="005C0B57" w:rsidRPr="006B15C8">
              <w:rPr>
                <w:rFonts w:eastAsia="Arial"/>
                <w:bCs/>
                <w:sz w:val="22"/>
                <w:szCs w:val="22"/>
              </w:rPr>
              <w:t xml:space="preserve">1405 </w:t>
            </w:r>
            <w:r w:rsidRPr="006B15C8">
              <w:rPr>
                <w:rFonts w:eastAsia="Arial"/>
                <w:bCs/>
                <w:color w:val="FFFFFF"/>
                <w:sz w:val="22"/>
                <w:szCs w:val="22"/>
              </w:rPr>
              <w:t>0</w:t>
            </w:r>
            <w:r w:rsidR="00CB2C17" w:rsidRPr="006B15C8">
              <w:rPr>
                <w:rFonts w:eastAsia="Arial"/>
                <w:bCs/>
                <w:sz w:val="22"/>
                <w:szCs w:val="22"/>
              </w:rPr>
              <w:t>(</w:t>
            </w:r>
            <w:r w:rsidR="00BF58B7" w:rsidRPr="006B15C8">
              <w:rPr>
                <w:rFonts w:eastAsia="Arial"/>
                <w:bCs/>
                <w:sz w:val="22"/>
                <w:szCs w:val="22"/>
              </w:rPr>
              <w:t>8.1</w:t>
            </w:r>
            <w:r w:rsidR="00CB2C17" w:rsidRPr="006B15C8">
              <w:rPr>
                <w:rFonts w:eastAsia="Arial"/>
                <w:bCs/>
                <w:sz w:val="22"/>
                <w:szCs w:val="22"/>
              </w:rPr>
              <w:t>%)</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12B15D37" w14:textId="11B5E575" w:rsidR="00CB2C17" w:rsidRPr="006B15C8" w:rsidRDefault="00570237" w:rsidP="004D553B">
            <w:pPr>
              <w:spacing w:line="240" w:lineRule="auto"/>
              <w:contextualSpacing/>
              <w:jc w:val="center"/>
              <w:rPr>
                <w:rFonts w:eastAsia="Arial"/>
                <w:bCs/>
                <w:sz w:val="22"/>
                <w:szCs w:val="22"/>
              </w:rPr>
            </w:pPr>
            <w:r w:rsidRPr="006B15C8">
              <w:rPr>
                <w:rFonts w:eastAsia="Arial"/>
                <w:bCs/>
                <w:color w:val="FFFFFF"/>
                <w:sz w:val="22"/>
                <w:szCs w:val="22"/>
              </w:rPr>
              <w:t>0</w:t>
            </w:r>
            <w:r w:rsidR="005E4032" w:rsidRPr="006B15C8">
              <w:rPr>
                <w:rFonts w:eastAsia="Arial"/>
                <w:bCs/>
                <w:sz w:val="22"/>
                <w:szCs w:val="22"/>
              </w:rPr>
              <w:t>8.3%</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3951BF41" w14:textId="0A307321" w:rsidR="00CB2C17" w:rsidRPr="006B15C8" w:rsidRDefault="005E4032" w:rsidP="004D553B">
            <w:pPr>
              <w:spacing w:line="240" w:lineRule="auto"/>
              <w:contextualSpacing/>
              <w:jc w:val="center"/>
              <w:rPr>
                <w:rFonts w:eastAsia="Arial"/>
                <w:bCs/>
                <w:sz w:val="22"/>
                <w:szCs w:val="22"/>
              </w:rPr>
            </w:pPr>
            <w:r w:rsidRPr="006B15C8">
              <w:rPr>
                <w:rFonts w:eastAsia="Arial"/>
                <w:bCs/>
                <w:sz w:val="22"/>
                <w:szCs w:val="22"/>
              </w:rPr>
              <w:t>100.0%</w:t>
            </w:r>
          </w:p>
        </w:tc>
        <w:tc>
          <w:tcPr>
            <w:tcW w:w="1692" w:type="dxa"/>
            <w:tcBorders>
              <w:top w:val="nil"/>
              <w:left w:val="single" w:sz="4" w:space="0" w:color="auto"/>
              <w:bottom w:val="single" w:sz="4" w:space="0" w:color="auto"/>
            </w:tcBorders>
            <w:tcMar>
              <w:top w:w="40" w:type="dxa"/>
              <w:left w:w="40" w:type="dxa"/>
              <w:bottom w:w="40" w:type="dxa"/>
              <w:right w:w="40" w:type="dxa"/>
            </w:tcMar>
            <w:vAlign w:val="center"/>
          </w:tcPr>
          <w:p w14:paraId="1022E3E7" w14:textId="7FBD603F" w:rsidR="00CB2C17" w:rsidRPr="006B15C8" w:rsidRDefault="005E4032" w:rsidP="004D553B">
            <w:pPr>
              <w:spacing w:line="240" w:lineRule="auto"/>
              <w:contextualSpacing/>
              <w:jc w:val="center"/>
              <w:rPr>
                <w:rFonts w:eastAsia="Arial"/>
                <w:bCs/>
                <w:sz w:val="22"/>
                <w:szCs w:val="22"/>
              </w:rPr>
            </w:pPr>
            <w:r w:rsidRPr="006B15C8">
              <w:rPr>
                <w:rFonts w:eastAsia="Arial"/>
                <w:bCs/>
                <w:sz w:val="22"/>
                <w:szCs w:val="22"/>
              </w:rPr>
              <w:t>34.5%</w:t>
            </w:r>
          </w:p>
        </w:tc>
      </w:tr>
      <w:tr w:rsidR="005C0B57" w:rsidRPr="006B15C8" w14:paraId="776872D4" w14:textId="77777777" w:rsidTr="004D553B">
        <w:trPr>
          <w:trHeight w:val="20"/>
        </w:trPr>
        <w:tc>
          <w:tcPr>
            <w:tcW w:w="9360" w:type="dxa"/>
            <w:gridSpan w:val="5"/>
            <w:tcBorders>
              <w:top w:val="single" w:sz="4" w:space="0" w:color="auto"/>
              <w:bottom w:val="single" w:sz="4" w:space="0" w:color="auto"/>
              <w:right w:val="double" w:sz="4" w:space="0" w:color="auto"/>
            </w:tcBorders>
            <w:tcMar>
              <w:top w:w="40" w:type="dxa"/>
              <w:left w:w="40" w:type="dxa"/>
              <w:bottom w:w="40" w:type="dxa"/>
              <w:right w:w="40" w:type="dxa"/>
            </w:tcMar>
            <w:vAlign w:val="center"/>
          </w:tcPr>
          <w:p w14:paraId="4BF454DD" w14:textId="1F2257FC" w:rsidR="00CB2C17" w:rsidRPr="006B15C8" w:rsidRDefault="00CB2C17" w:rsidP="004D553B">
            <w:pPr>
              <w:spacing w:line="240" w:lineRule="auto"/>
              <w:contextualSpacing/>
              <w:rPr>
                <w:rFonts w:eastAsia="Arial"/>
                <w:b/>
                <w:bCs/>
                <w:i/>
                <w:iCs/>
                <w:sz w:val="22"/>
                <w:szCs w:val="22"/>
              </w:rPr>
            </w:pPr>
          </w:p>
        </w:tc>
      </w:tr>
      <w:tr w:rsidR="005C0B57" w:rsidRPr="006B15C8" w14:paraId="29021EA0" w14:textId="77777777" w:rsidTr="004D553B">
        <w:trPr>
          <w:trHeight w:val="20"/>
        </w:trPr>
        <w:tc>
          <w:tcPr>
            <w:tcW w:w="2595" w:type="dxa"/>
            <w:tcBorders>
              <w:top w:val="single" w:sz="4" w:space="0" w:color="auto"/>
              <w:bottom w:val="nil"/>
              <w:right w:val="double" w:sz="4" w:space="0" w:color="auto"/>
            </w:tcBorders>
            <w:tcMar>
              <w:top w:w="40" w:type="dxa"/>
              <w:left w:w="40" w:type="dxa"/>
              <w:bottom w:w="40" w:type="dxa"/>
              <w:right w:w="40" w:type="dxa"/>
            </w:tcMar>
            <w:vAlign w:val="center"/>
          </w:tcPr>
          <w:p w14:paraId="7D0A3954" w14:textId="77777777" w:rsidR="00CB2C17" w:rsidRPr="006B15C8" w:rsidRDefault="00CB2C17" w:rsidP="004D553B">
            <w:pPr>
              <w:spacing w:line="240" w:lineRule="auto"/>
              <w:ind w:left="210"/>
              <w:contextualSpacing/>
              <w:rPr>
                <w:rFonts w:eastAsia="Arial"/>
                <w:sz w:val="22"/>
                <w:szCs w:val="22"/>
              </w:rPr>
            </w:pPr>
            <w:r w:rsidRPr="006B15C8">
              <w:rPr>
                <w:rFonts w:eastAsia="Arial"/>
                <w:sz w:val="22"/>
                <w:szCs w:val="22"/>
              </w:rPr>
              <w:t>Yielding</w:t>
            </w:r>
          </w:p>
        </w:tc>
        <w:tc>
          <w:tcPr>
            <w:tcW w:w="1691" w:type="dxa"/>
            <w:tcBorders>
              <w:top w:val="single" w:sz="4" w:space="0" w:color="auto"/>
              <w:left w:val="double" w:sz="4" w:space="0" w:color="auto"/>
              <w:bottom w:val="nil"/>
              <w:right w:val="single" w:sz="4" w:space="0" w:color="auto"/>
            </w:tcBorders>
            <w:tcMar>
              <w:top w:w="40" w:type="dxa"/>
              <w:left w:w="40" w:type="dxa"/>
              <w:bottom w:w="40" w:type="dxa"/>
              <w:right w:w="40" w:type="dxa"/>
            </w:tcMar>
            <w:vAlign w:val="center"/>
          </w:tcPr>
          <w:p w14:paraId="0C4657B6" w14:textId="3460DF9B" w:rsidR="00CB2C17" w:rsidRPr="006B15C8" w:rsidRDefault="00822FC3" w:rsidP="004D553B">
            <w:pPr>
              <w:spacing w:line="240" w:lineRule="auto"/>
              <w:contextualSpacing/>
              <w:jc w:val="center"/>
              <w:rPr>
                <w:rFonts w:eastAsia="Arial"/>
                <w:bCs/>
                <w:sz w:val="22"/>
                <w:szCs w:val="22"/>
              </w:rPr>
            </w:pPr>
            <w:r w:rsidRPr="006B15C8">
              <w:rPr>
                <w:rFonts w:eastAsia="Arial"/>
                <w:bCs/>
                <w:sz w:val="22"/>
                <w:szCs w:val="22"/>
              </w:rPr>
              <w:t xml:space="preserve">   </w:t>
            </w:r>
            <w:r w:rsidR="00BF58B7" w:rsidRPr="006B15C8">
              <w:rPr>
                <w:rFonts w:eastAsia="Arial"/>
                <w:bCs/>
                <w:sz w:val="22"/>
                <w:szCs w:val="22"/>
              </w:rPr>
              <w:t>2519</w:t>
            </w:r>
            <w:r w:rsidRPr="006B15C8">
              <w:rPr>
                <w:rFonts w:eastAsia="Arial"/>
                <w:bCs/>
                <w:sz w:val="22"/>
                <w:szCs w:val="22"/>
              </w:rPr>
              <w:t xml:space="preserve"> </w:t>
            </w:r>
            <w:r w:rsidR="00CB2C17" w:rsidRPr="006B15C8">
              <w:rPr>
                <w:rFonts w:eastAsia="Arial"/>
                <w:bCs/>
                <w:sz w:val="22"/>
                <w:szCs w:val="22"/>
              </w:rPr>
              <w:t>(</w:t>
            </w:r>
            <w:r w:rsidR="00BF58B7" w:rsidRPr="006B15C8">
              <w:rPr>
                <w:rFonts w:eastAsia="Arial"/>
                <w:bCs/>
                <w:sz w:val="22"/>
                <w:szCs w:val="22"/>
              </w:rPr>
              <w:t>87.2</w:t>
            </w:r>
            <w:r w:rsidR="00CB2C17" w:rsidRPr="006B15C8">
              <w:rPr>
                <w:rFonts w:eastAsia="Arial"/>
                <w:bCs/>
                <w:sz w:val="22"/>
                <w:szCs w:val="22"/>
              </w:rPr>
              <w:t>%)</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019F8EE7" w14:textId="157279A1" w:rsidR="00CB2C17" w:rsidRPr="006B15C8" w:rsidRDefault="00EC79B4" w:rsidP="004D553B">
            <w:pPr>
              <w:spacing w:line="240" w:lineRule="auto"/>
              <w:contextualSpacing/>
              <w:jc w:val="center"/>
              <w:rPr>
                <w:rFonts w:eastAsia="Arial"/>
                <w:bCs/>
                <w:sz w:val="22"/>
                <w:szCs w:val="22"/>
              </w:rPr>
            </w:pPr>
            <w:r w:rsidRPr="006B15C8">
              <w:rPr>
                <w:rFonts w:eastAsia="Arial"/>
                <w:bCs/>
                <w:sz w:val="22"/>
                <w:szCs w:val="22"/>
              </w:rPr>
              <w:t>100.0%</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6139E6B8" w14:textId="10DDF49D" w:rsidR="00CB2C17" w:rsidRPr="006B15C8" w:rsidRDefault="00570237" w:rsidP="004D553B">
            <w:pPr>
              <w:spacing w:line="240" w:lineRule="auto"/>
              <w:contextualSpacing/>
              <w:jc w:val="center"/>
              <w:rPr>
                <w:rFonts w:eastAsia="Arial"/>
                <w:bCs/>
                <w:sz w:val="22"/>
                <w:szCs w:val="22"/>
              </w:rPr>
            </w:pPr>
            <w:r w:rsidRPr="006B15C8">
              <w:rPr>
                <w:rFonts w:eastAsia="Arial"/>
                <w:bCs/>
                <w:color w:val="FFFFFF"/>
                <w:sz w:val="22"/>
                <w:szCs w:val="22"/>
              </w:rPr>
              <w:t>0</w:t>
            </w:r>
            <w:r w:rsidR="00BF58B7" w:rsidRPr="006B15C8">
              <w:rPr>
                <w:rFonts w:eastAsia="Arial"/>
                <w:bCs/>
                <w:sz w:val="22"/>
                <w:szCs w:val="22"/>
              </w:rPr>
              <w:t>3</w:t>
            </w:r>
            <w:r w:rsidR="00EC79B4" w:rsidRPr="006B15C8">
              <w:rPr>
                <w:rFonts w:eastAsia="Arial"/>
                <w:bCs/>
                <w:sz w:val="22"/>
                <w:szCs w:val="22"/>
              </w:rPr>
              <w:t>.0%</w:t>
            </w:r>
          </w:p>
        </w:tc>
        <w:tc>
          <w:tcPr>
            <w:tcW w:w="1692" w:type="dxa"/>
            <w:tcBorders>
              <w:top w:val="single" w:sz="4" w:space="0" w:color="auto"/>
              <w:left w:val="single" w:sz="4" w:space="0" w:color="auto"/>
              <w:bottom w:val="nil"/>
            </w:tcBorders>
            <w:tcMar>
              <w:top w:w="40" w:type="dxa"/>
              <w:left w:w="40" w:type="dxa"/>
              <w:bottom w:w="40" w:type="dxa"/>
              <w:right w:w="40" w:type="dxa"/>
            </w:tcMar>
            <w:vAlign w:val="center"/>
          </w:tcPr>
          <w:p w14:paraId="05550088" w14:textId="7D7C6E36" w:rsidR="00CB2C17" w:rsidRPr="006B15C8" w:rsidRDefault="00570237" w:rsidP="004D553B">
            <w:pPr>
              <w:spacing w:line="240" w:lineRule="auto"/>
              <w:contextualSpacing/>
              <w:jc w:val="center"/>
              <w:rPr>
                <w:rFonts w:eastAsia="Arial"/>
                <w:bCs/>
                <w:sz w:val="22"/>
                <w:szCs w:val="22"/>
              </w:rPr>
            </w:pPr>
            <w:r w:rsidRPr="006B15C8">
              <w:rPr>
                <w:rFonts w:eastAsia="Arial"/>
                <w:bCs/>
                <w:color w:val="FFFFFF"/>
                <w:sz w:val="22"/>
                <w:szCs w:val="22"/>
              </w:rPr>
              <w:t>00</w:t>
            </w:r>
            <w:r w:rsidR="00EC79B4" w:rsidRPr="006B15C8">
              <w:rPr>
                <w:rFonts w:eastAsia="Arial"/>
                <w:bCs/>
                <w:sz w:val="22"/>
                <w:szCs w:val="22"/>
              </w:rPr>
              <w:t>0.0%</w:t>
            </w:r>
          </w:p>
        </w:tc>
      </w:tr>
      <w:tr w:rsidR="005C0B57" w:rsidRPr="006B15C8" w14:paraId="4FF24665" w14:textId="77777777" w:rsidTr="004D553B">
        <w:trPr>
          <w:trHeight w:val="20"/>
        </w:trPr>
        <w:tc>
          <w:tcPr>
            <w:tcW w:w="2595" w:type="dxa"/>
            <w:tcBorders>
              <w:top w:val="nil"/>
              <w:bottom w:val="double" w:sz="4" w:space="0" w:color="auto"/>
              <w:right w:val="double" w:sz="4" w:space="0" w:color="auto"/>
            </w:tcBorders>
            <w:tcMar>
              <w:top w:w="40" w:type="dxa"/>
              <w:left w:w="40" w:type="dxa"/>
              <w:bottom w:w="40" w:type="dxa"/>
              <w:right w:w="40" w:type="dxa"/>
            </w:tcMar>
            <w:vAlign w:val="center"/>
          </w:tcPr>
          <w:p w14:paraId="515DA2F6" w14:textId="77777777" w:rsidR="00CB2C17" w:rsidRPr="006B15C8" w:rsidRDefault="00CB2C17" w:rsidP="004D553B">
            <w:pPr>
              <w:spacing w:line="240" w:lineRule="auto"/>
              <w:ind w:left="210"/>
              <w:contextualSpacing/>
              <w:rPr>
                <w:rFonts w:eastAsia="Arial"/>
                <w:sz w:val="22"/>
                <w:szCs w:val="22"/>
              </w:rPr>
            </w:pPr>
            <w:r w:rsidRPr="006B15C8">
              <w:rPr>
                <w:rFonts w:eastAsia="Arial"/>
                <w:sz w:val="22"/>
                <w:szCs w:val="22"/>
              </w:rPr>
              <w:t>Non-Yielding</w:t>
            </w:r>
          </w:p>
        </w:tc>
        <w:tc>
          <w:tcPr>
            <w:tcW w:w="1691" w:type="dxa"/>
            <w:tcBorders>
              <w:top w:val="nil"/>
              <w:left w:val="double" w:sz="4" w:space="0" w:color="auto"/>
              <w:bottom w:val="double" w:sz="4" w:space="0" w:color="auto"/>
              <w:right w:val="single" w:sz="4" w:space="0" w:color="auto"/>
            </w:tcBorders>
            <w:tcMar>
              <w:top w:w="40" w:type="dxa"/>
              <w:left w:w="40" w:type="dxa"/>
              <w:bottom w:w="40" w:type="dxa"/>
              <w:right w:w="40" w:type="dxa"/>
            </w:tcMar>
            <w:vAlign w:val="center"/>
          </w:tcPr>
          <w:p w14:paraId="1041921C" w14:textId="707EA564" w:rsidR="00CB2C17" w:rsidRPr="006B15C8" w:rsidRDefault="00822FC3" w:rsidP="004D553B">
            <w:pPr>
              <w:spacing w:line="240" w:lineRule="auto"/>
              <w:contextualSpacing/>
              <w:jc w:val="center"/>
              <w:rPr>
                <w:rFonts w:eastAsia="Arial"/>
                <w:sz w:val="22"/>
                <w:szCs w:val="22"/>
              </w:rPr>
            </w:pPr>
            <w:r w:rsidRPr="006B15C8">
              <w:rPr>
                <w:rFonts w:eastAsia="Arial"/>
                <w:bCs/>
                <w:color w:val="FFFFFF"/>
                <w:sz w:val="22"/>
                <w:szCs w:val="22"/>
              </w:rPr>
              <w:t xml:space="preserve">  </w:t>
            </w:r>
            <w:r w:rsidR="00570237" w:rsidRPr="006B15C8">
              <w:rPr>
                <w:rFonts w:eastAsia="Arial"/>
                <w:bCs/>
                <w:color w:val="FFFFFF"/>
                <w:sz w:val="22"/>
                <w:szCs w:val="22"/>
              </w:rPr>
              <w:t>0</w:t>
            </w:r>
            <w:r w:rsidR="00461F7F" w:rsidRPr="006B15C8">
              <w:rPr>
                <w:rFonts w:eastAsia="Arial"/>
                <w:bCs/>
                <w:color w:val="FFFFFF"/>
                <w:sz w:val="22"/>
                <w:szCs w:val="22"/>
              </w:rPr>
              <w:t xml:space="preserve"> </w:t>
            </w:r>
            <w:r w:rsidR="00EC79B4" w:rsidRPr="006B15C8">
              <w:rPr>
                <w:rFonts w:eastAsia="Arial"/>
                <w:bCs/>
                <w:sz w:val="22"/>
                <w:szCs w:val="22"/>
              </w:rPr>
              <w:t>371</w:t>
            </w:r>
            <w:r w:rsidRPr="006B15C8">
              <w:rPr>
                <w:rFonts w:eastAsia="Arial"/>
                <w:bCs/>
                <w:sz w:val="22"/>
                <w:szCs w:val="22"/>
              </w:rPr>
              <w:t xml:space="preserve"> </w:t>
            </w:r>
            <w:r w:rsidR="00CB2C17" w:rsidRPr="006B15C8">
              <w:rPr>
                <w:rFonts w:eastAsia="Arial"/>
                <w:sz w:val="22"/>
                <w:szCs w:val="22"/>
              </w:rPr>
              <w:t>(</w:t>
            </w:r>
            <w:r w:rsidR="00BF58B7" w:rsidRPr="006B15C8">
              <w:rPr>
                <w:rFonts w:eastAsia="Arial"/>
                <w:sz w:val="22"/>
                <w:szCs w:val="22"/>
              </w:rPr>
              <w:t>12.8</w:t>
            </w:r>
            <w:r w:rsidR="00CB2C17" w:rsidRPr="006B15C8">
              <w:rPr>
                <w:rFonts w:eastAsia="Arial"/>
                <w:sz w:val="22"/>
                <w:szCs w:val="22"/>
              </w:rPr>
              <w:t>%)</w:t>
            </w:r>
          </w:p>
        </w:tc>
        <w:tc>
          <w:tcPr>
            <w:tcW w:w="1691" w:type="dxa"/>
            <w:tcBorders>
              <w:top w:val="nil"/>
              <w:left w:val="single" w:sz="4" w:space="0" w:color="auto"/>
              <w:bottom w:val="double" w:sz="4" w:space="0" w:color="auto"/>
              <w:right w:val="single" w:sz="4" w:space="0" w:color="auto"/>
            </w:tcBorders>
            <w:tcMar>
              <w:top w:w="40" w:type="dxa"/>
              <w:left w:w="40" w:type="dxa"/>
              <w:bottom w:w="40" w:type="dxa"/>
              <w:right w:w="40" w:type="dxa"/>
            </w:tcMar>
            <w:vAlign w:val="center"/>
          </w:tcPr>
          <w:p w14:paraId="3E8EEE60" w14:textId="0CA1EA4C" w:rsidR="00CB2C17" w:rsidRPr="006B15C8" w:rsidRDefault="00EC79B4" w:rsidP="004D553B">
            <w:pPr>
              <w:spacing w:line="240" w:lineRule="auto"/>
              <w:contextualSpacing/>
              <w:jc w:val="center"/>
              <w:rPr>
                <w:rFonts w:eastAsia="Arial"/>
                <w:bCs/>
                <w:sz w:val="22"/>
                <w:szCs w:val="22"/>
              </w:rPr>
            </w:pPr>
            <w:r w:rsidRPr="006B15C8">
              <w:rPr>
                <w:rFonts w:eastAsia="Arial"/>
                <w:bCs/>
                <w:sz w:val="22"/>
                <w:szCs w:val="22"/>
              </w:rPr>
              <w:t>100.0%</w:t>
            </w:r>
          </w:p>
        </w:tc>
        <w:tc>
          <w:tcPr>
            <w:tcW w:w="1691" w:type="dxa"/>
            <w:tcBorders>
              <w:top w:val="nil"/>
              <w:left w:val="single" w:sz="4" w:space="0" w:color="auto"/>
              <w:bottom w:val="double" w:sz="4" w:space="0" w:color="auto"/>
              <w:right w:val="single" w:sz="4" w:space="0" w:color="auto"/>
            </w:tcBorders>
            <w:tcMar>
              <w:top w:w="40" w:type="dxa"/>
              <w:left w:w="40" w:type="dxa"/>
              <w:bottom w:w="40" w:type="dxa"/>
              <w:right w:w="40" w:type="dxa"/>
            </w:tcMar>
            <w:vAlign w:val="center"/>
          </w:tcPr>
          <w:p w14:paraId="0C5BA72E" w14:textId="12E35E3C" w:rsidR="00CB2C17" w:rsidRPr="006B15C8" w:rsidRDefault="00EC79B4" w:rsidP="004D553B">
            <w:pPr>
              <w:spacing w:line="240" w:lineRule="auto"/>
              <w:contextualSpacing/>
              <w:jc w:val="center"/>
              <w:rPr>
                <w:rFonts w:eastAsia="Arial"/>
                <w:bCs/>
                <w:sz w:val="22"/>
                <w:szCs w:val="22"/>
              </w:rPr>
            </w:pPr>
            <w:r w:rsidRPr="006B15C8">
              <w:rPr>
                <w:rFonts w:eastAsia="Arial"/>
                <w:bCs/>
                <w:sz w:val="22"/>
                <w:szCs w:val="22"/>
              </w:rPr>
              <w:t>10.8%</w:t>
            </w:r>
          </w:p>
        </w:tc>
        <w:tc>
          <w:tcPr>
            <w:tcW w:w="1692" w:type="dxa"/>
            <w:tcBorders>
              <w:top w:val="nil"/>
              <w:left w:val="single" w:sz="4" w:space="0" w:color="auto"/>
              <w:bottom w:val="double" w:sz="4" w:space="0" w:color="auto"/>
            </w:tcBorders>
            <w:tcMar>
              <w:top w:w="40" w:type="dxa"/>
              <w:left w:w="40" w:type="dxa"/>
              <w:bottom w:w="40" w:type="dxa"/>
              <w:right w:w="40" w:type="dxa"/>
            </w:tcMar>
            <w:vAlign w:val="center"/>
          </w:tcPr>
          <w:p w14:paraId="33293C12" w14:textId="37A2D7DF" w:rsidR="00CB2C17" w:rsidRPr="006B15C8" w:rsidRDefault="00EC79B4" w:rsidP="004D553B">
            <w:pPr>
              <w:spacing w:line="240" w:lineRule="auto"/>
              <w:contextualSpacing/>
              <w:jc w:val="center"/>
              <w:rPr>
                <w:rFonts w:eastAsia="Arial"/>
                <w:bCs/>
                <w:sz w:val="22"/>
                <w:szCs w:val="22"/>
              </w:rPr>
            </w:pPr>
            <w:r w:rsidRPr="006B15C8">
              <w:rPr>
                <w:rFonts w:eastAsia="Arial"/>
                <w:bCs/>
                <w:sz w:val="22"/>
                <w:szCs w:val="22"/>
              </w:rPr>
              <w:t>100.0%</w:t>
            </w:r>
          </w:p>
        </w:tc>
      </w:tr>
      <w:tr w:rsidR="005C0B57" w:rsidRPr="006B15C8" w14:paraId="79B74846" w14:textId="77777777" w:rsidTr="004D553B">
        <w:trPr>
          <w:trHeight w:val="15"/>
        </w:trPr>
        <w:tc>
          <w:tcPr>
            <w:tcW w:w="9360" w:type="dxa"/>
            <w:gridSpan w:val="5"/>
            <w:tcBorders>
              <w:top w:val="double" w:sz="4" w:space="0" w:color="auto"/>
              <w:bottom w:val="double" w:sz="4" w:space="0" w:color="auto"/>
              <w:right w:val="double" w:sz="4" w:space="0" w:color="auto"/>
            </w:tcBorders>
            <w:tcMar>
              <w:top w:w="40" w:type="dxa"/>
              <w:left w:w="40" w:type="dxa"/>
              <w:bottom w:w="40" w:type="dxa"/>
              <w:right w:w="40" w:type="dxa"/>
            </w:tcMar>
            <w:vAlign w:val="center"/>
          </w:tcPr>
          <w:p w14:paraId="1C8371F3" w14:textId="77777777" w:rsidR="00CB2C17" w:rsidRPr="006B15C8" w:rsidRDefault="00CB2C17" w:rsidP="004D553B">
            <w:pPr>
              <w:spacing w:line="240" w:lineRule="auto"/>
              <w:contextualSpacing/>
              <w:jc w:val="center"/>
              <w:rPr>
                <w:rFonts w:eastAsia="Arial"/>
                <w:b/>
                <w:bCs/>
                <w:sz w:val="22"/>
                <w:szCs w:val="22"/>
              </w:rPr>
            </w:pPr>
            <w:r w:rsidRPr="006B15C8">
              <w:rPr>
                <w:rFonts w:eastAsia="Arial"/>
                <w:b/>
                <w:bCs/>
                <w:sz w:val="22"/>
                <w:szCs w:val="22"/>
              </w:rPr>
              <w:t>Explanatory Variables</w:t>
            </w:r>
          </w:p>
        </w:tc>
      </w:tr>
      <w:tr w:rsidR="005C0B57" w:rsidRPr="006B15C8" w14:paraId="04939456" w14:textId="77777777" w:rsidTr="004D553B">
        <w:trPr>
          <w:trHeight w:val="15"/>
        </w:trPr>
        <w:tc>
          <w:tcPr>
            <w:tcW w:w="9360" w:type="dxa"/>
            <w:gridSpan w:val="5"/>
            <w:tcBorders>
              <w:top w:val="double" w:sz="4" w:space="0" w:color="auto"/>
              <w:bottom w:val="single" w:sz="4" w:space="0" w:color="auto"/>
              <w:right w:val="double" w:sz="4" w:space="0" w:color="auto"/>
            </w:tcBorders>
            <w:tcMar>
              <w:top w:w="40" w:type="dxa"/>
              <w:left w:w="40" w:type="dxa"/>
              <w:bottom w:w="40" w:type="dxa"/>
              <w:right w:w="40" w:type="dxa"/>
            </w:tcMar>
            <w:vAlign w:val="center"/>
          </w:tcPr>
          <w:p w14:paraId="075C8CD6" w14:textId="77777777" w:rsidR="00CB2C17" w:rsidRPr="006B15C8" w:rsidRDefault="00CB2C17" w:rsidP="004D553B">
            <w:pPr>
              <w:spacing w:line="240" w:lineRule="auto"/>
              <w:contextualSpacing/>
              <w:rPr>
                <w:rFonts w:eastAsia="Arial"/>
                <w:b/>
                <w:bCs/>
                <w:i/>
                <w:iCs/>
                <w:sz w:val="22"/>
                <w:szCs w:val="22"/>
              </w:rPr>
            </w:pPr>
            <w:r w:rsidRPr="006B15C8">
              <w:rPr>
                <w:rFonts w:eastAsia="Arial"/>
                <w:b/>
                <w:bCs/>
                <w:sz w:val="22"/>
                <w:szCs w:val="22"/>
              </w:rPr>
              <w:t>Pedestrian Sociodemographic Variables</w:t>
            </w:r>
          </w:p>
        </w:tc>
      </w:tr>
      <w:tr w:rsidR="005C0B57" w:rsidRPr="006B15C8" w14:paraId="353D54A6" w14:textId="77777777" w:rsidTr="004D553B">
        <w:trPr>
          <w:trHeight w:val="15"/>
        </w:trPr>
        <w:tc>
          <w:tcPr>
            <w:tcW w:w="9360" w:type="dxa"/>
            <w:gridSpan w:val="5"/>
            <w:tcBorders>
              <w:top w:val="single" w:sz="4" w:space="0" w:color="auto"/>
              <w:bottom w:val="single" w:sz="4" w:space="0" w:color="auto"/>
              <w:right w:val="double" w:sz="4" w:space="0" w:color="auto"/>
            </w:tcBorders>
            <w:tcMar>
              <w:top w:w="40" w:type="dxa"/>
              <w:left w:w="40" w:type="dxa"/>
              <w:bottom w:w="40" w:type="dxa"/>
              <w:right w:w="40" w:type="dxa"/>
            </w:tcMar>
            <w:vAlign w:val="center"/>
          </w:tcPr>
          <w:p w14:paraId="2CAE4943" w14:textId="77777777" w:rsidR="00CB2C17" w:rsidRPr="006B15C8" w:rsidRDefault="00CB2C17" w:rsidP="004D553B">
            <w:pPr>
              <w:spacing w:line="240" w:lineRule="auto"/>
              <w:contextualSpacing/>
              <w:rPr>
                <w:rFonts w:eastAsia="Arial"/>
                <w:i/>
                <w:iCs/>
                <w:sz w:val="22"/>
                <w:szCs w:val="22"/>
              </w:rPr>
            </w:pPr>
            <w:r w:rsidRPr="006B15C8">
              <w:rPr>
                <w:rFonts w:eastAsia="Arial"/>
                <w:i/>
                <w:iCs/>
                <w:sz w:val="22"/>
                <w:szCs w:val="22"/>
              </w:rPr>
              <w:t>Pedestrian Perceived Gender</w:t>
            </w:r>
          </w:p>
        </w:tc>
      </w:tr>
      <w:tr w:rsidR="005C0B57" w:rsidRPr="006B15C8" w14:paraId="54F8036A" w14:textId="77777777" w:rsidTr="004D553B">
        <w:trPr>
          <w:trHeight w:val="20"/>
        </w:trPr>
        <w:tc>
          <w:tcPr>
            <w:tcW w:w="2595" w:type="dxa"/>
            <w:tcBorders>
              <w:top w:val="single" w:sz="4" w:space="0" w:color="auto"/>
              <w:bottom w:val="nil"/>
              <w:right w:val="double" w:sz="4" w:space="0" w:color="auto"/>
            </w:tcBorders>
            <w:tcMar>
              <w:top w:w="40" w:type="dxa"/>
              <w:left w:w="40" w:type="dxa"/>
              <w:bottom w:w="40" w:type="dxa"/>
              <w:right w:w="40" w:type="dxa"/>
            </w:tcMar>
            <w:vAlign w:val="center"/>
          </w:tcPr>
          <w:p w14:paraId="0CE53ED2" w14:textId="77777777" w:rsidR="00CB2C17" w:rsidRPr="006B15C8" w:rsidRDefault="00CB2C17" w:rsidP="004D553B">
            <w:pPr>
              <w:spacing w:line="240" w:lineRule="auto"/>
              <w:ind w:firstLine="210"/>
              <w:contextualSpacing/>
              <w:jc w:val="left"/>
              <w:rPr>
                <w:rFonts w:eastAsia="Arial"/>
                <w:sz w:val="22"/>
                <w:szCs w:val="22"/>
              </w:rPr>
            </w:pPr>
            <w:r w:rsidRPr="006B15C8">
              <w:rPr>
                <w:rFonts w:eastAsia="Arial"/>
                <w:sz w:val="22"/>
                <w:szCs w:val="22"/>
              </w:rPr>
              <w:t>Female</w:t>
            </w:r>
          </w:p>
        </w:tc>
        <w:tc>
          <w:tcPr>
            <w:tcW w:w="1691" w:type="dxa"/>
            <w:tcBorders>
              <w:top w:val="single" w:sz="4" w:space="0" w:color="auto"/>
              <w:left w:val="double" w:sz="4" w:space="0" w:color="auto"/>
              <w:bottom w:val="nil"/>
              <w:right w:val="single" w:sz="4" w:space="0" w:color="auto"/>
            </w:tcBorders>
            <w:tcMar>
              <w:top w:w="40" w:type="dxa"/>
              <w:left w:w="40" w:type="dxa"/>
              <w:bottom w:w="40" w:type="dxa"/>
              <w:right w:w="40" w:type="dxa"/>
            </w:tcMar>
            <w:vAlign w:val="center"/>
          </w:tcPr>
          <w:p w14:paraId="51A7C1F3" w14:textId="20EA08A7" w:rsidR="00CB2C17" w:rsidRPr="006B15C8" w:rsidRDefault="009B3B3F" w:rsidP="004D553B">
            <w:pPr>
              <w:spacing w:line="240" w:lineRule="auto"/>
              <w:contextualSpacing/>
              <w:jc w:val="center"/>
              <w:rPr>
                <w:rFonts w:eastAsia="Arial"/>
                <w:bCs/>
                <w:sz w:val="22"/>
                <w:szCs w:val="22"/>
              </w:rPr>
            </w:pPr>
            <w:r w:rsidRPr="006B15C8">
              <w:rPr>
                <w:rFonts w:eastAsia="Arial"/>
                <w:bCs/>
                <w:color w:val="FFFFFF"/>
                <w:sz w:val="22"/>
                <w:szCs w:val="22"/>
              </w:rPr>
              <w:t>0</w:t>
            </w:r>
            <w:r w:rsidR="00822FC3" w:rsidRPr="006B15C8">
              <w:rPr>
                <w:rFonts w:eastAsia="Arial"/>
                <w:bCs/>
                <w:color w:val="FFFFFF"/>
                <w:sz w:val="22"/>
                <w:szCs w:val="22"/>
              </w:rPr>
              <w:t xml:space="preserve"> </w:t>
            </w:r>
            <w:r w:rsidR="00EC79B4" w:rsidRPr="006B15C8">
              <w:rPr>
                <w:rFonts w:eastAsia="Arial"/>
                <w:bCs/>
                <w:sz w:val="22"/>
                <w:szCs w:val="22"/>
              </w:rPr>
              <w:t>5713</w:t>
            </w:r>
            <w:r w:rsidRPr="006B15C8">
              <w:rPr>
                <w:rFonts w:eastAsia="Arial"/>
                <w:bCs/>
                <w:sz w:val="22"/>
                <w:szCs w:val="22"/>
              </w:rPr>
              <w:t xml:space="preserve"> </w:t>
            </w:r>
            <w:r w:rsidR="00CB2C17" w:rsidRPr="006B15C8">
              <w:rPr>
                <w:rFonts w:eastAsia="Arial"/>
                <w:bCs/>
                <w:sz w:val="22"/>
                <w:szCs w:val="22"/>
              </w:rPr>
              <w:t>(</w:t>
            </w:r>
            <w:r w:rsidR="00BF58B7" w:rsidRPr="006B15C8">
              <w:rPr>
                <w:rFonts w:eastAsia="Arial"/>
                <w:bCs/>
                <w:sz w:val="22"/>
                <w:szCs w:val="22"/>
              </w:rPr>
              <w:t>32.9</w:t>
            </w:r>
            <w:r w:rsidR="005C0B57" w:rsidRPr="006B15C8">
              <w:rPr>
                <w:rFonts w:eastAsia="Arial"/>
                <w:bCs/>
                <w:sz w:val="22"/>
                <w:szCs w:val="22"/>
              </w:rPr>
              <w:t>%</w:t>
            </w:r>
            <w:r w:rsidR="00CB2C17" w:rsidRPr="006B15C8">
              <w:rPr>
                <w:rFonts w:eastAsia="Arial"/>
                <w:bCs/>
                <w:sz w:val="22"/>
                <w:szCs w:val="22"/>
              </w:rPr>
              <w:t>)</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2BC861F1" w14:textId="64F33F85" w:rsidR="00CB2C17" w:rsidRPr="006B15C8" w:rsidRDefault="009F3C8B" w:rsidP="004D553B">
            <w:pPr>
              <w:spacing w:line="240" w:lineRule="auto"/>
              <w:contextualSpacing/>
              <w:jc w:val="center"/>
              <w:rPr>
                <w:rFonts w:eastAsia="Arial"/>
                <w:bCs/>
                <w:sz w:val="22"/>
                <w:szCs w:val="22"/>
              </w:rPr>
            </w:pPr>
            <w:r w:rsidRPr="006B15C8">
              <w:rPr>
                <w:rFonts w:eastAsia="Arial"/>
                <w:bCs/>
                <w:sz w:val="22"/>
                <w:szCs w:val="22"/>
              </w:rPr>
              <w:t>17.7%</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41622C26" w14:textId="2DBAA8BD" w:rsidR="00CB2C17" w:rsidRPr="006B15C8" w:rsidRDefault="009F3C8B" w:rsidP="004D553B">
            <w:pPr>
              <w:spacing w:line="240" w:lineRule="auto"/>
              <w:contextualSpacing/>
              <w:jc w:val="center"/>
              <w:rPr>
                <w:rFonts w:eastAsia="Arial"/>
                <w:bCs/>
                <w:sz w:val="22"/>
                <w:szCs w:val="22"/>
              </w:rPr>
            </w:pPr>
            <w:r w:rsidRPr="006B15C8">
              <w:rPr>
                <w:rFonts w:eastAsia="Arial"/>
                <w:bCs/>
                <w:sz w:val="22"/>
                <w:szCs w:val="22"/>
              </w:rPr>
              <w:t>6.1%</w:t>
            </w:r>
          </w:p>
        </w:tc>
        <w:tc>
          <w:tcPr>
            <w:tcW w:w="1692" w:type="dxa"/>
            <w:tcBorders>
              <w:top w:val="single" w:sz="4" w:space="0" w:color="auto"/>
              <w:left w:val="single" w:sz="4" w:space="0" w:color="auto"/>
              <w:bottom w:val="nil"/>
            </w:tcBorders>
            <w:tcMar>
              <w:top w:w="40" w:type="dxa"/>
              <w:left w:w="40" w:type="dxa"/>
              <w:bottom w:w="40" w:type="dxa"/>
              <w:right w:w="40" w:type="dxa"/>
            </w:tcMar>
            <w:vAlign w:val="center"/>
          </w:tcPr>
          <w:p w14:paraId="6E448039" w14:textId="20FF7D86" w:rsidR="00CB2C17" w:rsidRPr="006B15C8" w:rsidRDefault="009F3C8B" w:rsidP="004D553B">
            <w:pPr>
              <w:spacing w:line="240" w:lineRule="auto"/>
              <w:contextualSpacing/>
              <w:jc w:val="center"/>
              <w:rPr>
                <w:rFonts w:eastAsia="Arial"/>
                <w:bCs/>
                <w:sz w:val="22"/>
                <w:szCs w:val="22"/>
              </w:rPr>
            </w:pPr>
            <w:r w:rsidRPr="006B15C8">
              <w:rPr>
                <w:rFonts w:eastAsia="Arial"/>
                <w:bCs/>
                <w:sz w:val="22"/>
                <w:szCs w:val="22"/>
              </w:rPr>
              <w:t>11.5%</w:t>
            </w:r>
          </w:p>
        </w:tc>
      </w:tr>
      <w:tr w:rsidR="005C0B57" w:rsidRPr="006B15C8" w14:paraId="0C419C77" w14:textId="77777777" w:rsidTr="004D553B">
        <w:trPr>
          <w:trHeight w:val="20"/>
        </w:trPr>
        <w:tc>
          <w:tcPr>
            <w:tcW w:w="2595" w:type="dxa"/>
            <w:tcBorders>
              <w:top w:val="nil"/>
              <w:bottom w:val="single" w:sz="4" w:space="0" w:color="auto"/>
              <w:right w:val="double" w:sz="4" w:space="0" w:color="auto"/>
            </w:tcBorders>
            <w:tcMar>
              <w:top w:w="40" w:type="dxa"/>
              <w:left w:w="40" w:type="dxa"/>
              <w:bottom w:w="40" w:type="dxa"/>
              <w:right w:w="40" w:type="dxa"/>
            </w:tcMar>
            <w:vAlign w:val="center"/>
          </w:tcPr>
          <w:p w14:paraId="49A7EB53" w14:textId="77777777" w:rsidR="00CB2C17" w:rsidRPr="006B15C8" w:rsidRDefault="00CB2C17" w:rsidP="004D553B">
            <w:pPr>
              <w:spacing w:line="240" w:lineRule="auto"/>
              <w:ind w:firstLine="210"/>
              <w:contextualSpacing/>
              <w:rPr>
                <w:rFonts w:eastAsia="Arial"/>
                <w:sz w:val="22"/>
                <w:szCs w:val="22"/>
              </w:rPr>
            </w:pPr>
            <w:r w:rsidRPr="006B15C8">
              <w:rPr>
                <w:rFonts w:eastAsia="Arial"/>
                <w:sz w:val="22"/>
                <w:szCs w:val="22"/>
              </w:rPr>
              <w:t>Male</w:t>
            </w:r>
          </w:p>
        </w:tc>
        <w:tc>
          <w:tcPr>
            <w:tcW w:w="1691" w:type="dxa"/>
            <w:tcBorders>
              <w:top w:val="nil"/>
              <w:left w:val="double" w:sz="4" w:space="0" w:color="auto"/>
              <w:bottom w:val="single" w:sz="4" w:space="0" w:color="auto"/>
              <w:right w:val="single" w:sz="4" w:space="0" w:color="auto"/>
            </w:tcBorders>
            <w:tcMar>
              <w:top w:w="40" w:type="dxa"/>
              <w:left w:w="40" w:type="dxa"/>
              <w:bottom w:w="40" w:type="dxa"/>
              <w:right w:w="40" w:type="dxa"/>
            </w:tcMar>
            <w:vAlign w:val="center"/>
          </w:tcPr>
          <w:p w14:paraId="49FBA59F" w14:textId="2CD9AB46" w:rsidR="00CB2C17" w:rsidRPr="006B15C8" w:rsidRDefault="00822FC3" w:rsidP="004D553B">
            <w:pPr>
              <w:spacing w:line="240" w:lineRule="auto"/>
              <w:contextualSpacing/>
              <w:jc w:val="center"/>
              <w:rPr>
                <w:rFonts w:eastAsia="Arial"/>
                <w:bCs/>
                <w:sz w:val="22"/>
                <w:szCs w:val="22"/>
              </w:rPr>
            </w:pPr>
            <w:r w:rsidRPr="006B15C8">
              <w:rPr>
                <w:rFonts w:eastAsia="Arial"/>
                <w:bCs/>
                <w:sz w:val="22"/>
                <w:szCs w:val="22"/>
              </w:rPr>
              <w:t xml:space="preserve"> </w:t>
            </w:r>
            <w:r w:rsidR="009F2668" w:rsidRPr="006B15C8">
              <w:rPr>
                <w:rFonts w:eastAsia="Arial"/>
                <w:bCs/>
                <w:sz w:val="22"/>
                <w:szCs w:val="22"/>
              </w:rPr>
              <w:t>11661</w:t>
            </w:r>
            <w:r w:rsidR="009B3B3F" w:rsidRPr="006B15C8">
              <w:rPr>
                <w:rFonts w:eastAsia="Arial"/>
                <w:bCs/>
                <w:sz w:val="22"/>
                <w:szCs w:val="22"/>
              </w:rPr>
              <w:t xml:space="preserve"> </w:t>
            </w:r>
            <w:r w:rsidR="00CB2C17" w:rsidRPr="006B15C8">
              <w:rPr>
                <w:rFonts w:eastAsia="Arial"/>
                <w:bCs/>
                <w:sz w:val="22"/>
                <w:szCs w:val="22"/>
              </w:rPr>
              <w:t>(</w:t>
            </w:r>
            <w:r w:rsidR="00BF58B7" w:rsidRPr="006B15C8">
              <w:rPr>
                <w:rFonts w:eastAsia="Arial"/>
                <w:bCs/>
                <w:sz w:val="22"/>
                <w:szCs w:val="22"/>
              </w:rPr>
              <w:t>67.1</w:t>
            </w:r>
            <w:r w:rsidR="00CB2C17" w:rsidRPr="006B15C8">
              <w:rPr>
                <w:rFonts w:eastAsia="Arial"/>
                <w:bCs/>
                <w:sz w:val="22"/>
                <w:szCs w:val="22"/>
              </w:rPr>
              <w:t>%)</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560D8FC4" w14:textId="7E2FF63F"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16.1%</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61512539" w14:textId="49FC1CDD"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9.0%</w:t>
            </w:r>
          </w:p>
        </w:tc>
        <w:tc>
          <w:tcPr>
            <w:tcW w:w="1692" w:type="dxa"/>
            <w:tcBorders>
              <w:top w:val="nil"/>
              <w:left w:val="single" w:sz="4" w:space="0" w:color="auto"/>
              <w:bottom w:val="single" w:sz="4" w:space="0" w:color="auto"/>
            </w:tcBorders>
            <w:tcMar>
              <w:top w:w="40" w:type="dxa"/>
              <w:left w:w="40" w:type="dxa"/>
              <w:bottom w:w="40" w:type="dxa"/>
              <w:right w:w="40" w:type="dxa"/>
            </w:tcMar>
            <w:vAlign w:val="center"/>
          </w:tcPr>
          <w:p w14:paraId="010DDF71" w14:textId="6C492DBB"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13.6%</w:t>
            </w:r>
          </w:p>
        </w:tc>
      </w:tr>
      <w:tr w:rsidR="005C0B57" w:rsidRPr="006B15C8" w14:paraId="70052D99" w14:textId="77777777" w:rsidTr="004D553B">
        <w:trPr>
          <w:trHeight w:val="20"/>
        </w:trPr>
        <w:tc>
          <w:tcPr>
            <w:tcW w:w="9360" w:type="dxa"/>
            <w:gridSpan w:val="5"/>
            <w:tcBorders>
              <w:top w:val="nil"/>
              <w:bottom w:val="single" w:sz="4" w:space="0" w:color="auto"/>
            </w:tcBorders>
            <w:tcMar>
              <w:top w:w="40" w:type="dxa"/>
              <w:left w:w="40" w:type="dxa"/>
              <w:bottom w:w="40" w:type="dxa"/>
              <w:right w:w="40" w:type="dxa"/>
            </w:tcMar>
            <w:vAlign w:val="center"/>
          </w:tcPr>
          <w:p w14:paraId="4C1C2D5D" w14:textId="77777777" w:rsidR="00CB2C17" w:rsidRPr="006B15C8" w:rsidRDefault="00CB2C17" w:rsidP="004D553B">
            <w:pPr>
              <w:spacing w:line="240" w:lineRule="auto"/>
              <w:contextualSpacing/>
              <w:rPr>
                <w:rFonts w:eastAsia="Arial"/>
                <w:i/>
                <w:iCs/>
                <w:sz w:val="22"/>
                <w:szCs w:val="22"/>
              </w:rPr>
            </w:pPr>
            <w:r w:rsidRPr="006B15C8">
              <w:rPr>
                <w:rFonts w:eastAsia="Arial"/>
                <w:i/>
                <w:iCs/>
                <w:sz w:val="22"/>
                <w:szCs w:val="22"/>
              </w:rPr>
              <w:t>Pedestrian Perceived Age</w:t>
            </w:r>
          </w:p>
        </w:tc>
      </w:tr>
      <w:tr w:rsidR="005C0B57" w:rsidRPr="006B15C8" w14:paraId="1E06CDA8"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11B342D1" w14:textId="77777777" w:rsidR="00CB2C17" w:rsidRPr="006B15C8" w:rsidRDefault="00CB2C17" w:rsidP="004D553B">
            <w:pPr>
              <w:spacing w:line="240" w:lineRule="auto"/>
              <w:ind w:firstLine="210"/>
              <w:contextualSpacing/>
              <w:rPr>
                <w:rFonts w:eastAsia="Arial"/>
                <w:sz w:val="22"/>
                <w:szCs w:val="22"/>
              </w:rPr>
            </w:pPr>
            <w:r w:rsidRPr="006B15C8">
              <w:rPr>
                <w:rFonts w:eastAsia="Arial"/>
                <w:sz w:val="22"/>
                <w:szCs w:val="22"/>
              </w:rPr>
              <w:t>Minor</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251705B3" w14:textId="5C525365" w:rsidR="00CB2C17" w:rsidRPr="006B15C8" w:rsidRDefault="00697672" w:rsidP="00697672">
            <w:pPr>
              <w:spacing w:line="240" w:lineRule="auto"/>
              <w:contextualSpacing/>
              <w:rPr>
                <w:rFonts w:eastAsia="Arial"/>
                <w:bCs/>
                <w:sz w:val="22"/>
                <w:szCs w:val="22"/>
              </w:rPr>
            </w:pPr>
            <w:r w:rsidRPr="006B15C8">
              <w:rPr>
                <w:rFonts w:eastAsia="Arial"/>
                <w:bCs/>
                <w:color w:val="FFFFFF"/>
                <w:sz w:val="22"/>
                <w:szCs w:val="22"/>
              </w:rPr>
              <w:t xml:space="preserve"> </w:t>
            </w:r>
            <w:r w:rsidR="009B3B3F" w:rsidRPr="006B15C8">
              <w:rPr>
                <w:rFonts w:eastAsia="Arial"/>
                <w:bCs/>
                <w:color w:val="FFFFFF"/>
                <w:sz w:val="22"/>
                <w:szCs w:val="22"/>
              </w:rPr>
              <w:t>00</w:t>
            </w:r>
            <w:r w:rsidRPr="006B15C8">
              <w:rPr>
                <w:rFonts w:eastAsia="Arial"/>
                <w:bCs/>
                <w:color w:val="FFFFFF"/>
                <w:sz w:val="22"/>
                <w:szCs w:val="22"/>
              </w:rPr>
              <w:t xml:space="preserve">    </w:t>
            </w:r>
            <w:r w:rsidR="00CB2C17" w:rsidRPr="006B15C8">
              <w:rPr>
                <w:rFonts w:eastAsia="Arial"/>
                <w:bCs/>
                <w:sz w:val="22"/>
                <w:szCs w:val="22"/>
              </w:rPr>
              <w:t>39</w:t>
            </w:r>
            <w:r w:rsidR="00822FC3" w:rsidRPr="006B15C8">
              <w:rPr>
                <w:rFonts w:eastAsia="Arial"/>
                <w:bCs/>
                <w:sz w:val="22"/>
                <w:szCs w:val="22"/>
              </w:rPr>
              <w:t xml:space="preserve"> </w:t>
            </w:r>
            <w:r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0.</w:t>
            </w:r>
            <w:r w:rsidR="00167117" w:rsidRPr="006B15C8">
              <w:rPr>
                <w:rFonts w:eastAsia="Arial"/>
                <w:bCs/>
                <w:sz w:val="22"/>
                <w:szCs w:val="22"/>
              </w:rPr>
              <w:t>3</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7F425939" w14:textId="114BC5E3"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23.1%</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2F65DE90" w14:textId="6C5B9F09"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5.1%</w:t>
            </w:r>
          </w:p>
        </w:tc>
        <w:tc>
          <w:tcPr>
            <w:tcW w:w="1692" w:type="dxa"/>
            <w:tcBorders>
              <w:top w:val="nil"/>
              <w:left w:val="single" w:sz="4" w:space="0" w:color="auto"/>
              <w:bottom w:val="nil"/>
            </w:tcBorders>
            <w:tcMar>
              <w:top w:w="40" w:type="dxa"/>
              <w:left w:w="40" w:type="dxa"/>
              <w:bottom w:w="40" w:type="dxa"/>
              <w:right w:w="40" w:type="dxa"/>
            </w:tcMar>
            <w:vAlign w:val="center"/>
          </w:tcPr>
          <w:p w14:paraId="721801B7" w14:textId="694B8639" w:rsidR="00CB2C17" w:rsidRPr="006B15C8" w:rsidRDefault="00865865" w:rsidP="004D553B">
            <w:pPr>
              <w:spacing w:line="240" w:lineRule="auto"/>
              <w:contextualSpacing/>
              <w:jc w:val="center"/>
              <w:rPr>
                <w:rFonts w:eastAsia="Arial"/>
                <w:bCs/>
                <w:sz w:val="22"/>
                <w:szCs w:val="22"/>
              </w:rPr>
            </w:pPr>
            <w:r w:rsidRPr="006B15C8">
              <w:rPr>
                <w:rFonts w:eastAsia="Arial"/>
                <w:bCs/>
                <w:sz w:val="22"/>
                <w:szCs w:val="22"/>
              </w:rPr>
              <w:t>44.4</w:t>
            </w:r>
            <w:r w:rsidR="009F2668" w:rsidRPr="006B15C8">
              <w:rPr>
                <w:rFonts w:eastAsia="Arial"/>
                <w:bCs/>
                <w:sz w:val="22"/>
                <w:szCs w:val="22"/>
              </w:rPr>
              <w:t>%</w:t>
            </w:r>
          </w:p>
        </w:tc>
      </w:tr>
      <w:tr w:rsidR="005C0B57" w:rsidRPr="006B15C8" w14:paraId="5591B285"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060C6965" w14:textId="77777777" w:rsidR="00CB2C17" w:rsidRPr="006B15C8" w:rsidRDefault="00CB2C17" w:rsidP="004D553B">
            <w:pPr>
              <w:spacing w:line="240" w:lineRule="auto"/>
              <w:ind w:firstLine="210"/>
              <w:contextualSpacing/>
              <w:rPr>
                <w:rFonts w:eastAsia="Arial"/>
                <w:sz w:val="22"/>
                <w:szCs w:val="22"/>
              </w:rPr>
            </w:pPr>
            <w:r w:rsidRPr="006B15C8">
              <w:rPr>
                <w:rFonts w:eastAsia="Arial"/>
                <w:sz w:val="22"/>
                <w:szCs w:val="22"/>
              </w:rPr>
              <w:t>Young adult</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2534067C" w14:textId="131E6239" w:rsidR="00CB2C17" w:rsidRPr="006B15C8" w:rsidRDefault="00822FC3" w:rsidP="004D553B">
            <w:pPr>
              <w:spacing w:line="240" w:lineRule="auto"/>
              <w:contextualSpacing/>
              <w:jc w:val="center"/>
              <w:rPr>
                <w:rFonts w:eastAsia="Arial"/>
                <w:bCs/>
                <w:sz w:val="22"/>
                <w:szCs w:val="22"/>
              </w:rPr>
            </w:pPr>
            <w:r w:rsidRPr="006B15C8">
              <w:rPr>
                <w:rFonts w:eastAsia="Arial"/>
                <w:bCs/>
                <w:sz w:val="22"/>
                <w:szCs w:val="22"/>
              </w:rPr>
              <w:t xml:space="preserve"> </w:t>
            </w:r>
            <w:r w:rsidR="009F2668" w:rsidRPr="006B15C8">
              <w:rPr>
                <w:rFonts w:eastAsia="Arial"/>
                <w:bCs/>
                <w:sz w:val="22"/>
                <w:szCs w:val="22"/>
              </w:rPr>
              <w:t>14949</w:t>
            </w:r>
            <w:r w:rsidR="009B3B3F"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86.0</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57E97EC3" w14:textId="315AD8CC"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16.5%</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33B0F620" w14:textId="63E16740"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8.0%</w:t>
            </w:r>
          </w:p>
        </w:tc>
        <w:tc>
          <w:tcPr>
            <w:tcW w:w="1692" w:type="dxa"/>
            <w:tcBorders>
              <w:top w:val="nil"/>
              <w:left w:val="single" w:sz="4" w:space="0" w:color="auto"/>
              <w:bottom w:val="nil"/>
            </w:tcBorders>
            <w:tcMar>
              <w:top w:w="40" w:type="dxa"/>
              <w:left w:w="40" w:type="dxa"/>
              <w:bottom w:w="40" w:type="dxa"/>
              <w:right w:w="40" w:type="dxa"/>
            </w:tcMar>
            <w:vAlign w:val="center"/>
          </w:tcPr>
          <w:p w14:paraId="26DF0A0F" w14:textId="79EA5782"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11.1%</w:t>
            </w:r>
          </w:p>
        </w:tc>
      </w:tr>
      <w:tr w:rsidR="005C0B57" w:rsidRPr="006B15C8" w14:paraId="7430A066" w14:textId="77777777" w:rsidTr="004D553B">
        <w:trPr>
          <w:trHeight w:val="20"/>
        </w:trPr>
        <w:tc>
          <w:tcPr>
            <w:tcW w:w="2595" w:type="dxa"/>
            <w:tcBorders>
              <w:top w:val="nil"/>
              <w:bottom w:val="single" w:sz="4" w:space="0" w:color="auto"/>
              <w:right w:val="double" w:sz="4" w:space="0" w:color="auto"/>
            </w:tcBorders>
            <w:tcMar>
              <w:top w:w="40" w:type="dxa"/>
              <w:left w:w="40" w:type="dxa"/>
              <w:bottom w:w="40" w:type="dxa"/>
              <w:right w:w="40" w:type="dxa"/>
            </w:tcMar>
            <w:vAlign w:val="center"/>
          </w:tcPr>
          <w:p w14:paraId="517A86AF" w14:textId="77777777" w:rsidR="00CB2C17" w:rsidRPr="006B15C8" w:rsidRDefault="00CB2C17" w:rsidP="004D553B">
            <w:pPr>
              <w:spacing w:line="240" w:lineRule="auto"/>
              <w:ind w:firstLine="210"/>
              <w:contextualSpacing/>
              <w:rPr>
                <w:rFonts w:eastAsia="Arial"/>
                <w:sz w:val="22"/>
                <w:szCs w:val="22"/>
              </w:rPr>
            </w:pPr>
            <w:r w:rsidRPr="006B15C8">
              <w:rPr>
                <w:rFonts w:eastAsia="Arial"/>
                <w:sz w:val="22"/>
                <w:szCs w:val="22"/>
              </w:rPr>
              <w:t>Older</w:t>
            </w:r>
          </w:p>
        </w:tc>
        <w:tc>
          <w:tcPr>
            <w:tcW w:w="1691" w:type="dxa"/>
            <w:tcBorders>
              <w:top w:val="nil"/>
              <w:left w:val="double" w:sz="4" w:space="0" w:color="auto"/>
              <w:bottom w:val="single" w:sz="4" w:space="0" w:color="auto"/>
              <w:right w:val="single" w:sz="4" w:space="0" w:color="auto"/>
            </w:tcBorders>
            <w:tcMar>
              <w:top w:w="40" w:type="dxa"/>
              <w:left w:w="40" w:type="dxa"/>
              <w:bottom w:w="40" w:type="dxa"/>
              <w:right w:w="40" w:type="dxa"/>
            </w:tcMar>
            <w:vAlign w:val="center"/>
          </w:tcPr>
          <w:p w14:paraId="648DD6C4" w14:textId="4CDA475D" w:rsidR="00CB2C17" w:rsidRPr="006B15C8" w:rsidRDefault="009B3B3F" w:rsidP="004D553B">
            <w:pPr>
              <w:spacing w:line="240" w:lineRule="auto"/>
              <w:contextualSpacing/>
              <w:jc w:val="center"/>
              <w:rPr>
                <w:rFonts w:eastAsia="Arial"/>
                <w:bCs/>
                <w:sz w:val="22"/>
                <w:szCs w:val="22"/>
              </w:rPr>
            </w:pPr>
            <w:r w:rsidRPr="006B15C8">
              <w:rPr>
                <w:rFonts w:eastAsia="Arial"/>
                <w:bCs/>
                <w:color w:val="FFFFFF"/>
                <w:sz w:val="22"/>
                <w:szCs w:val="22"/>
              </w:rPr>
              <w:t>0</w:t>
            </w:r>
            <w:r w:rsidR="00697672" w:rsidRPr="006B15C8">
              <w:rPr>
                <w:rFonts w:eastAsia="Arial"/>
                <w:bCs/>
                <w:color w:val="FFFFFF"/>
                <w:sz w:val="22"/>
                <w:szCs w:val="22"/>
              </w:rPr>
              <w:t xml:space="preserve"> </w:t>
            </w:r>
            <w:r w:rsidR="009F2668" w:rsidRPr="006B15C8">
              <w:rPr>
                <w:rFonts w:eastAsia="Arial"/>
                <w:bCs/>
                <w:sz w:val="22"/>
                <w:szCs w:val="22"/>
              </w:rPr>
              <w:t>2386</w:t>
            </w:r>
            <w:r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13.7</w:t>
            </w:r>
            <w:r w:rsidR="00CB2C17" w:rsidRPr="006B15C8">
              <w:rPr>
                <w:rFonts w:eastAsia="Arial"/>
                <w:bCs/>
                <w:sz w:val="22"/>
                <w:szCs w:val="22"/>
              </w:rPr>
              <w:t>%)</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30750C53" w14:textId="032A9A37"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17.4%</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15668DF1" w14:textId="640C4C85"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9.0%</w:t>
            </w:r>
          </w:p>
        </w:tc>
        <w:tc>
          <w:tcPr>
            <w:tcW w:w="1692" w:type="dxa"/>
            <w:tcBorders>
              <w:top w:val="nil"/>
              <w:left w:val="single" w:sz="4" w:space="0" w:color="auto"/>
              <w:bottom w:val="single" w:sz="4" w:space="0" w:color="auto"/>
            </w:tcBorders>
            <w:tcMar>
              <w:top w:w="40" w:type="dxa"/>
              <w:left w:w="40" w:type="dxa"/>
              <w:bottom w:w="40" w:type="dxa"/>
              <w:right w:w="40" w:type="dxa"/>
            </w:tcMar>
            <w:vAlign w:val="center"/>
          </w:tcPr>
          <w:p w14:paraId="1A601C76" w14:textId="2D93D47C"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22.5%</w:t>
            </w:r>
          </w:p>
        </w:tc>
      </w:tr>
      <w:tr w:rsidR="005C0B57" w:rsidRPr="006B15C8" w14:paraId="24FCF7B2" w14:textId="77777777" w:rsidTr="004D553B">
        <w:trPr>
          <w:trHeight w:val="20"/>
        </w:trPr>
        <w:tc>
          <w:tcPr>
            <w:tcW w:w="9360" w:type="dxa"/>
            <w:gridSpan w:val="5"/>
            <w:tcBorders>
              <w:top w:val="single" w:sz="4" w:space="0" w:color="auto"/>
              <w:bottom w:val="single" w:sz="4" w:space="0" w:color="auto"/>
              <w:right w:val="double" w:sz="4" w:space="0" w:color="auto"/>
            </w:tcBorders>
            <w:tcMar>
              <w:top w:w="40" w:type="dxa"/>
              <w:left w:w="40" w:type="dxa"/>
              <w:bottom w:w="40" w:type="dxa"/>
              <w:right w:w="40" w:type="dxa"/>
            </w:tcMar>
            <w:vAlign w:val="center"/>
          </w:tcPr>
          <w:p w14:paraId="0886587A" w14:textId="77777777" w:rsidR="00CB2C17" w:rsidRPr="006B15C8" w:rsidRDefault="00CB2C17" w:rsidP="004D553B">
            <w:pPr>
              <w:spacing w:line="240" w:lineRule="auto"/>
              <w:contextualSpacing/>
              <w:rPr>
                <w:rFonts w:eastAsia="Arial"/>
                <w:i/>
                <w:iCs/>
                <w:sz w:val="22"/>
                <w:szCs w:val="22"/>
              </w:rPr>
            </w:pPr>
            <w:r w:rsidRPr="006B15C8">
              <w:rPr>
                <w:rFonts w:eastAsia="Arial"/>
                <w:i/>
                <w:iCs/>
                <w:sz w:val="22"/>
                <w:szCs w:val="22"/>
              </w:rPr>
              <w:t>Pedestrian Perceived Skin Tone</w:t>
            </w:r>
          </w:p>
        </w:tc>
      </w:tr>
      <w:tr w:rsidR="005C0B57" w:rsidRPr="006B15C8" w14:paraId="07CF9F5A" w14:textId="77777777" w:rsidTr="004D553B">
        <w:trPr>
          <w:trHeight w:val="20"/>
        </w:trPr>
        <w:tc>
          <w:tcPr>
            <w:tcW w:w="2595" w:type="dxa"/>
            <w:tcBorders>
              <w:top w:val="single" w:sz="4" w:space="0" w:color="auto"/>
              <w:bottom w:val="nil"/>
              <w:right w:val="double" w:sz="4" w:space="0" w:color="auto"/>
            </w:tcBorders>
            <w:tcMar>
              <w:top w:w="40" w:type="dxa"/>
              <w:left w:w="40" w:type="dxa"/>
              <w:bottom w:w="40" w:type="dxa"/>
              <w:right w:w="40" w:type="dxa"/>
            </w:tcMar>
            <w:vAlign w:val="center"/>
          </w:tcPr>
          <w:p w14:paraId="17B7240F" w14:textId="77777777" w:rsidR="00CB2C17" w:rsidRPr="006B15C8" w:rsidRDefault="00CB2C17" w:rsidP="004D553B">
            <w:pPr>
              <w:spacing w:line="240" w:lineRule="auto"/>
              <w:ind w:firstLine="210"/>
              <w:contextualSpacing/>
              <w:rPr>
                <w:rFonts w:eastAsia="Arial"/>
                <w:sz w:val="22"/>
                <w:szCs w:val="22"/>
              </w:rPr>
            </w:pPr>
            <w:r w:rsidRPr="006B15C8">
              <w:rPr>
                <w:rFonts w:eastAsia="Arial"/>
                <w:sz w:val="22"/>
                <w:szCs w:val="22"/>
              </w:rPr>
              <w:t>MST 1-2 (White)</w:t>
            </w:r>
          </w:p>
        </w:tc>
        <w:tc>
          <w:tcPr>
            <w:tcW w:w="1691" w:type="dxa"/>
            <w:tcBorders>
              <w:top w:val="single" w:sz="4" w:space="0" w:color="auto"/>
              <w:left w:val="double" w:sz="4" w:space="0" w:color="auto"/>
              <w:bottom w:val="nil"/>
              <w:right w:val="single" w:sz="4" w:space="0" w:color="auto"/>
            </w:tcBorders>
            <w:tcMar>
              <w:top w:w="40" w:type="dxa"/>
              <w:left w:w="40" w:type="dxa"/>
              <w:bottom w:w="40" w:type="dxa"/>
              <w:right w:w="40" w:type="dxa"/>
            </w:tcMar>
            <w:vAlign w:val="center"/>
          </w:tcPr>
          <w:p w14:paraId="67EF165C" w14:textId="62F8C183" w:rsidR="00CB2C17" w:rsidRPr="006B15C8" w:rsidRDefault="00697672" w:rsidP="004D553B">
            <w:pPr>
              <w:spacing w:line="240" w:lineRule="auto"/>
              <w:contextualSpacing/>
              <w:jc w:val="center"/>
              <w:rPr>
                <w:rFonts w:eastAsia="Arial"/>
                <w:bCs/>
                <w:sz w:val="22"/>
                <w:szCs w:val="22"/>
              </w:rPr>
            </w:pPr>
            <w:r w:rsidRPr="006B15C8">
              <w:rPr>
                <w:rFonts w:eastAsia="Arial"/>
                <w:bCs/>
                <w:sz w:val="22"/>
                <w:szCs w:val="22"/>
              </w:rPr>
              <w:t xml:space="preserve"> </w:t>
            </w:r>
            <w:r w:rsidR="009F2668" w:rsidRPr="006B15C8">
              <w:rPr>
                <w:rFonts w:eastAsia="Arial"/>
                <w:bCs/>
                <w:sz w:val="22"/>
                <w:szCs w:val="22"/>
              </w:rPr>
              <w:t>13887</w:t>
            </w:r>
            <w:r w:rsidR="009B3B3F"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79.9</w:t>
            </w:r>
            <w:r w:rsidR="00CB2C17" w:rsidRPr="006B15C8">
              <w:rPr>
                <w:rFonts w:eastAsia="Arial"/>
                <w:bCs/>
                <w:sz w:val="22"/>
                <w:szCs w:val="22"/>
              </w:rPr>
              <w:t>%)</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5A39A921" w14:textId="5B3C7E83"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16.6%</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711A2B6E" w14:textId="16D8FD51"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8.2%</w:t>
            </w:r>
          </w:p>
        </w:tc>
        <w:tc>
          <w:tcPr>
            <w:tcW w:w="1692" w:type="dxa"/>
            <w:tcBorders>
              <w:top w:val="single" w:sz="4" w:space="0" w:color="auto"/>
              <w:left w:val="single" w:sz="4" w:space="0" w:color="auto"/>
              <w:bottom w:val="nil"/>
            </w:tcBorders>
            <w:tcMar>
              <w:top w:w="40" w:type="dxa"/>
              <w:left w:w="40" w:type="dxa"/>
              <w:bottom w:w="40" w:type="dxa"/>
              <w:right w:w="40" w:type="dxa"/>
            </w:tcMar>
            <w:vAlign w:val="center"/>
          </w:tcPr>
          <w:p w14:paraId="14011000" w14:textId="08B0B7A3"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12.1%</w:t>
            </w:r>
          </w:p>
        </w:tc>
      </w:tr>
      <w:tr w:rsidR="005C0B57" w:rsidRPr="006B15C8" w14:paraId="6A76187C"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432100E2" w14:textId="77777777" w:rsidR="00CB2C17" w:rsidRPr="006B15C8" w:rsidRDefault="00CB2C17" w:rsidP="004D553B">
            <w:pPr>
              <w:spacing w:line="240" w:lineRule="auto"/>
              <w:ind w:firstLine="210"/>
              <w:contextualSpacing/>
              <w:rPr>
                <w:rFonts w:eastAsia="Arial"/>
                <w:sz w:val="22"/>
                <w:szCs w:val="22"/>
              </w:rPr>
            </w:pPr>
            <w:r w:rsidRPr="006B15C8">
              <w:rPr>
                <w:rFonts w:eastAsia="Arial"/>
                <w:sz w:val="22"/>
                <w:szCs w:val="22"/>
              </w:rPr>
              <w:t xml:space="preserve">MST 3-8 (Brown) </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642BB8FD" w14:textId="270916D2" w:rsidR="00CB2C17" w:rsidRPr="006B15C8" w:rsidRDefault="009B3B3F" w:rsidP="004D553B">
            <w:pPr>
              <w:spacing w:line="240" w:lineRule="auto"/>
              <w:contextualSpacing/>
              <w:jc w:val="center"/>
              <w:rPr>
                <w:rFonts w:eastAsia="Arial"/>
                <w:bCs/>
                <w:sz w:val="22"/>
                <w:szCs w:val="22"/>
              </w:rPr>
            </w:pPr>
            <w:r w:rsidRPr="006B15C8">
              <w:rPr>
                <w:rFonts w:eastAsia="Arial"/>
                <w:bCs/>
                <w:color w:val="FFFFFF"/>
                <w:sz w:val="22"/>
                <w:szCs w:val="22"/>
              </w:rPr>
              <w:t>0</w:t>
            </w:r>
            <w:r w:rsidR="00697672" w:rsidRPr="006B15C8">
              <w:rPr>
                <w:rFonts w:eastAsia="Arial"/>
                <w:bCs/>
                <w:color w:val="FFFFFF"/>
                <w:sz w:val="22"/>
                <w:szCs w:val="22"/>
              </w:rPr>
              <w:t xml:space="preserve"> </w:t>
            </w:r>
            <w:r w:rsidR="009F2668" w:rsidRPr="006B15C8">
              <w:rPr>
                <w:rFonts w:eastAsia="Arial"/>
                <w:bCs/>
                <w:sz w:val="22"/>
                <w:szCs w:val="22"/>
              </w:rPr>
              <w:t>2233</w:t>
            </w:r>
            <w:r w:rsidR="00CB2C17" w:rsidRPr="006B15C8">
              <w:rPr>
                <w:rFonts w:eastAsia="Arial"/>
                <w:bCs/>
                <w:sz w:val="22"/>
                <w:szCs w:val="22"/>
              </w:rPr>
              <w:t xml:space="preserve"> (</w:t>
            </w:r>
            <w:r w:rsidR="00440DCD" w:rsidRPr="006B15C8">
              <w:rPr>
                <w:rFonts w:eastAsia="Arial"/>
                <w:bCs/>
                <w:sz w:val="22"/>
                <w:szCs w:val="22"/>
              </w:rPr>
              <w:t>12.9</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7C64A869" w14:textId="3DDB99AC"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17.1%</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3C9DB091" w14:textId="0AF131F5"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5.8%</w:t>
            </w:r>
          </w:p>
        </w:tc>
        <w:tc>
          <w:tcPr>
            <w:tcW w:w="1692" w:type="dxa"/>
            <w:tcBorders>
              <w:top w:val="nil"/>
              <w:left w:val="single" w:sz="4" w:space="0" w:color="auto"/>
              <w:bottom w:val="nil"/>
            </w:tcBorders>
            <w:tcMar>
              <w:top w:w="40" w:type="dxa"/>
              <w:left w:w="40" w:type="dxa"/>
              <w:bottom w:w="40" w:type="dxa"/>
              <w:right w:w="40" w:type="dxa"/>
            </w:tcMar>
            <w:vAlign w:val="center"/>
          </w:tcPr>
          <w:p w14:paraId="088B7E39" w14:textId="0C8E7680"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15.7%</w:t>
            </w:r>
          </w:p>
        </w:tc>
      </w:tr>
      <w:tr w:rsidR="005C0B57" w:rsidRPr="006B15C8" w14:paraId="60220AB1" w14:textId="77777777" w:rsidTr="004D553B">
        <w:trPr>
          <w:trHeight w:val="20"/>
        </w:trPr>
        <w:tc>
          <w:tcPr>
            <w:tcW w:w="2595" w:type="dxa"/>
            <w:tcBorders>
              <w:top w:val="nil"/>
              <w:bottom w:val="single" w:sz="4" w:space="0" w:color="auto"/>
              <w:right w:val="double" w:sz="4" w:space="0" w:color="auto"/>
            </w:tcBorders>
            <w:tcMar>
              <w:top w:w="40" w:type="dxa"/>
              <w:left w:w="40" w:type="dxa"/>
              <w:bottom w:w="40" w:type="dxa"/>
              <w:right w:w="40" w:type="dxa"/>
            </w:tcMar>
            <w:vAlign w:val="center"/>
          </w:tcPr>
          <w:p w14:paraId="4F964DB3" w14:textId="77777777" w:rsidR="00CB2C17" w:rsidRPr="006B15C8" w:rsidRDefault="00CB2C17" w:rsidP="004D553B">
            <w:pPr>
              <w:spacing w:line="240" w:lineRule="auto"/>
              <w:ind w:firstLine="210"/>
              <w:contextualSpacing/>
              <w:rPr>
                <w:rFonts w:eastAsia="Arial"/>
                <w:sz w:val="22"/>
                <w:szCs w:val="22"/>
              </w:rPr>
            </w:pPr>
            <w:r w:rsidRPr="006B15C8">
              <w:rPr>
                <w:rFonts w:eastAsia="Arial"/>
                <w:sz w:val="22"/>
                <w:szCs w:val="22"/>
              </w:rPr>
              <w:t>MST 9-10 (Black)</w:t>
            </w:r>
          </w:p>
        </w:tc>
        <w:tc>
          <w:tcPr>
            <w:tcW w:w="1691" w:type="dxa"/>
            <w:tcBorders>
              <w:top w:val="nil"/>
              <w:left w:val="double" w:sz="4" w:space="0" w:color="auto"/>
              <w:bottom w:val="single" w:sz="4" w:space="0" w:color="auto"/>
              <w:right w:val="single" w:sz="4" w:space="0" w:color="auto"/>
            </w:tcBorders>
            <w:tcMar>
              <w:top w:w="40" w:type="dxa"/>
              <w:left w:w="40" w:type="dxa"/>
              <w:bottom w:w="40" w:type="dxa"/>
              <w:right w:w="40" w:type="dxa"/>
            </w:tcMar>
            <w:vAlign w:val="center"/>
          </w:tcPr>
          <w:p w14:paraId="542FA125" w14:textId="4E8D8F26" w:rsidR="00CB2C17" w:rsidRPr="006B15C8" w:rsidRDefault="009B3B3F" w:rsidP="004D553B">
            <w:pPr>
              <w:spacing w:line="240" w:lineRule="auto"/>
              <w:contextualSpacing/>
              <w:jc w:val="center"/>
              <w:rPr>
                <w:rFonts w:eastAsia="Arial"/>
                <w:bCs/>
                <w:sz w:val="22"/>
                <w:szCs w:val="22"/>
              </w:rPr>
            </w:pPr>
            <w:r w:rsidRPr="006B15C8">
              <w:rPr>
                <w:rFonts w:eastAsia="Arial"/>
                <w:bCs/>
                <w:color w:val="FFFFFF"/>
                <w:sz w:val="22"/>
                <w:szCs w:val="22"/>
              </w:rPr>
              <w:t>0</w:t>
            </w:r>
            <w:r w:rsidR="00697672" w:rsidRPr="006B15C8">
              <w:rPr>
                <w:rFonts w:eastAsia="Arial"/>
                <w:bCs/>
                <w:color w:val="FFFFFF"/>
                <w:sz w:val="22"/>
                <w:szCs w:val="22"/>
              </w:rPr>
              <w:t xml:space="preserve"> </w:t>
            </w:r>
            <w:r w:rsidR="009F2668" w:rsidRPr="006B15C8">
              <w:rPr>
                <w:rFonts w:eastAsia="Arial"/>
                <w:bCs/>
                <w:sz w:val="22"/>
                <w:szCs w:val="22"/>
              </w:rPr>
              <w:t>1254</w:t>
            </w:r>
            <w:r w:rsidRPr="006B15C8">
              <w:rPr>
                <w:rFonts w:eastAsia="Arial"/>
                <w:bCs/>
                <w:sz w:val="22"/>
                <w:szCs w:val="22"/>
              </w:rPr>
              <w:t xml:space="preserve"> </w:t>
            </w:r>
            <w:r w:rsidRPr="006B15C8">
              <w:rPr>
                <w:rFonts w:eastAsia="Arial"/>
                <w:bCs/>
                <w:color w:val="FFFFFF"/>
                <w:sz w:val="22"/>
                <w:szCs w:val="22"/>
              </w:rPr>
              <w:t>0</w:t>
            </w:r>
            <w:r w:rsidR="00CB2C17" w:rsidRPr="006B15C8">
              <w:rPr>
                <w:rFonts w:eastAsia="Arial"/>
                <w:bCs/>
                <w:sz w:val="22"/>
                <w:szCs w:val="22"/>
              </w:rPr>
              <w:t>(</w:t>
            </w:r>
            <w:r w:rsidR="00440DCD" w:rsidRPr="006B15C8">
              <w:rPr>
                <w:rFonts w:eastAsia="Arial"/>
                <w:bCs/>
                <w:sz w:val="22"/>
                <w:szCs w:val="22"/>
              </w:rPr>
              <w:t>7.2</w:t>
            </w:r>
            <w:r w:rsidR="00CB2C17" w:rsidRPr="006B15C8">
              <w:rPr>
                <w:rFonts w:eastAsia="Arial"/>
                <w:bCs/>
                <w:sz w:val="22"/>
                <w:szCs w:val="22"/>
              </w:rPr>
              <w:t>%)</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4245EF78" w14:textId="41D53295"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15.8%</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10009F12" w14:textId="1124173B"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11.4%</w:t>
            </w:r>
          </w:p>
        </w:tc>
        <w:tc>
          <w:tcPr>
            <w:tcW w:w="1692" w:type="dxa"/>
            <w:tcBorders>
              <w:top w:val="nil"/>
              <w:left w:val="single" w:sz="4" w:space="0" w:color="auto"/>
              <w:bottom w:val="single" w:sz="4" w:space="0" w:color="auto"/>
            </w:tcBorders>
            <w:tcMar>
              <w:top w:w="40" w:type="dxa"/>
              <w:left w:w="40" w:type="dxa"/>
              <w:bottom w:w="40" w:type="dxa"/>
              <w:right w:w="40" w:type="dxa"/>
            </w:tcMar>
            <w:vAlign w:val="center"/>
          </w:tcPr>
          <w:p w14:paraId="02E32C2A" w14:textId="6788108C"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16.2%</w:t>
            </w:r>
          </w:p>
        </w:tc>
      </w:tr>
      <w:tr w:rsidR="005C0B57" w:rsidRPr="006B15C8" w14:paraId="65796832" w14:textId="77777777" w:rsidTr="004D553B">
        <w:trPr>
          <w:trHeight w:val="20"/>
        </w:trPr>
        <w:tc>
          <w:tcPr>
            <w:tcW w:w="9360" w:type="dxa"/>
            <w:gridSpan w:val="5"/>
            <w:tcBorders>
              <w:top w:val="single" w:sz="4" w:space="0" w:color="auto"/>
              <w:bottom w:val="single" w:sz="4" w:space="0" w:color="auto"/>
              <w:right w:val="double" w:sz="4" w:space="0" w:color="auto"/>
            </w:tcBorders>
            <w:tcMar>
              <w:top w:w="40" w:type="dxa"/>
              <w:left w:w="40" w:type="dxa"/>
              <w:bottom w:w="40" w:type="dxa"/>
              <w:right w:w="40" w:type="dxa"/>
            </w:tcMar>
            <w:vAlign w:val="center"/>
          </w:tcPr>
          <w:p w14:paraId="1501146D" w14:textId="77777777" w:rsidR="00CB2C17" w:rsidRPr="006B15C8" w:rsidRDefault="00CB2C17" w:rsidP="004D553B">
            <w:pPr>
              <w:spacing w:line="240" w:lineRule="auto"/>
              <w:contextualSpacing/>
              <w:rPr>
                <w:rFonts w:eastAsia="Arial"/>
                <w:i/>
                <w:iCs/>
                <w:sz w:val="22"/>
                <w:szCs w:val="22"/>
              </w:rPr>
            </w:pPr>
            <w:r w:rsidRPr="006B15C8">
              <w:rPr>
                <w:rFonts w:eastAsia="Arial"/>
                <w:i/>
                <w:iCs/>
                <w:sz w:val="22"/>
                <w:szCs w:val="22"/>
              </w:rPr>
              <w:t>Pedestrian Exhibiting Visual Markers of Housing Insecurity (VHI)</w:t>
            </w:r>
          </w:p>
        </w:tc>
      </w:tr>
      <w:tr w:rsidR="005C0B57" w:rsidRPr="006B15C8" w14:paraId="60CE0737" w14:textId="77777777" w:rsidTr="004D553B">
        <w:trPr>
          <w:trHeight w:val="20"/>
        </w:trPr>
        <w:tc>
          <w:tcPr>
            <w:tcW w:w="2595" w:type="dxa"/>
            <w:tcBorders>
              <w:top w:val="single" w:sz="4" w:space="0" w:color="auto"/>
              <w:bottom w:val="nil"/>
              <w:right w:val="double" w:sz="4" w:space="0" w:color="auto"/>
            </w:tcBorders>
            <w:tcMar>
              <w:top w:w="40" w:type="dxa"/>
              <w:left w:w="40" w:type="dxa"/>
              <w:bottom w:w="40" w:type="dxa"/>
              <w:right w:w="40" w:type="dxa"/>
            </w:tcMar>
            <w:vAlign w:val="center"/>
          </w:tcPr>
          <w:p w14:paraId="7D9F34C1"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No VHI identified</w:t>
            </w:r>
          </w:p>
        </w:tc>
        <w:tc>
          <w:tcPr>
            <w:tcW w:w="1691" w:type="dxa"/>
            <w:tcBorders>
              <w:top w:val="single" w:sz="4" w:space="0" w:color="auto"/>
              <w:left w:val="double" w:sz="4" w:space="0" w:color="auto"/>
              <w:bottom w:val="nil"/>
              <w:right w:val="single" w:sz="4" w:space="0" w:color="auto"/>
            </w:tcBorders>
            <w:tcMar>
              <w:top w:w="40" w:type="dxa"/>
              <w:left w:w="40" w:type="dxa"/>
              <w:bottom w:w="40" w:type="dxa"/>
              <w:right w:w="40" w:type="dxa"/>
            </w:tcMar>
            <w:vAlign w:val="center"/>
          </w:tcPr>
          <w:p w14:paraId="5FB7D436" w14:textId="148C76FA" w:rsidR="00CB2C17" w:rsidRPr="006B15C8" w:rsidRDefault="00697672" w:rsidP="004D553B">
            <w:pPr>
              <w:spacing w:line="240" w:lineRule="auto"/>
              <w:contextualSpacing/>
              <w:jc w:val="center"/>
              <w:rPr>
                <w:rFonts w:eastAsia="Arial"/>
                <w:bCs/>
                <w:sz w:val="22"/>
                <w:szCs w:val="22"/>
              </w:rPr>
            </w:pPr>
            <w:r w:rsidRPr="006B15C8">
              <w:rPr>
                <w:rFonts w:eastAsia="Arial"/>
                <w:bCs/>
                <w:sz w:val="22"/>
                <w:szCs w:val="22"/>
              </w:rPr>
              <w:t xml:space="preserve"> </w:t>
            </w:r>
            <w:r w:rsidR="009F2668" w:rsidRPr="006B15C8">
              <w:rPr>
                <w:rFonts w:eastAsia="Arial"/>
                <w:bCs/>
                <w:sz w:val="22"/>
                <w:szCs w:val="22"/>
              </w:rPr>
              <w:t>17099</w:t>
            </w:r>
            <w:r w:rsidR="009B3B3F"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98.4</w:t>
            </w:r>
            <w:r w:rsidR="00CB2C17" w:rsidRPr="006B15C8">
              <w:rPr>
                <w:rFonts w:eastAsia="Arial"/>
                <w:bCs/>
                <w:sz w:val="22"/>
                <w:szCs w:val="22"/>
              </w:rPr>
              <w:t>%)</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2A54FE73" w14:textId="35E8610D"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16.6%</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19B24BA9" w14:textId="63A7ED4F"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7.9%</w:t>
            </w:r>
          </w:p>
        </w:tc>
        <w:tc>
          <w:tcPr>
            <w:tcW w:w="1692" w:type="dxa"/>
            <w:tcBorders>
              <w:top w:val="single" w:sz="4" w:space="0" w:color="auto"/>
              <w:left w:val="single" w:sz="4" w:space="0" w:color="auto"/>
              <w:bottom w:val="nil"/>
            </w:tcBorders>
            <w:tcMar>
              <w:top w:w="40" w:type="dxa"/>
              <w:left w:w="40" w:type="dxa"/>
              <w:bottom w:w="40" w:type="dxa"/>
              <w:right w:w="40" w:type="dxa"/>
            </w:tcMar>
            <w:vAlign w:val="center"/>
          </w:tcPr>
          <w:p w14:paraId="680D499D" w14:textId="2E5847C4"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12.3%</w:t>
            </w:r>
          </w:p>
        </w:tc>
      </w:tr>
      <w:tr w:rsidR="005C0B57" w:rsidRPr="006B15C8" w14:paraId="396CE9BF" w14:textId="77777777" w:rsidTr="004D553B">
        <w:trPr>
          <w:trHeight w:val="20"/>
        </w:trPr>
        <w:tc>
          <w:tcPr>
            <w:tcW w:w="2595" w:type="dxa"/>
            <w:tcBorders>
              <w:top w:val="nil"/>
              <w:bottom w:val="single" w:sz="4" w:space="0" w:color="auto"/>
              <w:right w:val="double" w:sz="4" w:space="0" w:color="auto"/>
            </w:tcBorders>
            <w:tcMar>
              <w:top w:w="40" w:type="dxa"/>
              <w:left w:w="40" w:type="dxa"/>
              <w:bottom w:w="40" w:type="dxa"/>
              <w:right w:w="40" w:type="dxa"/>
            </w:tcMar>
            <w:vAlign w:val="center"/>
          </w:tcPr>
          <w:p w14:paraId="5AF7BA7F" w14:textId="77777777" w:rsidR="00CB2C17" w:rsidRPr="006B15C8" w:rsidRDefault="00CB2C17" w:rsidP="004D553B">
            <w:pPr>
              <w:spacing w:line="240" w:lineRule="auto"/>
              <w:ind w:firstLine="210"/>
              <w:contextualSpacing/>
              <w:jc w:val="left"/>
              <w:rPr>
                <w:rFonts w:eastAsia="Arial"/>
                <w:sz w:val="22"/>
                <w:szCs w:val="22"/>
              </w:rPr>
            </w:pPr>
            <w:r w:rsidRPr="006B15C8">
              <w:rPr>
                <w:rFonts w:eastAsia="Arial"/>
                <w:sz w:val="22"/>
                <w:szCs w:val="22"/>
              </w:rPr>
              <w:t>VHI identified</w:t>
            </w:r>
          </w:p>
        </w:tc>
        <w:tc>
          <w:tcPr>
            <w:tcW w:w="1691" w:type="dxa"/>
            <w:tcBorders>
              <w:top w:val="nil"/>
              <w:left w:val="double" w:sz="4" w:space="0" w:color="auto"/>
              <w:bottom w:val="single" w:sz="4" w:space="0" w:color="auto"/>
              <w:right w:val="single" w:sz="4" w:space="0" w:color="auto"/>
            </w:tcBorders>
            <w:tcMar>
              <w:top w:w="40" w:type="dxa"/>
              <w:left w:w="40" w:type="dxa"/>
              <w:bottom w:w="40" w:type="dxa"/>
              <w:right w:w="40" w:type="dxa"/>
            </w:tcMar>
            <w:vAlign w:val="center"/>
          </w:tcPr>
          <w:p w14:paraId="6CBA7B17" w14:textId="4D252698" w:rsidR="00CB2C17" w:rsidRPr="006B15C8" w:rsidRDefault="009B3B3F" w:rsidP="004D553B">
            <w:pPr>
              <w:spacing w:line="240" w:lineRule="auto"/>
              <w:contextualSpacing/>
              <w:jc w:val="center"/>
              <w:rPr>
                <w:rFonts w:eastAsia="Arial"/>
                <w:bCs/>
                <w:sz w:val="22"/>
                <w:szCs w:val="22"/>
              </w:rPr>
            </w:pPr>
            <w:r w:rsidRPr="006B15C8">
              <w:rPr>
                <w:rFonts w:eastAsia="Arial"/>
                <w:bCs/>
                <w:color w:val="FFFFFF"/>
                <w:sz w:val="22"/>
                <w:szCs w:val="22"/>
              </w:rPr>
              <w:t>00</w:t>
            </w:r>
            <w:r w:rsidR="00697672" w:rsidRPr="006B15C8">
              <w:rPr>
                <w:rFonts w:eastAsia="Arial"/>
                <w:bCs/>
                <w:color w:val="FFFFFF"/>
                <w:sz w:val="22"/>
                <w:szCs w:val="22"/>
              </w:rPr>
              <w:t xml:space="preserve"> </w:t>
            </w:r>
            <w:r w:rsidR="00CB2C17" w:rsidRPr="006B15C8">
              <w:rPr>
                <w:rFonts w:eastAsia="Arial"/>
                <w:bCs/>
                <w:sz w:val="22"/>
                <w:szCs w:val="22"/>
              </w:rPr>
              <w:t>275</w:t>
            </w:r>
            <w:r w:rsidRPr="006B15C8">
              <w:rPr>
                <w:rFonts w:eastAsia="Arial"/>
                <w:bCs/>
                <w:sz w:val="22"/>
                <w:szCs w:val="22"/>
              </w:rPr>
              <w:t xml:space="preserve"> </w:t>
            </w:r>
            <w:r w:rsidRPr="006B15C8">
              <w:rPr>
                <w:rFonts w:eastAsia="Arial"/>
                <w:bCs/>
                <w:color w:val="FFFFFF"/>
                <w:sz w:val="22"/>
                <w:szCs w:val="22"/>
              </w:rPr>
              <w:t>0</w:t>
            </w:r>
            <w:r w:rsidR="00CB2C17" w:rsidRPr="006B15C8">
              <w:rPr>
                <w:rFonts w:eastAsia="Arial"/>
                <w:bCs/>
                <w:sz w:val="22"/>
                <w:szCs w:val="22"/>
              </w:rPr>
              <w:t>(</w:t>
            </w:r>
            <w:r w:rsidR="00440DCD" w:rsidRPr="006B15C8">
              <w:rPr>
                <w:rFonts w:eastAsia="Arial"/>
                <w:bCs/>
                <w:sz w:val="22"/>
                <w:szCs w:val="22"/>
              </w:rPr>
              <w:t>1.6</w:t>
            </w:r>
            <w:r w:rsidR="00CB2C17" w:rsidRPr="006B15C8">
              <w:rPr>
                <w:rFonts w:eastAsia="Arial"/>
                <w:bCs/>
                <w:sz w:val="22"/>
                <w:szCs w:val="22"/>
              </w:rPr>
              <w:t>%)</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49112335" w14:textId="7D8A1F9F"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21.1%</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318079DA" w14:textId="1B7EA4CB"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21.1%</w:t>
            </w:r>
          </w:p>
        </w:tc>
        <w:tc>
          <w:tcPr>
            <w:tcW w:w="1692" w:type="dxa"/>
            <w:tcBorders>
              <w:top w:val="nil"/>
              <w:left w:val="single" w:sz="4" w:space="0" w:color="auto"/>
              <w:bottom w:val="single" w:sz="4" w:space="0" w:color="auto"/>
            </w:tcBorders>
            <w:tcMar>
              <w:top w:w="40" w:type="dxa"/>
              <w:left w:w="40" w:type="dxa"/>
              <w:bottom w:w="40" w:type="dxa"/>
              <w:right w:w="40" w:type="dxa"/>
            </w:tcMar>
            <w:vAlign w:val="center"/>
          </w:tcPr>
          <w:p w14:paraId="28CF729E" w14:textId="50FF0D56"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39.7%</w:t>
            </w:r>
          </w:p>
        </w:tc>
      </w:tr>
      <w:tr w:rsidR="005C0B57" w:rsidRPr="006B15C8" w14:paraId="7479A1B3" w14:textId="77777777" w:rsidTr="004D553B">
        <w:trPr>
          <w:trHeight w:val="20"/>
        </w:trPr>
        <w:tc>
          <w:tcPr>
            <w:tcW w:w="9360" w:type="dxa"/>
            <w:gridSpan w:val="5"/>
            <w:tcBorders>
              <w:top w:val="single" w:sz="4" w:space="0" w:color="auto"/>
              <w:bottom w:val="single" w:sz="4" w:space="0" w:color="auto"/>
              <w:right w:val="double" w:sz="4" w:space="0" w:color="auto"/>
            </w:tcBorders>
            <w:tcMar>
              <w:top w:w="40" w:type="dxa"/>
              <w:left w:w="40" w:type="dxa"/>
              <w:bottom w:w="40" w:type="dxa"/>
              <w:right w:w="40" w:type="dxa"/>
            </w:tcMar>
            <w:vAlign w:val="center"/>
          </w:tcPr>
          <w:p w14:paraId="22500FC4" w14:textId="77777777" w:rsidR="00CB2C17" w:rsidRPr="006B15C8" w:rsidRDefault="00CB2C17" w:rsidP="004D553B">
            <w:pPr>
              <w:spacing w:line="240" w:lineRule="auto"/>
              <w:contextualSpacing/>
              <w:rPr>
                <w:rFonts w:eastAsia="Arial"/>
                <w:b/>
                <w:bCs/>
                <w:i/>
                <w:iCs/>
                <w:sz w:val="22"/>
                <w:szCs w:val="22"/>
              </w:rPr>
            </w:pPr>
            <w:r w:rsidRPr="006B15C8">
              <w:rPr>
                <w:rFonts w:eastAsia="Arial"/>
                <w:b/>
                <w:bCs/>
                <w:sz w:val="22"/>
                <w:szCs w:val="22"/>
              </w:rPr>
              <w:t>Pedestrian Activity and Contextual Variables</w:t>
            </w:r>
          </w:p>
        </w:tc>
      </w:tr>
      <w:tr w:rsidR="005C0B57" w:rsidRPr="006B15C8" w14:paraId="3EA0AB99" w14:textId="77777777" w:rsidTr="004D553B">
        <w:trPr>
          <w:trHeight w:val="20"/>
        </w:trPr>
        <w:tc>
          <w:tcPr>
            <w:tcW w:w="9360" w:type="dxa"/>
            <w:gridSpan w:val="5"/>
            <w:tcBorders>
              <w:top w:val="single" w:sz="4" w:space="0" w:color="auto"/>
              <w:bottom w:val="single" w:sz="4" w:space="0" w:color="auto"/>
              <w:right w:val="double" w:sz="4" w:space="0" w:color="auto"/>
            </w:tcBorders>
            <w:tcMar>
              <w:top w:w="40" w:type="dxa"/>
              <w:left w:w="40" w:type="dxa"/>
              <w:bottom w:w="40" w:type="dxa"/>
              <w:right w:w="40" w:type="dxa"/>
            </w:tcMar>
            <w:vAlign w:val="center"/>
          </w:tcPr>
          <w:p w14:paraId="793D4583" w14:textId="77777777" w:rsidR="00CB2C17" w:rsidRPr="006B15C8" w:rsidRDefault="00CB2C17" w:rsidP="004D553B">
            <w:pPr>
              <w:spacing w:line="240" w:lineRule="auto"/>
              <w:contextualSpacing/>
              <w:rPr>
                <w:rFonts w:eastAsia="Arial"/>
                <w:i/>
                <w:iCs/>
                <w:sz w:val="22"/>
                <w:szCs w:val="22"/>
              </w:rPr>
            </w:pPr>
            <w:r w:rsidRPr="006B15C8">
              <w:rPr>
                <w:rFonts w:eastAsia="Arial"/>
                <w:i/>
                <w:iCs/>
                <w:sz w:val="22"/>
                <w:szCs w:val="22"/>
              </w:rPr>
              <w:t>Social Context</w:t>
            </w:r>
          </w:p>
        </w:tc>
      </w:tr>
      <w:tr w:rsidR="005C0B57" w:rsidRPr="006B15C8" w14:paraId="22DEA227" w14:textId="77777777" w:rsidTr="004D553B">
        <w:trPr>
          <w:trHeight w:val="20"/>
        </w:trPr>
        <w:tc>
          <w:tcPr>
            <w:tcW w:w="2595" w:type="dxa"/>
            <w:tcBorders>
              <w:top w:val="single" w:sz="4" w:space="0" w:color="auto"/>
              <w:bottom w:val="nil"/>
              <w:right w:val="double" w:sz="4" w:space="0" w:color="auto"/>
            </w:tcBorders>
            <w:tcMar>
              <w:top w:w="40" w:type="dxa"/>
              <w:left w:w="40" w:type="dxa"/>
              <w:bottom w:w="40" w:type="dxa"/>
              <w:right w:w="40" w:type="dxa"/>
            </w:tcMar>
            <w:vAlign w:val="center"/>
          </w:tcPr>
          <w:p w14:paraId="34E3F3E9"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Solo crossing</w:t>
            </w:r>
          </w:p>
        </w:tc>
        <w:tc>
          <w:tcPr>
            <w:tcW w:w="1691" w:type="dxa"/>
            <w:tcBorders>
              <w:top w:val="single" w:sz="4" w:space="0" w:color="auto"/>
              <w:left w:val="double" w:sz="4" w:space="0" w:color="auto"/>
              <w:bottom w:val="nil"/>
              <w:right w:val="single" w:sz="4" w:space="0" w:color="auto"/>
            </w:tcBorders>
            <w:tcMar>
              <w:top w:w="40" w:type="dxa"/>
              <w:left w:w="40" w:type="dxa"/>
              <w:bottom w:w="40" w:type="dxa"/>
              <w:right w:w="40" w:type="dxa"/>
            </w:tcMar>
            <w:vAlign w:val="center"/>
          </w:tcPr>
          <w:p w14:paraId="2810F7A1" w14:textId="188CF63B" w:rsidR="00CB2C17" w:rsidRPr="006B15C8" w:rsidRDefault="00697672" w:rsidP="004D553B">
            <w:pPr>
              <w:spacing w:line="240" w:lineRule="auto"/>
              <w:contextualSpacing/>
              <w:jc w:val="center"/>
              <w:rPr>
                <w:rFonts w:eastAsia="Arial"/>
                <w:bCs/>
                <w:sz w:val="22"/>
                <w:szCs w:val="22"/>
              </w:rPr>
            </w:pPr>
            <w:r w:rsidRPr="006B15C8">
              <w:rPr>
                <w:rFonts w:eastAsia="Arial"/>
                <w:bCs/>
                <w:sz w:val="22"/>
                <w:szCs w:val="22"/>
              </w:rPr>
              <w:t xml:space="preserve"> </w:t>
            </w:r>
            <w:r w:rsidR="009F2668" w:rsidRPr="006B15C8">
              <w:rPr>
                <w:rFonts w:eastAsia="Arial"/>
                <w:bCs/>
                <w:sz w:val="22"/>
                <w:szCs w:val="22"/>
              </w:rPr>
              <w:t>15453</w:t>
            </w:r>
            <w:r w:rsidR="009B3B3F"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88.9</w:t>
            </w:r>
            <w:r w:rsidR="00CB2C17" w:rsidRPr="006B15C8">
              <w:rPr>
                <w:rFonts w:eastAsia="Arial"/>
                <w:bCs/>
                <w:sz w:val="22"/>
                <w:szCs w:val="22"/>
              </w:rPr>
              <w:t>%)</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2DF8A7FE" w14:textId="62CF9CFA"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15.5%</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37518035" w14:textId="35ED54E0"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8.4%</w:t>
            </w:r>
          </w:p>
        </w:tc>
        <w:tc>
          <w:tcPr>
            <w:tcW w:w="1692" w:type="dxa"/>
            <w:tcBorders>
              <w:top w:val="single" w:sz="4" w:space="0" w:color="auto"/>
              <w:left w:val="single" w:sz="4" w:space="0" w:color="auto"/>
              <w:bottom w:val="nil"/>
            </w:tcBorders>
            <w:tcMar>
              <w:top w:w="40" w:type="dxa"/>
              <w:left w:w="40" w:type="dxa"/>
              <w:bottom w:w="40" w:type="dxa"/>
              <w:right w:w="40" w:type="dxa"/>
            </w:tcMar>
            <w:vAlign w:val="center"/>
          </w:tcPr>
          <w:p w14:paraId="4CB04F4A" w14:textId="16B67F1B"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13.3%</w:t>
            </w:r>
          </w:p>
        </w:tc>
      </w:tr>
      <w:tr w:rsidR="005C0B57" w:rsidRPr="006B15C8" w14:paraId="5B009211" w14:textId="77777777" w:rsidTr="004D553B">
        <w:trPr>
          <w:trHeight w:val="20"/>
        </w:trPr>
        <w:tc>
          <w:tcPr>
            <w:tcW w:w="2595" w:type="dxa"/>
            <w:tcBorders>
              <w:top w:val="nil"/>
              <w:bottom w:val="single" w:sz="4" w:space="0" w:color="auto"/>
              <w:right w:val="double" w:sz="4" w:space="0" w:color="auto"/>
            </w:tcBorders>
            <w:tcMar>
              <w:top w:w="40" w:type="dxa"/>
              <w:left w:w="40" w:type="dxa"/>
              <w:bottom w:w="40" w:type="dxa"/>
              <w:right w:w="40" w:type="dxa"/>
            </w:tcMar>
            <w:vAlign w:val="center"/>
          </w:tcPr>
          <w:p w14:paraId="51FF6498"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Group crossing</w:t>
            </w:r>
          </w:p>
        </w:tc>
        <w:tc>
          <w:tcPr>
            <w:tcW w:w="1691" w:type="dxa"/>
            <w:tcBorders>
              <w:top w:val="nil"/>
              <w:left w:val="double" w:sz="4" w:space="0" w:color="auto"/>
              <w:bottom w:val="single" w:sz="4" w:space="0" w:color="auto"/>
              <w:right w:val="single" w:sz="4" w:space="0" w:color="auto"/>
            </w:tcBorders>
            <w:tcMar>
              <w:top w:w="40" w:type="dxa"/>
              <w:left w:w="40" w:type="dxa"/>
              <w:bottom w:w="40" w:type="dxa"/>
              <w:right w:w="40" w:type="dxa"/>
            </w:tcMar>
            <w:vAlign w:val="center"/>
          </w:tcPr>
          <w:p w14:paraId="4DC2FE6C" w14:textId="06F24282" w:rsidR="00CB2C17" w:rsidRPr="006B15C8" w:rsidRDefault="009B3B3F" w:rsidP="004D553B">
            <w:pPr>
              <w:spacing w:line="240" w:lineRule="auto"/>
              <w:contextualSpacing/>
              <w:jc w:val="center"/>
              <w:rPr>
                <w:rFonts w:eastAsia="Arial"/>
                <w:bCs/>
                <w:sz w:val="22"/>
                <w:szCs w:val="22"/>
              </w:rPr>
            </w:pPr>
            <w:r w:rsidRPr="006B15C8">
              <w:rPr>
                <w:rFonts w:eastAsia="Arial"/>
                <w:bCs/>
                <w:color w:val="FFFFFF"/>
                <w:sz w:val="22"/>
                <w:szCs w:val="22"/>
              </w:rPr>
              <w:t>0</w:t>
            </w:r>
            <w:r w:rsidR="00697672" w:rsidRPr="006B15C8">
              <w:rPr>
                <w:rFonts w:eastAsia="Arial"/>
                <w:bCs/>
                <w:color w:val="FFFFFF"/>
                <w:sz w:val="22"/>
                <w:szCs w:val="22"/>
              </w:rPr>
              <w:t xml:space="preserve"> </w:t>
            </w:r>
            <w:r w:rsidR="009F2668" w:rsidRPr="006B15C8">
              <w:rPr>
                <w:rFonts w:eastAsia="Arial"/>
                <w:bCs/>
                <w:sz w:val="22"/>
                <w:szCs w:val="22"/>
              </w:rPr>
              <w:t>1921</w:t>
            </w:r>
            <w:r w:rsidR="00CB2C17" w:rsidRPr="006B15C8">
              <w:rPr>
                <w:rFonts w:eastAsia="Arial"/>
                <w:bCs/>
                <w:sz w:val="22"/>
                <w:szCs w:val="22"/>
              </w:rPr>
              <w:t xml:space="preserve"> (</w:t>
            </w:r>
            <w:r w:rsidR="00440DCD" w:rsidRPr="006B15C8">
              <w:rPr>
                <w:rFonts w:eastAsia="Arial"/>
                <w:bCs/>
                <w:sz w:val="22"/>
                <w:szCs w:val="22"/>
              </w:rPr>
              <w:t>11.1</w:t>
            </w:r>
            <w:r w:rsidR="00CB2C17" w:rsidRPr="006B15C8">
              <w:rPr>
                <w:rFonts w:eastAsia="Arial"/>
                <w:bCs/>
                <w:sz w:val="22"/>
                <w:szCs w:val="22"/>
              </w:rPr>
              <w:t>%)</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4CA761F4" w14:textId="5F687527"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25.9%</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4C65BCFC" w14:textId="0E2C316A"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5.6%</w:t>
            </w:r>
          </w:p>
        </w:tc>
        <w:tc>
          <w:tcPr>
            <w:tcW w:w="1692" w:type="dxa"/>
            <w:tcBorders>
              <w:top w:val="nil"/>
              <w:left w:val="single" w:sz="4" w:space="0" w:color="auto"/>
              <w:bottom w:val="single" w:sz="4" w:space="0" w:color="auto"/>
            </w:tcBorders>
            <w:tcMar>
              <w:top w:w="40" w:type="dxa"/>
              <w:left w:w="40" w:type="dxa"/>
              <w:bottom w:w="40" w:type="dxa"/>
              <w:right w:w="40" w:type="dxa"/>
            </w:tcMar>
            <w:vAlign w:val="center"/>
          </w:tcPr>
          <w:p w14:paraId="760FE63C" w14:textId="0172BC28"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10.5%</w:t>
            </w:r>
          </w:p>
        </w:tc>
      </w:tr>
      <w:tr w:rsidR="005C0B57" w:rsidRPr="006B15C8" w14:paraId="08E5FA05" w14:textId="77777777" w:rsidTr="004D553B">
        <w:trPr>
          <w:trHeight w:val="20"/>
        </w:trPr>
        <w:tc>
          <w:tcPr>
            <w:tcW w:w="9360" w:type="dxa"/>
            <w:gridSpan w:val="5"/>
            <w:tcBorders>
              <w:top w:val="nil"/>
              <w:bottom w:val="single" w:sz="4" w:space="0" w:color="auto"/>
            </w:tcBorders>
            <w:tcMar>
              <w:top w:w="40" w:type="dxa"/>
              <w:left w:w="40" w:type="dxa"/>
              <w:bottom w:w="40" w:type="dxa"/>
              <w:right w:w="40" w:type="dxa"/>
            </w:tcMar>
            <w:vAlign w:val="center"/>
          </w:tcPr>
          <w:p w14:paraId="3FF08332" w14:textId="77777777" w:rsidR="00CB2C17" w:rsidRPr="006B15C8" w:rsidRDefault="00CB2C17" w:rsidP="004D553B">
            <w:pPr>
              <w:spacing w:line="240" w:lineRule="auto"/>
              <w:contextualSpacing/>
              <w:rPr>
                <w:rFonts w:eastAsia="Arial"/>
                <w:i/>
                <w:iCs/>
                <w:sz w:val="22"/>
                <w:szCs w:val="22"/>
              </w:rPr>
            </w:pPr>
            <w:r w:rsidRPr="006B15C8">
              <w:rPr>
                <w:rFonts w:eastAsia="Arial"/>
                <w:i/>
                <w:iCs/>
                <w:sz w:val="22"/>
                <w:szCs w:val="22"/>
              </w:rPr>
              <w:t>Pedestrian Distraction</w:t>
            </w:r>
          </w:p>
        </w:tc>
      </w:tr>
      <w:tr w:rsidR="005C0B57" w:rsidRPr="006B15C8" w14:paraId="00E7860D"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79B55805"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Not distracted</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3CFEBF96" w14:textId="4C6532FD" w:rsidR="00CB2C17" w:rsidRPr="006B15C8" w:rsidRDefault="00697672" w:rsidP="004D553B">
            <w:pPr>
              <w:spacing w:line="240" w:lineRule="auto"/>
              <w:contextualSpacing/>
              <w:jc w:val="center"/>
              <w:rPr>
                <w:rFonts w:eastAsia="Arial"/>
                <w:bCs/>
                <w:sz w:val="22"/>
                <w:szCs w:val="22"/>
              </w:rPr>
            </w:pPr>
            <w:r w:rsidRPr="006B15C8">
              <w:rPr>
                <w:rFonts w:eastAsia="Arial"/>
                <w:bCs/>
                <w:sz w:val="22"/>
                <w:szCs w:val="22"/>
              </w:rPr>
              <w:t xml:space="preserve"> </w:t>
            </w:r>
            <w:r w:rsidR="009F2668" w:rsidRPr="006B15C8">
              <w:rPr>
                <w:rFonts w:eastAsia="Arial"/>
                <w:bCs/>
                <w:sz w:val="22"/>
                <w:szCs w:val="22"/>
              </w:rPr>
              <w:t>17070</w:t>
            </w:r>
            <w:r w:rsidR="00CB2C17" w:rsidRPr="006B15C8">
              <w:rPr>
                <w:rFonts w:eastAsia="Arial"/>
                <w:bCs/>
                <w:sz w:val="22"/>
                <w:szCs w:val="22"/>
              </w:rPr>
              <w:t xml:space="preserve"> (</w:t>
            </w:r>
            <w:r w:rsidR="00440DCD" w:rsidRPr="006B15C8">
              <w:rPr>
                <w:rFonts w:eastAsia="Arial"/>
                <w:bCs/>
                <w:sz w:val="22"/>
                <w:szCs w:val="22"/>
              </w:rPr>
              <w:t>98.3</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1408BC6E" w14:textId="6A946D08"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16.7%</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2E3180C2" w14:textId="5B27C1D8"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8.1%</w:t>
            </w:r>
          </w:p>
        </w:tc>
        <w:tc>
          <w:tcPr>
            <w:tcW w:w="1692" w:type="dxa"/>
            <w:tcBorders>
              <w:top w:val="nil"/>
              <w:left w:val="single" w:sz="4" w:space="0" w:color="auto"/>
              <w:bottom w:val="nil"/>
            </w:tcBorders>
            <w:tcMar>
              <w:top w:w="40" w:type="dxa"/>
              <w:left w:w="40" w:type="dxa"/>
              <w:bottom w:w="40" w:type="dxa"/>
              <w:right w:w="40" w:type="dxa"/>
            </w:tcMar>
            <w:vAlign w:val="center"/>
          </w:tcPr>
          <w:p w14:paraId="3C25602E" w14:textId="1F445190"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12.8%</w:t>
            </w:r>
          </w:p>
        </w:tc>
      </w:tr>
      <w:tr w:rsidR="005C0B57" w:rsidRPr="006B15C8" w14:paraId="6F9F9087" w14:textId="77777777" w:rsidTr="004D553B">
        <w:trPr>
          <w:trHeight w:val="20"/>
        </w:trPr>
        <w:tc>
          <w:tcPr>
            <w:tcW w:w="2595" w:type="dxa"/>
            <w:tcBorders>
              <w:top w:val="nil"/>
              <w:bottom w:val="single" w:sz="4" w:space="0" w:color="auto"/>
              <w:right w:val="double" w:sz="4" w:space="0" w:color="auto"/>
            </w:tcBorders>
            <w:tcMar>
              <w:top w:w="40" w:type="dxa"/>
              <w:left w:w="40" w:type="dxa"/>
              <w:bottom w:w="40" w:type="dxa"/>
              <w:right w:w="40" w:type="dxa"/>
            </w:tcMar>
            <w:vAlign w:val="center"/>
          </w:tcPr>
          <w:p w14:paraId="4D0E632F"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Distracted</w:t>
            </w:r>
          </w:p>
        </w:tc>
        <w:tc>
          <w:tcPr>
            <w:tcW w:w="1691" w:type="dxa"/>
            <w:tcBorders>
              <w:top w:val="nil"/>
              <w:left w:val="double" w:sz="4" w:space="0" w:color="auto"/>
              <w:bottom w:val="single" w:sz="4" w:space="0" w:color="auto"/>
              <w:right w:val="single" w:sz="4" w:space="0" w:color="auto"/>
            </w:tcBorders>
            <w:tcMar>
              <w:top w:w="40" w:type="dxa"/>
              <w:left w:w="40" w:type="dxa"/>
              <w:bottom w:w="40" w:type="dxa"/>
              <w:right w:w="40" w:type="dxa"/>
            </w:tcMar>
            <w:vAlign w:val="center"/>
          </w:tcPr>
          <w:p w14:paraId="3BFFE056" w14:textId="06EA5968" w:rsidR="00CB2C17" w:rsidRPr="006B15C8" w:rsidRDefault="009B3B3F" w:rsidP="004D553B">
            <w:pPr>
              <w:spacing w:line="240" w:lineRule="auto"/>
              <w:contextualSpacing/>
              <w:jc w:val="center"/>
              <w:rPr>
                <w:rFonts w:eastAsia="Arial"/>
                <w:bCs/>
                <w:sz w:val="22"/>
                <w:szCs w:val="22"/>
              </w:rPr>
            </w:pPr>
            <w:r w:rsidRPr="006B15C8">
              <w:rPr>
                <w:rFonts w:eastAsia="Arial"/>
                <w:bCs/>
                <w:color w:val="FFFFFF"/>
                <w:sz w:val="22"/>
                <w:szCs w:val="22"/>
              </w:rPr>
              <w:t>00</w:t>
            </w:r>
            <w:r w:rsidR="00697672" w:rsidRPr="006B15C8">
              <w:rPr>
                <w:rFonts w:eastAsia="Arial"/>
                <w:bCs/>
                <w:color w:val="FFFFFF"/>
                <w:sz w:val="22"/>
                <w:szCs w:val="22"/>
              </w:rPr>
              <w:t xml:space="preserve"> </w:t>
            </w:r>
            <w:r w:rsidR="00CB2C17" w:rsidRPr="006B15C8">
              <w:rPr>
                <w:rFonts w:eastAsia="Arial"/>
                <w:bCs/>
                <w:sz w:val="22"/>
                <w:szCs w:val="22"/>
              </w:rPr>
              <w:t>30</w:t>
            </w:r>
            <w:r w:rsidR="009F2668" w:rsidRPr="006B15C8">
              <w:rPr>
                <w:rFonts w:eastAsia="Arial"/>
                <w:bCs/>
                <w:sz w:val="22"/>
                <w:szCs w:val="22"/>
              </w:rPr>
              <w:t>4</w:t>
            </w:r>
            <w:r w:rsidR="009F2668" w:rsidRPr="006B15C8">
              <w:rPr>
                <w:rFonts w:eastAsia="Arial"/>
                <w:bCs/>
                <w:color w:val="FFFFFF"/>
                <w:sz w:val="22"/>
                <w:szCs w:val="22"/>
              </w:rPr>
              <w:t xml:space="preserve"> </w:t>
            </w:r>
            <w:r w:rsidRPr="006B15C8">
              <w:rPr>
                <w:rFonts w:eastAsia="Arial"/>
                <w:bCs/>
                <w:color w:val="FFFFFF"/>
                <w:sz w:val="22"/>
                <w:szCs w:val="22"/>
              </w:rPr>
              <w:t>0</w:t>
            </w:r>
            <w:r w:rsidR="00CB2C17" w:rsidRPr="006B15C8">
              <w:rPr>
                <w:rFonts w:eastAsia="Arial"/>
                <w:bCs/>
                <w:sz w:val="22"/>
                <w:szCs w:val="22"/>
              </w:rPr>
              <w:t>(1.</w:t>
            </w:r>
            <w:r w:rsidR="00440DCD" w:rsidRPr="006B15C8">
              <w:rPr>
                <w:rFonts w:eastAsia="Arial"/>
                <w:bCs/>
                <w:sz w:val="22"/>
                <w:szCs w:val="22"/>
              </w:rPr>
              <w:t>7</w:t>
            </w:r>
            <w:r w:rsidR="00CB2C17" w:rsidRPr="006B15C8">
              <w:rPr>
                <w:rFonts w:eastAsia="Arial"/>
                <w:bCs/>
                <w:sz w:val="22"/>
                <w:szCs w:val="22"/>
              </w:rPr>
              <w:t>%)</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624E1583" w14:textId="1366ACE6"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15.5%</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689C2D5C" w14:textId="6503A18F"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5.3%</w:t>
            </w:r>
          </w:p>
        </w:tc>
        <w:tc>
          <w:tcPr>
            <w:tcW w:w="1692" w:type="dxa"/>
            <w:tcBorders>
              <w:top w:val="nil"/>
              <w:left w:val="single" w:sz="4" w:space="0" w:color="auto"/>
              <w:bottom w:val="single" w:sz="4" w:space="0" w:color="auto"/>
            </w:tcBorders>
            <w:tcMar>
              <w:top w:w="40" w:type="dxa"/>
              <w:left w:w="40" w:type="dxa"/>
              <w:bottom w:w="40" w:type="dxa"/>
              <w:right w:w="40" w:type="dxa"/>
            </w:tcMar>
            <w:vAlign w:val="center"/>
          </w:tcPr>
          <w:p w14:paraId="4A851C68" w14:textId="5759D905"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12.8%</w:t>
            </w:r>
          </w:p>
        </w:tc>
      </w:tr>
      <w:tr w:rsidR="005C0B57" w:rsidRPr="006B15C8" w14:paraId="45F5E80C" w14:textId="77777777" w:rsidTr="004D553B">
        <w:trPr>
          <w:trHeight w:val="20"/>
        </w:trPr>
        <w:tc>
          <w:tcPr>
            <w:tcW w:w="9360" w:type="dxa"/>
            <w:gridSpan w:val="5"/>
            <w:tcBorders>
              <w:top w:val="single" w:sz="4" w:space="0" w:color="auto"/>
              <w:bottom w:val="single" w:sz="4" w:space="0" w:color="auto"/>
              <w:right w:val="double" w:sz="4" w:space="0" w:color="auto"/>
            </w:tcBorders>
            <w:tcMar>
              <w:top w:w="40" w:type="dxa"/>
              <w:left w:w="40" w:type="dxa"/>
              <w:bottom w:w="40" w:type="dxa"/>
              <w:right w:w="40" w:type="dxa"/>
            </w:tcMar>
            <w:vAlign w:val="center"/>
          </w:tcPr>
          <w:p w14:paraId="57788793" w14:textId="77777777" w:rsidR="00CB2C17" w:rsidRPr="006B15C8" w:rsidRDefault="00CB2C17" w:rsidP="004D553B">
            <w:pPr>
              <w:spacing w:line="240" w:lineRule="auto"/>
              <w:contextualSpacing/>
              <w:rPr>
                <w:rFonts w:eastAsia="Arial"/>
                <w:i/>
                <w:iCs/>
                <w:sz w:val="22"/>
                <w:szCs w:val="22"/>
              </w:rPr>
            </w:pPr>
            <w:r w:rsidRPr="006B15C8">
              <w:rPr>
                <w:rFonts w:eastAsia="Arial"/>
                <w:i/>
                <w:iCs/>
                <w:sz w:val="22"/>
                <w:szCs w:val="22"/>
              </w:rPr>
              <w:t>Pedestrian Activity Type</w:t>
            </w:r>
          </w:p>
        </w:tc>
      </w:tr>
      <w:tr w:rsidR="005C0B57" w:rsidRPr="006B15C8" w14:paraId="087571A8" w14:textId="77777777" w:rsidTr="004D553B">
        <w:trPr>
          <w:trHeight w:val="20"/>
        </w:trPr>
        <w:tc>
          <w:tcPr>
            <w:tcW w:w="2595" w:type="dxa"/>
            <w:tcBorders>
              <w:top w:val="single" w:sz="4" w:space="0" w:color="auto"/>
              <w:bottom w:val="nil"/>
              <w:right w:val="double" w:sz="4" w:space="0" w:color="auto"/>
            </w:tcBorders>
            <w:tcMar>
              <w:top w:w="40" w:type="dxa"/>
              <w:left w:w="40" w:type="dxa"/>
              <w:bottom w:w="40" w:type="dxa"/>
              <w:right w:w="40" w:type="dxa"/>
            </w:tcMar>
            <w:vAlign w:val="center"/>
          </w:tcPr>
          <w:p w14:paraId="05D3DF71"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Walker</w:t>
            </w:r>
          </w:p>
        </w:tc>
        <w:tc>
          <w:tcPr>
            <w:tcW w:w="1691" w:type="dxa"/>
            <w:tcBorders>
              <w:top w:val="single" w:sz="4" w:space="0" w:color="auto"/>
              <w:left w:val="double" w:sz="4" w:space="0" w:color="auto"/>
              <w:bottom w:val="nil"/>
              <w:right w:val="single" w:sz="4" w:space="0" w:color="auto"/>
            </w:tcBorders>
            <w:tcMar>
              <w:top w:w="40" w:type="dxa"/>
              <w:left w:w="40" w:type="dxa"/>
              <w:bottom w:w="40" w:type="dxa"/>
              <w:right w:w="40" w:type="dxa"/>
            </w:tcMar>
            <w:vAlign w:val="center"/>
          </w:tcPr>
          <w:p w14:paraId="2C2FA5AE" w14:textId="7F24A470" w:rsidR="00CB2C17" w:rsidRPr="006B15C8" w:rsidRDefault="00697672" w:rsidP="004D553B">
            <w:pPr>
              <w:spacing w:line="240" w:lineRule="auto"/>
              <w:contextualSpacing/>
              <w:jc w:val="center"/>
              <w:rPr>
                <w:rFonts w:eastAsia="Arial"/>
                <w:bCs/>
                <w:sz w:val="22"/>
                <w:szCs w:val="22"/>
              </w:rPr>
            </w:pPr>
            <w:r w:rsidRPr="006B15C8">
              <w:rPr>
                <w:rFonts w:eastAsia="Arial"/>
                <w:bCs/>
                <w:sz w:val="22"/>
                <w:szCs w:val="22"/>
              </w:rPr>
              <w:t xml:space="preserve"> </w:t>
            </w:r>
            <w:r w:rsidR="009F2668" w:rsidRPr="006B15C8">
              <w:rPr>
                <w:rFonts w:eastAsia="Arial"/>
                <w:bCs/>
                <w:sz w:val="22"/>
                <w:szCs w:val="22"/>
              </w:rPr>
              <w:t>16134</w:t>
            </w:r>
            <w:r w:rsidR="009B3B3F"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92.9</w:t>
            </w:r>
            <w:r w:rsidR="00CB2C17" w:rsidRPr="006B15C8">
              <w:rPr>
                <w:rFonts w:eastAsia="Arial"/>
                <w:bCs/>
                <w:sz w:val="22"/>
                <w:szCs w:val="22"/>
              </w:rPr>
              <w:t>%)</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3AF3BD75" w14:textId="7AAE633D"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17.0%</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33B802A7" w14:textId="285009AD"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7.5%</w:t>
            </w:r>
          </w:p>
        </w:tc>
        <w:tc>
          <w:tcPr>
            <w:tcW w:w="1692" w:type="dxa"/>
            <w:tcBorders>
              <w:top w:val="single" w:sz="4" w:space="0" w:color="auto"/>
              <w:left w:val="single" w:sz="4" w:space="0" w:color="auto"/>
              <w:bottom w:val="nil"/>
            </w:tcBorders>
            <w:tcMar>
              <w:top w:w="40" w:type="dxa"/>
              <w:left w:w="40" w:type="dxa"/>
              <w:bottom w:w="40" w:type="dxa"/>
              <w:right w:w="40" w:type="dxa"/>
            </w:tcMar>
            <w:vAlign w:val="center"/>
          </w:tcPr>
          <w:p w14:paraId="354A8FA5" w14:textId="2DBE54E1"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12.7%</w:t>
            </w:r>
          </w:p>
        </w:tc>
      </w:tr>
      <w:tr w:rsidR="005C0B57" w:rsidRPr="006B15C8" w14:paraId="4DDC0638" w14:textId="77777777" w:rsidTr="004D553B">
        <w:trPr>
          <w:trHeight w:val="20"/>
        </w:trPr>
        <w:tc>
          <w:tcPr>
            <w:tcW w:w="2595" w:type="dxa"/>
            <w:tcBorders>
              <w:top w:val="nil"/>
              <w:bottom w:val="double" w:sz="4" w:space="0" w:color="auto"/>
              <w:right w:val="double" w:sz="4" w:space="0" w:color="auto"/>
            </w:tcBorders>
            <w:tcMar>
              <w:top w:w="40" w:type="dxa"/>
              <w:left w:w="40" w:type="dxa"/>
              <w:bottom w:w="40" w:type="dxa"/>
              <w:right w:w="40" w:type="dxa"/>
            </w:tcMar>
            <w:vAlign w:val="center"/>
          </w:tcPr>
          <w:p w14:paraId="1C95DCCD"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Runner</w:t>
            </w:r>
          </w:p>
        </w:tc>
        <w:tc>
          <w:tcPr>
            <w:tcW w:w="1691" w:type="dxa"/>
            <w:tcBorders>
              <w:top w:val="nil"/>
              <w:left w:val="double" w:sz="4" w:space="0" w:color="auto"/>
              <w:bottom w:val="double" w:sz="4" w:space="0" w:color="auto"/>
              <w:right w:val="single" w:sz="4" w:space="0" w:color="auto"/>
            </w:tcBorders>
            <w:tcMar>
              <w:top w:w="40" w:type="dxa"/>
              <w:left w:w="40" w:type="dxa"/>
              <w:bottom w:w="40" w:type="dxa"/>
              <w:right w:w="40" w:type="dxa"/>
            </w:tcMar>
            <w:vAlign w:val="center"/>
          </w:tcPr>
          <w:p w14:paraId="3C4462BD" w14:textId="1CCE6F6C" w:rsidR="00CB2C17" w:rsidRPr="006B15C8" w:rsidRDefault="009B3B3F" w:rsidP="004D553B">
            <w:pPr>
              <w:spacing w:line="240" w:lineRule="auto"/>
              <w:contextualSpacing/>
              <w:jc w:val="center"/>
              <w:rPr>
                <w:rFonts w:eastAsia="Arial"/>
                <w:bCs/>
                <w:sz w:val="22"/>
                <w:szCs w:val="22"/>
              </w:rPr>
            </w:pPr>
            <w:r w:rsidRPr="006B15C8">
              <w:rPr>
                <w:rFonts w:eastAsia="Arial"/>
                <w:bCs/>
                <w:color w:val="FFFFFF"/>
                <w:sz w:val="22"/>
                <w:szCs w:val="22"/>
              </w:rPr>
              <w:t>0</w:t>
            </w:r>
            <w:r w:rsidR="00697672" w:rsidRPr="006B15C8">
              <w:rPr>
                <w:rFonts w:eastAsia="Arial"/>
                <w:bCs/>
                <w:color w:val="FFFFFF"/>
                <w:sz w:val="22"/>
                <w:szCs w:val="22"/>
              </w:rPr>
              <w:t xml:space="preserve"> </w:t>
            </w:r>
            <w:r w:rsidR="00CB2C17" w:rsidRPr="006B15C8">
              <w:rPr>
                <w:rFonts w:eastAsia="Arial"/>
                <w:bCs/>
                <w:sz w:val="22"/>
                <w:szCs w:val="22"/>
              </w:rPr>
              <w:t xml:space="preserve">1240 </w:t>
            </w:r>
            <w:r w:rsidRPr="006B15C8">
              <w:rPr>
                <w:rFonts w:eastAsia="Arial"/>
                <w:bCs/>
                <w:color w:val="FFFFFF"/>
                <w:sz w:val="22"/>
                <w:szCs w:val="22"/>
              </w:rPr>
              <w:t>0</w:t>
            </w:r>
            <w:r w:rsidR="00CB2C17" w:rsidRPr="006B15C8">
              <w:rPr>
                <w:rFonts w:eastAsia="Arial"/>
                <w:bCs/>
                <w:sz w:val="22"/>
                <w:szCs w:val="22"/>
              </w:rPr>
              <w:t>(</w:t>
            </w:r>
            <w:r w:rsidR="00440DCD" w:rsidRPr="006B15C8">
              <w:rPr>
                <w:rFonts w:eastAsia="Arial"/>
                <w:bCs/>
                <w:sz w:val="22"/>
                <w:szCs w:val="22"/>
              </w:rPr>
              <w:t>7.1</w:t>
            </w:r>
            <w:r w:rsidR="00CB2C17" w:rsidRPr="006B15C8">
              <w:rPr>
                <w:rFonts w:eastAsia="Arial"/>
                <w:bCs/>
                <w:sz w:val="22"/>
                <w:szCs w:val="22"/>
              </w:rPr>
              <w:t>%)</w:t>
            </w:r>
          </w:p>
        </w:tc>
        <w:tc>
          <w:tcPr>
            <w:tcW w:w="1691" w:type="dxa"/>
            <w:tcBorders>
              <w:top w:val="nil"/>
              <w:left w:val="single" w:sz="4" w:space="0" w:color="auto"/>
              <w:bottom w:val="double" w:sz="4" w:space="0" w:color="auto"/>
              <w:right w:val="single" w:sz="4" w:space="0" w:color="auto"/>
            </w:tcBorders>
            <w:tcMar>
              <w:top w:w="40" w:type="dxa"/>
              <w:left w:w="40" w:type="dxa"/>
              <w:bottom w:w="40" w:type="dxa"/>
              <w:right w:w="40" w:type="dxa"/>
            </w:tcMar>
            <w:vAlign w:val="center"/>
          </w:tcPr>
          <w:p w14:paraId="268CC454" w14:textId="5F6FB12C"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11.5%</w:t>
            </w:r>
          </w:p>
        </w:tc>
        <w:tc>
          <w:tcPr>
            <w:tcW w:w="1691" w:type="dxa"/>
            <w:tcBorders>
              <w:top w:val="nil"/>
              <w:left w:val="single" w:sz="4" w:space="0" w:color="auto"/>
              <w:bottom w:val="double" w:sz="4" w:space="0" w:color="auto"/>
              <w:right w:val="single" w:sz="4" w:space="0" w:color="auto"/>
            </w:tcBorders>
            <w:tcMar>
              <w:top w:w="40" w:type="dxa"/>
              <w:left w:w="40" w:type="dxa"/>
              <w:bottom w:w="40" w:type="dxa"/>
              <w:right w:w="40" w:type="dxa"/>
            </w:tcMar>
            <w:vAlign w:val="center"/>
          </w:tcPr>
          <w:p w14:paraId="015491ED" w14:textId="47E8903F"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15.6%</w:t>
            </w:r>
          </w:p>
        </w:tc>
        <w:tc>
          <w:tcPr>
            <w:tcW w:w="1692" w:type="dxa"/>
            <w:tcBorders>
              <w:top w:val="nil"/>
              <w:left w:val="single" w:sz="4" w:space="0" w:color="auto"/>
              <w:bottom w:val="double" w:sz="4" w:space="0" w:color="auto"/>
            </w:tcBorders>
            <w:tcMar>
              <w:top w:w="40" w:type="dxa"/>
              <w:left w:w="40" w:type="dxa"/>
              <w:bottom w:w="40" w:type="dxa"/>
              <w:right w:w="40" w:type="dxa"/>
            </w:tcMar>
            <w:vAlign w:val="center"/>
          </w:tcPr>
          <w:p w14:paraId="246EE88C" w14:textId="58CD8740"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16.2%</w:t>
            </w:r>
          </w:p>
        </w:tc>
      </w:tr>
      <w:tr w:rsidR="005C0B57" w:rsidRPr="006B15C8" w14:paraId="28996155" w14:textId="77777777" w:rsidTr="004D553B">
        <w:trPr>
          <w:trHeight w:val="20"/>
        </w:trPr>
        <w:tc>
          <w:tcPr>
            <w:tcW w:w="9360" w:type="dxa"/>
            <w:gridSpan w:val="5"/>
            <w:tcBorders>
              <w:top w:val="single" w:sz="4" w:space="0" w:color="auto"/>
              <w:bottom w:val="single" w:sz="4" w:space="0" w:color="auto"/>
              <w:right w:val="double" w:sz="4" w:space="0" w:color="auto"/>
            </w:tcBorders>
            <w:tcMar>
              <w:top w:w="40" w:type="dxa"/>
              <w:left w:w="40" w:type="dxa"/>
              <w:bottom w:w="40" w:type="dxa"/>
              <w:right w:w="40" w:type="dxa"/>
            </w:tcMar>
            <w:vAlign w:val="center"/>
          </w:tcPr>
          <w:p w14:paraId="0CE78300" w14:textId="77777777" w:rsidR="00CB2C17" w:rsidRPr="006B15C8" w:rsidRDefault="00CB2C17" w:rsidP="004D553B">
            <w:pPr>
              <w:spacing w:line="240" w:lineRule="auto"/>
              <w:contextualSpacing/>
              <w:rPr>
                <w:rFonts w:eastAsia="Arial"/>
                <w:b/>
                <w:bCs/>
                <w:sz w:val="22"/>
                <w:szCs w:val="22"/>
              </w:rPr>
            </w:pPr>
            <w:r w:rsidRPr="006B15C8">
              <w:rPr>
                <w:rFonts w:eastAsia="Arial"/>
                <w:b/>
                <w:bCs/>
                <w:sz w:val="22"/>
                <w:szCs w:val="22"/>
              </w:rPr>
              <w:lastRenderedPageBreak/>
              <w:t>Time-of-Day and Weather Variables</w:t>
            </w:r>
          </w:p>
        </w:tc>
      </w:tr>
      <w:tr w:rsidR="005C0B57" w:rsidRPr="006B15C8" w14:paraId="37164151" w14:textId="77777777" w:rsidTr="004D553B">
        <w:trPr>
          <w:trHeight w:val="20"/>
        </w:trPr>
        <w:tc>
          <w:tcPr>
            <w:tcW w:w="9360" w:type="dxa"/>
            <w:gridSpan w:val="5"/>
            <w:tcBorders>
              <w:top w:val="single" w:sz="4" w:space="0" w:color="auto"/>
              <w:bottom w:val="single" w:sz="4" w:space="0" w:color="auto"/>
              <w:right w:val="double" w:sz="4" w:space="0" w:color="auto"/>
            </w:tcBorders>
            <w:tcMar>
              <w:top w:w="40" w:type="dxa"/>
              <w:left w:w="40" w:type="dxa"/>
              <w:bottom w:w="40" w:type="dxa"/>
              <w:right w:w="40" w:type="dxa"/>
            </w:tcMar>
            <w:vAlign w:val="center"/>
          </w:tcPr>
          <w:p w14:paraId="1F37B48D" w14:textId="77777777" w:rsidR="00CB2C17" w:rsidRPr="006B15C8" w:rsidRDefault="00CB2C17" w:rsidP="004D553B">
            <w:pPr>
              <w:spacing w:line="240" w:lineRule="auto"/>
              <w:contextualSpacing/>
              <w:rPr>
                <w:rFonts w:eastAsia="Arial"/>
                <w:i/>
                <w:iCs/>
                <w:sz w:val="22"/>
                <w:szCs w:val="22"/>
              </w:rPr>
            </w:pPr>
            <w:r w:rsidRPr="006B15C8">
              <w:rPr>
                <w:rFonts w:eastAsia="Arial"/>
                <w:i/>
                <w:iCs/>
                <w:sz w:val="22"/>
                <w:szCs w:val="22"/>
              </w:rPr>
              <w:t>Time-of-Day</w:t>
            </w:r>
          </w:p>
        </w:tc>
      </w:tr>
      <w:tr w:rsidR="005C0B57" w:rsidRPr="006B15C8" w14:paraId="7E61537C" w14:textId="77777777" w:rsidTr="004D553B">
        <w:trPr>
          <w:trHeight w:val="20"/>
        </w:trPr>
        <w:tc>
          <w:tcPr>
            <w:tcW w:w="2595" w:type="dxa"/>
            <w:tcBorders>
              <w:top w:val="single" w:sz="4" w:space="0" w:color="auto"/>
              <w:bottom w:val="nil"/>
              <w:right w:val="double" w:sz="4" w:space="0" w:color="auto"/>
            </w:tcBorders>
            <w:tcMar>
              <w:top w:w="40" w:type="dxa"/>
              <w:left w:w="40" w:type="dxa"/>
              <w:bottom w:w="40" w:type="dxa"/>
              <w:right w:w="40" w:type="dxa"/>
            </w:tcMar>
            <w:vAlign w:val="center"/>
          </w:tcPr>
          <w:p w14:paraId="6BD48DD3"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Dawn (04:00-05:59)</w:t>
            </w:r>
          </w:p>
        </w:tc>
        <w:tc>
          <w:tcPr>
            <w:tcW w:w="1691" w:type="dxa"/>
            <w:tcBorders>
              <w:top w:val="single" w:sz="4" w:space="0" w:color="auto"/>
              <w:left w:val="double" w:sz="4" w:space="0" w:color="auto"/>
              <w:bottom w:val="nil"/>
              <w:right w:val="single" w:sz="4" w:space="0" w:color="auto"/>
            </w:tcBorders>
            <w:tcMar>
              <w:top w:w="40" w:type="dxa"/>
              <w:left w:w="40" w:type="dxa"/>
              <w:bottom w:w="40" w:type="dxa"/>
              <w:right w:w="40" w:type="dxa"/>
            </w:tcMar>
            <w:vAlign w:val="center"/>
          </w:tcPr>
          <w:p w14:paraId="5451C9D8" w14:textId="1D222100" w:rsidR="00CB2C17" w:rsidRPr="006B15C8" w:rsidRDefault="004F5559" w:rsidP="004D553B">
            <w:pPr>
              <w:spacing w:line="240" w:lineRule="auto"/>
              <w:contextualSpacing/>
              <w:jc w:val="center"/>
              <w:rPr>
                <w:rFonts w:eastAsia="Arial"/>
                <w:bCs/>
                <w:sz w:val="22"/>
                <w:szCs w:val="22"/>
              </w:rPr>
            </w:pPr>
            <w:r w:rsidRPr="006B15C8">
              <w:rPr>
                <w:rFonts w:eastAsia="Arial"/>
                <w:bCs/>
                <w:color w:val="FFFFFF"/>
                <w:sz w:val="22"/>
                <w:szCs w:val="22"/>
              </w:rPr>
              <w:t xml:space="preserve"> </w:t>
            </w:r>
            <w:r w:rsidR="009B3B3F" w:rsidRPr="006B15C8">
              <w:rPr>
                <w:rFonts w:eastAsia="Arial"/>
                <w:bCs/>
                <w:color w:val="FFFFFF"/>
                <w:sz w:val="22"/>
                <w:szCs w:val="22"/>
              </w:rPr>
              <w:t>0</w:t>
            </w:r>
            <w:r w:rsidR="003E60A3" w:rsidRPr="006B15C8">
              <w:rPr>
                <w:rFonts w:eastAsia="Arial"/>
                <w:bCs/>
                <w:color w:val="FFFFFF"/>
                <w:sz w:val="22"/>
                <w:szCs w:val="22"/>
              </w:rPr>
              <w:t xml:space="preserve"> </w:t>
            </w:r>
            <w:r w:rsidR="009F2668" w:rsidRPr="006B15C8">
              <w:rPr>
                <w:rFonts w:eastAsia="Arial"/>
                <w:bCs/>
                <w:sz w:val="22"/>
                <w:szCs w:val="22"/>
              </w:rPr>
              <w:t xml:space="preserve">100 </w:t>
            </w:r>
            <w:r w:rsidR="009B3B3F" w:rsidRPr="006B15C8">
              <w:rPr>
                <w:rFonts w:eastAsia="Arial"/>
                <w:bCs/>
                <w:color w:val="FFFFFF"/>
                <w:sz w:val="22"/>
                <w:szCs w:val="22"/>
              </w:rPr>
              <w:t>0</w:t>
            </w:r>
            <w:r w:rsidR="00CB2C17" w:rsidRPr="006B15C8">
              <w:rPr>
                <w:rFonts w:eastAsia="Arial"/>
                <w:bCs/>
                <w:sz w:val="22"/>
                <w:szCs w:val="22"/>
              </w:rPr>
              <w:t>(</w:t>
            </w:r>
            <w:r w:rsidR="00440DCD" w:rsidRPr="006B15C8">
              <w:rPr>
                <w:rFonts w:eastAsia="Arial"/>
                <w:bCs/>
                <w:sz w:val="22"/>
                <w:szCs w:val="22"/>
              </w:rPr>
              <w:t>0.6</w:t>
            </w:r>
            <w:r w:rsidR="00CB2C17" w:rsidRPr="006B15C8">
              <w:rPr>
                <w:rFonts w:eastAsia="Arial"/>
                <w:bCs/>
                <w:sz w:val="22"/>
                <w:szCs w:val="22"/>
              </w:rPr>
              <w:t>%)</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60B9366A" w14:textId="35952FAB"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6.0%</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3C695D45" w14:textId="753B87EF"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22.0%</w:t>
            </w:r>
          </w:p>
        </w:tc>
        <w:tc>
          <w:tcPr>
            <w:tcW w:w="1692" w:type="dxa"/>
            <w:tcBorders>
              <w:top w:val="single" w:sz="4" w:space="0" w:color="auto"/>
              <w:left w:val="single" w:sz="4" w:space="0" w:color="auto"/>
              <w:bottom w:val="nil"/>
            </w:tcBorders>
            <w:tcMar>
              <w:top w:w="40" w:type="dxa"/>
              <w:left w:w="40" w:type="dxa"/>
              <w:bottom w:w="40" w:type="dxa"/>
              <w:right w:w="40" w:type="dxa"/>
            </w:tcMar>
            <w:vAlign w:val="center"/>
          </w:tcPr>
          <w:p w14:paraId="312BF4F6" w14:textId="6ED3B158"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0.0%</w:t>
            </w:r>
          </w:p>
        </w:tc>
      </w:tr>
      <w:tr w:rsidR="005C0B57" w:rsidRPr="006B15C8" w14:paraId="408CD816"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76CCBF3E"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Morning (06:00-11:59)</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27D1AFD3" w14:textId="4158AC81" w:rsidR="00CB2C17" w:rsidRPr="006B15C8" w:rsidRDefault="004F5559" w:rsidP="004D553B">
            <w:pPr>
              <w:spacing w:line="240" w:lineRule="auto"/>
              <w:contextualSpacing/>
              <w:jc w:val="center"/>
              <w:rPr>
                <w:rFonts w:eastAsia="Arial"/>
                <w:bCs/>
                <w:sz w:val="22"/>
                <w:szCs w:val="22"/>
              </w:rPr>
            </w:pPr>
            <w:r w:rsidRPr="006B15C8">
              <w:rPr>
                <w:rFonts w:eastAsia="Arial"/>
                <w:bCs/>
                <w:sz w:val="22"/>
                <w:szCs w:val="22"/>
              </w:rPr>
              <w:t xml:space="preserve"> </w:t>
            </w:r>
            <w:r w:rsidR="003E60A3" w:rsidRPr="006B15C8">
              <w:rPr>
                <w:rFonts w:eastAsia="Arial"/>
                <w:bCs/>
                <w:sz w:val="22"/>
                <w:szCs w:val="22"/>
              </w:rPr>
              <w:t xml:space="preserve"> </w:t>
            </w:r>
            <w:r w:rsidR="009F2668" w:rsidRPr="006B15C8">
              <w:rPr>
                <w:rFonts w:eastAsia="Arial"/>
                <w:bCs/>
                <w:sz w:val="22"/>
                <w:szCs w:val="22"/>
              </w:rPr>
              <w:t>6362</w:t>
            </w:r>
            <w:r w:rsidR="00CB2C17" w:rsidRPr="006B15C8">
              <w:rPr>
                <w:rFonts w:eastAsia="Arial"/>
                <w:bCs/>
                <w:sz w:val="22"/>
                <w:szCs w:val="22"/>
              </w:rPr>
              <w:t xml:space="preserve"> (</w:t>
            </w:r>
            <w:r w:rsidR="00440DCD" w:rsidRPr="006B15C8">
              <w:rPr>
                <w:rFonts w:eastAsia="Arial"/>
                <w:bCs/>
                <w:sz w:val="22"/>
                <w:szCs w:val="22"/>
              </w:rPr>
              <w:t>36.6</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325306B2" w14:textId="3C86C944"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13.8%</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3634BAB9" w14:textId="5B830CB2"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8.7%</w:t>
            </w:r>
          </w:p>
        </w:tc>
        <w:tc>
          <w:tcPr>
            <w:tcW w:w="1692" w:type="dxa"/>
            <w:tcBorders>
              <w:top w:val="nil"/>
              <w:left w:val="single" w:sz="4" w:space="0" w:color="auto"/>
              <w:bottom w:val="nil"/>
            </w:tcBorders>
            <w:tcMar>
              <w:top w:w="40" w:type="dxa"/>
              <w:left w:w="40" w:type="dxa"/>
              <w:bottom w:w="40" w:type="dxa"/>
              <w:right w:w="40" w:type="dxa"/>
            </w:tcMar>
            <w:vAlign w:val="center"/>
          </w:tcPr>
          <w:p w14:paraId="1FEC1FCE" w14:textId="6553D2B2"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15.5%</w:t>
            </w:r>
          </w:p>
        </w:tc>
      </w:tr>
      <w:tr w:rsidR="005C0B57" w:rsidRPr="006B15C8" w14:paraId="4A0D432E"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764A8AF2"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Noon (12:00-13:59)</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24C166A5" w14:textId="01DEB0DA" w:rsidR="00CB2C17" w:rsidRPr="006B15C8" w:rsidRDefault="004F5559" w:rsidP="004D553B">
            <w:pPr>
              <w:spacing w:line="240" w:lineRule="auto"/>
              <w:contextualSpacing/>
              <w:jc w:val="center"/>
              <w:rPr>
                <w:rFonts w:eastAsia="Arial"/>
                <w:bCs/>
                <w:sz w:val="22"/>
                <w:szCs w:val="22"/>
              </w:rPr>
            </w:pPr>
            <w:r w:rsidRPr="006B15C8">
              <w:rPr>
                <w:rFonts w:eastAsia="Arial"/>
                <w:bCs/>
                <w:sz w:val="22"/>
                <w:szCs w:val="22"/>
              </w:rPr>
              <w:t xml:space="preserve"> </w:t>
            </w:r>
            <w:r w:rsidR="00CB2C17" w:rsidRPr="006B15C8">
              <w:rPr>
                <w:rFonts w:eastAsia="Arial"/>
                <w:bCs/>
                <w:sz w:val="22"/>
                <w:szCs w:val="22"/>
              </w:rPr>
              <w:t xml:space="preserve"> </w:t>
            </w:r>
            <w:r w:rsidR="009F2668" w:rsidRPr="006B15C8">
              <w:rPr>
                <w:rFonts w:eastAsia="Arial"/>
                <w:bCs/>
                <w:sz w:val="22"/>
                <w:szCs w:val="22"/>
              </w:rPr>
              <w:t xml:space="preserve">2256 </w:t>
            </w:r>
            <w:r w:rsidR="00CB2C17" w:rsidRPr="006B15C8">
              <w:rPr>
                <w:rFonts w:eastAsia="Arial"/>
                <w:bCs/>
                <w:sz w:val="22"/>
                <w:szCs w:val="22"/>
              </w:rPr>
              <w:t>(</w:t>
            </w:r>
            <w:r w:rsidR="00440DCD" w:rsidRPr="006B15C8">
              <w:rPr>
                <w:rFonts w:eastAsia="Arial"/>
                <w:bCs/>
                <w:sz w:val="22"/>
                <w:szCs w:val="22"/>
              </w:rPr>
              <w:t>13.0</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2A8B7DD1" w14:textId="0123071E"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17.7%</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44668568" w14:textId="74C5BC53"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5.9%</w:t>
            </w:r>
          </w:p>
        </w:tc>
        <w:tc>
          <w:tcPr>
            <w:tcW w:w="1692" w:type="dxa"/>
            <w:tcBorders>
              <w:top w:val="nil"/>
              <w:left w:val="single" w:sz="4" w:space="0" w:color="auto"/>
              <w:bottom w:val="nil"/>
            </w:tcBorders>
            <w:tcMar>
              <w:top w:w="40" w:type="dxa"/>
              <w:left w:w="40" w:type="dxa"/>
              <w:bottom w:w="40" w:type="dxa"/>
              <w:right w:w="40" w:type="dxa"/>
            </w:tcMar>
            <w:vAlign w:val="center"/>
          </w:tcPr>
          <w:p w14:paraId="2C18AF63" w14:textId="282D2A6F"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10.8%</w:t>
            </w:r>
          </w:p>
        </w:tc>
      </w:tr>
      <w:tr w:rsidR="005C0B57" w:rsidRPr="006B15C8" w14:paraId="78720F47"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79D709DC"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Afternoon (14:00-17:59)</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49A22812" w14:textId="57334275" w:rsidR="00CB2C17" w:rsidRPr="006B15C8" w:rsidRDefault="004F5559" w:rsidP="004D553B">
            <w:pPr>
              <w:spacing w:line="240" w:lineRule="auto"/>
              <w:contextualSpacing/>
              <w:jc w:val="center"/>
              <w:rPr>
                <w:rFonts w:eastAsia="Arial"/>
                <w:bCs/>
                <w:sz w:val="22"/>
                <w:szCs w:val="22"/>
              </w:rPr>
            </w:pPr>
            <w:r w:rsidRPr="006B15C8">
              <w:rPr>
                <w:rFonts w:eastAsia="Arial"/>
                <w:bCs/>
                <w:sz w:val="22"/>
                <w:szCs w:val="22"/>
              </w:rPr>
              <w:t xml:space="preserve"> </w:t>
            </w:r>
            <w:r w:rsidR="00CB2C17" w:rsidRPr="006B15C8">
              <w:rPr>
                <w:rFonts w:eastAsia="Arial"/>
                <w:bCs/>
                <w:sz w:val="22"/>
                <w:szCs w:val="22"/>
              </w:rPr>
              <w:t xml:space="preserve"> </w:t>
            </w:r>
            <w:r w:rsidR="009F2668" w:rsidRPr="006B15C8">
              <w:rPr>
                <w:rFonts w:eastAsia="Arial"/>
                <w:bCs/>
                <w:sz w:val="22"/>
                <w:szCs w:val="22"/>
              </w:rPr>
              <w:t>4483</w:t>
            </w:r>
            <w:r w:rsidR="009B3B3F"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25.8</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6CE80AC9" w14:textId="6A08118C"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20.3%</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1CF2AF77" w14:textId="616FAED1"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5.5%</w:t>
            </w:r>
          </w:p>
        </w:tc>
        <w:tc>
          <w:tcPr>
            <w:tcW w:w="1692" w:type="dxa"/>
            <w:tcBorders>
              <w:top w:val="nil"/>
              <w:left w:val="single" w:sz="4" w:space="0" w:color="auto"/>
              <w:bottom w:val="nil"/>
            </w:tcBorders>
            <w:tcMar>
              <w:top w:w="40" w:type="dxa"/>
              <w:left w:w="40" w:type="dxa"/>
              <w:bottom w:w="40" w:type="dxa"/>
              <w:right w:w="40" w:type="dxa"/>
            </w:tcMar>
            <w:vAlign w:val="center"/>
          </w:tcPr>
          <w:p w14:paraId="2542382E" w14:textId="507DD9B3"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12.5%</w:t>
            </w:r>
          </w:p>
        </w:tc>
      </w:tr>
      <w:tr w:rsidR="005C0B57" w:rsidRPr="006B15C8" w14:paraId="184ED468"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4AC11D70"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Dusk (18:00-19:59)</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6D933B42" w14:textId="6489633D" w:rsidR="00CB2C17" w:rsidRPr="006B15C8" w:rsidRDefault="004F5559" w:rsidP="004D553B">
            <w:pPr>
              <w:spacing w:line="240" w:lineRule="auto"/>
              <w:contextualSpacing/>
              <w:jc w:val="center"/>
              <w:rPr>
                <w:rFonts w:eastAsia="Arial"/>
                <w:bCs/>
                <w:sz w:val="22"/>
                <w:szCs w:val="22"/>
              </w:rPr>
            </w:pPr>
            <w:r w:rsidRPr="006B15C8">
              <w:rPr>
                <w:rFonts w:eastAsia="Arial"/>
                <w:bCs/>
                <w:sz w:val="22"/>
                <w:szCs w:val="22"/>
              </w:rPr>
              <w:t xml:space="preserve"> </w:t>
            </w:r>
            <w:r w:rsidR="00CB2C17" w:rsidRPr="006B15C8">
              <w:rPr>
                <w:rFonts w:eastAsia="Arial"/>
                <w:bCs/>
                <w:sz w:val="22"/>
                <w:szCs w:val="22"/>
              </w:rPr>
              <w:t xml:space="preserve"> </w:t>
            </w:r>
            <w:r w:rsidR="009F2668" w:rsidRPr="006B15C8">
              <w:rPr>
                <w:rFonts w:eastAsia="Arial"/>
                <w:bCs/>
                <w:sz w:val="22"/>
                <w:szCs w:val="22"/>
              </w:rPr>
              <w:t>2090</w:t>
            </w:r>
            <w:r w:rsidR="009B3B3F"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12.0</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4455508E" w14:textId="1906EC7C"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20.5%</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180041E9" w14:textId="7257A926"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8.0%</w:t>
            </w:r>
          </w:p>
        </w:tc>
        <w:tc>
          <w:tcPr>
            <w:tcW w:w="1692" w:type="dxa"/>
            <w:tcBorders>
              <w:top w:val="nil"/>
              <w:left w:val="single" w:sz="4" w:space="0" w:color="auto"/>
              <w:bottom w:val="nil"/>
            </w:tcBorders>
            <w:tcMar>
              <w:top w:w="40" w:type="dxa"/>
              <w:left w:w="40" w:type="dxa"/>
              <w:bottom w:w="40" w:type="dxa"/>
              <w:right w:w="40" w:type="dxa"/>
            </w:tcMar>
            <w:vAlign w:val="center"/>
          </w:tcPr>
          <w:p w14:paraId="5CED57D1" w14:textId="4B24AD56"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9.1%</w:t>
            </w:r>
          </w:p>
        </w:tc>
      </w:tr>
      <w:tr w:rsidR="005C0B57" w:rsidRPr="006B15C8" w14:paraId="01984D80"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23374757"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Evening (20:00-21:59)</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1AB898DE" w14:textId="05B0F8C0" w:rsidR="00CB2C17" w:rsidRPr="006B15C8" w:rsidRDefault="004F5559" w:rsidP="004D553B">
            <w:pPr>
              <w:spacing w:line="240" w:lineRule="auto"/>
              <w:contextualSpacing/>
              <w:jc w:val="center"/>
              <w:rPr>
                <w:rFonts w:eastAsia="Arial"/>
                <w:bCs/>
                <w:sz w:val="22"/>
                <w:szCs w:val="22"/>
              </w:rPr>
            </w:pPr>
            <w:r w:rsidRPr="006B15C8">
              <w:rPr>
                <w:rFonts w:eastAsia="Arial"/>
                <w:bCs/>
                <w:sz w:val="22"/>
                <w:szCs w:val="22"/>
              </w:rPr>
              <w:t xml:space="preserve"> </w:t>
            </w:r>
            <w:r w:rsidR="003E60A3" w:rsidRPr="006B15C8">
              <w:rPr>
                <w:rFonts w:eastAsia="Arial"/>
                <w:bCs/>
                <w:sz w:val="22"/>
                <w:szCs w:val="22"/>
              </w:rPr>
              <w:t xml:space="preserve"> </w:t>
            </w:r>
            <w:r w:rsidR="009F2668" w:rsidRPr="006B15C8">
              <w:rPr>
                <w:rFonts w:eastAsia="Arial"/>
                <w:bCs/>
                <w:sz w:val="22"/>
                <w:szCs w:val="22"/>
              </w:rPr>
              <w:t>1189</w:t>
            </w:r>
            <w:r w:rsidR="009B3B3F" w:rsidRPr="006B15C8">
              <w:rPr>
                <w:rFonts w:eastAsia="Arial"/>
                <w:bCs/>
                <w:sz w:val="22"/>
                <w:szCs w:val="22"/>
              </w:rPr>
              <w:t xml:space="preserve"> </w:t>
            </w:r>
            <w:r w:rsidR="009B3B3F" w:rsidRPr="006B15C8">
              <w:rPr>
                <w:rFonts w:eastAsia="Arial"/>
                <w:bCs/>
                <w:color w:val="FFFFFF"/>
                <w:sz w:val="22"/>
                <w:szCs w:val="22"/>
              </w:rPr>
              <w:t>0</w:t>
            </w:r>
            <w:r w:rsidR="00CB2C17" w:rsidRPr="006B15C8">
              <w:rPr>
                <w:rFonts w:eastAsia="Arial"/>
                <w:bCs/>
                <w:sz w:val="22"/>
                <w:szCs w:val="22"/>
              </w:rPr>
              <w:t>(</w:t>
            </w:r>
            <w:r w:rsidR="00440DCD" w:rsidRPr="006B15C8">
              <w:rPr>
                <w:rFonts w:eastAsia="Arial"/>
                <w:bCs/>
                <w:sz w:val="22"/>
                <w:szCs w:val="22"/>
              </w:rPr>
              <w:t>6.</w:t>
            </w:r>
            <w:r w:rsidR="00167117" w:rsidRPr="006B15C8">
              <w:rPr>
                <w:rFonts w:eastAsia="Arial"/>
                <w:bCs/>
                <w:sz w:val="22"/>
                <w:szCs w:val="22"/>
              </w:rPr>
              <w:t>8</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36CD4255" w14:textId="64EBD5A4"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17.1%</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7B768DDE" w14:textId="4F425782"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9.3%</w:t>
            </w:r>
          </w:p>
        </w:tc>
        <w:tc>
          <w:tcPr>
            <w:tcW w:w="1692" w:type="dxa"/>
            <w:tcBorders>
              <w:top w:val="nil"/>
              <w:left w:val="single" w:sz="4" w:space="0" w:color="auto"/>
              <w:bottom w:val="nil"/>
            </w:tcBorders>
            <w:tcMar>
              <w:top w:w="40" w:type="dxa"/>
              <w:left w:w="40" w:type="dxa"/>
              <w:bottom w:w="40" w:type="dxa"/>
              <w:right w:w="40" w:type="dxa"/>
            </w:tcMar>
            <w:vAlign w:val="center"/>
          </w:tcPr>
          <w:p w14:paraId="0E2D796F" w14:textId="6447051C"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14.8%</w:t>
            </w:r>
          </w:p>
        </w:tc>
      </w:tr>
      <w:tr w:rsidR="005C0B57" w:rsidRPr="006B15C8" w14:paraId="1080DADA" w14:textId="77777777" w:rsidTr="004D553B">
        <w:trPr>
          <w:trHeight w:val="20"/>
        </w:trPr>
        <w:tc>
          <w:tcPr>
            <w:tcW w:w="2595" w:type="dxa"/>
            <w:tcBorders>
              <w:top w:val="nil"/>
              <w:bottom w:val="single" w:sz="4" w:space="0" w:color="auto"/>
              <w:right w:val="double" w:sz="4" w:space="0" w:color="auto"/>
            </w:tcBorders>
            <w:tcMar>
              <w:top w:w="40" w:type="dxa"/>
              <w:left w:w="40" w:type="dxa"/>
              <w:bottom w:w="40" w:type="dxa"/>
              <w:right w:w="40" w:type="dxa"/>
            </w:tcMar>
            <w:vAlign w:val="center"/>
          </w:tcPr>
          <w:p w14:paraId="4AE1E77D"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Night (22:00-03:59)</w:t>
            </w:r>
          </w:p>
        </w:tc>
        <w:tc>
          <w:tcPr>
            <w:tcW w:w="1691" w:type="dxa"/>
            <w:tcBorders>
              <w:top w:val="nil"/>
              <w:left w:val="double" w:sz="4" w:space="0" w:color="auto"/>
              <w:bottom w:val="single" w:sz="4" w:space="0" w:color="auto"/>
              <w:right w:val="single" w:sz="4" w:space="0" w:color="auto"/>
            </w:tcBorders>
            <w:tcMar>
              <w:top w:w="40" w:type="dxa"/>
              <w:left w:w="40" w:type="dxa"/>
              <w:bottom w:w="40" w:type="dxa"/>
              <w:right w:w="40" w:type="dxa"/>
            </w:tcMar>
            <w:vAlign w:val="center"/>
          </w:tcPr>
          <w:p w14:paraId="577A84E5" w14:textId="5908110F" w:rsidR="00CB2C17" w:rsidRPr="006B15C8" w:rsidRDefault="003E60A3" w:rsidP="004D553B">
            <w:pPr>
              <w:spacing w:line="240" w:lineRule="auto"/>
              <w:contextualSpacing/>
              <w:jc w:val="center"/>
              <w:rPr>
                <w:rFonts w:eastAsia="Arial"/>
                <w:bCs/>
                <w:sz w:val="22"/>
                <w:szCs w:val="22"/>
              </w:rPr>
            </w:pPr>
            <w:r w:rsidRPr="006B15C8">
              <w:rPr>
                <w:rFonts w:eastAsia="Arial"/>
                <w:bCs/>
                <w:color w:val="FFFFFF"/>
                <w:sz w:val="22"/>
                <w:szCs w:val="22"/>
              </w:rPr>
              <w:t xml:space="preserve"> </w:t>
            </w:r>
            <w:r w:rsidR="004F5559" w:rsidRPr="006B15C8">
              <w:rPr>
                <w:rFonts w:eastAsia="Arial"/>
                <w:bCs/>
                <w:color w:val="FFFFFF"/>
                <w:sz w:val="22"/>
                <w:szCs w:val="22"/>
              </w:rPr>
              <w:t xml:space="preserve"> </w:t>
            </w:r>
            <w:r w:rsidR="009B3B3F" w:rsidRPr="006B15C8">
              <w:rPr>
                <w:rFonts w:eastAsia="Arial"/>
                <w:bCs/>
                <w:color w:val="FFFFFF"/>
                <w:sz w:val="22"/>
                <w:szCs w:val="22"/>
              </w:rPr>
              <w:t>0</w:t>
            </w:r>
            <w:r w:rsidR="009F2668" w:rsidRPr="006B15C8">
              <w:rPr>
                <w:rFonts w:eastAsia="Arial"/>
                <w:bCs/>
                <w:sz w:val="22"/>
                <w:szCs w:val="22"/>
              </w:rPr>
              <w:t>894</w:t>
            </w:r>
            <w:r w:rsidR="009B3B3F" w:rsidRPr="006B15C8">
              <w:rPr>
                <w:rFonts w:eastAsia="Arial"/>
                <w:bCs/>
                <w:sz w:val="22"/>
                <w:szCs w:val="22"/>
              </w:rPr>
              <w:t xml:space="preserve"> </w:t>
            </w:r>
            <w:r w:rsidR="00461F7F" w:rsidRPr="006B15C8">
              <w:rPr>
                <w:rFonts w:eastAsia="Arial"/>
                <w:bCs/>
                <w:sz w:val="22"/>
                <w:szCs w:val="22"/>
              </w:rPr>
              <w:t xml:space="preserve"> </w:t>
            </w:r>
            <w:r w:rsidR="004F5559" w:rsidRPr="006B15C8">
              <w:rPr>
                <w:rFonts w:eastAsia="Arial"/>
                <w:bCs/>
                <w:color w:val="FFFFFF"/>
                <w:sz w:val="22"/>
                <w:szCs w:val="22"/>
              </w:rPr>
              <w:t xml:space="preserve"> </w:t>
            </w:r>
            <w:r w:rsidR="00CB2C17" w:rsidRPr="006B15C8">
              <w:rPr>
                <w:rFonts w:eastAsia="Arial"/>
                <w:bCs/>
                <w:sz w:val="22"/>
                <w:szCs w:val="22"/>
              </w:rPr>
              <w:t>(</w:t>
            </w:r>
            <w:r w:rsidR="00440DCD" w:rsidRPr="006B15C8">
              <w:rPr>
                <w:rFonts w:eastAsia="Arial"/>
                <w:bCs/>
                <w:sz w:val="22"/>
                <w:szCs w:val="22"/>
              </w:rPr>
              <w:t>5.</w:t>
            </w:r>
            <w:r w:rsidR="00167117" w:rsidRPr="006B15C8">
              <w:rPr>
                <w:rFonts w:eastAsia="Arial"/>
                <w:bCs/>
                <w:sz w:val="22"/>
                <w:szCs w:val="22"/>
              </w:rPr>
              <w:t>2</w:t>
            </w:r>
            <w:r w:rsidR="00CB2C17" w:rsidRPr="006B15C8">
              <w:rPr>
                <w:rFonts w:eastAsia="Arial"/>
                <w:bCs/>
                <w:sz w:val="22"/>
                <w:szCs w:val="22"/>
              </w:rPr>
              <w:t>%)</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12492C5F" w14:textId="3CC4C473"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7.4%</w:t>
            </w:r>
          </w:p>
        </w:tc>
        <w:tc>
          <w:tcPr>
            <w:tcW w:w="1691" w:type="dxa"/>
            <w:tcBorders>
              <w:top w:val="nil"/>
              <w:left w:val="single" w:sz="4" w:space="0" w:color="auto"/>
              <w:bottom w:val="single" w:sz="4" w:space="0" w:color="auto"/>
              <w:right w:val="single" w:sz="4" w:space="0" w:color="auto"/>
            </w:tcBorders>
            <w:tcMar>
              <w:top w:w="40" w:type="dxa"/>
              <w:left w:w="40" w:type="dxa"/>
              <w:bottom w:w="40" w:type="dxa"/>
              <w:right w:w="40" w:type="dxa"/>
            </w:tcMar>
            <w:vAlign w:val="center"/>
          </w:tcPr>
          <w:p w14:paraId="1C37F090" w14:textId="22708EF0"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19.4%</w:t>
            </w:r>
          </w:p>
        </w:tc>
        <w:tc>
          <w:tcPr>
            <w:tcW w:w="1692" w:type="dxa"/>
            <w:tcBorders>
              <w:top w:val="nil"/>
              <w:left w:val="single" w:sz="4" w:space="0" w:color="auto"/>
              <w:bottom w:val="single" w:sz="4" w:space="0" w:color="auto"/>
            </w:tcBorders>
            <w:tcMar>
              <w:top w:w="40" w:type="dxa"/>
              <w:left w:w="40" w:type="dxa"/>
              <w:bottom w:w="40" w:type="dxa"/>
              <w:right w:w="40" w:type="dxa"/>
            </w:tcMar>
            <w:vAlign w:val="center"/>
          </w:tcPr>
          <w:p w14:paraId="291472B2" w14:textId="4A56CAA7"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13.6%</w:t>
            </w:r>
          </w:p>
        </w:tc>
      </w:tr>
      <w:tr w:rsidR="005C0B57" w:rsidRPr="006B15C8" w14:paraId="746214C1" w14:textId="77777777" w:rsidTr="004D553B">
        <w:trPr>
          <w:trHeight w:val="20"/>
        </w:trPr>
        <w:tc>
          <w:tcPr>
            <w:tcW w:w="9360" w:type="dxa"/>
            <w:gridSpan w:val="5"/>
            <w:tcBorders>
              <w:top w:val="single" w:sz="4" w:space="0" w:color="auto"/>
              <w:bottom w:val="single" w:sz="4" w:space="0" w:color="auto"/>
            </w:tcBorders>
            <w:tcMar>
              <w:top w:w="40" w:type="dxa"/>
              <w:left w:w="40" w:type="dxa"/>
              <w:bottom w:w="40" w:type="dxa"/>
              <w:right w:w="40" w:type="dxa"/>
            </w:tcMar>
            <w:vAlign w:val="center"/>
          </w:tcPr>
          <w:p w14:paraId="3A589BE9" w14:textId="77777777" w:rsidR="00CB2C17" w:rsidRPr="006B15C8" w:rsidRDefault="00CB2C17" w:rsidP="004D553B">
            <w:pPr>
              <w:spacing w:line="240" w:lineRule="auto"/>
              <w:contextualSpacing/>
              <w:rPr>
                <w:rFonts w:eastAsia="Arial"/>
                <w:sz w:val="22"/>
                <w:szCs w:val="22"/>
              </w:rPr>
            </w:pPr>
            <w:r w:rsidRPr="006B15C8">
              <w:rPr>
                <w:rFonts w:eastAsia="Arial"/>
                <w:i/>
                <w:iCs/>
                <w:sz w:val="22"/>
                <w:szCs w:val="22"/>
              </w:rPr>
              <w:t>Weather Condition</w:t>
            </w:r>
          </w:p>
        </w:tc>
      </w:tr>
      <w:tr w:rsidR="005C0B57" w:rsidRPr="006B15C8" w14:paraId="5EF5998D" w14:textId="77777777" w:rsidTr="004D553B">
        <w:trPr>
          <w:trHeight w:val="20"/>
        </w:trPr>
        <w:tc>
          <w:tcPr>
            <w:tcW w:w="2595" w:type="dxa"/>
            <w:tcBorders>
              <w:top w:val="single" w:sz="4" w:space="0" w:color="auto"/>
              <w:bottom w:val="nil"/>
              <w:right w:val="double" w:sz="4" w:space="0" w:color="auto"/>
            </w:tcBorders>
            <w:tcMar>
              <w:top w:w="40" w:type="dxa"/>
              <w:left w:w="40" w:type="dxa"/>
              <w:bottom w:w="40" w:type="dxa"/>
              <w:right w:w="40" w:type="dxa"/>
            </w:tcMar>
            <w:vAlign w:val="center"/>
          </w:tcPr>
          <w:p w14:paraId="71C32B84"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Raining</w:t>
            </w:r>
          </w:p>
        </w:tc>
        <w:tc>
          <w:tcPr>
            <w:tcW w:w="1691" w:type="dxa"/>
            <w:tcBorders>
              <w:top w:val="single" w:sz="4" w:space="0" w:color="auto"/>
              <w:left w:val="double" w:sz="4" w:space="0" w:color="auto"/>
              <w:bottom w:val="nil"/>
              <w:right w:val="single" w:sz="4" w:space="0" w:color="auto"/>
            </w:tcBorders>
            <w:tcMar>
              <w:top w:w="40" w:type="dxa"/>
              <w:left w:w="40" w:type="dxa"/>
              <w:bottom w:w="40" w:type="dxa"/>
              <w:right w:w="40" w:type="dxa"/>
            </w:tcMar>
            <w:vAlign w:val="center"/>
          </w:tcPr>
          <w:p w14:paraId="67696D73" w14:textId="23C56DD9" w:rsidR="00CB2C17" w:rsidRPr="006B15C8" w:rsidRDefault="009B3B3F" w:rsidP="004D553B">
            <w:pPr>
              <w:spacing w:line="240" w:lineRule="auto"/>
              <w:contextualSpacing/>
              <w:jc w:val="center"/>
              <w:rPr>
                <w:rFonts w:eastAsia="Arial"/>
                <w:bCs/>
                <w:sz w:val="22"/>
                <w:szCs w:val="22"/>
              </w:rPr>
            </w:pPr>
            <w:r w:rsidRPr="006B15C8">
              <w:rPr>
                <w:rFonts w:eastAsia="Arial"/>
                <w:bCs/>
                <w:color w:val="FFFFFF"/>
                <w:sz w:val="22"/>
                <w:szCs w:val="22"/>
              </w:rPr>
              <w:t>0</w:t>
            </w:r>
            <w:r w:rsidR="004F5559" w:rsidRPr="006B15C8">
              <w:rPr>
                <w:rFonts w:eastAsia="Arial"/>
                <w:bCs/>
                <w:color w:val="FFFFFF"/>
                <w:sz w:val="22"/>
                <w:szCs w:val="22"/>
              </w:rPr>
              <w:t xml:space="preserve">  </w:t>
            </w:r>
            <w:r w:rsidR="00CB2C17" w:rsidRPr="006B15C8">
              <w:rPr>
                <w:rFonts w:eastAsia="Arial"/>
                <w:bCs/>
                <w:sz w:val="22"/>
                <w:szCs w:val="22"/>
              </w:rPr>
              <w:t>104</w:t>
            </w:r>
            <w:r w:rsidR="004F5559"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0.1</w:t>
            </w:r>
            <w:r w:rsidR="00CB2C17" w:rsidRPr="006B15C8">
              <w:rPr>
                <w:rFonts w:eastAsia="Arial"/>
                <w:bCs/>
                <w:sz w:val="22"/>
                <w:szCs w:val="22"/>
              </w:rPr>
              <w:t>%)</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5298B06A" w14:textId="3913FB91"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2</w:t>
            </w:r>
            <w:r w:rsidR="00B7218E" w:rsidRPr="006B15C8">
              <w:rPr>
                <w:rFonts w:eastAsia="Arial"/>
                <w:bCs/>
                <w:sz w:val="22"/>
                <w:szCs w:val="22"/>
              </w:rPr>
              <w:t>6.0</w:t>
            </w:r>
            <w:r w:rsidRPr="006B15C8">
              <w:rPr>
                <w:rFonts w:eastAsia="Arial"/>
                <w:bCs/>
                <w:sz w:val="22"/>
                <w:szCs w:val="22"/>
              </w:rPr>
              <w:t>%</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46B4B1F7" w14:textId="4EA6CD8E"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9.</w:t>
            </w:r>
            <w:r w:rsidR="00455341" w:rsidRPr="006B15C8">
              <w:rPr>
                <w:rFonts w:eastAsia="Arial"/>
                <w:bCs/>
                <w:sz w:val="22"/>
                <w:szCs w:val="22"/>
              </w:rPr>
              <w:t>6</w:t>
            </w:r>
            <w:r w:rsidRPr="006B15C8">
              <w:rPr>
                <w:rFonts w:eastAsia="Arial"/>
                <w:bCs/>
                <w:sz w:val="22"/>
                <w:szCs w:val="22"/>
              </w:rPr>
              <w:t>%</w:t>
            </w:r>
          </w:p>
        </w:tc>
        <w:tc>
          <w:tcPr>
            <w:tcW w:w="1692" w:type="dxa"/>
            <w:tcBorders>
              <w:top w:val="single" w:sz="4" w:space="0" w:color="auto"/>
              <w:left w:val="single" w:sz="4" w:space="0" w:color="auto"/>
              <w:bottom w:val="nil"/>
            </w:tcBorders>
            <w:tcMar>
              <w:top w:w="40" w:type="dxa"/>
              <w:left w:w="40" w:type="dxa"/>
              <w:bottom w:w="40" w:type="dxa"/>
              <w:right w:w="40" w:type="dxa"/>
            </w:tcMar>
            <w:vAlign w:val="center"/>
          </w:tcPr>
          <w:p w14:paraId="1D1C3A4F" w14:textId="70289F4B" w:rsidR="00CB2C17" w:rsidRPr="006B15C8" w:rsidRDefault="004944A9" w:rsidP="004D553B">
            <w:pPr>
              <w:spacing w:line="240" w:lineRule="auto"/>
              <w:contextualSpacing/>
              <w:jc w:val="center"/>
              <w:rPr>
                <w:rFonts w:eastAsia="Arial"/>
                <w:bCs/>
                <w:sz w:val="22"/>
                <w:szCs w:val="22"/>
              </w:rPr>
            </w:pPr>
            <w:r w:rsidRPr="006B15C8">
              <w:rPr>
                <w:rFonts w:eastAsia="Arial"/>
                <w:bCs/>
                <w:sz w:val="22"/>
                <w:szCs w:val="22"/>
              </w:rPr>
              <w:t>37.0</w:t>
            </w:r>
            <w:r w:rsidR="009F2668" w:rsidRPr="006B15C8">
              <w:rPr>
                <w:rFonts w:eastAsia="Arial"/>
                <w:bCs/>
                <w:sz w:val="22"/>
                <w:szCs w:val="22"/>
              </w:rPr>
              <w:t>%</w:t>
            </w:r>
          </w:p>
        </w:tc>
      </w:tr>
      <w:tr w:rsidR="005C0B57" w:rsidRPr="006B15C8" w14:paraId="2C3E933C" w14:textId="77777777" w:rsidTr="004D553B">
        <w:trPr>
          <w:trHeight w:val="20"/>
        </w:trPr>
        <w:tc>
          <w:tcPr>
            <w:tcW w:w="2595" w:type="dxa"/>
            <w:tcBorders>
              <w:top w:val="nil"/>
              <w:right w:val="double" w:sz="4" w:space="0" w:color="auto"/>
            </w:tcBorders>
            <w:tcMar>
              <w:top w:w="40" w:type="dxa"/>
              <w:left w:w="40" w:type="dxa"/>
              <w:bottom w:w="40" w:type="dxa"/>
              <w:right w:w="40" w:type="dxa"/>
            </w:tcMar>
            <w:vAlign w:val="center"/>
          </w:tcPr>
          <w:p w14:paraId="0F10A08D"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Not raining</w:t>
            </w:r>
          </w:p>
        </w:tc>
        <w:tc>
          <w:tcPr>
            <w:tcW w:w="1691" w:type="dxa"/>
            <w:tcBorders>
              <w:top w:val="nil"/>
              <w:left w:val="double" w:sz="4" w:space="0" w:color="auto"/>
              <w:right w:val="single" w:sz="4" w:space="0" w:color="auto"/>
            </w:tcBorders>
            <w:tcMar>
              <w:top w:w="40" w:type="dxa"/>
              <w:left w:w="40" w:type="dxa"/>
              <w:bottom w:w="40" w:type="dxa"/>
              <w:right w:w="40" w:type="dxa"/>
            </w:tcMar>
            <w:vAlign w:val="center"/>
          </w:tcPr>
          <w:p w14:paraId="0BEBEB09" w14:textId="164EA4A4" w:rsidR="00CB2C17" w:rsidRPr="006B15C8" w:rsidRDefault="006811B9" w:rsidP="004F5559">
            <w:pPr>
              <w:spacing w:line="240" w:lineRule="auto"/>
              <w:contextualSpacing/>
              <w:jc w:val="center"/>
              <w:rPr>
                <w:rFonts w:eastAsia="Arial"/>
                <w:bCs/>
                <w:sz w:val="22"/>
                <w:szCs w:val="22"/>
              </w:rPr>
            </w:pPr>
            <w:r w:rsidRPr="006B15C8">
              <w:rPr>
                <w:rFonts w:eastAsia="Arial"/>
                <w:bCs/>
                <w:sz w:val="22"/>
                <w:szCs w:val="22"/>
              </w:rPr>
              <w:t>17270</w:t>
            </w:r>
            <w:r w:rsidR="00CB2C17" w:rsidRPr="006B15C8">
              <w:rPr>
                <w:rFonts w:eastAsia="Arial"/>
                <w:bCs/>
                <w:sz w:val="22"/>
                <w:szCs w:val="22"/>
              </w:rPr>
              <w:t xml:space="preserve"> (</w:t>
            </w:r>
            <w:r w:rsidR="00440DCD" w:rsidRPr="006B15C8">
              <w:rPr>
                <w:rFonts w:eastAsia="Arial"/>
                <w:bCs/>
                <w:sz w:val="22"/>
                <w:szCs w:val="22"/>
              </w:rPr>
              <w:t>99.9</w:t>
            </w:r>
            <w:r w:rsidR="00CB2C17" w:rsidRPr="006B15C8">
              <w:rPr>
                <w:rFonts w:eastAsia="Arial"/>
                <w:bCs/>
                <w:sz w:val="22"/>
                <w:szCs w:val="22"/>
              </w:rPr>
              <w:t>%)</w:t>
            </w:r>
          </w:p>
        </w:tc>
        <w:tc>
          <w:tcPr>
            <w:tcW w:w="1691" w:type="dxa"/>
            <w:tcBorders>
              <w:top w:val="nil"/>
              <w:left w:val="single" w:sz="4" w:space="0" w:color="auto"/>
              <w:right w:val="single" w:sz="4" w:space="0" w:color="auto"/>
            </w:tcBorders>
            <w:tcMar>
              <w:top w:w="40" w:type="dxa"/>
              <w:left w:w="40" w:type="dxa"/>
              <w:bottom w:w="40" w:type="dxa"/>
              <w:right w:w="40" w:type="dxa"/>
            </w:tcMar>
            <w:vAlign w:val="center"/>
          </w:tcPr>
          <w:p w14:paraId="74A47961" w14:textId="79D7A4C7"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w:t>
            </w:r>
            <w:r w:rsidR="00F778FC" w:rsidRPr="006B15C8">
              <w:rPr>
                <w:rFonts w:eastAsia="Arial"/>
                <w:bCs/>
                <w:sz w:val="22"/>
                <w:szCs w:val="22"/>
              </w:rPr>
              <w:t>6</w:t>
            </w:r>
            <w:r w:rsidR="006811B9" w:rsidRPr="006B15C8">
              <w:rPr>
                <w:rFonts w:eastAsia="Arial"/>
                <w:bCs/>
                <w:sz w:val="22"/>
                <w:szCs w:val="22"/>
              </w:rPr>
              <w:t>.</w:t>
            </w:r>
            <w:r w:rsidR="00F778FC" w:rsidRPr="006B15C8">
              <w:rPr>
                <w:rFonts w:eastAsia="Arial"/>
                <w:bCs/>
                <w:sz w:val="22"/>
                <w:szCs w:val="22"/>
              </w:rPr>
              <w:t>6</w:t>
            </w:r>
            <w:r w:rsidRPr="006B15C8">
              <w:rPr>
                <w:rFonts w:eastAsia="Arial"/>
                <w:bCs/>
                <w:sz w:val="22"/>
                <w:szCs w:val="22"/>
              </w:rPr>
              <w:t>%</w:t>
            </w:r>
          </w:p>
        </w:tc>
        <w:tc>
          <w:tcPr>
            <w:tcW w:w="1691" w:type="dxa"/>
            <w:tcBorders>
              <w:top w:val="nil"/>
              <w:left w:val="single" w:sz="4" w:space="0" w:color="auto"/>
              <w:right w:val="single" w:sz="4" w:space="0" w:color="auto"/>
            </w:tcBorders>
            <w:tcMar>
              <w:top w:w="40" w:type="dxa"/>
              <w:left w:w="40" w:type="dxa"/>
              <w:bottom w:w="40" w:type="dxa"/>
              <w:right w:w="40" w:type="dxa"/>
            </w:tcMar>
            <w:vAlign w:val="center"/>
          </w:tcPr>
          <w:p w14:paraId="64D17885" w14:textId="60D9558F"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8.</w:t>
            </w:r>
            <w:r w:rsidR="00261EB5" w:rsidRPr="006B15C8">
              <w:rPr>
                <w:rFonts w:eastAsia="Arial"/>
                <w:bCs/>
                <w:sz w:val="22"/>
                <w:szCs w:val="22"/>
              </w:rPr>
              <w:t>1</w:t>
            </w:r>
            <w:r w:rsidRPr="006B15C8">
              <w:rPr>
                <w:rFonts w:eastAsia="Arial"/>
                <w:bCs/>
                <w:sz w:val="22"/>
                <w:szCs w:val="22"/>
              </w:rPr>
              <w:t>%</w:t>
            </w:r>
          </w:p>
        </w:tc>
        <w:tc>
          <w:tcPr>
            <w:tcW w:w="1692" w:type="dxa"/>
            <w:tcBorders>
              <w:top w:val="nil"/>
              <w:left w:val="single" w:sz="4" w:space="0" w:color="auto"/>
            </w:tcBorders>
            <w:tcMar>
              <w:top w:w="40" w:type="dxa"/>
              <w:left w:w="40" w:type="dxa"/>
              <w:bottom w:w="40" w:type="dxa"/>
              <w:right w:w="40" w:type="dxa"/>
            </w:tcMar>
            <w:vAlign w:val="center"/>
          </w:tcPr>
          <w:p w14:paraId="530970F0" w14:textId="0CB4451D"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w:t>
            </w:r>
            <w:r w:rsidR="007E2121" w:rsidRPr="006B15C8">
              <w:rPr>
                <w:rFonts w:eastAsia="Arial"/>
                <w:bCs/>
                <w:sz w:val="22"/>
                <w:szCs w:val="22"/>
              </w:rPr>
              <w:t>2</w:t>
            </w:r>
            <w:r w:rsidRPr="006B15C8">
              <w:rPr>
                <w:rFonts w:eastAsia="Arial"/>
                <w:bCs/>
                <w:sz w:val="22"/>
                <w:szCs w:val="22"/>
              </w:rPr>
              <w:t>.</w:t>
            </w:r>
            <w:r w:rsidR="007E2121" w:rsidRPr="006B15C8">
              <w:rPr>
                <w:rFonts w:eastAsia="Arial"/>
                <w:bCs/>
                <w:sz w:val="22"/>
                <w:szCs w:val="22"/>
              </w:rPr>
              <w:t>6</w:t>
            </w:r>
            <w:r w:rsidRPr="006B15C8">
              <w:rPr>
                <w:rFonts w:eastAsia="Arial"/>
                <w:bCs/>
                <w:sz w:val="22"/>
                <w:szCs w:val="22"/>
              </w:rPr>
              <w:t>%</w:t>
            </w:r>
          </w:p>
        </w:tc>
      </w:tr>
      <w:tr w:rsidR="005C0B57" w:rsidRPr="006B15C8" w14:paraId="4C3989CD" w14:textId="77777777" w:rsidTr="004D553B">
        <w:trPr>
          <w:trHeight w:val="20"/>
        </w:trPr>
        <w:tc>
          <w:tcPr>
            <w:tcW w:w="9360" w:type="dxa"/>
            <w:gridSpan w:val="5"/>
            <w:tcBorders>
              <w:top w:val="single" w:sz="4" w:space="0" w:color="auto"/>
              <w:bottom w:val="single" w:sz="4" w:space="0" w:color="auto"/>
            </w:tcBorders>
            <w:tcMar>
              <w:top w:w="40" w:type="dxa"/>
              <w:left w:w="40" w:type="dxa"/>
              <w:bottom w:w="40" w:type="dxa"/>
              <w:right w:w="40" w:type="dxa"/>
            </w:tcMar>
            <w:vAlign w:val="center"/>
          </w:tcPr>
          <w:p w14:paraId="77A33BC9" w14:textId="77777777" w:rsidR="00CB2C17" w:rsidRPr="006B15C8" w:rsidRDefault="00CB2C17" w:rsidP="004D553B">
            <w:pPr>
              <w:spacing w:line="240" w:lineRule="auto"/>
              <w:contextualSpacing/>
              <w:rPr>
                <w:rFonts w:eastAsia="Arial"/>
                <w:b/>
                <w:bCs/>
                <w:i/>
                <w:iCs/>
                <w:sz w:val="22"/>
                <w:szCs w:val="22"/>
              </w:rPr>
            </w:pPr>
            <w:r w:rsidRPr="006B15C8">
              <w:rPr>
                <w:rFonts w:eastAsia="Arial"/>
                <w:b/>
                <w:bCs/>
                <w:sz w:val="22"/>
                <w:szCs w:val="22"/>
              </w:rPr>
              <w:t>Vehicle Characteristics</w:t>
            </w:r>
          </w:p>
        </w:tc>
      </w:tr>
      <w:tr w:rsidR="005C0B57" w:rsidRPr="006B15C8" w14:paraId="7C51E513" w14:textId="77777777" w:rsidTr="004D553B">
        <w:trPr>
          <w:trHeight w:val="20"/>
        </w:trPr>
        <w:tc>
          <w:tcPr>
            <w:tcW w:w="9360" w:type="dxa"/>
            <w:gridSpan w:val="5"/>
            <w:tcBorders>
              <w:top w:val="single" w:sz="4" w:space="0" w:color="auto"/>
              <w:bottom w:val="single" w:sz="4" w:space="0" w:color="auto"/>
            </w:tcBorders>
            <w:tcMar>
              <w:top w:w="40" w:type="dxa"/>
              <w:left w:w="40" w:type="dxa"/>
              <w:bottom w:w="40" w:type="dxa"/>
              <w:right w:w="40" w:type="dxa"/>
            </w:tcMar>
            <w:vAlign w:val="center"/>
          </w:tcPr>
          <w:p w14:paraId="56685A02" w14:textId="77777777" w:rsidR="00CB2C17" w:rsidRPr="006B15C8" w:rsidRDefault="00CB2C17" w:rsidP="004D553B">
            <w:pPr>
              <w:spacing w:line="240" w:lineRule="auto"/>
              <w:contextualSpacing/>
              <w:rPr>
                <w:rFonts w:eastAsia="Arial"/>
                <w:i/>
                <w:iCs/>
                <w:sz w:val="22"/>
                <w:szCs w:val="22"/>
              </w:rPr>
            </w:pPr>
            <w:r w:rsidRPr="006B15C8">
              <w:rPr>
                <w:rFonts w:eastAsia="Arial"/>
                <w:i/>
                <w:iCs/>
                <w:sz w:val="22"/>
                <w:szCs w:val="22"/>
              </w:rPr>
              <w:t>Vehicle Type</w:t>
            </w:r>
          </w:p>
        </w:tc>
      </w:tr>
      <w:tr w:rsidR="005C0B57" w:rsidRPr="006B15C8" w14:paraId="33927FC6" w14:textId="77777777" w:rsidTr="004D553B">
        <w:trPr>
          <w:trHeight w:val="20"/>
        </w:trPr>
        <w:tc>
          <w:tcPr>
            <w:tcW w:w="2595" w:type="dxa"/>
            <w:tcBorders>
              <w:top w:val="single" w:sz="4" w:space="0" w:color="auto"/>
              <w:bottom w:val="nil"/>
              <w:right w:val="double" w:sz="4" w:space="0" w:color="auto"/>
            </w:tcBorders>
            <w:tcMar>
              <w:top w:w="40" w:type="dxa"/>
              <w:left w:w="40" w:type="dxa"/>
              <w:bottom w:w="40" w:type="dxa"/>
              <w:right w:w="40" w:type="dxa"/>
            </w:tcMar>
            <w:vAlign w:val="center"/>
          </w:tcPr>
          <w:p w14:paraId="6CCE0EBF"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SUV</w:t>
            </w:r>
          </w:p>
        </w:tc>
        <w:tc>
          <w:tcPr>
            <w:tcW w:w="1691" w:type="dxa"/>
            <w:tcBorders>
              <w:top w:val="single" w:sz="4" w:space="0" w:color="auto"/>
              <w:left w:val="double" w:sz="4" w:space="0" w:color="auto"/>
              <w:bottom w:val="nil"/>
              <w:right w:val="single" w:sz="4" w:space="0" w:color="auto"/>
            </w:tcBorders>
            <w:tcMar>
              <w:top w:w="40" w:type="dxa"/>
              <w:left w:w="40" w:type="dxa"/>
              <w:bottom w:w="40" w:type="dxa"/>
              <w:right w:w="40" w:type="dxa"/>
            </w:tcMar>
            <w:vAlign w:val="center"/>
          </w:tcPr>
          <w:p w14:paraId="3818B78A" w14:textId="1CBFE3EF" w:rsidR="00CB2C17" w:rsidRPr="006B15C8" w:rsidRDefault="004F5559" w:rsidP="004D553B">
            <w:pPr>
              <w:spacing w:line="240" w:lineRule="auto"/>
              <w:contextualSpacing/>
              <w:jc w:val="center"/>
              <w:rPr>
                <w:rFonts w:eastAsia="Arial"/>
                <w:bCs/>
                <w:sz w:val="22"/>
                <w:szCs w:val="22"/>
              </w:rPr>
            </w:pPr>
            <w:r w:rsidRPr="006B15C8">
              <w:rPr>
                <w:rFonts w:eastAsia="Arial"/>
                <w:bCs/>
                <w:sz w:val="22"/>
                <w:szCs w:val="22"/>
              </w:rPr>
              <w:t xml:space="preserve"> </w:t>
            </w:r>
            <w:r w:rsidR="00CB2C17" w:rsidRPr="006B15C8">
              <w:rPr>
                <w:rFonts w:eastAsia="Arial"/>
                <w:bCs/>
                <w:sz w:val="22"/>
                <w:szCs w:val="22"/>
              </w:rPr>
              <w:t xml:space="preserve"> </w:t>
            </w:r>
            <w:r w:rsidR="009F2668" w:rsidRPr="006B15C8">
              <w:rPr>
                <w:rFonts w:eastAsia="Arial"/>
                <w:bCs/>
                <w:sz w:val="22"/>
                <w:szCs w:val="22"/>
              </w:rPr>
              <w:t>1231</w:t>
            </w:r>
            <w:r w:rsidR="009B3B3F"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42.6</w:t>
            </w:r>
            <w:r w:rsidR="00CB2C17" w:rsidRPr="006B15C8">
              <w:rPr>
                <w:rFonts w:eastAsia="Arial"/>
                <w:bCs/>
                <w:sz w:val="22"/>
                <w:szCs w:val="22"/>
              </w:rPr>
              <w:t>%)</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2745F03E" w14:textId="77777777" w:rsidR="00CB2C17" w:rsidRPr="006B15C8" w:rsidRDefault="00CB2C17" w:rsidP="004D553B">
            <w:pPr>
              <w:spacing w:line="240" w:lineRule="auto"/>
              <w:contextualSpacing/>
              <w:jc w:val="center"/>
              <w:rPr>
                <w:rFonts w:eastAsia="Arial"/>
                <w:bCs/>
                <w:sz w:val="22"/>
                <w:szCs w:val="22"/>
              </w:rPr>
            </w:pPr>
            <w:r w:rsidRPr="006B15C8">
              <w:rPr>
                <w:rFonts w:eastAsia="Arial"/>
                <w:bCs/>
                <w:sz w:val="22"/>
                <w:szCs w:val="22"/>
              </w:rPr>
              <w:t>100.0%</w:t>
            </w:r>
          </w:p>
        </w:tc>
        <w:tc>
          <w:tcPr>
            <w:tcW w:w="1691" w:type="dxa"/>
            <w:tcBorders>
              <w:top w:val="single" w:sz="4" w:space="0" w:color="auto"/>
              <w:left w:val="single" w:sz="4" w:space="0" w:color="auto"/>
              <w:bottom w:val="nil"/>
              <w:right w:val="single" w:sz="4" w:space="0" w:color="auto"/>
            </w:tcBorders>
            <w:tcMar>
              <w:top w:w="40" w:type="dxa"/>
              <w:left w:w="40" w:type="dxa"/>
              <w:bottom w:w="40" w:type="dxa"/>
              <w:right w:w="40" w:type="dxa"/>
            </w:tcMar>
            <w:vAlign w:val="center"/>
          </w:tcPr>
          <w:p w14:paraId="411E3C76" w14:textId="46AB448A" w:rsidR="00CB2C17" w:rsidRPr="006B15C8" w:rsidRDefault="009F2668" w:rsidP="004D553B">
            <w:pPr>
              <w:spacing w:line="240" w:lineRule="auto"/>
              <w:contextualSpacing/>
              <w:jc w:val="center"/>
              <w:rPr>
                <w:rFonts w:eastAsia="Arial"/>
                <w:bCs/>
                <w:sz w:val="22"/>
                <w:szCs w:val="22"/>
                <w:highlight w:val="yellow"/>
              </w:rPr>
            </w:pPr>
            <w:r w:rsidRPr="006B15C8">
              <w:rPr>
                <w:rFonts w:eastAsia="Arial"/>
                <w:bCs/>
                <w:sz w:val="22"/>
                <w:szCs w:val="22"/>
              </w:rPr>
              <w:t>3.1%</w:t>
            </w:r>
          </w:p>
        </w:tc>
        <w:tc>
          <w:tcPr>
            <w:tcW w:w="1692" w:type="dxa"/>
            <w:tcBorders>
              <w:top w:val="single" w:sz="4" w:space="0" w:color="auto"/>
              <w:left w:val="single" w:sz="4" w:space="0" w:color="auto"/>
              <w:bottom w:val="nil"/>
            </w:tcBorders>
            <w:tcMar>
              <w:top w:w="40" w:type="dxa"/>
              <w:left w:w="40" w:type="dxa"/>
              <w:bottom w:w="40" w:type="dxa"/>
              <w:right w:w="40" w:type="dxa"/>
            </w:tcMar>
            <w:vAlign w:val="center"/>
          </w:tcPr>
          <w:p w14:paraId="40024EB6" w14:textId="18140848"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11.6%</w:t>
            </w:r>
          </w:p>
        </w:tc>
      </w:tr>
      <w:tr w:rsidR="005C0B57" w:rsidRPr="006B15C8" w14:paraId="34DEF168"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163C98BD"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Sedan</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2DBC3AEA" w14:textId="0897FE3A" w:rsidR="00CB2C17" w:rsidRPr="006B15C8" w:rsidRDefault="004F5559" w:rsidP="004D553B">
            <w:pPr>
              <w:spacing w:line="240" w:lineRule="auto"/>
              <w:contextualSpacing/>
              <w:jc w:val="center"/>
              <w:rPr>
                <w:rFonts w:eastAsia="Arial"/>
                <w:bCs/>
                <w:sz w:val="22"/>
                <w:szCs w:val="22"/>
              </w:rPr>
            </w:pPr>
            <w:r w:rsidRPr="006B15C8">
              <w:rPr>
                <w:rFonts w:eastAsia="Arial"/>
                <w:bCs/>
                <w:sz w:val="22"/>
                <w:szCs w:val="22"/>
              </w:rPr>
              <w:t xml:space="preserve"> </w:t>
            </w:r>
            <w:r w:rsidR="00CB2C17" w:rsidRPr="006B15C8">
              <w:rPr>
                <w:rFonts w:eastAsia="Arial"/>
                <w:bCs/>
                <w:sz w:val="22"/>
                <w:szCs w:val="22"/>
              </w:rPr>
              <w:t xml:space="preserve"> </w:t>
            </w:r>
            <w:r w:rsidR="009F2668" w:rsidRPr="006B15C8">
              <w:rPr>
                <w:rFonts w:eastAsia="Arial"/>
                <w:bCs/>
                <w:sz w:val="22"/>
                <w:szCs w:val="22"/>
              </w:rPr>
              <w:t>1109</w:t>
            </w:r>
            <w:r w:rsidR="009B3B3F"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38.4</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292CFBF3" w14:textId="77777777" w:rsidR="00CB2C17" w:rsidRPr="006B15C8" w:rsidRDefault="00CB2C17" w:rsidP="004D553B">
            <w:pPr>
              <w:spacing w:line="240" w:lineRule="auto"/>
              <w:contextualSpacing/>
              <w:jc w:val="center"/>
              <w:rPr>
                <w:rFonts w:eastAsia="Arial"/>
                <w:bCs/>
                <w:sz w:val="22"/>
                <w:szCs w:val="22"/>
              </w:rPr>
            </w:pPr>
            <w:r w:rsidRPr="006B15C8">
              <w:rPr>
                <w:rFonts w:eastAsia="Arial"/>
                <w:bCs/>
                <w:sz w:val="22"/>
                <w:szCs w:val="22"/>
              </w:rPr>
              <w:t>100.0%</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3DCA640E" w14:textId="3776D7EA"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4.1%</w:t>
            </w:r>
          </w:p>
        </w:tc>
        <w:tc>
          <w:tcPr>
            <w:tcW w:w="1692" w:type="dxa"/>
            <w:tcBorders>
              <w:top w:val="nil"/>
              <w:left w:val="single" w:sz="4" w:space="0" w:color="auto"/>
              <w:bottom w:val="nil"/>
            </w:tcBorders>
            <w:tcMar>
              <w:top w:w="40" w:type="dxa"/>
              <w:left w:w="40" w:type="dxa"/>
              <w:bottom w:w="40" w:type="dxa"/>
              <w:right w:w="40" w:type="dxa"/>
            </w:tcMar>
            <w:vAlign w:val="center"/>
          </w:tcPr>
          <w:p w14:paraId="186D5191" w14:textId="4A77FD37"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13.1%</w:t>
            </w:r>
          </w:p>
        </w:tc>
      </w:tr>
      <w:tr w:rsidR="005C0B57" w:rsidRPr="006B15C8" w14:paraId="21FC0CEE"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67DFF26E"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Pickup truck</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15644306" w14:textId="4A00A59A" w:rsidR="00CB2C17" w:rsidRPr="006B15C8" w:rsidRDefault="004F5559" w:rsidP="004D553B">
            <w:pPr>
              <w:spacing w:line="240" w:lineRule="auto"/>
              <w:contextualSpacing/>
              <w:jc w:val="center"/>
              <w:rPr>
                <w:rFonts w:eastAsia="Arial"/>
                <w:bCs/>
                <w:sz w:val="22"/>
                <w:szCs w:val="22"/>
              </w:rPr>
            </w:pPr>
            <w:r w:rsidRPr="006B15C8">
              <w:rPr>
                <w:rFonts w:eastAsia="Arial"/>
                <w:bCs/>
                <w:color w:val="FFFFFF"/>
                <w:sz w:val="22"/>
                <w:szCs w:val="22"/>
              </w:rPr>
              <w:t xml:space="preserve"> </w:t>
            </w:r>
            <w:r w:rsidR="009B3B3F" w:rsidRPr="006B15C8">
              <w:rPr>
                <w:rFonts w:eastAsia="Arial"/>
                <w:bCs/>
                <w:color w:val="FFFFFF"/>
                <w:sz w:val="22"/>
                <w:szCs w:val="22"/>
              </w:rPr>
              <w:t>0</w:t>
            </w:r>
            <w:r w:rsidR="003E60A3" w:rsidRPr="006B15C8">
              <w:rPr>
                <w:rFonts w:eastAsia="Arial"/>
                <w:bCs/>
                <w:color w:val="FFFFFF"/>
                <w:sz w:val="22"/>
                <w:szCs w:val="22"/>
              </w:rPr>
              <w:t xml:space="preserve"> </w:t>
            </w:r>
            <w:r w:rsidR="009F2668" w:rsidRPr="006B15C8">
              <w:rPr>
                <w:rFonts w:eastAsia="Arial"/>
                <w:bCs/>
                <w:sz w:val="22"/>
                <w:szCs w:val="22"/>
              </w:rPr>
              <w:t>327</w:t>
            </w:r>
            <w:r w:rsidR="009B3B3F" w:rsidRPr="006B15C8">
              <w:rPr>
                <w:rFonts w:eastAsia="Arial"/>
                <w:bCs/>
                <w:sz w:val="22"/>
                <w:szCs w:val="22"/>
              </w:rPr>
              <w:t xml:space="preserve"> </w:t>
            </w:r>
            <w:r w:rsidR="00CB2C17" w:rsidRPr="006B15C8">
              <w:rPr>
                <w:rFonts w:eastAsia="Arial"/>
                <w:bCs/>
                <w:sz w:val="22"/>
                <w:szCs w:val="22"/>
              </w:rPr>
              <w:t>(</w:t>
            </w:r>
            <w:r w:rsidR="00440DCD" w:rsidRPr="006B15C8">
              <w:rPr>
                <w:rFonts w:eastAsia="Arial"/>
                <w:bCs/>
                <w:sz w:val="22"/>
                <w:szCs w:val="22"/>
              </w:rPr>
              <w:t>11.3</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426C0795" w14:textId="77777777" w:rsidR="00CB2C17" w:rsidRPr="006B15C8" w:rsidRDefault="00CB2C17" w:rsidP="004D553B">
            <w:pPr>
              <w:spacing w:line="240" w:lineRule="auto"/>
              <w:contextualSpacing/>
              <w:jc w:val="center"/>
              <w:rPr>
                <w:rFonts w:eastAsia="Arial"/>
                <w:bCs/>
                <w:sz w:val="22"/>
                <w:szCs w:val="22"/>
              </w:rPr>
            </w:pPr>
            <w:r w:rsidRPr="006B15C8">
              <w:rPr>
                <w:rFonts w:eastAsia="Arial"/>
                <w:bCs/>
                <w:sz w:val="22"/>
                <w:szCs w:val="22"/>
              </w:rPr>
              <w:t>100.0%</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456BC721" w14:textId="7DC8200E" w:rsidR="00CB2C17" w:rsidRPr="006B15C8" w:rsidRDefault="009F2668" w:rsidP="004D553B">
            <w:pPr>
              <w:spacing w:line="240" w:lineRule="auto"/>
              <w:contextualSpacing/>
              <w:jc w:val="center"/>
              <w:rPr>
                <w:rFonts w:eastAsia="Arial"/>
                <w:bCs/>
                <w:sz w:val="22"/>
                <w:szCs w:val="22"/>
                <w:highlight w:val="yellow"/>
              </w:rPr>
            </w:pPr>
            <w:r w:rsidRPr="006B15C8">
              <w:rPr>
                <w:rFonts w:eastAsia="Arial"/>
                <w:bCs/>
                <w:sz w:val="22"/>
                <w:szCs w:val="22"/>
              </w:rPr>
              <w:t>5.5%</w:t>
            </w:r>
          </w:p>
        </w:tc>
        <w:tc>
          <w:tcPr>
            <w:tcW w:w="1692" w:type="dxa"/>
            <w:tcBorders>
              <w:top w:val="nil"/>
              <w:left w:val="single" w:sz="4" w:space="0" w:color="auto"/>
              <w:bottom w:val="nil"/>
            </w:tcBorders>
            <w:tcMar>
              <w:top w:w="40" w:type="dxa"/>
              <w:left w:w="40" w:type="dxa"/>
              <w:bottom w:w="40" w:type="dxa"/>
              <w:right w:w="40" w:type="dxa"/>
            </w:tcMar>
            <w:vAlign w:val="center"/>
          </w:tcPr>
          <w:p w14:paraId="52C31B52" w14:textId="0F449B0C"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14.4%</w:t>
            </w:r>
          </w:p>
        </w:tc>
      </w:tr>
      <w:tr w:rsidR="005C0B57" w:rsidRPr="006B15C8" w14:paraId="4DA9002F" w14:textId="77777777" w:rsidTr="004D553B">
        <w:trPr>
          <w:trHeight w:val="20"/>
        </w:trPr>
        <w:tc>
          <w:tcPr>
            <w:tcW w:w="2595" w:type="dxa"/>
            <w:tcBorders>
              <w:top w:val="nil"/>
              <w:bottom w:val="nil"/>
              <w:right w:val="double" w:sz="4" w:space="0" w:color="auto"/>
            </w:tcBorders>
            <w:tcMar>
              <w:top w:w="40" w:type="dxa"/>
              <w:left w:w="40" w:type="dxa"/>
              <w:bottom w:w="40" w:type="dxa"/>
              <w:right w:w="40" w:type="dxa"/>
            </w:tcMar>
            <w:vAlign w:val="center"/>
          </w:tcPr>
          <w:p w14:paraId="5D88CEC4"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Commercial</w:t>
            </w:r>
            <w:r w:rsidRPr="006B15C8">
              <w:rPr>
                <w:rFonts w:eastAsia="Arial"/>
                <w:sz w:val="22"/>
                <w:szCs w:val="22"/>
                <w:vertAlign w:val="superscript"/>
              </w:rPr>
              <w:t>*</w:t>
            </w:r>
          </w:p>
        </w:tc>
        <w:tc>
          <w:tcPr>
            <w:tcW w:w="1691" w:type="dxa"/>
            <w:tcBorders>
              <w:top w:val="nil"/>
              <w:left w:val="double" w:sz="4" w:space="0" w:color="auto"/>
              <w:bottom w:val="nil"/>
              <w:right w:val="single" w:sz="4" w:space="0" w:color="auto"/>
            </w:tcBorders>
            <w:tcMar>
              <w:top w:w="40" w:type="dxa"/>
              <w:left w:w="40" w:type="dxa"/>
              <w:bottom w:w="40" w:type="dxa"/>
              <w:right w:w="40" w:type="dxa"/>
            </w:tcMar>
            <w:vAlign w:val="center"/>
          </w:tcPr>
          <w:p w14:paraId="647119E8" w14:textId="15DDD712" w:rsidR="00CB2C17" w:rsidRPr="006B15C8" w:rsidRDefault="004F5559" w:rsidP="004D553B">
            <w:pPr>
              <w:spacing w:line="240" w:lineRule="auto"/>
              <w:contextualSpacing/>
              <w:jc w:val="center"/>
              <w:rPr>
                <w:rFonts w:eastAsia="Arial"/>
                <w:bCs/>
                <w:sz w:val="22"/>
                <w:szCs w:val="22"/>
              </w:rPr>
            </w:pPr>
            <w:r w:rsidRPr="006B15C8">
              <w:rPr>
                <w:rFonts w:eastAsia="Arial"/>
                <w:bCs/>
                <w:color w:val="FFFFFF"/>
                <w:sz w:val="22"/>
                <w:szCs w:val="22"/>
              </w:rPr>
              <w:t xml:space="preserve"> </w:t>
            </w:r>
            <w:r w:rsidR="00CB2C17" w:rsidRPr="006B15C8">
              <w:rPr>
                <w:rFonts w:eastAsia="Arial"/>
                <w:bCs/>
                <w:color w:val="FFFFFF"/>
                <w:sz w:val="22"/>
                <w:szCs w:val="22"/>
              </w:rPr>
              <w:t xml:space="preserve"> </w:t>
            </w:r>
            <w:r w:rsidR="009B3B3F" w:rsidRPr="006B15C8">
              <w:rPr>
                <w:rFonts w:eastAsia="Arial"/>
                <w:bCs/>
                <w:color w:val="FFFFFF"/>
                <w:sz w:val="22"/>
                <w:szCs w:val="22"/>
              </w:rPr>
              <w:t>0</w:t>
            </w:r>
            <w:r w:rsidR="009F2668" w:rsidRPr="006B15C8">
              <w:rPr>
                <w:rFonts w:eastAsia="Arial"/>
                <w:bCs/>
                <w:sz w:val="22"/>
                <w:szCs w:val="22"/>
              </w:rPr>
              <w:t>162</w:t>
            </w:r>
            <w:r w:rsidR="009B3B3F" w:rsidRPr="006B15C8">
              <w:rPr>
                <w:rFonts w:eastAsia="Arial"/>
                <w:bCs/>
                <w:sz w:val="22"/>
                <w:szCs w:val="22"/>
              </w:rPr>
              <w:t xml:space="preserve"> </w:t>
            </w:r>
            <w:r w:rsidR="009B3B3F" w:rsidRPr="006B15C8">
              <w:rPr>
                <w:rFonts w:eastAsia="Arial"/>
                <w:bCs/>
                <w:color w:val="FFFFFF"/>
                <w:sz w:val="22"/>
                <w:szCs w:val="22"/>
              </w:rPr>
              <w:t>0</w:t>
            </w:r>
            <w:r w:rsidR="00CB2C17" w:rsidRPr="006B15C8">
              <w:rPr>
                <w:rFonts w:eastAsia="Arial"/>
                <w:bCs/>
                <w:sz w:val="22"/>
                <w:szCs w:val="22"/>
              </w:rPr>
              <w:t>(</w:t>
            </w:r>
            <w:r w:rsidR="00440DCD" w:rsidRPr="006B15C8">
              <w:rPr>
                <w:rFonts w:eastAsia="Arial"/>
                <w:bCs/>
                <w:sz w:val="22"/>
                <w:szCs w:val="22"/>
              </w:rPr>
              <w:t>5.6</w:t>
            </w:r>
            <w:r w:rsidR="00CB2C17" w:rsidRPr="006B15C8">
              <w:rPr>
                <w:rFonts w:eastAsia="Arial"/>
                <w:bCs/>
                <w:sz w:val="22"/>
                <w:szCs w:val="22"/>
              </w:rPr>
              <w:t>%)</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61FBB7EA" w14:textId="77777777" w:rsidR="00CB2C17" w:rsidRPr="006B15C8" w:rsidRDefault="00CB2C17" w:rsidP="004D553B">
            <w:pPr>
              <w:spacing w:line="240" w:lineRule="auto"/>
              <w:contextualSpacing/>
              <w:jc w:val="center"/>
              <w:rPr>
                <w:rFonts w:eastAsia="Arial"/>
                <w:bCs/>
                <w:sz w:val="22"/>
                <w:szCs w:val="22"/>
              </w:rPr>
            </w:pPr>
            <w:r w:rsidRPr="006B15C8">
              <w:rPr>
                <w:rFonts w:eastAsia="Arial"/>
                <w:bCs/>
                <w:sz w:val="22"/>
                <w:szCs w:val="22"/>
              </w:rPr>
              <w:t>100.0%</w:t>
            </w:r>
          </w:p>
        </w:tc>
        <w:tc>
          <w:tcPr>
            <w:tcW w:w="1691" w:type="dxa"/>
            <w:tcBorders>
              <w:top w:val="nil"/>
              <w:left w:val="single" w:sz="4" w:space="0" w:color="auto"/>
              <w:bottom w:val="nil"/>
              <w:right w:val="single" w:sz="4" w:space="0" w:color="auto"/>
            </w:tcBorders>
            <w:tcMar>
              <w:top w:w="40" w:type="dxa"/>
              <w:left w:w="40" w:type="dxa"/>
              <w:bottom w:w="40" w:type="dxa"/>
              <w:right w:w="40" w:type="dxa"/>
            </w:tcMar>
            <w:vAlign w:val="center"/>
          </w:tcPr>
          <w:p w14:paraId="10CB75A9" w14:textId="633CC455" w:rsidR="00CB2C17" w:rsidRPr="006B15C8" w:rsidRDefault="009F2668" w:rsidP="004D553B">
            <w:pPr>
              <w:spacing w:line="240" w:lineRule="auto"/>
              <w:contextualSpacing/>
              <w:jc w:val="center"/>
              <w:rPr>
                <w:rFonts w:eastAsia="Arial"/>
                <w:bCs/>
                <w:sz w:val="22"/>
                <w:szCs w:val="22"/>
                <w:highlight w:val="yellow"/>
              </w:rPr>
            </w:pPr>
            <w:r w:rsidRPr="006B15C8">
              <w:rPr>
                <w:rFonts w:eastAsia="Arial"/>
                <w:bCs/>
                <w:sz w:val="22"/>
                <w:szCs w:val="22"/>
              </w:rPr>
              <w:t>5.6%</w:t>
            </w:r>
          </w:p>
        </w:tc>
        <w:tc>
          <w:tcPr>
            <w:tcW w:w="1692" w:type="dxa"/>
            <w:tcBorders>
              <w:top w:val="nil"/>
              <w:left w:val="single" w:sz="4" w:space="0" w:color="auto"/>
              <w:bottom w:val="nil"/>
            </w:tcBorders>
            <w:tcMar>
              <w:top w:w="40" w:type="dxa"/>
              <w:left w:w="40" w:type="dxa"/>
              <w:bottom w:w="40" w:type="dxa"/>
              <w:right w:w="40" w:type="dxa"/>
            </w:tcMar>
            <w:vAlign w:val="center"/>
          </w:tcPr>
          <w:p w14:paraId="686D8C37" w14:textId="4751F647"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10.0%</w:t>
            </w:r>
          </w:p>
        </w:tc>
      </w:tr>
      <w:tr w:rsidR="005C0B57" w:rsidRPr="006B15C8" w14:paraId="5FE7513D" w14:textId="77777777" w:rsidTr="004D553B">
        <w:trPr>
          <w:trHeight w:val="17"/>
        </w:trPr>
        <w:tc>
          <w:tcPr>
            <w:tcW w:w="2595" w:type="dxa"/>
            <w:tcBorders>
              <w:top w:val="nil"/>
              <w:bottom w:val="double" w:sz="4" w:space="0" w:color="auto"/>
              <w:right w:val="double" w:sz="4" w:space="0" w:color="auto"/>
            </w:tcBorders>
            <w:tcMar>
              <w:top w:w="40" w:type="dxa"/>
              <w:left w:w="40" w:type="dxa"/>
              <w:bottom w:w="40" w:type="dxa"/>
              <w:right w:w="40" w:type="dxa"/>
            </w:tcMar>
            <w:vAlign w:val="center"/>
          </w:tcPr>
          <w:p w14:paraId="6778DB9F" w14:textId="77777777" w:rsidR="00CB2C17" w:rsidRPr="006B15C8" w:rsidRDefault="00CB2C17" w:rsidP="004D553B">
            <w:pPr>
              <w:spacing w:line="240" w:lineRule="auto"/>
              <w:ind w:left="210"/>
              <w:contextualSpacing/>
              <w:jc w:val="left"/>
              <w:rPr>
                <w:rFonts w:eastAsia="Arial"/>
                <w:sz w:val="22"/>
                <w:szCs w:val="22"/>
              </w:rPr>
            </w:pPr>
            <w:r w:rsidRPr="006B15C8">
              <w:rPr>
                <w:rFonts w:eastAsia="Arial"/>
                <w:sz w:val="22"/>
                <w:szCs w:val="22"/>
              </w:rPr>
              <w:t>Other</w:t>
            </w:r>
            <w:r w:rsidRPr="006B15C8">
              <w:rPr>
                <w:rFonts w:eastAsia="Arial"/>
                <w:sz w:val="22"/>
                <w:szCs w:val="22"/>
                <w:vertAlign w:val="superscript"/>
              </w:rPr>
              <w:t>*</w:t>
            </w:r>
          </w:p>
        </w:tc>
        <w:tc>
          <w:tcPr>
            <w:tcW w:w="1691" w:type="dxa"/>
            <w:tcBorders>
              <w:top w:val="nil"/>
              <w:left w:val="double" w:sz="4" w:space="0" w:color="auto"/>
              <w:bottom w:val="double" w:sz="4" w:space="0" w:color="auto"/>
              <w:right w:val="single" w:sz="4" w:space="0" w:color="auto"/>
            </w:tcBorders>
            <w:tcMar>
              <w:top w:w="40" w:type="dxa"/>
              <w:left w:w="40" w:type="dxa"/>
              <w:bottom w:w="40" w:type="dxa"/>
              <w:right w:w="40" w:type="dxa"/>
            </w:tcMar>
            <w:vAlign w:val="center"/>
          </w:tcPr>
          <w:p w14:paraId="228E46B8" w14:textId="7A908402" w:rsidR="00CB2C17" w:rsidRPr="006B15C8" w:rsidRDefault="004F5559" w:rsidP="004D553B">
            <w:pPr>
              <w:spacing w:line="240" w:lineRule="auto"/>
              <w:contextualSpacing/>
              <w:jc w:val="center"/>
              <w:rPr>
                <w:rFonts w:eastAsia="Arial"/>
                <w:bCs/>
                <w:sz w:val="22"/>
                <w:szCs w:val="22"/>
              </w:rPr>
            </w:pPr>
            <w:r w:rsidRPr="006B15C8">
              <w:rPr>
                <w:rFonts w:eastAsia="Arial"/>
                <w:bCs/>
                <w:color w:val="FFFFFF"/>
                <w:sz w:val="22"/>
                <w:szCs w:val="22"/>
              </w:rPr>
              <w:t xml:space="preserve"> </w:t>
            </w:r>
            <w:r w:rsidR="009B3B3F" w:rsidRPr="006B15C8">
              <w:rPr>
                <w:rFonts w:eastAsia="Arial"/>
                <w:bCs/>
                <w:color w:val="FFFFFF"/>
                <w:sz w:val="22"/>
                <w:szCs w:val="22"/>
              </w:rPr>
              <w:t>0</w:t>
            </w:r>
            <w:r w:rsidR="003E60A3" w:rsidRPr="006B15C8">
              <w:rPr>
                <w:rFonts w:eastAsia="Arial"/>
                <w:bCs/>
                <w:color w:val="FFFFFF"/>
                <w:sz w:val="22"/>
                <w:szCs w:val="22"/>
              </w:rPr>
              <w:t xml:space="preserve"> </w:t>
            </w:r>
            <w:r w:rsidR="009B3B3F" w:rsidRPr="006B15C8">
              <w:rPr>
                <w:rFonts w:eastAsia="Arial"/>
                <w:bCs/>
                <w:color w:val="FFFFFF"/>
                <w:sz w:val="22"/>
                <w:szCs w:val="22"/>
              </w:rPr>
              <w:t>0</w:t>
            </w:r>
            <w:r w:rsidR="009F2668" w:rsidRPr="006B15C8">
              <w:rPr>
                <w:rFonts w:eastAsia="Arial"/>
                <w:bCs/>
                <w:sz w:val="22"/>
                <w:szCs w:val="22"/>
              </w:rPr>
              <w:t>61</w:t>
            </w:r>
            <w:r w:rsidR="009B3B3F" w:rsidRPr="006B15C8">
              <w:rPr>
                <w:rFonts w:eastAsia="Arial"/>
                <w:bCs/>
                <w:color w:val="FFFFFF"/>
                <w:sz w:val="22"/>
                <w:szCs w:val="22"/>
              </w:rPr>
              <w:t xml:space="preserve">0 </w:t>
            </w:r>
            <w:r w:rsidR="00CB2C17" w:rsidRPr="006B15C8">
              <w:rPr>
                <w:rFonts w:eastAsia="Arial"/>
                <w:bCs/>
                <w:sz w:val="22"/>
                <w:szCs w:val="22"/>
              </w:rPr>
              <w:t>(</w:t>
            </w:r>
            <w:r w:rsidR="00440DCD" w:rsidRPr="006B15C8">
              <w:rPr>
                <w:rFonts w:eastAsia="Arial"/>
                <w:bCs/>
                <w:sz w:val="22"/>
                <w:szCs w:val="22"/>
              </w:rPr>
              <w:t>2.1</w:t>
            </w:r>
            <w:r w:rsidR="00CB2C17" w:rsidRPr="006B15C8">
              <w:rPr>
                <w:rFonts w:eastAsia="Arial"/>
                <w:bCs/>
                <w:sz w:val="22"/>
                <w:szCs w:val="22"/>
              </w:rPr>
              <w:t>%)</w:t>
            </w:r>
          </w:p>
        </w:tc>
        <w:tc>
          <w:tcPr>
            <w:tcW w:w="1691" w:type="dxa"/>
            <w:tcBorders>
              <w:top w:val="nil"/>
              <w:left w:val="single" w:sz="4" w:space="0" w:color="auto"/>
              <w:bottom w:val="double" w:sz="4" w:space="0" w:color="auto"/>
              <w:right w:val="single" w:sz="4" w:space="0" w:color="auto"/>
            </w:tcBorders>
            <w:tcMar>
              <w:top w:w="40" w:type="dxa"/>
              <w:left w:w="40" w:type="dxa"/>
              <w:bottom w:w="40" w:type="dxa"/>
              <w:right w:w="40" w:type="dxa"/>
            </w:tcMar>
            <w:vAlign w:val="center"/>
          </w:tcPr>
          <w:p w14:paraId="473BC028" w14:textId="77777777" w:rsidR="00CB2C17" w:rsidRPr="006B15C8" w:rsidRDefault="00CB2C17" w:rsidP="004D553B">
            <w:pPr>
              <w:spacing w:line="240" w:lineRule="auto"/>
              <w:contextualSpacing/>
              <w:jc w:val="center"/>
              <w:rPr>
                <w:rFonts w:eastAsia="Arial"/>
                <w:bCs/>
                <w:sz w:val="22"/>
                <w:szCs w:val="22"/>
              </w:rPr>
            </w:pPr>
            <w:r w:rsidRPr="006B15C8">
              <w:rPr>
                <w:rFonts w:eastAsia="Arial"/>
                <w:bCs/>
                <w:sz w:val="22"/>
                <w:szCs w:val="22"/>
              </w:rPr>
              <w:t>100.0%</w:t>
            </w:r>
          </w:p>
        </w:tc>
        <w:tc>
          <w:tcPr>
            <w:tcW w:w="1691" w:type="dxa"/>
            <w:tcBorders>
              <w:top w:val="nil"/>
              <w:left w:val="single" w:sz="4" w:space="0" w:color="auto"/>
              <w:bottom w:val="double" w:sz="4" w:space="0" w:color="auto"/>
              <w:right w:val="single" w:sz="4" w:space="0" w:color="auto"/>
            </w:tcBorders>
            <w:tcMar>
              <w:top w:w="40" w:type="dxa"/>
              <w:left w:w="40" w:type="dxa"/>
              <w:bottom w:w="40" w:type="dxa"/>
              <w:right w:w="40" w:type="dxa"/>
            </w:tcMar>
            <w:vAlign w:val="center"/>
          </w:tcPr>
          <w:p w14:paraId="5A47AB07" w14:textId="7CFA8AD0" w:rsidR="00CB2C17" w:rsidRPr="006B15C8" w:rsidRDefault="009F2668" w:rsidP="004D553B">
            <w:pPr>
              <w:spacing w:line="240" w:lineRule="auto"/>
              <w:contextualSpacing/>
              <w:jc w:val="center"/>
              <w:rPr>
                <w:rFonts w:eastAsia="Arial"/>
                <w:bCs/>
                <w:sz w:val="22"/>
                <w:szCs w:val="22"/>
                <w:highlight w:val="yellow"/>
              </w:rPr>
            </w:pPr>
            <w:r w:rsidRPr="006B15C8">
              <w:rPr>
                <w:rFonts w:eastAsia="Arial"/>
                <w:bCs/>
                <w:sz w:val="22"/>
                <w:szCs w:val="22"/>
              </w:rPr>
              <w:t>9.8%</w:t>
            </w:r>
          </w:p>
        </w:tc>
        <w:tc>
          <w:tcPr>
            <w:tcW w:w="1692" w:type="dxa"/>
            <w:tcBorders>
              <w:top w:val="nil"/>
              <w:left w:val="single" w:sz="4" w:space="0" w:color="auto"/>
              <w:bottom w:val="double" w:sz="4" w:space="0" w:color="auto"/>
            </w:tcBorders>
            <w:tcMar>
              <w:top w:w="40" w:type="dxa"/>
              <w:left w:w="40" w:type="dxa"/>
              <w:bottom w:w="40" w:type="dxa"/>
              <w:right w:w="40" w:type="dxa"/>
            </w:tcMar>
            <w:vAlign w:val="center"/>
          </w:tcPr>
          <w:p w14:paraId="0A7905FC" w14:textId="183B7DDA" w:rsidR="00CB2C17" w:rsidRPr="006B15C8" w:rsidRDefault="009F2668" w:rsidP="004D553B">
            <w:pPr>
              <w:spacing w:line="240" w:lineRule="auto"/>
              <w:contextualSpacing/>
              <w:jc w:val="center"/>
              <w:rPr>
                <w:rFonts w:eastAsia="Arial"/>
                <w:bCs/>
                <w:sz w:val="22"/>
                <w:szCs w:val="22"/>
              </w:rPr>
            </w:pPr>
            <w:r w:rsidRPr="006B15C8">
              <w:rPr>
                <w:rFonts w:eastAsia="Arial"/>
                <w:bCs/>
                <w:sz w:val="22"/>
                <w:szCs w:val="22"/>
              </w:rPr>
              <w:t>29.5%</w:t>
            </w:r>
          </w:p>
        </w:tc>
      </w:tr>
    </w:tbl>
    <w:p w14:paraId="48246FF2" w14:textId="77777777" w:rsidR="00CB2C17" w:rsidRPr="006B15C8" w:rsidRDefault="00CB2C17" w:rsidP="004A6C6E">
      <w:pPr>
        <w:spacing w:line="271" w:lineRule="auto"/>
        <w:rPr>
          <w:sz w:val="20"/>
          <w:szCs w:val="20"/>
        </w:rPr>
      </w:pPr>
      <w:r w:rsidRPr="006B15C8">
        <w:rPr>
          <w:sz w:val="20"/>
          <w:szCs w:val="20"/>
          <w:vertAlign w:val="superscript"/>
        </w:rPr>
        <w:t>*</w:t>
      </w:r>
      <w:r w:rsidRPr="006B15C8">
        <w:rPr>
          <w:sz w:val="20"/>
          <w:szCs w:val="20"/>
        </w:rPr>
        <w:t xml:space="preserve">Commercial vehicles include box-trucks, company-branded cars and vans, garbage trucks, and city buses. “Other” vehicle types include motorcycles, emergency vehicles, and any vehicles that could not be clearly identified. </w:t>
      </w:r>
    </w:p>
    <w:p w14:paraId="2092DCA9" w14:textId="77777777" w:rsidR="006162E7" w:rsidRPr="006B15C8" w:rsidRDefault="006162E7" w:rsidP="004A6C6E">
      <w:pPr>
        <w:spacing w:line="271" w:lineRule="auto"/>
      </w:pPr>
    </w:p>
    <w:p w14:paraId="3D27FFFC" w14:textId="3D57C799" w:rsidR="00902CF6" w:rsidRPr="00D676AB" w:rsidRDefault="00697732" w:rsidP="004A6C6E">
      <w:pPr>
        <w:pStyle w:val="Heading1"/>
        <w:spacing w:line="271" w:lineRule="auto"/>
        <w:ind w:left="360"/>
        <w:rPr>
          <w:caps/>
        </w:rPr>
      </w:pPr>
      <w:r w:rsidRPr="006B15C8">
        <w:t xml:space="preserve"> </w:t>
      </w:r>
      <w:r w:rsidR="00902CF6" w:rsidRPr="00D676AB">
        <w:rPr>
          <w:caps/>
        </w:rPr>
        <w:t>Analytic Approach</w:t>
      </w:r>
    </w:p>
    <w:p w14:paraId="414CCE98" w14:textId="3BFDF0CE" w:rsidR="005B7062" w:rsidRPr="006B15C8" w:rsidRDefault="00717345" w:rsidP="004A6C6E">
      <w:pPr>
        <w:pStyle w:val="Heading2"/>
        <w:spacing w:line="271" w:lineRule="auto"/>
      </w:pPr>
      <w:r w:rsidRPr="006B15C8">
        <w:t xml:space="preserve"> </w:t>
      </w:r>
      <w:r w:rsidR="005B7062" w:rsidRPr="006B15C8">
        <w:t>Copula-based bivariate logit model</w:t>
      </w:r>
    </w:p>
    <w:p w14:paraId="3A7A77A0" w14:textId="6D720094" w:rsidR="000F18B7" w:rsidRPr="006B15C8" w:rsidRDefault="00902CF6" w:rsidP="004A6C6E">
      <w:pPr>
        <w:spacing w:line="271" w:lineRule="auto"/>
      </w:pPr>
      <w:r w:rsidRPr="006B15C8">
        <w:t>This study employs binary logit discrete outcome models to analyze two distinct behaviors: (1) pedestrian crossing behavior (</w:t>
      </w:r>
      <w:r w:rsidR="002568C5" w:rsidRPr="006B15C8">
        <w:t>C</w:t>
      </w:r>
      <w:r w:rsidRPr="006B15C8">
        <w:t xml:space="preserve">ompliant Pedestrian Crossing (CPC) </w:t>
      </w:r>
      <w:r w:rsidRPr="006B15C8">
        <w:rPr>
          <w:i/>
          <w:iCs/>
        </w:rPr>
        <w:t>v</w:t>
      </w:r>
      <w:r w:rsidR="001C611F" w:rsidRPr="006B15C8">
        <w:rPr>
          <w:i/>
          <w:iCs/>
        </w:rPr>
        <w:t>ersus</w:t>
      </w:r>
      <w:r w:rsidRPr="006B15C8">
        <w:t xml:space="preserve"> </w:t>
      </w:r>
      <w:r w:rsidR="002568C5" w:rsidRPr="006B15C8">
        <w:t>Non-</w:t>
      </w:r>
      <w:r w:rsidRPr="006B15C8">
        <w:t>Compliant Pedestrian Crossing (</w:t>
      </w:r>
      <w:r w:rsidR="002568C5" w:rsidRPr="006B15C8">
        <w:t>N</w:t>
      </w:r>
      <w:r w:rsidRPr="006B15C8">
        <w:t>CPC)) and (2) driver yielding behavior (</w:t>
      </w:r>
      <w:r w:rsidR="0003284E" w:rsidRPr="006B15C8">
        <w:t xml:space="preserve">driver </w:t>
      </w:r>
      <w:r w:rsidRPr="006B15C8">
        <w:t>yield</w:t>
      </w:r>
      <w:r w:rsidR="0003284E" w:rsidRPr="006B15C8">
        <w:t>s</w:t>
      </w:r>
      <w:r w:rsidRPr="006B15C8">
        <w:t xml:space="preserve"> properly</w:t>
      </w:r>
      <w:r w:rsidR="0003284E" w:rsidRPr="006B15C8">
        <w:t xml:space="preserve"> </w:t>
      </w:r>
      <w:r w:rsidRPr="006B15C8">
        <w:t>to pedestrians</w:t>
      </w:r>
      <w:r w:rsidR="002568C5" w:rsidRPr="006B15C8">
        <w:t xml:space="preserve"> </w:t>
      </w:r>
      <w:r w:rsidR="0003284E" w:rsidRPr="006B15C8">
        <w:t xml:space="preserve">(DYP) </w:t>
      </w:r>
      <w:r w:rsidR="002568C5" w:rsidRPr="006B15C8">
        <w:rPr>
          <w:i/>
          <w:iCs/>
        </w:rPr>
        <w:t>versus</w:t>
      </w:r>
      <w:r w:rsidR="002568C5" w:rsidRPr="006B15C8">
        <w:t xml:space="preserve"> </w:t>
      </w:r>
      <w:r w:rsidR="0003284E" w:rsidRPr="006B15C8">
        <w:t>driver</w:t>
      </w:r>
      <w:r w:rsidR="004056C5" w:rsidRPr="006B15C8">
        <w:t xml:space="preserve"> un</w:t>
      </w:r>
      <w:r w:rsidR="002568C5" w:rsidRPr="006B15C8">
        <w:t>yield</w:t>
      </w:r>
      <w:r w:rsidR="004056C5" w:rsidRPr="006B15C8">
        <w:t>ing to pedestrians</w:t>
      </w:r>
      <w:r w:rsidR="0003284E" w:rsidRPr="006B15C8">
        <w:t xml:space="preserve"> (D</w:t>
      </w:r>
      <w:r w:rsidR="004056C5" w:rsidRPr="006B15C8">
        <w:t>U</w:t>
      </w:r>
      <w:r w:rsidR="0003284E" w:rsidRPr="006B15C8">
        <w:t>Y)</w:t>
      </w:r>
      <w:r w:rsidR="00461F7F" w:rsidRPr="006B15C8">
        <w:t>)</w:t>
      </w:r>
      <w:r w:rsidRPr="006B15C8">
        <w:t xml:space="preserve">. The binary logit model </w:t>
      </w:r>
      <w:r w:rsidR="00765615" w:rsidRPr="006B15C8">
        <w:t xml:space="preserve">(sometimes also referred to as a logistic regression) </w:t>
      </w:r>
      <w:r w:rsidRPr="006B15C8">
        <w:t xml:space="preserve">is based on </w:t>
      </w:r>
      <w:r w:rsidR="00765615" w:rsidRPr="006B15C8">
        <w:t>a</w:t>
      </w:r>
      <w:r w:rsidRPr="006B15C8">
        <w:t xml:space="preserve"> latent variable framework, where the observed binary outcome is determined by an underlying continuous latent propensity </w:t>
      </w:r>
      <w:r w:rsidR="00EE5D91" w:rsidRPr="006B15C8">
        <w:t>(</w:t>
      </w:r>
      <w:bookmarkStart w:id="75" w:name="_Hlk202478150"/>
      <w:r w:rsidRPr="006B15C8">
        <w:fldChar w:fldCharType="begin"/>
      </w:r>
      <w:r w:rsidR="003F5890" w:rsidRPr="006B15C8">
        <w:instrText xml:space="preserve"> ADDIN ZOTERO_ITEM CSL_CITATION {"citationID":"TaEtUtRo","properties":{"formattedCitation":"(Train, 2009)","plainCitation":"(Train, 2009)","dontUpdate":true,"noteIndex":0},"citationItems":[{"id":"ReAbCZ5Q/nXTwKvpk","uris":["http://zotero.org/users/9292995/items/WDAFUN2R"],"itemData":{"id":1062,"type":"book","ISBN":"1-139-48037-5","publisher":"Cambridge university press","title":"Discrete choice methods with simulation","URL":"https://eml.berkeley.edu/books/choice2.html","author":[{"family":"Train","given":"Kenneth E"}],"issued":{"date-parts":[["2009"]]}}}],"schema":"https://github.com/citation-style-language/schema/raw/master/csl-citation.json"} </w:instrText>
      </w:r>
      <w:r w:rsidRPr="006B15C8">
        <w:fldChar w:fldCharType="separate"/>
      </w:r>
      <w:r w:rsidRPr="006B15C8">
        <w:t>Train</w:t>
      </w:r>
      <w:r w:rsidR="00EE5D91" w:rsidRPr="006B15C8">
        <w:t xml:space="preserve">, </w:t>
      </w:r>
      <w:r w:rsidRPr="006B15C8">
        <w:t>2009)</w:t>
      </w:r>
      <w:r w:rsidRPr="006B15C8">
        <w:fldChar w:fldCharType="end"/>
      </w:r>
      <w:bookmarkEnd w:id="75"/>
      <w:r w:rsidRPr="006B15C8">
        <w:t xml:space="preserve">. </w:t>
      </w:r>
      <w:r w:rsidR="0003284E" w:rsidRPr="006B15C8">
        <w:t xml:space="preserve">In this paper, we code the two binary variables as follows: </w:t>
      </w:r>
      <w:r w:rsidR="00CB2C17" w:rsidRPr="006B15C8">
        <w:t xml:space="preserve">(1) for </w:t>
      </w:r>
      <w:r w:rsidR="0003284E" w:rsidRPr="006B15C8">
        <w:t>pedestrian crossing behavior</w:t>
      </w:r>
      <w:r w:rsidR="00AE58BE">
        <w:t>,</w:t>
      </w:r>
      <w:r w:rsidR="00CB2C17" w:rsidRPr="006B15C8">
        <w:t xml:space="preserve"> </w:t>
      </w:r>
      <w:r w:rsidR="000F18B7" w:rsidRPr="006B15C8">
        <w:rPr>
          <w:position w:val="-14"/>
        </w:rPr>
        <w:object w:dxaOrig="680" w:dyaOrig="400" w14:anchorId="70255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5pt;height:20.35pt" o:ole="" o:preferrelative="f">
            <v:imagedata r:id="rId22" o:title=""/>
            <o:lock v:ext="edit" aspectratio="f"/>
          </v:shape>
          <o:OLEObject Type="Embed" ProgID="Equation.DSMT4" ShapeID="_x0000_i1025" DrawAspect="Content" ObjectID="_1832934269" r:id="rId23"/>
        </w:object>
      </w:r>
      <w:r w:rsidR="0003284E" w:rsidRPr="006B15C8">
        <w:t xml:space="preserve"> if </w:t>
      </w:r>
      <w:r w:rsidR="00B86361" w:rsidRPr="006B15C8">
        <w:t xml:space="preserve">the </w:t>
      </w:r>
      <w:r w:rsidR="00CB2C17" w:rsidRPr="006B15C8">
        <w:t xml:space="preserve">pedestrian </w:t>
      </w:r>
      <w:r w:rsidR="00B86361" w:rsidRPr="006B15C8">
        <w:t xml:space="preserve">in observation </w:t>
      </w:r>
      <w:r w:rsidR="00B86361" w:rsidRPr="006B15C8">
        <w:rPr>
          <w:i/>
          <w:iCs/>
        </w:rPr>
        <w:t>q</w:t>
      </w:r>
      <w:r w:rsidR="00B86361" w:rsidRPr="006B15C8">
        <w:t xml:space="preserve"> </w:t>
      </w:r>
      <w:r w:rsidR="00CB2C17" w:rsidRPr="006B15C8">
        <w:t xml:space="preserve">crosses non-compliantly </w:t>
      </w:r>
      <w:r w:rsidR="004D22D8" w:rsidRPr="006B15C8">
        <w:t xml:space="preserve">(NCPC) </w:t>
      </w:r>
      <w:r w:rsidR="00CB2C17" w:rsidRPr="006B15C8">
        <w:t xml:space="preserve">and </w:t>
      </w:r>
      <w:r w:rsidR="000F18B7" w:rsidRPr="006B15C8">
        <w:rPr>
          <w:position w:val="-14"/>
        </w:rPr>
        <w:object w:dxaOrig="720" w:dyaOrig="400" w14:anchorId="631E348D">
          <v:shape id="_x0000_i1026" type="#_x0000_t75" style="width:36pt;height:20.35pt" o:ole="" o:preferrelative="f">
            <v:imagedata r:id="rId24" o:title=""/>
            <o:lock v:ext="edit" aspectratio="f"/>
          </v:shape>
          <o:OLEObject Type="Embed" ProgID="Equation.DSMT4" ShapeID="_x0000_i1026" DrawAspect="Content" ObjectID="_1832934270" r:id="rId25"/>
        </w:object>
      </w:r>
      <w:r w:rsidR="004D22D8" w:rsidRPr="006B15C8">
        <w:t xml:space="preserve"> </w:t>
      </w:r>
      <w:r w:rsidR="00CB2C17" w:rsidRPr="006B15C8">
        <w:t xml:space="preserve">if </w:t>
      </w:r>
      <w:r w:rsidR="00B86361" w:rsidRPr="006B15C8">
        <w:t xml:space="preserve">the </w:t>
      </w:r>
      <w:r w:rsidR="00CB2C17" w:rsidRPr="006B15C8">
        <w:t xml:space="preserve">pedestrian </w:t>
      </w:r>
      <w:r w:rsidR="00B86361" w:rsidRPr="006B15C8">
        <w:t xml:space="preserve">in observation </w:t>
      </w:r>
      <w:r w:rsidR="00B86361" w:rsidRPr="006B15C8">
        <w:rPr>
          <w:i/>
          <w:iCs/>
        </w:rPr>
        <w:t>q</w:t>
      </w:r>
      <w:r w:rsidR="00B86361" w:rsidRPr="006B15C8">
        <w:t xml:space="preserve"> </w:t>
      </w:r>
      <w:r w:rsidR="00CB2C17" w:rsidRPr="006B15C8">
        <w:t>crosses compliantly</w:t>
      </w:r>
      <w:r w:rsidR="004D22D8" w:rsidRPr="006B15C8">
        <w:t xml:space="preserve"> (CPC)</w:t>
      </w:r>
      <w:r w:rsidR="00CB2C17" w:rsidRPr="006B15C8">
        <w:t>, and (2) for driver yielding behavior</w:t>
      </w:r>
      <w:r w:rsidR="00AE58BE">
        <w:t xml:space="preserve">, </w:t>
      </w:r>
      <w:r w:rsidR="00CB2C17" w:rsidRPr="006B15C8">
        <w:t xml:space="preserve"> </w:t>
      </w:r>
      <w:r w:rsidR="000F18B7" w:rsidRPr="006B15C8">
        <w:rPr>
          <w:position w:val="-14"/>
        </w:rPr>
        <w:object w:dxaOrig="700" w:dyaOrig="400" w14:anchorId="18D2F7A4">
          <v:shape id="_x0000_i1027" type="#_x0000_t75" style="width:35.55pt;height:20.35pt" o:ole="" o:preferrelative="f">
            <v:imagedata r:id="rId26" o:title=""/>
            <o:lock v:ext="edit" aspectratio="f"/>
          </v:shape>
          <o:OLEObject Type="Embed" ProgID="Equation.DSMT4" ShapeID="_x0000_i1027" DrawAspect="Content" ObjectID="_1832934271" r:id="rId27"/>
        </w:object>
      </w:r>
      <w:r w:rsidR="00CB2C17" w:rsidRPr="006B15C8">
        <w:t xml:space="preserve"> if </w:t>
      </w:r>
      <w:r w:rsidR="00B86361" w:rsidRPr="006B15C8">
        <w:t xml:space="preserve">the </w:t>
      </w:r>
      <w:r w:rsidR="00CB2C17" w:rsidRPr="006B15C8">
        <w:t>drive</w:t>
      </w:r>
      <w:r w:rsidR="00B86361" w:rsidRPr="006B15C8">
        <w:t xml:space="preserve">r associated with an observation </w:t>
      </w:r>
      <w:r w:rsidR="00B86361" w:rsidRPr="006B15C8">
        <w:rPr>
          <w:i/>
          <w:iCs/>
        </w:rPr>
        <w:t>q</w:t>
      </w:r>
      <w:r w:rsidR="00B86361" w:rsidRPr="006B15C8">
        <w:t xml:space="preserve"> (</w:t>
      </w:r>
      <w:r w:rsidR="00CB2C17" w:rsidRPr="006B15C8">
        <w:t>fails to yield</w:t>
      </w:r>
      <w:r w:rsidR="004D22D8" w:rsidRPr="006B15C8">
        <w:t xml:space="preserve"> (DFY)</w:t>
      </w:r>
      <w:r w:rsidR="00CB2C17" w:rsidRPr="006B15C8">
        <w:t xml:space="preserve">, and </w:t>
      </w:r>
      <w:r w:rsidR="000F18B7" w:rsidRPr="006B15C8">
        <w:rPr>
          <w:position w:val="-14"/>
        </w:rPr>
        <w:object w:dxaOrig="740" w:dyaOrig="400" w14:anchorId="70731010">
          <v:shape id="_x0000_i1028" type="#_x0000_t75" style="width:36.45pt;height:20.35pt" o:ole="" o:preferrelative="f">
            <v:imagedata r:id="rId28" o:title=""/>
            <o:lock v:ext="edit" aspectratio="f"/>
          </v:shape>
          <o:OLEObject Type="Embed" ProgID="Equation.DSMT4" ShapeID="_x0000_i1028" DrawAspect="Content" ObjectID="_1832934272" r:id="rId29"/>
        </w:object>
      </w:r>
      <w:r w:rsidR="00CB2C17" w:rsidRPr="006B15C8">
        <w:t xml:space="preserve"> if </w:t>
      </w:r>
      <w:r w:rsidR="00B86361" w:rsidRPr="006B15C8">
        <w:t xml:space="preserve">the </w:t>
      </w:r>
      <w:r w:rsidR="00CB2C17" w:rsidRPr="006B15C8">
        <w:t xml:space="preserve">driver </w:t>
      </w:r>
      <w:r w:rsidR="00B86361" w:rsidRPr="006B15C8">
        <w:t xml:space="preserve">associated with an observation </w:t>
      </w:r>
      <w:r w:rsidR="00B86361" w:rsidRPr="006B15C8">
        <w:rPr>
          <w:i/>
          <w:iCs/>
        </w:rPr>
        <w:t>q</w:t>
      </w:r>
      <w:r w:rsidR="00B86361" w:rsidRPr="006B15C8">
        <w:t xml:space="preserve"> </w:t>
      </w:r>
      <w:r w:rsidR="00CB2C17" w:rsidRPr="006B15C8">
        <w:t>yields properly</w:t>
      </w:r>
      <w:r w:rsidR="004D22D8" w:rsidRPr="006B15C8">
        <w:t xml:space="preserve"> (DYP)</w:t>
      </w:r>
      <w:r w:rsidR="00CB2C17" w:rsidRPr="006B15C8">
        <w:t xml:space="preserve">. </w:t>
      </w:r>
      <w:r w:rsidR="0003284E" w:rsidRPr="006B15C8">
        <w:t xml:space="preserve">To allow for </w:t>
      </w:r>
      <w:r w:rsidR="004D22D8" w:rsidRPr="006B15C8">
        <w:t xml:space="preserve">potential </w:t>
      </w:r>
      <w:r w:rsidR="0003284E" w:rsidRPr="006B15C8">
        <w:t>jointness in</w:t>
      </w:r>
      <w:r w:rsidR="004056C5" w:rsidRPr="006B15C8">
        <w:t xml:space="preserve"> NCPC </w:t>
      </w:r>
      <w:r w:rsidR="004056C5" w:rsidRPr="006B15C8">
        <w:lastRenderedPageBreak/>
        <w:t>and DUY behaviors (due to unobserved factors</w:t>
      </w:r>
      <w:r w:rsidR="004D22D8" w:rsidRPr="006B15C8">
        <w:t xml:space="preserve">, as discussed in Section </w:t>
      </w:r>
      <w:r w:rsidR="004F312E" w:rsidRPr="006B15C8">
        <w:t>2.3</w:t>
      </w:r>
      <w:r w:rsidR="004056C5" w:rsidRPr="006B15C8">
        <w:t>)</w:t>
      </w:r>
      <w:r w:rsidR="004D22D8" w:rsidRPr="006B15C8">
        <w:t>, we use a copula-based bivariate logit model. Note, however, that this jointness only applies to the 2,</w:t>
      </w:r>
      <w:r w:rsidR="00A5422A" w:rsidRPr="006B15C8">
        <w:t>890</w:t>
      </w:r>
      <w:r w:rsidR="004D22D8" w:rsidRPr="006B15C8">
        <w:t xml:space="preserve"> observations that correspond to pedestrian-vehicle interaction</w:t>
      </w:r>
      <w:r w:rsidR="001D1C70" w:rsidRPr="006B15C8">
        <w:t xml:space="preserve">s. </w:t>
      </w:r>
      <w:r w:rsidR="004D22D8" w:rsidRPr="006B15C8">
        <w:t>For the 1</w:t>
      </w:r>
      <w:r w:rsidR="001D1C70" w:rsidRPr="006B15C8">
        <w:t>4</w:t>
      </w:r>
      <w:r w:rsidR="004D22D8" w:rsidRPr="006B15C8">
        <w:t>,</w:t>
      </w:r>
      <w:r w:rsidR="001D1C70" w:rsidRPr="006B15C8">
        <w:t>484</w:t>
      </w:r>
      <w:r w:rsidR="004D22D8" w:rsidRPr="006B15C8">
        <w:t xml:space="preserve"> </w:t>
      </w:r>
      <w:r w:rsidR="001D1C70" w:rsidRPr="006B15C8">
        <w:t>observa</w:t>
      </w:r>
      <w:r w:rsidR="004056C5" w:rsidRPr="006B15C8">
        <w:t>t</w:t>
      </w:r>
      <w:r w:rsidR="001D1C70" w:rsidRPr="006B15C8">
        <w:t xml:space="preserve">ions where there is no pedestrian-vehicle interaction, only </w:t>
      </w:r>
      <w:r w:rsidR="004056C5" w:rsidRPr="006B15C8">
        <w:t>the NCPC outcome</w:t>
      </w:r>
      <w:r w:rsidR="001D1C70" w:rsidRPr="006B15C8">
        <w:t xml:space="preserve"> is observed. The model is estimated using the maximum likelihood inference approach, in which the likelihood contribution of the 14,484 observations without pedestrian-vehicle interactions (denote this set of observations as </w:t>
      </w:r>
      <w:r w:rsidR="001D1C70" w:rsidRPr="006B15C8">
        <w:rPr>
          <w:position w:val="-12"/>
        </w:rPr>
        <w:object w:dxaOrig="279" w:dyaOrig="360" w14:anchorId="093C2C94">
          <v:shape id="_x0000_i1029" type="#_x0000_t75" style="width:14.7pt;height:18.95pt" o:ole="">
            <v:imagedata r:id="rId30" o:title=""/>
          </v:shape>
          <o:OLEObject Type="Embed" ProgID="Equation.DSMT4" ShapeID="_x0000_i1029" DrawAspect="Content" ObjectID="_1832934273" r:id="rId31"/>
        </w:object>
      </w:r>
      <w:r w:rsidR="001D1C70" w:rsidRPr="006B15C8">
        <w:t xml:space="preserve">) corresponds simply to the </w:t>
      </w:r>
      <w:r w:rsidR="00FE18D6" w:rsidRPr="006B15C8">
        <w:t xml:space="preserve">univariate probability of the </w:t>
      </w:r>
      <w:r w:rsidR="001D1C70" w:rsidRPr="006B15C8">
        <w:t xml:space="preserve">observed </w:t>
      </w:r>
      <w:r w:rsidR="000F18B7" w:rsidRPr="006B15C8">
        <w:rPr>
          <w:position w:val="-14"/>
        </w:rPr>
        <w:object w:dxaOrig="340" w:dyaOrig="400" w14:anchorId="6486D97E">
          <v:shape id="_x0000_i1030" type="#_x0000_t75" style="width:17.55pt;height:20.35pt" o:ole="" o:preferrelative="f">
            <v:imagedata r:id="rId32" o:title=""/>
            <o:lock v:ext="edit" aspectratio="f"/>
          </v:shape>
          <o:OLEObject Type="Embed" ProgID="Equation.DSMT4" ShapeID="_x0000_i1030" DrawAspect="Content" ObjectID="_1832934274" r:id="rId33"/>
        </w:object>
      </w:r>
      <w:r w:rsidR="000F18B7" w:rsidRPr="006B15C8">
        <w:t xml:space="preserve"> </w:t>
      </w:r>
      <w:r w:rsidR="00FE18D6" w:rsidRPr="006B15C8">
        <w:t xml:space="preserve">value, </w:t>
      </w:r>
      <w:r w:rsidR="001D1C70" w:rsidRPr="006B15C8">
        <w:t xml:space="preserve">while the likelihood contribution of the remaining </w:t>
      </w:r>
      <w:r w:rsidR="00FE18D6" w:rsidRPr="006B15C8">
        <w:t>2,</w:t>
      </w:r>
      <w:r w:rsidR="00A5422A" w:rsidRPr="006B15C8">
        <w:t>890</w:t>
      </w:r>
      <w:r w:rsidR="00FE18D6" w:rsidRPr="006B15C8">
        <w:t xml:space="preserve"> observations with pedestrian-vehicle interactions (denote this set of observations as </w:t>
      </w:r>
      <w:r w:rsidR="000F18B7" w:rsidRPr="006B15C8">
        <w:rPr>
          <w:position w:val="-12"/>
        </w:rPr>
        <w:object w:dxaOrig="400" w:dyaOrig="360" w14:anchorId="2452ABAA">
          <v:shape id="_x0000_i1031" type="#_x0000_t75" style="width:20.35pt;height:18pt" o:ole="" o:preferrelative="f">
            <v:imagedata r:id="rId34" o:title=""/>
            <o:lock v:ext="edit" aspectratio="f"/>
          </v:shape>
          <o:OLEObject Type="Embed" ProgID="Equation.DSMT4" ShapeID="_x0000_i1031" DrawAspect="Content" ObjectID="_1832934275" r:id="rId35"/>
        </w:object>
      </w:r>
      <w:r w:rsidR="00FE18D6" w:rsidRPr="006B15C8">
        <w:t xml:space="preserve"> corresponds to the bivariate joint probability of the observed </w:t>
      </w:r>
      <w:r w:rsidR="000F18B7" w:rsidRPr="006B15C8">
        <w:rPr>
          <w:position w:val="-14"/>
        </w:rPr>
        <w:object w:dxaOrig="920" w:dyaOrig="400" w14:anchorId="12905A06">
          <v:shape id="_x0000_i1032" type="#_x0000_t75" style="width:45.95pt;height:20.35pt" o:ole="" o:preferrelative="f">
            <v:imagedata r:id="rId36" o:title=""/>
            <o:lock v:ext="edit" aspectratio="f"/>
          </v:shape>
          <o:OLEObject Type="Embed" ProgID="Equation.DSMT4" ShapeID="_x0000_i1032" DrawAspect="Content" ObjectID="_1832934276" r:id="rId37"/>
        </w:object>
      </w:r>
      <w:r w:rsidR="00FE18D6" w:rsidRPr="006B15C8">
        <w:t xml:space="preserve"> values. Let the continuous latent propensities underlying the binary outcomes </w:t>
      </w:r>
      <w:r w:rsidR="000F18B7" w:rsidRPr="006B15C8">
        <w:rPr>
          <w:position w:val="-14"/>
        </w:rPr>
        <w:object w:dxaOrig="1140" w:dyaOrig="400" w14:anchorId="46DA53AC">
          <v:shape id="_x0000_i1033" type="#_x0000_t75" style="width:56.85pt;height:20.35pt" o:ole="" o:preferrelative="f">
            <v:imagedata r:id="rId38" o:title=""/>
            <o:lock v:ext="edit" aspectratio="f"/>
          </v:shape>
          <o:OLEObject Type="Embed" ProgID="Equation.DSMT4" ShapeID="_x0000_i1033" DrawAspect="Content" ObjectID="_1832934277" r:id="rId39"/>
        </w:object>
      </w:r>
      <w:r w:rsidR="00FE18D6" w:rsidRPr="006B15C8">
        <w:t xml:space="preserve"> be </w:t>
      </w:r>
      <w:r w:rsidR="000F18B7" w:rsidRPr="006B15C8">
        <w:rPr>
          <w:position w:val="-14"/>
        </w:rPr>
        <w:object w:dxaOrig="1219" w:dyaOrig="400" w14:anchorId="40C8CFDE">
          <v:shape id="_x0000_i1034" type="#_x0000_t75" style="width:60.65pt;height:20.35pt" o:ole="" o:preferrelative="f">
            <v:imagedata r:id="rId40" o:title=""/>
            <o:lock v:ext="edit" aspectratio="f"/>
          </v:shape>
          <o:OLEObject Type="Embed" ProgID="Equation.DSMT4" ShapeID="_x0000_i1034" DrawAspect="Content" ObjectID="_1832934278" r:id="rId41"/>
        </w:object>
      </w:r>
      <w:r w:rsidR="00FE18D6" w:rsidRPr="006B15C8">
        <w:t xml:space="preserve"> respectively. In notation form, the model then takes the following form:</w:t>
      </w:r>
    </w:p>
    <w:p w14:paraId="6B832482" w14:textId="40AF87A8" w:rsidR="00C8354C" w:rsidRPr="006B15C8" w:rsidRDefault="001870F6" w:rsidP="004A6C6E">
      <w:pPr>
        <w:tabs>
          <w:tab w:val="right" w:pos="9360"/>
        </w:tabs>
        <w:spacing w:before="60" w:after="60" w:line="271" w:lineRule="auto"/>
      </w:pPr>
      <w:r w:rsidRPr="006B15C8">
        <w:rPr>
          <w:position w:val="-36"/>
        </w:rPr>
        <w:object w:dxaOrig="8860" w:dyaOrig="840" w14:anchorId="4F95749F">
          <v:shape id="_x0000_i1035" type="#_x0000_t75" style="width:442.9pt;height:41.7pt" o:ole="" o:preferrelative="f">
            <v:imagedata r:id="rId42" o:title=""/>
            <o:lock v:ext="edit" aspectratio="f"/>
          </v:shape>
          <o:OLEObject Type="Embed" ProgID="Equation.DSMT4" ShapeID="_x0000_i1035" DrawAspect="Content" ObjectID="_1832934279" r:id="rId43"/>
        </w:object>
      </w:r>
      <w:r w:rsidR="000F18B7" w:rsidRPr="006B15C8">
        <w:t xml:space="preserve"> </w:t>
      </w:r>
      <w:r w:rsidR="000F18B7" w:rsidRPr="006B15C8">
        <w:tab/>
        <w:t>(1)</w:t>
      </w:r>
    </w:p>
    <w:p w14:paraId="075C930F" w14:textId="7AC23CC2" w:rsidR="00965A5D" w:rsidRPr="006B15C8" w:rsidRDefault="00BA4890" w:rsidP="004A6C6E">
      <w:pPr>
        <w:spacing w:line="271" w:lineRule="auto"/>
      </w:pPr>
      <w:r w:rsidRPr="006B15C8">
        <w:t xml:space="preserve">with </w:t>
      </w:r>
      <w:r w:rsidR="009A4C71" w:rsidRPr="006B15C8">
        <w:rPr>
          <w:position w:val="-14"/>
        </w:rPr>
        <w:object w:dxaOrig="1120" w:dyaOrig="380" w14:anchorId="1B36AF6A">
          <v:shape id="_x0000_i1036" type="#_x0000_t75" style="width:56.35pt;height:18.95pt" o:ole="" o:preferrelative="f">
            <v:imagedata r:id="rId44" o:title=""/>
            <o:lock v:ext="edit" aspectratio="f"/>
          </v:shape>
          <o:OLEObject Type="Embed" ProgID="Equation.DSMT4" ShapeID="_x0000_i1036" DrawAspect="Content" ObjectID="_1832934280" r:id="rId45"/>
        </w:object>
      </w:r>
      <w:r w:rsidRPr="006B15C8">
        <w:t xml:space="preserve">being covariate vectors for observation </w:t>
      </w:r>
      <w:r w:rsidRPr="006B15C8">
        <w:rPr>
          <w:i/>
          <w:iCs/>
        </w:rPr>
        <w:t>q</w:t>
      </w:r>
      <w:r w:rsidR="00C31804" w:rsidRPr="006B15C8">
        <w:t xml:space="preserve"> (these vectors include constants),</w:t>
      </w:r>
      <w:r w:rsidRPr="006B15C8">
        <w:t xml:space="preserve"> </w:t>
      </w:r>
      <w:r w:rsidR="009A4C71" w:rsidRPr="006B15C8">
        <w:rPr>
          <w:position w:val="-12"/>
        </w:rPr>
        <w:object w:dxaOrig="940" w:dyaOrig="360" w14:anchorId="1BF43666">
          <v:shape id="_x0000_i1037" type="#_x0000_t75" style="width:46.9pt;height:18pt" o:ole="" o:preferrelative="f">
            <v:imagedata r:id="rId46" o:title=""/>
            <o:lock v:ext="edit" aspectratio="f"/>
          </v:shape>
          <o:OLEObject Type="Embed" ProgID="Equation.DSMT4" ShapeID="_x0000_i1037" DrawAspect="Content" ObjectID="_1832934281" r:id="rId47"/>
        </w:object>
      </w:r>
      <w:r w:rsidR="009A4C71" w:rsidRPr="006B15C8">
        <w:t xml:space="preserve"> </w:t>
      </w:r>
      <w:r w:rsidRPr="006B15C8">
        <w:t xml:space="preserve">being corresponding coefficient vectors, </w:t>
      </w:r>
      <w:bookmarkStart w:id="76" w:name="_Hlk216262050"/>
      <w:r w:rsidR="00B86361" w:rsidRPr="006B15C8">
        <w:t xml:space="preserve">and </w:t>
      </w:r>
      <w:r w:rsidR="009A4C71" w:rsidRPr="006B15C8">
        <w:rPr>
          <w:position w:val="-14"/>
        </w:rPr>
        <w:object w:dxaOrig="1020" w:dyaOrig="380" w14:anchorId="02D7A613">
          <v:shape id="_x0000_i1038" type="#_x0000_t75" style="width:51.15pt;height:18.95pt" o:ole="" o:preferrelative="f">
            <v:imagedata r:id="rId48" o:title=""/>
            <o:lock v:ext="edit" aspectratio="f"/>
          </v:shape>
          <o:OLEObject Type="Embed" ProgID="Equation.DSMT4" ShapeID="_x0000_i1038" DrawAspect="Content" ObjectID="_1832934282" r:id="rId49"/>
        </w:object>
      </w:r>
      <w:bookmarkEnd w:id="76"/>
      <w:r w:rsidRPr="006B15C8">
        <w:t xml:space="preserve"> being error terms that are each assumed to be standard logistic </w:t>
      </w:r>
      <w:r w:rsidR="00D71EAB" w:rsidRPr="006B15C8">
        <w:t>and independent and identically distributed across observations. We allow the binary NCPC and D</w:t>
      </w:r>
      <w:r w:rsidR="004056C5" w:rsidRPr="006B15C8">
        <w:t>U</w:t>
      </w:r>
      <w:r w:rsidR="00D71EAB" w:rsidRPr="006B15C8">
        <w:t xml:space="preserve">Y outcomes to be co-determined </w:t>
      </w:r>
      <w:r w:rsidR="00965A5D" w:rsidRPr="006B15C8">
        <w:t xml:space="preserve">(due to correlated unobserved factors) </w:t>
      </w:r>
      <w:r w:rsidR="00D71EAB" w:rsidRPr="006B15C8">
        <w:t xml:space="preserve">by tying the </w:t>
      </w:r>
      <w:r w:rsidR="009A4C71" w:rsidRPr="006B15C8">
        <w:rPr>
          <w:position w:val="-14"/>
        </w:rPr>
        <w:object w:dxaOrig="1020" w:dyaOrig="380" w14:anchorId="260AD12A">
          <v:shape id="_x0000_i1039" type="#_x0000_t75" style="width:51.15pt;height:18.95pt" o:ole="" o:preferrelative="f">
            <v:imagedata r:id="rId48" o:title=""/>
            <o:lock v:ext="edit" aspectratio="f"/>
          </v:shape>
          <o:OLEObject Type="Embed" ProgID="Equation.DSMT4" ShapeID="_x0000_i1039" DrawAspect="Content" ObjectID="_1832934283" r:id="rId50"/>
        </w:object>
      </w:r>
      <w:r w:rsidR="00D71EAB" w:rsidRPr="006B15C8">
        <w:t xml:space="preserve"> error terms using a Gaussian copula (Bhat and Eluru</w:t>
      </w:r>
      <w:r w:rsidR="00B86361" w:rsidRPr="006B15C8">
        <w:t>,</w:t>
      </w:r>
      <w:r w:rsidR="00844D02" w:rsidRPr="006B15C8">
        <w:t xml:space="preserve"> 200</w:t>
      </w:r>
      <w:r w:rsidR="000E5F68" w:rsidRPr="006B15C8">
        <w:t>9</w:t>
      </w:r>
      <w:r w:rsidR="00D71EAB" w:rsidRPr="006B15C8">
        <w:t xml:space="preserve">). </w:t>
      </w:r>
      <w:r w:rsidR="00965A5D" w:rsidRPr="006B15C8">
        <w:t xml:space="preserve">That is, the bivariate cumulative distribution function (CDF) of </w:t>
      </w:r>
      <w:r w:rsidR="009A4C71" w:rsidRPr="006B15C8">
        <w:rPr>
          <w:position w:val="-14"/>
        </w:rPr>
        <w:object w:dxaOrig="1020" w:dyaOrig="380" w14:anchorId="0806FCD3">
          <v:shape id="_x0000_i1040" type="#_x0000_t75" style="width:51.15pt;height:18.95pt" o:ole="" o:preferrelative="f">
            <v:imagedata r:id="rId48" o:title=""/>
            <o:lock v:ext="edit" aspectratio="f"/>
          </v:shape>
          <o:OLEObject Type="Embed" ProgID="Equation.DSMT4" ShapeID="_x0000_i1040" DrawAspect="Content" ObjectID="_1832934284" r:id="rId51"/>
        </w:object>
      </w:r>
      <w:r w:rsidR="00965A5D" w:rsidRPr="006B15C8">
        <w:t xml:space="preserve"> is specified as:</w:t>
      </w:r>
    </w:p>
    <w:p w14:paraId="058269D0" w14:textId="45B9CD78" w:rsidR="00965A5D" w:rsidRPr="006B15C8" w:rsidRDefault="009A4C71" w:rsidP="004A6C6E">
      <w:pPr>
        <w:spacing w:before="60" w:after="60" w:line="271" w:lineRule="auto"/>
      </w:pPr>
      <w:r w:rsidRPr="006B15C8">
        <w:rPr>
          <w:position w:val="-20"/>
        </w:rPr>
        <w:object w:dxaOrig="5140" w:dyaOrig="520" w14:anchorId="0F1DD67D">
          <v:shape id="_x0000_i1041" type="#_x0000_t75" style="width:257.2pt;height:25.6pt" o:ole="" o:preferrelative="f">
            <v:imagedata r:id="rId52" o:title=""/>
            <o:lock v:ext="edit" aspectratio="f"/>
          </v:shape>
          <o:OLEObject Type="Embed" ProgID="Equation.DSMT4" ShapeID="_x0000_i1041" DrawAspect="Content" ObjectID="_1832934285" r:id="rId53"/>
        </w:object>
      </w:r>
      <w:r w:rsidR="00965A5D" w:rsidRPr="006B15C8">
        <w:t>,</w:t>
      </w:r>
      <w:r w:rsidR="008A4F1C" w:rsidRPr="006B15C8">
        <w:tab/>
      </w:r>
      <w:r w:rsidR="008A4F1C" w:rsidRPr="006B15C8">
        <w:tab/>
      </w:r>
      <w:r w:rsidR="008A4F1C" w:rsidRPr="006B15C8">
        <w:tab/>
      </w:r>
      <w:r w:rsidR="008A4F1C" w:rsidRPr="006B15C8">
        <w:tab/>
      </w:r>
      <w:r w:rsidR="008A4F1C" w:rsidRPr="006B15C8">
        <w:tab/>
        <w:t xml:space="preserve">       (</w:t>
      </w:r>
      <w:r w:rsidR="00C8354C" w:rsidRPr="006B15C8">
        <w:t>2</w:t>
      </w:r>
      <w:r w:rsidR="008A4F1C" w:rsidRPr="006B15C8">
        <w:t>)</w:t>
      </w:r>
    </w:p>
    <w:p w14:paraId="77220F59" w14:textId="2D5E9071" w:rsidR="00667D7D" w:rsidRPr="006B15C8" w:rsidRDefault="00965A5D" w:rsidP="004A6C6E">
      <w:pPr>
        <w:spacing w:line="271" w:lineRule="auto"/>
      </w:pPr>
      <w:r w:rsidRPr="006B15C8">
        <w:t xml:space="preserve">where </w:t>
      </w:r>
      <w:r w:rsidR="009A4C71" w:rsidRPr="006B15C8">
        <w:rPr>
          <w:position w:val="-12"/>
        </w:rPr>
        <w:object w:dxaOrig="340" w:dyaOrig="360" w14:anchorId="06BA36DB">
          <v:shape id="_x0000_i1042" type="#_x0000_t75" style="width:17.55pt;height:18pt" o:ole="" o:preferrelative="f">
            <v:imagedata r:id="rId54" o:title=""/>
            <o:lock v:ext="edit" aspectratio="f"/>
          </v:shape>
          <o:OLEObject Type="Embed" ProgID="Equation.DSMT4" ShapeID="_x0000_i1042" DrawAspect="Content" ObjectID="_1832934286" r:id="rId55"/>
        </w:object>
      </w:r>
      <w:r w:rsidRPr="006B15C8">
        <w:t xml:space="preserve">(.) is the bivariate normal CDF, </w:t>
      </w:r>
      <w:r w:rsidR="009A4C71" w:rsidRPr="006B15C8">
        <w:rPr>
          <w:position w:val="-4"/>
        </w:rPr>
        <w:object w:dxaOrig="400" w:dyaOrig="300" w14:anchorId="30D720F0">
          <v:shape id="_x0000_i1043" type="#_x0000_t75" style="width:20.35pt;height:15.15pt" o:ole="" o:preferrelative="f">
            <v:imagedata r:id="rId56" o:title=""/>
            <o:lock v:ext="edit" aspectratio="f"/>
          </v:shape>
          <o:OLEObject Type="Embed" ProgID="Equation.DSMT4" ShapeID="_x0000_i1043" DrawAspect="Content" ObjectID="_1832934287" r:id="rId57"/>
        </w:object>
      </w:r>
      <w:r w:rsidRPr="006B15C8">
        <w:t xml:space="preserve"> is the inverse CDF of the univariate standard normal, </w:t>
      </w:r>
      <w:r w:rsidR="009A4C71" w:rsidRPr="006B15C8">
        <w:rPr>
          <w:position w:val="-16"/>
        </w:rPr>
        <w:object w:dxaOrig="620" w:dyaOrig="400" w14:anchorId="48176590">
          <v:shape id="_x0000_i1044" type="#_x0000_t75" style="width:30.8pt;height:20.35pt" o:ole="" o:preferrelative="f">
            <v:imagedata r:id="rId58" o:title=""/>
            <o:lock v:ext="edit" aspectratio="f"/>
          </v:shape>
          <o:OLEObject Type="Embed" ProgID="Equation.DSMT4" ShapeID="_x0000_i1044" DrawAspect="Content" ObjectID="_1832934288" r:id="rId59"/>
        </w:object>
      </w:r>
      <w:r w:rsidR="00E84E87" w:rsidRPr="006B15C8">
        <w:t xml:space="preserve"> and </w:t>
      </w:r>
      <w:r w:rsidR="009A4C71" w:rsidRPr="006B15C8">
        <w:rPr>
          <w:position w:val="-16"/>
        </w:rPr>
        <w:object w:dxaOrig="660" w:dyaOrig="400" w14:anchorId="44A01F00">
          <v:shape id="_x0000_i1045" type="#_x0000_t75" style="width:33.15pt;height:20.35pt" o:ole="" o:preferrelative="f">
            <v:imagedata r:id="rId60" o:title=""/>
            <o:lock v:ext="edit" aspectratio="f"/>
          </v:shape>
          <o:OLEObject Type="Embed" ProgID="Equation.DSMT4" ShapeID="_x0000_i1045" DrawAspect="Content" ObjectID="_1832934289" r:id="rId61"/>
        </w:object>
      </w:r>
      <w:r w:rsidR="00E84E87" w:rsidRPr="006B15C8">
        <w:t xml:space="preserve"> represent the CDF of the standard logistic distribution (that is, </w:t>
      </w:r>
      <w:r w:rsidR="009A4C71" w:rsidRPr="006B15C8">
        <w:rPr>
          <w:position w:val="-16"/>
        </w:rPr>
        <w:object w:dxaOrig="2020" w:dyaOrig="420" w14:anchorId="4DD22D19">
          <v:shape id="_x0000_i1046" type="#_x0000_t75" style="width:100.9pt;height:20.85pt" o:ole="" o:preferrelative="f">
            <v:imagedata r:id="rId62" o:title=""/>
            <o:lock v:ext="edit" aspectratio="f"/>
          </v:shape>
          <o:OLEObject Type="Embed" ProgID="Equation.DSMT4" ShapeID="_x0000_i1046" DrawAspect="Content" ObjectID="_1832934290" r:id="rId63"/>
        </w:object>
      </w:r>
      <w:r w:rsidR="00E84E87" w:rsidRPr="006B15C8">
        <w:t xml:space="preserve"> and </w:t>
      </w:r>
      <w:r w:rsidR="009A4C71" w:rsidRPr="006B15C8">
        <w:rPr>
          <w:position w:val="-16"/>
        </w:rPr>
        <w:object w:dxaOrig="2079" w:dyaOrig="420" w14:anchorId="1318F9B7">
          <v:shape id="_x0000_i1047" type="#_x0000_t75" style="width:103.75pt;height:20.85pt" o:ole="" o:preferrelative="f">
            <v:imagedata r:id="rId64" o:title=""/>
            <o:lock v:ext="edit" aspectratio="f"/>
          </v:shape>
          <o:OLEObject Type="Embed" ProgID="Equation.DSMT4" ShapeID="_x0000_i1047" DrawAspect="Content" ObjectID="_1832934291" r:id="rId65"/>
        </w:object>
      </w:r>
      <w:r w:rsidR="00E84E87" w:rsidRPr="006B15C8">
        <w:t xml:space="preserve">), and </w:t>
      </w:r>
      <w:r w:rsidR="009A4C71" w:rsidRPr="006B15C8">
        <w:rPr>
          <w:position w:val="-10"/>
        </w:rPr>
        <w:object w:dxaOrig="240" w:dyaOrig="260" w14:anchorId="4030AEF5">
          <v:shape id="_x0000_i1048" type="#_x0000_t75" style="width:12.3pt;height:12.8pt" o:ole="" o:preferrelative="f">
            <v:imagedata r:id="rId66" o:title=""/>
            <o:lock v:ext="edit" aspectratio="f"/>
          </v:shape>
          <o:OLEObject Type="Embed" ProgID="Equation.DSMT4" ShapeID="_x0000_i1048" DrawAspect="Content" ObjectID="_1832934292" r:id="rId67"/>
        </w:object>
      </w:r>
      <w:r w:rsidR="00C56C13" w:rsidRPr="006B15C8">
        <w:t xml:space="preserve"> is a dependence parameter. Finally, </w:t>
      </w:r>
      <w:r w:rsidR="009A4C71" w:rsidRPr="006B15C8">
        <w:rPr>
          <w:position w:val="-6"/>
        </w:rPr>
        <w:object w:dxaOrig="220" w:dyaOrig="279" w14:anchorId="26B4BFCD">
          <v:shape id="_x0000_i1049" type="#_x0000_t75" style="width:11.35pt;height:13.75pt" o:ole="" o:preferrelative="f">
            <v:imagedata r:id="rId68" o:title=""/>
            <o:lock v:ext="edit" aspectratio="f"/>
          </v:shape>
          <o:OLEObject Type="Embed" ProgID="Equation.DSMT4" ShapeID="_x0000_i1049" DrawAspect="Content" ObjectID="_1832934293" r:id="rId69"/>
        </w:object>
      </w:r>
      <w:r w:rsidR="00E122B8" w:rsidRPr="006B15C8">
        <w:t xml:space="preserve"> </w:t>
      </w:r>
      <w:r w:rsidR="00A026D1" w:rsidRPr="006B15C8">
        <w:t>in Equation (</w:t>
      </w:r>
      <w:r w:rsidR="008A4F1C" w:rsidRPr="006B15C8">
        <w:t>2</w:t>
      </w:r>
      <w:r w:rsidR="00A026D1" w:rsidRPr="006B15C8">
        <w:t xml:space="preserve">) </w:t>
      </w:r>
      <w:r w:rsidR="00E122B8" w:rsidRPr="006B15C8">
        <w:t>represents the “true” causal effect of NCPC behavior on driver unyielding, after controlling for any associative effects between the two outcomes due to error correlation effects.</w:t>
      </w:r>
      <w:r w:rsidR="00667D7D" w:rsidRPr="006B15C8">
        <w:t xml:space="preserve"> Not controlling for these associative effects, when present, would render all the coefficient estimates of the second DFY equation inconsistent due to the classic endogenous dummy variable problem (that is, if </w:t>
      </w:r>
      <w:r w:rsidR="009A4C71" w:rsidRPr="006B15C8">
        <w:rPr>
          <w:position w:val="-14"/>
        </w:rPr>
        <w:object w:dxaOrig="1020" w:dyaOrig="380" w14:anchorId="7F2EEA4B">
          <v:shape id="_x0000_i1050" type="#_x0000_t75" style="width:51.15pt;height:18.95pt" o:ole="" o:preferrelative="f">
            <v:imagedata r:id="rId48" o:title=""/>
            <o:lock v:ext="edit" aspectratio="f"/>
          </v:shape>
          <o:OLEObject Type="Embed" ProgID="Equation.DSMT4" ShapeID="_x0000_i1050" DrawAspect="Content" ObjectID="_1832934294" r:id="rId70"/>
        </w:object>
      </w:r>
      <w:r w:rsidR="00667D7D" w:rsidRPr="006B15C8">
        <w:t xml:space="preserve"> are correlated and this is not accounted for, this would lead to a correlation between </w:t>
      </w:r>
      <w:r w:rsidR="009A4C71" w:rsidRPr="006B15C8">
        <w:rPr>
          <w:position w:val="-14"/>
        </w:rPr>
        <w:object w:dxaOrig="1040" w:dyaOrig="400" w14:anchorId="45DF42BF">
          <v:shape id="_x0000_i1051" type="#_x0000_t75" style="width:51.65pt;height:20.35pt" o:ole="" o:preferrelative="f">
            <v:imagedata r:id="rId71" o:title=""/>
            <o:lock v:ext="edit" aspectratio="f"/>
          </v:shape>
          <o:OLEObject Type="Embed" ProgID="Equation.DSMT4" ShapeID="_x0000_i1051" DrawAspect="Content" ObjectID="_1832934295" r:id="rId72"/>
        </w:object>
      </w:r>
      <w:r w:rsidR="00667D7D" w:rsidRPr="006B15C8">
        <w:t xml:space="preserve"> in the second DFY equation above). In the bivariate logit system of Equation (</w:t>
      </w:r>
      <w:r w:rsidR="002753E4" w:rsidRPr="006B15C8">
        <w:t>1</w:t>
      </w:r>
      <w:r w:rsidR="00667D7D" w:rsidRPr="006B15C8">
        <w:t xml:space="preserve">), for </w:t>
      </w:r>
      <w:r w:rsidR="00D90EB4" w:rsidRPr="006B15C8">
        <w:t xml:space="preserve">stability and </w:t>
      </w:r>
      <w:r w:rsidR="00667D7D" w:rsidRPr="006B15C8">
        <w:t xml:space="preserve">identification, we </w:t>
      </w:r>
      <w:r w:rsidR="00EF434F" w:rsidRPr="006B15C8">
        <w:t xml:space="preserve">ensure </w:t>
      </w:r>
      <w:r w:rsidR="00667D7D" w:rsidRPr="006B15C8">
        <w:t>that there is at least one variable (“instrument”) that is contained in the vector</w:t>
      </w:r>
      <w:r w:rsidR="004056C5" w:rsidRPr="006B15C8">
        <w:t xml:space="preserve"> </w:t>
      </w:r>
      <w:r w:rsidR="009A4C71" w:rsidRPr="006B15C8">
        <w:rPr>
          <w:position w:val="-14"/>
        </w:rPr>
        <w:object w:dxaOrig="340" w:dyaOrig="380" w14:anchorId="0C6EFE20">
          <v:shape id="_x0000_i1052" type="#_x0000_t75" style="width:17.55pt;height:18.95pt" o:ole="" o:preferrelative="f">
            <v:imagedata r:id="rId73" o:title=""/>
            <o:lock v:ext="edit" aspectratio="f"/>
          </v:shape>
          <o:OLEObject Type="Embed" ProgID="Equation.DSMT4" ShapeID="_x0000_i1052" DrawAspect="Content" ObjectID="_1832934296" r:id="rId74"/>
        </w:object>
      </w:r>
      <w:r w:rsidR="00667D7D" w:rsidRPr="006B15C8">
        <w:t>, but does not appear in the vector</w:t>
      </w:r>
      <w:r w:rsidR="00EF434F" w:rsidRPr="006B15C8">
        <w:t xml:space="preserve"> </w:t>
      </w:r>
      <w:r w:rsidR="009A4C71" w:rsidRPr="006B15C8">
        <w:rPr>
          <w:position w:val="-14"/>
        </w:rPr>
        <w:object w:dxaOrig="360" w:dyaOrig="380" w14:anchorId="0DDF583B">
          <v:shape id="_x0000_i1053" type="#_x0000_t75" style="width:18pt;height:18.95pt" o:ole="" o:preferrelative="f">
            <v:imagedata r:id="rId75" o:title=""/>
            <o:lock v:ext="edit" aspectratio="f"/>
          </v:shape>
          <o:OLEObject Type="Embed" ProgID="Equation.DSMT4" ShapeID="_x0000_i1053" DrawAspect="Content" ObjectID="_1832934297" r:id="rId76"/>
        </w:object>
      </w:r>
      <w:r w:rsidR="00D90EB4" w:rsidRPr="006B15C8">
        <w:t xml:space="preserve"> (see Han </w:t>
      </w:r>
      <w:r w:rsidR="00D90EB4" w:rsidRPr="006B15C8">
        <w:lastRenderedPageBreak/>
        <w:t>and Lee, 2019 and Bhat, 2024 for extensive treatments of identification considerations for models of the type in Equation (</w:t>
      </w:r>
      <w:r w:rsidR="00EE2B2C" w:rsidRPr="006B15C8">
        <w:t>1</w:t>
      </w:r>
      <w:r w:rsidR="00D90EB4" w:rsidRPr="006B15C8">
        <w:t>)).</w:t>
      </w:r>
      <w:r w:rsidR="00DB2C2E" w:rsidRPr="006B15C8">
        <w:rPr>
          <w:rStyle w:val="FootnoteReference"/>
        </w:rPr>
        <w:footnoteReference w:id="6"/>
      </w:r>
      <w:r w:rsidR="00D90EB4" w:rsidRPr="006B15C8">
        <w:t xml:space="preserve"> </w:t>
      </w:r>
      <w:r w:rsidR="00667D7D" w:rsidRPr="006B15C8">
        <w:t xml:space="preserve"> </w:t>
      </w:r>
    </w:p>
    <w:p w14:paraId="70B3D1C6" w14:textId="257BD21A" w:rsidR="001E52D4" w:rsidRPr="006B15C8" w:rsidRDefault="00D90EB4" w:rsidP="004A6C6E">
      <w:pPr>
        <w:spacing w:line="271" w:lineRule="auto"/>
        <w:ind w:firstLine="720"/>
      </w:pPr>
      <w:r w:rsidRPr="006B15C8">
        <w:t>To estimate the model</w:t>
      </w:r>
      <w:r w:rsidR="00905A7B" w:rsidRPr="006B15C8">
        <w:t xml:space="preserve"> parameters</w:t>
      </w:r>
      <w:r w:rsidRPr="006B15C8">
        <w:t xml:space="preserve">, </w:t>
      </w:r>
      <w:r w:rsidR="009E7CF3" w:rsidRPr="006B15C8">
        <w:t>define</w:t>
      </w:r>
      <w:r w:rsidR="001E52D4" w:rsidRPr="006B15C8">
        <w:t xml:space="preserve"> </w:t>
      </w:r>
      <w:r w:rsidR="009A4C71" w:rsidRPr="006B15C8">
        <w:rPr>
          <w:position w:val="-16"/>
        </w:rPr>
        <w:object w:dxaOrig="3000" w:dyaOrig="440" w14:anchorId="4C4883A8">
          <v:shape id="_x0000_i1054" type="#_x0000_t75" style="width:149.7pt;height:22.25pt" o:ole="" o:preferrelative="f">
            <v:imagedata r:id="rId77" o:title=""/>
            <o:lock v:ext="edit" aspectratio="f"/>
          </v:shape>
          <o:OLEObject Type="Embed" ProgID="Equation.DSMT4" ShapeID="_x0000_i1054" DrawAspect="Content" ObjectID="_1832934298" r:id="rId78"/>
        </w:object>
      </w:r>
      <w:r w:rsidR="001E52D4" w:rsidRPr="006B15C8">
        <w:t>,</w:t>
      </w:r>
      <w:r w:rsidR="009E7CF3" w:rsidRPr="006B15C8">
        <w:t xml:space="preserve"> </w:t>
      </w:r>
      <w:r w:rsidR="009A4C71" w:rsidRPr="006B15C8">
        <w:rPr>
          <w:position w:val="-18"/>
        </w:rPr>
        <w:object w:dxaOrig="6619" w:dyaOrig="480" w14:anchorId="14EFB507">
          <v:shape id="_x0000_i1055" type="#_x0000_t75" style="width:331.1pt;height:23.7pt" o:ole="" o:preferrelative="f">
            <v:imagedata r:id="rId79" o:title=""/>
            <o:lock v:ext="edit" aspectratio="f"/>
          </v:shape>
          <o:OLEObject Type="Embed" ProgID="Equation.DSMT4" ShapeID="_x0000_i1055" DrawAspect="Content" ObjectID="_1832934299" r:id="rId80"/>
        </w:object>
      </w:r>
      <w:r w:rsidR="001E52D4" w:rsidRPr="006B15C8">
        <w:t xml:space="preserve">and </w:t>
      </w:r>
      <w:r w:rsidR="009A4C71" w:rsidRPr="006B15C8">
        <w:rPr>
          <w:position w:val="-14"/>
        </w:rPr>
        <w:object w:dxaOrig="1219" w:dyaOrig="380" w14:anchorId="4B007DB9">
          <v:shape id="_x0000_i1056" type="#_x0000_t75" style="width:60.65pt;height:18.95pt" o:ole="" o:preferrelative="f">
            <v:imagedata r:id="rId81" o:title=""/>
            <o:lock v:ext="edit" aspectratio="f"/>
          </v:shape>
          <o:OLEObject Type="Embed" ProgID="Equation.DSMT4" ShapeID="_x0000_i1056" DrawAspect="Content" ObjectID="_1832934300" r:id="rId82"/>
        </w:object>
      </w:r>
      <w:r w:rsidR="001E52D4" w:rsidRPr="006B15C8">
        <w:t>. Then, using the symmetric property of the bivariate normal density function, the log-likelihood function takes the following form:</w:t>
      </w:r>
    </w:p>
    <w:p w14:paraId="3D83904A" w14:textId="29CCFDFB" w:rsidR="00D90EB4" w:rsidRPr="006B15C8" w:rsidRDefault="009A4C71" w:rsidP="004A6C6E">
      <w:pPr>
        <w:tabs>
          <w:tab w:val="right" w:pos="9360"/>
        </w:tabs>
        <w:spacing w:line="271" w:lineRule="auto"/>
      </w:pPr>
      <w:r w:rsidRPr="006B15C8">
        <w:rPr>
          <w:position w:val="-32"/>
        </w:rPr>
        <w:object w:dxaOrig="6820" w:dyaOrig="720" w14:anchorId="6CE3F42D">
          <v:shape id="_x0000_i1057" type="#_x0000_t75" style="width:341.05pt;height:36pt" o:ole="" o:preferrelative="f" fillcolor="window">
            <v:imagedata r:id="rId83" o:title=""/>
            <o:lock v:ext="edit" aspectratio="f"/>
          </v:shape>
          <o:OLEObject Type="Embed" ProgID="Equation.DSMT4" ShapeID="_x0000_i1057" DrawAspect="Content" ObjectID="_1832934301" r:id="rId84"/>
        </w:object>
      </w:r>
      <w:r w:rsidR="00D90EB4" w:rsidRPr="006B15C8">
        <w:t>.</w:t>
      </w:r>
      <w:r w:rsidR="00C31804" w:rsidRPr="006B15C8">
        <w:rPr>
          <w:rStyle w:val="FootnoteReference"/>
        </w:rPr>
        <w:footnoteReference w:id="7"/>
      </w:r>
      <w:r w:rsidR="00163807" w:rsidRPr="006B15C8">
        <w:tab/>
        <w:t xml:space="preserve">     (</w:t>
      </w:r>
      <w:r w:rsidR="00C8354C" w:rsidRPr="006B15C8">
        <w:t>3</w:t>
      </w:r>
      <w:r w:rsidR="00163807" w:rsidRPr="006B15C8">
        <w:t>)</w:t>
      </w:r>
    </w:p>
    <w:p w14:paraId="5F12FCEF" w14:textId="60D9E95D" w:rsidR="000A7990" w:rsidRPr="006B15C8" w:rsidRDefault="00AC7020" w:rsidP="004A6C6E">
      <w:pPr>
        <w:spacing w:line="271" w:lineRule="auto"/>
      </w:pPr>
      <w:r w:rsidRPr="006B15C8">
        <w:tab/>
      </w:r>
      <w:r w:rsidR="000A7990" w:rsidRPr="006B15C8">
        <w:t xml:space="preserve">The parameters </w:t>
      </w:r>
      <w:r w:rsidR="009A4C71" w:rsidRPr="006B15C8">
        <w:rPr>
          <w:position w:val="-12"/>
        </w:rPr>
        <w:object w:dxaOrig="1020" w:dyaOrig="360" w14:anchorId="69266E03">
          <v:shape id="_x0000_i1058" type="#_x0000_t75" style="width:51.15pt;height:18pt" o:ole="" o:preferrelative="f">
            <v:imagedata r:id="rId85" o:title=""/>
            <o:lock v:ext="edit" aspectratio="f"/>
          </v:shape>
          <o:OLEObject Type="Embed" ProgID="Equation.DSMT4" ShapeID="_x0000_i1058" DrawAspect="Content" ObjectID="_1832934302" r:id="rId86"/>
        </w:object>
      </w:r>
      <w:r w:rsidR="000A7990" w:rsidRPr="006B15C8">
        <w:t>along with the dependence parameter</w:t>
      </w:r>
      <w:r w:rsidR="00461F7F" w:rsidRPr="006B15C8">
        <w:t xml:space="preserve"> </w:t>
      </w:r>
      <w:r w:rsidR="00181C88" w:rsidRPr="006B15C8">
        <w:rPr>
          <w:position w:val="-10"/>
        </w:rPr>
        <w:object w:dxaOrig="240" w:dyaOrig="260" w14:anchorId="0257501F">
          <v:shape id="_x0000_i1059" type="#_x0000_t75" style="width:12.3pt;height:12.8pt" o:ole="" o:preferrelative="f">
            <v:imagedata r:id="rId87" o:title=""/>
            <o:lock v:ext="edit" aspectratio="f"/>
          </v:shape>
          <o:OLEObject Type="Embed" ProgID="Equation.DSMT4" ShapeID="_x0000_i1059" DrawAspect="Content" ObjectID="_1832934303" r:id="rId88"/>
        </w:object>
      </w:r>
      <w:r w:rsidR="00461F7F" w:rsidRPr="006B15C8">
        <w:t xml:space="preserve"> </w:t>
      </w:r>
      <w:r w:rsidR="000A7990" w:rsidRPr="006B15C8">
        <w:t xml:space="preserve">(as estimated by maximizing the log-likelihood function above) provide the estimated effects of variables on the continuous latent propensities </w:t>
      </w:r>
      <w:r w:rsidR="00181C88" w:rsidRPr="006B15C8">
        <w:rPr>
          <w:position w:val="-12"/>
        </w:rPr>
        <w:object w:dxaOrig="1080" w:dyaOrig="380" w14:anchorId="6AA95F5F">
          <v:shape id="_x0000_i1060" type="#_x0000_t75" style="width:54pt;height:18.45pt" o:ole="" o:preferrelative="f">
            <v:imagedata r:id="rId89" o:title=""/>
            <o:lock v:ext="edit" aspectratio="f"/>
          </v:shape>
          <o:OLEObject Type="Embed" ProgID="Equation.DSMT4" ShapeID="_x0000_i1060" DrawAspect="Content" ObjectID="_1832934304" r:id="rId90"/>
        </w:object>
      </w:r>
      <w:r w:rsidR="000A7990" w:rsidRPr="006B15C8">
        <w:t xml:space="preserve">rather than on the binary outcomes </w:t>
      </w:r>
      <w:r w:rsidR="00181C88" w:rsidRPr="006B15C8">
        <w:rPr>
          <w:position w:val="-12"/>
        </w:rPr>
        <w:object w:dxaOrig="980" w:dyaOrig="380" w14:anchorId="7EBC9C7F">
          <v:shape id="_x0000_i1061" type="#_x0000_t75" style="width:48.8pt;height:18.45pt" o:ole="" o:preferrelative="f">
            <v:imagedata r:id="rId91" o:title=""/>
            <o:lock v:ext="edit" aspectratio="f"/>
          </v:shape>
          <o:OLEObject Type="Embed" ProgID="Equation.DSMT4" ShapeID="_x0000_i1061" DrawAspect="Content" ObjectID="_1832934305" r:id="rId92"/>
        </w:object>
      </w:r>
      <w:r w:rsidR="000A7990" w:rsidRPr="006B15C8">
        <w:t xml:space="preserve"> At the same time, the effects of a specific exogenous variable on the binary outcomes are not constant across individuals, but vary based on the values of other variables for an observation as well as the value of the variable itself for the observation. That is, the effect of any variable on any binary outcome varies across individuals. To summarize these heterogeneous effects, we compute average treatment effects (ATEs), defined as the change in the probability of each binary outcome when an explanatory variable is shifted from a baseline level </w:t>
      </w:r>
      <w:r w:rsidR="000A7990" w:rsidRPr="006B15C8">
        <w:rPr>
          <w:rStyle w:val="katex-mathml"/>
        </w:rPr>
        <w:t>A</w:t>
      </w:r>
      <w:r w:rsidR="000A7990" w:rsidRPr="006B15C8">
        <w:t xml:space="preserve"> to a treatment level </w:t>
      </w:r>
      <w:r w:rsidR="000A7990" w:rsidRPr="006B15C8">
        <w:rPr>
          <w:rStyle w:val="katex-mathml"/>
        </w:rPr>
        <w:t>B</w:t>
      </w:r>
      <w:r w:rsidR="000A7990" w:rsidRPr="006B15C8">
        <w:t xml:space="preserve">, holding all other variables constant. Given the recursive structure of the bivariate system, we compute, for each individual and for both levels </w:t>
      </w:r>
      <w:r w:rsidR="000A7990" w:rsidRPr="006B15C8">
        <w:rPr>
          <w:rStyle w:val="katex-mathml"/>
        </w:rPr>
        <w:t>A</w:t>
      </w:r>
      <w:r w:rsidR="000A7990" w:rsidRPr="006B15C8">
        <w:t xml:space="preserve"> and </w:t>
      </w:r>
      <w:r w:rsidR="000A7990" w:rsidRPr="006B15C8">
        <w:rPr>
          <w:rStyle w:val="katex-mathml"/>
        </w:rPr>
        <w:t>B</w:t>
      </w:r>
      <w:r w:rsidR="000A7990" w:rsidRPr="006B15C8">
        <w:t>, the joint probabilities of all possible bivariate outcome combinations, regardless of the observed outcomes. From these joint probabilities, we obtain the marginal outcome shares for each dimension. The ATEs are then calculated as the percentage change, from baseline to treatment, in the share</w:t>
      </w:r>
      <w:r w:rsidR="004056C5" w:rsidRPr="006B15C8">
        <w:t>s</w:t>
      </w:r>
      <w:r w:rsidR="000A7990" w:rsidRPr="006B15C8">
        <w:t xml:space="preserve"> of the NCPC </w:t>
      </w:r>
      <w:r w:rsidR="004056C5" w:rsidRPr="006B15C8">
        <w:t xml:space="preserve">and </w:t>
      </w:r>
      <w:r w:rsidR="000A7990" w:rsidRPr="006B15C8">
        <w:t>D</w:t>
      </w:r>
      <w:r w:rsidR="004056C5" w:rsidRPr="006B15C8">
        <w:t>U</w:t>
      </w:r>
      <w:r w:rsidR="000A7990" w:rsidRPr="006B15C8">
        <w:t>Y outcome</w:t>
      </w:r>
      <w:r w:rsidR="004056C5" w:rsidRPr="006B15C8">
        <w:t>s.</w:t>
      </w:r>
    </w:p>
    <w:p w14:paraId="19FE7CA3" w14:textId="77777777" w:rsidR="00717345" w:rsidRPr="006B15C8" w:rsidRDefault="00717345" w:rsidP="004A6C6E">
      <w:pPr>
        <w:spacing w:line="271" w:lineRule="auto"/>
      </w:pPr>
    </w:p>
    <w:p w14:paraId="76A2C583" w14:textId="2DCA4E61" w:rsidR="005B7062" w:rsidRPr="006B15C8" w:rsidRDefault="006D6A10" w:rsidP="004A6C6E">
      <w:pPr>
        <w:pStyle w:val="Heading2"/>
        <w:keepNext/>
        <w:keepLines/>
        <w:spacing w:line="271" w:lineRule="auto"/>
      </w:pPr>
      <w:r w:rsidRPr="006B15C8">
        <w:lastRenderedPageBreak/>
        <w:t xml:space="preserve"> </w:t>
      </w:r>
      <w:r w:rsidR="00C50F12" w:rsidRPr="006B15C8">
        <w:t xml:space="preserve">Model </w:t>
      </w:r>
      <w:r w:rsidR="005B7062" w:rsidRPr="006B15C8">
        <w:t>Specification Testing</w:t>
      </w:r>
    </w:p>
    <w:p w14:paraId="34BA8EE9" w14:textId="2DEC5605" w:rsidR="005513C7" w:rsidRPr="006B15C8" w:rsidRDefault="00C50F12" w:rsidP="004A6C6E">
      <w:pPr>
        <w:keepNext/>
        <w:keepLines/>
        <w:spacing w:line="271" w:lineRule="auto"/>
      </w:pPr>
      <w:r w:rsidRPr="006B15C8">
        <w:t xml:space="preserve">The selection of explanatory variables in the binary logit models for the two outcomes followed a systematic approach that balanced theoretical relevance with statistical robustness. Since all exogenous variables were categorical variables, we examined, based on the descriptive statistics, whether there were enough observations in each category of each exogenous variable, especially whether there were adequate observations in each category corresponding to each of the two states of each binary outcome variable (for example, we did not consider weather conditions for this reason, as mentioned earlier, and also did not consider the pedestrian distraction variable). The issue of adequate observations is particularly relevant for the binary model of driver </w:t>
      </w:r>
      <w:r w:rsidR="00DF5560" w:rsidRPr="006B15C8">
        <w:t>un</w:t>
      </w:r>
      <w:r w:rsidRPr="006B15C8">
        <w:t xml:space="preserve">yielding behavior due to the limited number of observations (2,890 observations, with only 371 observations of </w:t>
      </w:r>
      <w:r w:rsidR="004056C5" w:rsidRPr="006B15C8">
        <w:t>DUY</w:t>
      </w:r>
      <w:r w:rsidRPr="006B15C8">
        <w:t xml:space="preserve">) compared to NCPC behavior (17,374 individuals with 1,405 observations exhibiting NCPC behavior). </w:t>
      </w:r>
      <w:r w:rsidR="000A7990" w:rsidRPr="006B15C8">
        <w:t>Beyond these first-level exclusions based on sample sparsity, all available exogenous variables in the dataset, and their interactions, were considered as potential explanatory variables. This included systematic testing of interactions among all sociodemographic variables (race, gender, age, housing insecurity status) and temporal variables (time-of-day categories) to examine whether behavior varied across contexts.</w:t>
      </w:r>
      <w:r w:rsidRPr="006B15C8">
        <w:t xml:space="preserve"> The model specification process involved extensive exploration of alternative functional forms and variable combinations. For naturally discrete variables such as group size, we tested the most disaggregated dummy variable specifications and progressively combined categories based on statistical significance tests to achieve model parsimony. The binary specification distinguishing group </w:t>
      </w:r>
      <w:r w:rsidRPr="006B15C8">
        <w:rPr>
          <w:i/>
          <w:iCs/>
        </w:rPr>
        <w:t>versus</w:t>
      </w:r>
      <w:r w:rsidRPr="006B15C8">
        <w:t xml:space="preserve"> solo pedestrians proved the most effective. </w:t>
      </w:r>
      <w:r w:rsidR="0074294B" w:rsidRPr="006B15C8">
        <w:rPr>
          <w:color w:val="000000"/>
        </w:rPr>
        <w:t>For categorical variables, including</w:t>
      </w:r>
      <w:r w:rsidR="004056C5" w:rsidRPr="006B15C8">
        <w:rPr>
          <w:color w:val="000000"/>
        </w:rPr>
        <w:t xml:space="preserve"> </w:t>
      </w:r>
      <w:r w:rsidR="0074294B" w:rsidRPr="006B15C8">
        <w:rPr>
          <w:color w:val="000000"/>
        </w:rPr>
        <w:t xml:space="preserve">age groups, skin tone, pedestrian activity type, time-of-day, and vehicle type, we similarly began with the most disaggregated form of data collected and systematically combined categories based on statistical significance and theoretical meaningfulness. The site location variable and its interactions with other exogenous covariates were not statistically significant in any of our models, indicating that site-specific factors did not systematically influence the outcomes after accounting for other covariates. </w:t>
      </w:r>
      <w:r w:rsidR="00E40FC9" w:rsidRPr="006B15C8">
        <w:rPr>
          <w:color w:val="000000"/>
        </w:rPr>
        <w:t xml:space="preserve">Time-of-day effects were introduced in the seven category grouping discussed in Section 3.3, though interaction effects of time-of-day with other variables (specifically with gender and skin tone for the NCPC outcome, and with gender for the DUY outcome) were statistically significant only through </w:t>
      </w:r>
      <w:r w:rsidRPr="006B15C8">
        <w:t>a combined specification merging night and dawn periods into a single time period (referred to as “Nighttime”</w:t>
      </w:r>
      <w:r w:rsidR="00E40FC9" w:rsidRPr="006B15C8">
        <w:t>)</w:t>
      </w:r>
      <w:r w:rsidRPr="006B15C8">
        <w:t xml:space="preserve">. </w:t>
      </w:r>
    </w:p>
    <w:p w14:paraId="4707C324" w14:textId="2E6D598A" w:rsidR="003D28FF" w:rsidRPr="006B15C8" w:rsidRDefault="00C50F12" w:rsidP="004A6C6E">
      <w:pPr>
        <w:spacing w:line="271" w:lineRule="auto"/>
      </w:pPr>
      <w:r w:rsidRPr="006B15C8">
        <w:tab/>
      </w:r>
      <w:r w:rsidR="003D28FF" w:rsidRPr="006B15C8">
        <w:t>As discussed in Section 4.1, we considered a recursive bivariate specification allowing for correlation in the unobserved error components across the NCPC and D</w:t>
      </w:r>
      <w:r w:rsidR="00E40FC9" w:rsidRPr="006B15C8">
        <w:t>U</w:t>
      </w:r>
      <w:r w:rsidR="003D28FF" w:rsidRPr="006B15C8">
        <w:t>Y outcome latent propensities, while also considering a structural effect of the NCPC outcome</w:t>
      </w:r>
      <w:r w:rsidR="00181C88" w:rsidRPr="006B15C8">
        <w:t xml:space="preserve"> (</w:t>
      </w:r>
      <w:r w:rsidR="00181C88" w:rsidRPr="006B15C8">
        <w:rPr>
          <w:position w:val="-14"/>
        </w:rPr>
        <w:object w:dxaOrig="340" w:dyaOrig="400" w14:anchorId="71192287">
          <v:shape id="_x0000_i1062" type="#_x0000_t75" style="width:17.05pt;height:20.35pt" o:ole="" o:preferrelative="f">
            <v:imagedata r:id="rId32" o:title=""/>
            <o:lock v:ext="edit" aspectratio="f"/>
          </v:shape>
          <o:OLEObject Type="Embed" ProgID="Equation.DSMT4" ShapeID="_x0000_i1062" DrawAspect="Content" ObjectID="_1832934306" r:id="rId93"/>
        </w:object>
      </w:r>
      <w:r w:rsidR="00181C88" w:rsidRPr="006B15C8">
        <w:t xml:space="preserve">) </w:t>
      </w:r>
      <w:r w:rsidR="003D28FF" w:rsidRPr="006B15C8">
        <w:t>on the D</w:t>
      </w:r>
      <w:r w:rsidR="00E40FC9" w:rsidRPr="006B15C8">
        <w:t>U</w:t>
      </w:r>
      <w:r w:rsidR="003D28FF" w:rsidRPr="006B15C8">
        <w:t>Y outcome propensity</w:t>
      </w:r>
      <w:r w:rsidR="00181C88" w:rsidRPr="006B15C8">
        <w:t xml:space="preserve"> (</w:t>
      </w:r>
      <w:r w:rsidR="00181C88" w:rsidRPr="006B15C8">
        <w:rPr>
          <w:position w:val="-14"/>
        </w:rPr>
        <w:object w:dxaOrig="360" w:dyaOrig="400" w14:anchorId="26D9E0C4">
          <v:shape id="_x0000_i1063" type="#_x0000_t75" style="width:18pt;height:20.35pt" o:ole="" o:preferrelative="f">
            <v:imagedata r:id="rId94" o:title=""/>
            <o:lock v:ext="edit" aspectratio="f"/>
          </v:shape>
          <o:OLEObject Type="Embed" ProgID="Equation.DSMT4" ShapeID="_x0000_i1063" DrawAspect="Content" ObjectID="_1832934307" r:id="rId95"/>
        </w:object>
      </w:r>
      <w:r w:rsidR="00181C88" w:rsidRPr="006B15C8">
        <w:t xml:space="preserve">). </w:t>
      </w:r>
      <w:r w:rsidR="003D28FF" w:rsidRPr="006B15C8">
        <w:t xml:space="preserve">But several empirical diagnostics pointed to the structural effect being adequate to capture the relationship between the two outcomes. First, when we estimated both the structural NCPC effect and a cross-equation error correlation parameter, both parameters turned out to be statistically insignificant and exhibited an extremely high covariance (exceeding 0.990). This indicates the presence of a likelihood ridge along which the structural effect and the correlation parameter compete to explain the same empirical association -- behavior that is </w:t>
      </w:r>
      <w:r w:rsidR="003D28FF" w:rsidRPr="006B15C8">
        <w:lastRenderedPageBreak/>
        <w:t>characteristic of weak separation between structural and unobserved-correlation channels in recursive nonlinear models. This issue is particularly pronounced in our empirical context, as NCPC behavior is observed in only 116 of the 2,890 observations involving vehicle interactions. Second, restricting the correlation parameter to zero, while allowing the structural NCPC effect, resulted in the precise and highly statistically significant estimate of the NCPC coefficient. Also, the log-likelihood at convergence under this specification was marginally better than that obtained under the alternative specification that excluded the structural NCPC effect and allowed only for correlated errors. Third, when we excluded the NCPC variable and freely estimated the correlation parameter, the estimated correlation itself was statistically insignificant. This finding indicates that the data does not support explaining the relationship between the two outcomes solely through correlated unobservables. Moreover, the estimated coefficients and standard errors for the remaining D</w:t>
      </w:r>
      <w:r w:rsidR="00E40FC9" w:rsidRPr="006B15C8">
        <w:t>U</w:t>
      </w:r>
      <w:r w:rsidR="003D28FF" w:rsidRPr="006B15C8">
        <w:t>Y covariates were very similar across the two specifications (structural NCPC effect with zero error correlation and zero structural effect with error correlation). Taken together, these results indicate that the relationship between the two outcomes is best represented as a direct structural effect of NCPC on D</w:t>
      </w:r>
      <w:r w:rsidR="00E40FC9" w:rsidRPr="006B15C8">
        <w:t>U</w:t>
      </w:r>
      <w:r w:rsidR="003D28FF" w:rsidRPr="006B15C8">
        <w:t>Y, rather than as correlation in unobserved components across equations. Accordingly, the results discussed below correspond to the specification of a direct structural effect with zero cross-equation error correlation.</w:t>
      </w:r>
    </w:p>
    <w:p w14:paraId="5D1A1608" w14:textId="49BB2584" w:rsidR="003D28FF" w:rsidRPr="006B15C8" w:rsidRDefault="003D28FF" w:rsidP="004A6C6E">
      <w:pPr>
        <w:spacing w:line="271" w:lineRule="auto"/>
        <w:ind w:firstLine="360"/>
      </w:pPr>
      <w:r w:rsidRPr="006B15C8">
        <w:t>Finally, we assessed multicollinearity and parameter identification by examining the correlation matrix of the predictors, none of whose elements exceeded 0.34. We further evaluated the information matrix (the negative Hessian of the log-likelihood) and the resulting variance–covariance matrix of the parameter estimates, which are the appropriate diagnostics for identification and multicollinearity in maximum-likelihood estimation (Greene, 2018</w:t>
      </w:r>
      <w:r w:rsidR="00334F2E" w:rsidRPr="006B15C8">
        <w:t>a</w:t>
      </w:r>
      <w:r w:rsidRPr="006B15C8">
        <w:t>), rather than variance inflation factors derived from linear regression. In all estimations, the information matrix was nonsingular and optimization converged smoothly, with relatively tight standard errors. The implied correlation matrix of the parameter estimates showed no evidence of problematic dependence: most off-diagonal correlations were in the 0.05–0.35 magnitude range, and the largest absolute correlation was 0.76. Overall, these diagnostics indicate that the model parameters are well identified and not subject to problematic multicollinearity.</w:t>
      </w:r>
    </w:p>
    <w:p w14:paraId="4E592588" w14:textId="77777777" w:rsidR="00EE0617" w:rsidRPr="006B15C8" w:rsidRDefault="00EE0617" w:rsidP="004A6C6E">
      <w:pPr>
        <w:spacing w:line="271" w:lineRule="auto"/>
        <w:ind w:firstLine="360"/>
      </w:pPr>
    </w:p>
    <w:p w14:paraId="4D01B8D5" w14:textId="77777777" w:rsidR="00EE0617" w:rsidRPr="006B15C8" w:rsidRDefault="003B6FAE" w:rsidP="004A6C6E">
      <w:pPr>
        <w:pStyle w:val="Heading1"/>
        <w:spacing w:line="271" w:lineRule="auto"/>
        <w:ind w:left="360"/>
        <w:jc w:val="left"/>
      </w:pPr>
      <w:r w:rsidRPr="006B15C8">
        <w:t xml:space="preserve">EMPIRICAL </w:t>
      </w:r>
      <w:r w:rsidR="00EE0617" w:rsidRPr="006B15C8">
        <w:t>RESULTS AND DISCUSSION</w:t>
      </w:r>
    </w:p>
    <w:p w14:paraId="561CA8D5" w14:textId="761D62E9" w:rsidR="00EE0617" w:rsidRPr="006B15C8" w:rsidRDefault="006D6A10" w:rsidP="004A6C6E">
      <w:pPr>
        <w:pStyle w:val="Heading2"/>
        <w:spacing w:line="271" w:lineRule="auto"/>
      </w:pPr>
      <w:r w:rsidRPr="006B15C8">
        <w:t xml:space="preserve"> </w:t>
      </w:r>
      <w:r w:rsidR="00EE0617" w:rsidRPr="006B15C8">
        <w:t>Model Estimation Results</w:t>
      </w:r>
    </w:p>
    <w:p w14:paraId="3BC872E5" w14:textId="47DDE85B" w:rsidR="00EE0617" w:rsidRPr="006B15C8" w:rsidRDefault="00C371B0" w:rsidP="004A6C6E">
      <w:pPr>
        <w:spacing w:line="271" w:lineRule="auto"/>
      </w:pPr>
      <w:r w:rsidRPr="006B15C8">
        <w:t xml:space="preserve">The estimation results from the </w:t>
      </w:r>
      <w:r w:rsidR="00EE0617" w:rsidRPr="006B15C8">
        <w:t xml:space="preserve">final model </w:t>
      </w:r>
      <w:r w:rsidRPr="006B15C8">
        <w:t xml:space="preserve">specification are presented in </w:t>
      </w:r>
      <w:r w:rsidR="002142FA" w:rsidRPr="006B15C8">
        <w:t>T</w:t>
      </w:r>
      <w:r w:rsidR="00EE0617" w:rsidRPr="006B15C8">
        <w:t xml:space="preserve">able 4. The first three columns, under the heading “Non-Compliant Pedestrian Crossing Model,” display results from the binary </w:t>
      </w:r>
      <w:r w:rsidR="00E40FC9" w:rsidRPr="006B15C8">
        <w:t xml:space="preserve">NCPC </w:t>
      </w:r>
      <w:r w:rsidR="00EE0617" w:rsidRPr="006B15C8">
        <w:t xml:space="preserve">logit model. The final three columns, labeled “Driver </w:t>
      </w:r>
      <w:r w:rsidR="00E40FC9" w:rsidRPr="006B15C8">
        <w:t>Uny</w:t>
      </w:r>
      <w:r w:rsidR="00EE0617" w:rsidRPr="006B15C8">
        <w:t xml:space="preserve">ielding Model,” present results from the binary </w:t>
      </w:r>
      <w:r w:rsidR="00E40FC9" w:rsidRPr="006B15C8">
        <w:t xml:space="preserve">DUY </w:t>
      </w:r>
      <w:r w:rsidR="00EE0617" w:rsidRPr="006B15C8">
        <w:t>logit model. For each model, we report the estimated coefficients, their corresponding t-statistics, and the percentage Average Treatment Effects (%ATE) of exogenous variables. For the NCPC model, we retained coefficients that were statistically significant at the 9</w:t>
      </w:r>
      <w:r w:rsidR="00D26B67" w:rsidRPr="006B15C8">
        <w:t>0</w:t>
      </w:r>
      <w:r w:rsidR="00EE0617" w:rsidRPr="006B15C8">
        <w:t>% confidence level (|t-statistic| &gt; 1.</w:t>
      </w:r>
      <w:r w:rsidR="00D26B67" w:rsidRPr="006B15C8">
        <w:t>65</w:t>
      </w:r>
      <w:r w:rsidR="00EE0617" w:rsidRPr="006B15C8">
        <w:t xml:space="preserve">). But we used a lower confidence level of </w:t>
      </w:r>
      <w:r w:rsidR="003B6FAE" w:rsidRPr="006B15C8">
        <w:t>68</w:t>
      </w:r>
      <w:r w:rsidR="00EE0617" w:rsidRPr="006B15C8">
        <w:t>% (|t-statistic| &gt; 1.</w:t>
      </w:r>
      <w:r w:rsidR="003B6FAE" w:rsidRPr="006B15C8">
        <w:t>00</w:t>
      </w:r>
      <w:r w:rsidR="00EE0617" w:rsidRPr="006B15C8">
        <w:t xml:space="preserve">) for the </w:t>
      </w:r>
      <w:r w:rsidR="00E40FC9" w:rsidRPr="006B15C8">
        <w:t xml:space="preserve">DUY </w:t>
      </w:r>
      <w:r w:rsidR="00EE0617" w:rsidRPr="006B15C8">
        <w:t>model because of the smaller sample size of only 2,</w:t>
      </w:r>
      <w:r w:rsidR="003B6FAE" w:rsidRPr="006B15C8">
        <w:t>890</w:t>
      </w:r>
      <w:r w:rsidR="00EE0617" w:rsidRPr="006B15C8">
        <w:t xml:space="preserve"> cases with pedestrian-vehicle interactions as well as the small fraction of these 2,</w:t>
      </w:r>
      <w:r w:rsidR="003B6FAE" w:rsidRPr="006B15C8">
        <w:t>890</w:t>
      </w:r>
      <w:r w:rsidR="00EE0617" w:rsidRPr="006B15C8">
        <w:t xml:space="preserve"> cases in </w:t>
      </w:r>
      <w:r w:rsidR="00EE0617" w:rsidRPr="006B15C8">
        <w:lastRenderedPageBreak/>
        <w:t>which the pedestrians were not yielded to (only 3</w:t>
      </w:r>
      <w:r w:rsidR="003B6FAE" w:rsidRPr="006B15C8">
        <w:t>71</w:t>
      </w:r>
      <w:r w:rsidR="00EE0617" w:rsidRPr="006B15C8">
        <w:t xml:space="preserve"> of 2,</w:t>
      </w:r>
      <w:r w:rsidR="003B6FAE" w:rsidRPr="006B15C8">
        <w:t>890</w:t>
      </w:r>
      <w:r w:rsidR="00EE0617" w:rsidRPr="006B15C8">
        <w:t xml:space="preserve"> cases, or 1</w:t>
      </w:r>
      <w:r w:rsidR="00D26B67" w:rsidRPr="006B15C8">
        <w:t>2</w:t>
      </w:r>
      <w:r w:rsidR="00EE0617" w:rsidRPr="006B15C8">
        <w:t>.</w:t>
      </w:r>
      <w:r w:rsidR="00D26B67" w:rsidRPr="006B15C8">
        <w:t>4</w:t>
      </w:r>
      <w:r w:rsidR="00EE0617" w:rsidRPr="006B15C8">
        <w:t>%).</w:t>
      </w:r>
      <w:r w:rsidR="00EE0617" w:rsidRPr="006B15C8">
        <w:rPr>
          <w:rStyle w:val="FootnoteReference"/>
        </w:rPr>
        <w:footnoteReference w:id="8"/>
      </w:r>
      <w:r w:rsidR="00EE0617" w:rsidRPr="006B15C8">
        <w:t xml:space="preserve"> Additionally, note that a dash (“--”) in Table 4 indicates that the corresponding variable was not statistically significant in the model, while “</w:t>
      </w:r>
      <w:r w:rsidR="00EE0617" w:rsidRPr="006B15C8">
        <w:rPr>
          <w:i/>
          <w:iCs/>
        </w:rPr>
        <w:t>n.a</w:t>
      </w:r>
      <w:r w:rsidR="00EE0617" w:rsidRPr="006B15C8">
        <w:t>.” denotes that the explanatory variable is not applicable to the given outcome variable.</w:t>
      </w:r>
    </w:p>
    <w:p w14:paraId="13EC9D20" w14:textId="0F1089F6" w:rsidR="00EE0617" w:rsidRPr="006B15C8" w:rsidRDefault="00EE0617" w:rsidP="004A6C6E">
      <w:pPr>
        <w:spacing w:line="271" w:lineRule="auto"/>
        <w:ind w:firstLine="720"/>
      </w:pPr>
      <w:r w:rsidRPr="006B15C8">
        <w:t xml:space="preserve">In the subsequent discussion, we focus on the %ATE values, as they offer an intuitive interpretation of both the magnitude and direction of effects. While the estimated coefficients reflect the impact of exogenous variables on the underlying latent propensity (i.e., </w:t>
      </w:r>
      <w:r w:rsidR="00181C88" w:rsidRPr="006B15C8">
        <w:rPr>
          <w:position w:val="-14"/>
        </w:rPr>
        <w:object w:dxaOrig="279" w:dyaOrig="400" w14:anchorId="4FE609BA">
          <v:shape id="_x0000_i1064" type="#_x0000_t75" style="width:13.75pt;height:20.35pt" o:ole="" o:preferrelative="f">
            <v:imagedata r:id="rId96" o:title=""/>
            <o:lock v:ext="edit" aspectratio="f"/>
          </v:shape>
          <o:OLEObject Type="Embed" ProgID="Equation.DSMT4" ShapeID="_x0000_i1064" DrawAspect="Content" ObjectID="_1832934308" r:id="rId97"/>
        </w:object>
      </w:r>
      <w:r w:rsidRPr="006B15C8">
        <w:t xml:space="preserve"> in Section 3.4.1), they do not directly reflect changes in the observed outcome (</w:t>
      </w:r>
      <w:r w:rsidR="00181C88" w:rsidRPr="006B15C8">
        <w:rPr>
          <w:position w:val="-14"/>
        </w:rPr>
        <w:object w:dxaOrig="279" w:dyaOrig="400" w14:anchorId="47100501">
          <v:shape id="_x0000_i1065" type="#_x0000_t75" style="width:13.75pt;height:20.35pt" o:ole="" o:preferrelative="f">
            <v:imagedata r:id="rId98" o:title=""/>
            <o:lock v:ext="edit" aspectratio="f"/>
          </v:shape>
          <o:OLEObject Type="Embed" ProgID="Equation.DSMT4" ShapeID="_x0000_i1065" DrawAspect="Content" ObjectID="_1832934309" r:id="rId99"/>
        </w:object>
      </w:r>
      <w:r w:rsidRPr="006B15C8">
        <w:t>). In contrast, the %ATE represents the percentage change in the predicted probability (or share) of an outcome when shifting from the base category to the treatment category of a given variable. For illustration, consider a pedestrian with visible markers of housing insecurity (VHI). The %ATE of 1</w:t>
      </w:r>
      <w:r w:rsidR="00D26B67" w:rsidRPr="006B15C8">
        <w:t>49</w:t>
      </w:r>
      <w:r w:rsidRPr="006B15C8">
        <w:t>.</w:t>
      </w:r>
      <w:r w:rsidR="00D26B67" w:rsidRPr="006B15C8">
        <w:t>1</w:t>
      </w:r>
      <w:r w:rsidRPr="006B15C8">
        <w:t>% indicates that the share of pedestrians with VHI displaying NCPC behavior is 1</w:t>
      </w:r>
      <w:r w:rsidR="00D26B67" w:rsidRPr="006B15C8">
        <w:t>49</w:t>
      </w:r>
      <w:r w:rsidRPr="006B15C8">
        <w:t>.</w:t>
      </w:r>
      <w:r w:rsidR="00D26B67" w:rsidRPr="006B15C8">
        <w:t>1</w:t>
      </w:r>
      <w:r w:rsidRPr="006B15C8">
        <w:t>% higher than the share of pedestrians with no VHI displaying NCPC behavior, other factors being the same. Another way of looking at this is that a randomly selected person with VHI is 1</w:t>
      </w:r>
      <w:r w:rsidR="00D26B67" w:rsidRPr="006B15C8">
        <w:t>49</w:t>
      </w:r>
      <w:r w:rsidRPr="006B15C8">
        <w:t>.</w:t>
      </w:r>
      <w:r w:rsidR="00D26B67" w:rsidRPr="006B15C8">
        <w:t>1</w:t>
      </w:r>
      <w:r w:rsidRPr="006B15C8">
        <w:t xml:space="preserve">% more likely to exhibit NCPC behavior than a randomly selected person without VHI; that is, if 10 out of 100 pedestrians with non-VHI exhibit NCPC behavior, approximately </w:t>
      </w:r>
      <w:r w:rsidR="00D26B67" w:rsidRPr="006B15C8">
        <w:t>24.91</w:t>
      </w:r>
      <w:r w:rsidRPr="006B15C8">
        <w:t xml:space="preserve"> (about </w:t>
      </w:r>
      <w:r w:rsidR="00D26B67" w:rsidRPr="006B15C8">
        <w:t>25</w:t>
      </w:r>
      <w:r w:rsidRPr="006B15C8">
        <w:t>) out of 100 pedestrians with VHI would be expected to do so ([(0.2</w:t>
      </w:r>
      <w:r w:rsidR="00D26B67" w:rsidRPr="006B15C8">
        <w:t>491</w:t>
      </w:r>
      <w:r w:rsidRPr="006B15C8">
        <w:t>-0.10)/0.10]*100=1</w:t>
      </w:r>
      <w:r w:rsidR="00D26B67" w:rsidRPr="006B15C8">
        <w:t>49</w:t>
      </w:r>
      <w:r w:rsidRPr="006B15C8">
        <w:t>.</w:t>
      </w:r>
      <w:r w:rsidR="00D26B67" w:rsidRPr="006B15C8">
        <w:t>1</w:t>
      </w:r>
      <w:r w:rsidRPr="006B15C8">
        <w:t>%). More simply, we will just say that a person with VHI is 1</w:t>
      </w:r>
      <w:r w:rsidR="00D26B67" w:rsidRPr="006B15C8">
        <w:t>49</w:t>
      </w:r>
      <w:r w:rsidRPr="006B15C8">
        <w:t>.</w:t>
      </w:r>
      <w:r w:rsidR="00D26B67" w:rsidRPr="006B15C8">
        <w:t>1</w:t>
      </w:r>
      <w:r w:rsidRPr="006B15C8">
        <w:t xml:space="preserve">% more likely to exhibit NCPC behavior than a person without VHI. Additional nuances arise when interpreting %ATE values in the presence of interaction effects. Consider the main effects of gender and time-of-day, alongside their interaction in the NCPC model. The main model coefficient effect of gender, which is positive, indicates a higher likelihood of NCPC behavior among males compared to females </w:t>
      </w:r>
      <w:r w:rsidRPr="006B15C8">
        <w:rPr>
          <w:rStyle w:val="Strong"/>
          <w:b w:val="0"/>
          <w:bCs w:val="0"/>
          <w:u w:val="single"/>
        </w:rPr>
        <w:t>during non-nighttime periods</w:t>
      </w:r>
      <w:r w:rsidRPr="006B15C8">
        <w:t xml:space="preserve"> (i.e., morning, dusk, and evening), holding other variables constant. However, this gender effect is moderated (reduced) at nighttime (defined as a combination period of dawn and night) by the negative coefficient on the “Male × Nighttime” interaction term, as presented in Table 4 under “Pedestrian Demographics and Time-of-Day Interactions.” The interpretation becomes more complex when considering additional interactions between the nighttime period and pedestrian skin tone. A technically rigorous interpretation would involve jointly evaluating combinations of gender, time-of-day, and skin tone to compute ATEs. However, for clarity and interpretability, we separate the discussion of main effects from that of interaction effects. Main effects represent sample-averaged treatment effects and are calculated while accounting for the full model specification, including interaction terms. For example, the main gender %ATE is derived by simulating a shift from female (base category) to male (treatment category) pedestrians across the entire sample, holding other covariates constant and incorporating all coefficients. Similarly, %ATEs for dawn and night periods are computed by transitioning the </w:t>
      </w:r>
      <w:r w:rsidRPr="006B15C8">
        <w:lastRenderedPageBreak/>
        <w:t xml:space="preserve">full sample from the noon/afternoon base category to the respective treatment period, across all gender and skin tone subgroups. Based on these computations, Table 4 shows that, on average, male pedestrians are </w:t>
      </w:r>
      <w:r w:rsidR="00DF5F99" w:rsidRPr="006B15C8">
        <w:t>49</w:t>
      </w:r>
      <w:r w:rsidRPr="006B15C8">
        <w:t>.</w:t>
      </w:r>
      <w:r w:rsidR="00DF5F99" w:rsidRPr="006B15C8">
        <w:t>0</w:t>
      </w:r>
      <w:r w:rsidRPr="006B15C8">
        <w:t>% more likely than female pedestrians to exhibit NCPC behavior. Pedestrians crossing during dawn and night periods are 1</w:t>
      </w:r>
      <w:r w:rsidR="00DF5F99" w:rsidRPr="006B15C8">
        <w:t>78</w:t>
      </w:r>
      <w:r w:rsidRPr="006B15C8">
        <w:t>.1% and 2</w:t>
      </w:r>
      <w:r w:rsidR="00DF5F99" w:rsidRPr="006B15C8">
        <w:t>99</w:t>
      </w:r>
      <w:r w:rsidRPr="006B15C8">
        <w:t xml:space="preserve">.6% more likely, respectively, to exhibit NCPC behavior compared to those crossing during the noon/afternoon period. On the other hand, interaction effects capture how the marginal impact of one variable varies depending on the level of another. These %ATEs are computed by comparing specific subgroups to isolate conditional relationships. For instance, the %ATE for the “Male × Nighttime” interaction compares female pedestrians crossing at dawn or night (base category) to male pedestrians crossing in the same period (treatment category). Given the negative sign of the interaction coefficient, the %ATE of </w:t>
      </w:r>
      <w:r w:rsidR="00DF5F99" w:rsidRPr="006B15C8">
        <w:t>0</w:t>
      </w:r>
      <w:r w:rsidRPr="006B15C8">
        <w:t>.</w:t>
      </w:r>
      <w:r w:rsidR="00DF5F99" w:rsidRPr="006B15C8">
        <w:t>2</w:t>
      </w:r>
      <w:r w:rsidRPr="006B15C8">
        <w:t xml:space="preserve">% for the “Male × Nighttime” interaction variable indicates that the gender effect is reduced at nighttime relative to the overall gender %ATE of </w:t>
      </w:r>
      <w:r w:rsidR="00DF5F99" w:rsidRPr="006B15C8">
        <w:t>49</w:t>
      </w:r>
      <w:r w:rsidRPr="006B15C8">
        <w:t>.</w:t>
      </w:r>
      <w:r w:rsidR="005647B2" w:rsidRPr="006B15C8">
        <w:t>0</w:t>
      </w:r>
      <w:r w:rsidRPr="006B15C8">
        <w:t xml:space="preserve">% across all time periods. </w:t>
      </w:r>
    </w:p>
    <w:p w14:paraId="7754979C" w14:textId="42F59748" w:rsidR="00EE0617" w:rsidRPr="006B15C8" w:rsidRDefault="00EE0617" w:rsidP="004A6C6E">
      <w:pPr>
        <w:spacing w:line="271" w:lineRule="auto"/>
        <w:ind w:firstLine="720"/>
      </w:pPr>
      <w:r w:rsidRPr="006B15C8">
        <w:t xml:space="preserve">The results presented in Table 4 indicate that a range of factors, spanning pedestrian sociodemographics, activity context, and time-of-day factors, significantly influence both pedestrian crossing behavior and driver yielding decisions. Overall, the %ATEs in Table 4 suggest that dawn and night period pedestrian crossings are most strongly associated with NCPC, followed by pedestrians exhibiting visible indicators of housing insecurity (VHI), evening crossings, runners, and men during non-nighttime periods. For </w:t>
      </w:r>
      <w:r w:rsidR="00285BE5" w:rsidRPr="006B15C8">
        <w:t>DUY</w:t>
      </w:r>
      <w:r w:rsidRPr="006B15C8">
        <w:t xml:space="preserve"> behavior, the strongest predictor is pedestrian non-compliance, followed by VHI status, older pedestrian age, and male pedestrians crossing at night. It is also important to note that the effects of exogenous variables (and the corresponding %ATEs) in the driver non-yielding behavior model represent direct effects </w:t>
      </w:r>
      <w:r w:rsidRPr="006B15C8">
        <w:rPr>
          <w:b/>
          <w:bCs/>
          <w:u w:val="single"/>
        </w:rPr>
        <w:t>after</w:t>
      </w:r>
      <w:r w:rsidRPr="006B15C8">
        <w:t xml:space="preserve"> controlling for any effects of exogenous variables through the NCPC outcome. Thus, for example, the %ATE for male pedestrians in Table 4 corresponding to driver non-yielding indicates that, across all time periods, </w:t>
      </w:r>
      <w:r w:rsidR="00DF5F99" w:rsidRPr="006B15C8">
        <w:t>Black pedestrians</w:t>
      </w:r>
      <w:r w:rsidRPr="006B15C8">
        <w:t xml:space="preserve"> are </w:t>
      </w:r>
      <w:r w:rsidR="00DF5F99" w:rsidRPr="006B15C8">
        <w:t>25.0</w:t>
      </w:r>
      <w:r w:rsidRPr="006B15C8">
        <w:t>% less likely to be yielded to</w:t>
      </w:r>
      <w:r w:rsidR="00DF5F99" w:rsidRPr="006B15C8">
        <w:t xml:space="preserve"> relative to White pedestrians </w:t>
      </w:r>
      <w:r w:rsidRPr="006B15C8">
        <w:t xml:space="preserve">(everything else remaining the same). This effect is not because </w:t>
      </w:r>
      <w:r w:rsidR="00DF5F99" w:rsidRPr="006B15C8">
        <w:t>Black pedestrians</w:t>
      </w:r>
      <w:r w:rsidRPr="006B15C8">
        <w:t xml:space="preserve"> are more likely to exhibit NCPC behavior, because NCPC behavior is controlled for as a determinant variable in the driver non-yielding model. This effect cannot be explained by a higher propensity among </w:t>
      </w:r>
      <w:r w:rsidR="00DF5F99" w:rsidRPr="006B15C8">
        <w:t>pedestrians identified as Black</w:t>
      </w:r>
      <w:r w:rsidRPr="006B15C8">
        <w:t xml:space="preserve"> to engage in NCPC behavior, as the </w:t>
      </w:r>
      <w:r w:rsidR="00285BE5" w:rsidRPr="006B15C8">
        <w:t xml:space="preserve">DUY </w:t>
      </w:r>
      <w:r w:rsidRPr="006B15C8">
        <w:t xml:space="preserve">model explicitly includes NCPC as a covariate, thereby isolating the direct effect of </w:t>
      </w:r>
      <w:r w:rsidR="00DF5F99" w:rsidRPr="006B15C8">
        <w:t>skin tone</w:t>
      </w:r>
      <w:r w:rsidRPr="006B15C8">
        <w:t xml:space="preserve"> on driver yielding behavior.</w:t>
      </w:r>
    </w:p>
    <w:p w14:paraId="0349245A" w14:textId="77777777" w:rsidR="00EE0617" w:rsidRPr="006B15C8" w:rsidRDefault="00EE0617" w:rsidP="004A6C6E">
      <w:pPr>
        <w:spacing w:line="271" w:lineRule="auto"/>
        <w:ind w:firstLine="720"/>
      </w:pPr>
    </w:p>
    <w:p w14:paraId="28043ABB" w14:textId="77777777" w:rsidR="00EE0617" w:rsidRPr="006B15C8" w:rsidRDefault="00EE0617" w:rsidP="004A6C6E">
      <w:pPr>
        <w:pStyle w:val="Heading3"/>
        <w:spacing w:line="271" w:lineRule="auto"/>
      </w:pPr>
      <w:r w:rsidRPr="006B15C8">
        <w:t>Pedestrian Sociodemographic Variable Effects</w:t>
      </w:r>
    </w:p>
    <w:p w14:paraId="454DEDF4" w14:textId="77777777" w:rsidR="00EE0617" w:rsidRPr="006B15C8" w:rsidRDefault="00EE0617" w:rsidP="004A6C6E">
      <w:pPr>
        <w:spacing w:line="271" w:lineRule="auto"/>
        <w:rPr>
          <w:i/>
          <w:iCs/>
          <w:u w:val="single"/>
        </w:rPr>
      </w:pPr>
      <w:r w:rsidRPr="006B15C8">
        <w:rPr>
          <w:i/>
          <w:iCs/>
          <w:u w:val="single"/>
        </w:rPr>
        <w:t>Pedestrian Perceived Gender</w:t>
      </w:r>
    </w:p>
    <w:p w14:paraId="59AE8833" w14:textId="6F2E3A2C" w:rsidR="00EE0617" w:rsidRPr="006B15C8" w:rsidRDefault="00EE0617" w:rsidP="004A6C6E">
      <w:pPr>
        <w:spacing w:line="271" w:lineRule="auto"/>
      </w:pPr>
      <w:r w:rsidRPr="006B15C8">
        <w:t xml:space="preserve">The model results reveal that male pedestrians are </w:t>
      </w:r>
      <w:r w:rsidR="00DF5F99" w:rsidRPr="006B15C8">
        <w:t>49.0</w:t>
      </w:r>
      <w:r w:rsidRPr="006B15C8">
        <w:t xml:space="preserve">% more likely to engage in NCPC behavior compared to female pedestrians, suggesting significant gender-related differences in risk-taking behavior. This finding, which aligns with existing literature (e.g., </w:t>
      </w:r>
      <w:r w:rsidRPr="006B15C8">
        <w:fldChar w:fldCharType="begin"/>
      </w:r>
      <w:r w:rsidRPr="006B15C8">
        <w:instrText xml:space="preserve"> ADDIN ZOTERO_ITEM CSL_CITATION {"citationID":"dbAHfAoI","properties":{"formattedCitation":"(Xie et al., 2018)","plainCitation":"(Xie et al., 2018)","dontUpdate":true,"noteIndex":0},"citationItems":[{"id":"ReAbCZ5Q/W3khcGv1","uris":["http://zotero.org/groups/5098585/items/LMITDHLF"],"itemData":{"id":1718,"type":"article-journal","abstract":"Objective: Most of the extensive research dedicated to identifying the influential factors of hit-and-run (HR) crashes has utilized typical maximum likelihood estimation binary logit models, and none have employed real-time traffic data. To fill this gap, this study focused on investigating factors contributing to HR crashes, as well as the severity levels of HR.Methods: This study analyzed 4-year crash and real-time loop detector data by employing hierarchical Bayesian models with random effects within a sequential logit structure. In addition to evaluation of the impact of random effects on model fitness and complexity, the prediction capability of the models was examined. Stepwise incremental sensitivity and specificity were calculated and receiver operating characteristic (ROC) curves were utilized to graphically illustrate the predictive performance of the model.Results: Among the real-time flow variables, the average occupancy and speed from the upstream detector were observed to be positively correlated with HR crash possibility. The average upstream speed and speed difference between upstream and downstream speeds were correlated with the occurrence of severe HR crashes. In addition to real-time factors, other variables found influential for HR and severe HR crashes were length of segment, adverse weather conditions, dark lighting conditions with malfunctioning street lights, driving under the influence of alcohol, width of inner shoulder, and nighttime.Conclusions: This study suggests the potential traffic conditions of HR and severe HR occurrence, which refer to relatively congested upstream traffic conditions with high upstream speed and significant speed deviations on long segments. The above findings suggest that traffic enforcement should be directed toward mitigating risky driving under the aforementioned traffic conditions. Moreover, enforcement agencies may employ alcohol checkpoints to counter driving under the influence (DUI) at night. With regard to engineering improvements, wider inner shoulders may be constructed to potentially reduce HR cases and street lights should be installed and maintained in working condition to make roads less prone to such crashes.","container-title":"Traffic Injury Prevention","DOI":"10.1080/15389588.2017.1371302","ISSN":"1538-9588","issue":"2","note":"publisher: Taylor &amp; Francis\n_eprint: https://doi.org/10.1080/15389588.2017.1371302\nPMID: 28837362","page":"207-213","source":"Taylor and Francis+NEJM","title":"Investigation of hit-and-run crash occurrence and severity using real-time loop detector data and hierarchical Bayesian binary logit model with random effects","volume":"19","author":[{"family":"Xie","given":"Meiquan"},{"family":"Cheng","given":"Wen"},{"family":"Gill","given":"Gurdiljot Singh"},{"family":"Zhou","given":"Jiao"},{"family":"Jia","given":"Xudong"},{"family":"Choi","given":"Simon"}],"issued":{"date-parts":[["2018",2,17]]}}}],"schema":"https://github.com/citation-style-language/schema/raw/master/csl-citation.json"} </w:instrText>
      </w:r>
      <w:r w:rsidRPr="006B15C8">
        <w:fldChar w:fldCharType="separate"/>
      </w:r>
      <w:r w:rsidRPr="006B15C8">
        <w:t>Xie et al., 2018</w:t>
      </w:r>
      <w:r w:rsidRPr="006B15C8">
        <w:fldChar w:fldCharType="end"/>
      </w:r>
      <w:r w:rsidR="00123993" w:rsidRPr="006B15C8">
        <w:t xml:space="preserve">, </w:t>
      </w:r>
      <w:r w:rsidRPr="006B15C8">
        <w:fldChar w:fldCharType="begin"/>
      </w:r>
      <w:r w:rsidRPr="006B15C8">
        <w:instrText xml:space="preserve"> ADDIN ZOTERO_ITEM CSL_CITATION {"citationID":"ex6CcXiL","properties":{"formattedCitation":"(Zhu et al., 2021)","plainCitation":"(Zhu et al., 2021)","dontUpdate":true,"noteIndex":0},"citationItems":[{"id":155,"uris":["http://zotero.org/groups/5885221/items/9M8ML4RE"],"itemData":{"id":155,"type":"article-journal","abstract":"Pedestrian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Pr="006B15C8">
        <w:fldChar w:fldCharType="separate"/>
      </w:r>
      <w:r w:rsidRPr="006B15C8">
        <w:t>Zhu et al., 2021</w:t>
      </w:r>
      <w:r w:rsidRPr="006B15C8">
        <w:fldChar w:fldCharType="end"/>
      </w:r>
      <w:r w:rsidR="00123993" w:rsidRPr="006B15C8">
        <w:t>,</w:t>
      </w:r>
      <w:r w:rsidRPr="006B15C8">
        <w:t xml:space="preserve"> </w:t>
      </w:r>
      <w:r w:rsidRPr="006B15C8">
        <w:fldChar w:fldCharType="begin"/>
      </w:r>
      <w:r w:rsidRPr="006B15C8">
        <w:instrText xml:space="preserve"> ADDIN ZOTERO_ITEM CSL_CITATION {"citationID":"WTHc8civ","properties":{"formattedCitation":"(Rafe et al., 2025)","plainCitation":"(Rafe et al., 2025)","dontUpdate":true,"noteIndex":0},"citationItems":[{"id":328,"uris":["http://zotero.org/groups/5885221/items/8TQZEC7Q"],"itemData":{"id":328,"type":"article-journal","abstract":"This study investigates pedestrian crossing behaviors at signalized intersections, focusing on spatial and temporal violations. Using a comprehensive dataset comprising 5,589 pedestrian crossing events at 47 crosswalks across 39 intersections in Utah, the research employs multilevel regression models to identify the factors influencing these violation behaviors. Key findings indicate that individual characteristics such as gender and mobility device use, environmental conditions including temperature and time of day, and social dynamics such as the presence of other pedestrians significantly impact violation behaviors. The study reveals that female-presenting pedestrians and those using mobility devices are generally more compliant, while higher temperatures and specific times-of-day are associated with increased violation rates. The analysis also highlights that longer waiting time is linked to a reduced likelihood of violations, and that social dynamics play a crucial role, with the presence of other pedestrians discouraging violations. Additionally, neighborhoods with larger shares of Hispanic or non-white populations have higher violation rates, and mid-block crossings see more temporal violations. These findings aim to enhance pedestrian safety and compliance at signalized intersections, ultimately reducing pedestrian fatalities and injuries.","container-title":"International Journal of Transportation Science and Technology","DOI":"10.1016/j.ijtst.2024.12.005","ISSN":"2046-0430","journalAbbreviation":"International Journal of Transportation Science and Technology","source":"ScienceDirect","title":"Pedestrian crossing behaviors at signalized intersections in Utah: Factors affecting spatial and temporal violations","title-short":"Pedestrian crossing behaviors at signalized intersections in Utah","URL":"https://www.sciencedirect.com/science/article/pii/S2046043025000024","author":[{"family":"Rafe","given":"Amir"},{"family":"Singleton","given":"Patrick A."},{"family":"Boyer","given":"Sadie"},{"family":"Mekker","given":"Michelle"}],"accessed":{"date-parts":[["2025",6,9]]},"issued":{"date-parts":[["2025",1,6]]}}}],"schema":"https://github.com/citation-style-language/schema/raw/master/csl-citation.json"} </w:instrText>
      </w:r>
      <w:r w:rsidRPr="006B15C8">
        <w:fldChar w:fldCharType="separate"/>
      </w:r>
      <w:r w:rsidRPr="006B15C8">
        <w:t>Rafe et al., 2025)</w:t>
      </w:r>
      <w:r w:rsidRPr="006B15C8">
        <w:fldChar w:fldCharType="end"/>
      </w:r>
      <w:r w:rsidRPr="006B15C8">
        <w:t xml:space="preserve">, could be a result of several psychological and sociocultural reasons. For instance, previous psychology and personality/gender studies </w:t>
      </w:r>
      <w:r w:rsidRPr="006B15C8">
        <w:fldChar w:fldCharType="begin"/>
      </w:r>
      <w:r w:rsidRPr="006B15C8">
        <w:instrText xml:space="preserve"> ADDIN ZOTERO_ITEM CSL_CITATION {"citationID":"hL1hv4Ts","properties":{"formattedCitation":"(Reniers et al., 2016)","plainCitation":"(Reniers et al., 2016)","dontUpdate":true,"noteIndex":0},"citationItems":[{"id":401,"uris":["http://zotero.org/groups/5885221/items/WB44PSNK"],"itemData":{"id":401,"type":"article-journal","abstract":"This study investigated the influence of personality characteristics and gender on adolescents’ perception of risk and their risk-taking behaviour. Male and female participants (157 females: 116 males, aged 13–20) completed self-report measures on risk perception, risk-taking and personality. Male participants perceived behaviours as less risky, reportedly took more risks, were less sensitive to negative outcomes and less socially anxious than female participants. Path analysis identified a model in which age, behavioural inhibition and impulsiveness directly influenced risk perception, while age, social anxiety, impulsiveness, sensitivity to reward, behavioural inhibition and risk perception itself were directly or indirectly associated with risk-taking behaviour. Age and behavioural inhibition had direct relationships with social anxiety, and reward sensitivity was associated with impulsiveness. The model was representative for the whole sample and male and female groups separately. The observed relationship between age and social anxiety and the influence this may have on risk-taking behaviour could be key for reducing adolescent risk-taking behaviour. Even though adolescents may understand the riskiness of their behaviour and estimate their vulnerability to risk at a similar level to adults, factors such as anxiety regarding social situations, sensitivity to reward and impulsiveness may exert their influence and make these individuals prone to taking risks. If these associations are proven causal, these factors are, and will continue to be, important targets in prevention and intervention efforts.","container-title":"PLOS ONE","DOI":"10.1371/journal.pone.0153842","ISSN":"1932-6203","issue":"4","journalAbbreviation":"PLOS ONE","language":"en","note":"publisher: Public Library of Science","page":"e0153842","source":"PLoS Journals","title":"Risk Perception and Risk-Taking Behaviour during Adolescence: The Influence of Personality and Gender","title-short":"Risk Perception and Risk-Taking Behaviour during Adolescence","volume":"11","author":[{"family":"Reniers","given":"Renate L. E. P."},{"family":"Murphy","given":"Laura"},{"family":"Lin","given":"Ashleigh"},{"family":"Bartolomé","given":"Sandra Para"},{"family":"Wood","given":"Stephen J."}],"issued":{"date-parts":[["2016",4,21]]}}}],"schema":"https://github.com/citation-style-language/schema/raw/master/csl-citation.json"} </w:instrText>
      </w:r>
      <w:r w:rsidRPr="006B15C8">
        <w:fldChar w:fldCharType="separate"/>
      </w:r>
      <w:r w:rsidRPr="006B15C8">
        <w:t xml:space="preserve">(Reniers et al., 2016, </w:t>
      </w:r>
      <w:r w:rsidRPr="006B15C8">
        <w:fldChar w:fldCharType="end"/>
      </w:r>
      <w:r w:rsidRPr="006B15C8">
        <w:fldChar w:fldCharType="begin"/>
      </w:r>
      <w:r w:rsidRPr="006B15C8">
        <w:instrText xml:space="preserve"> ADDIN ZOTERO_ITEM CSL_CITATION {"citationID":"zgZBVAHg","properties":{"formattedCitation":"(Blanch &amp; Mart\\uc0\\u237{}nez, 2025)","plainCitation":"(Blanch &amp; Martínez, 2025)","dontUpdate":true,"noteIndex":0},"citationItems":[{"id":311,"uris":["http://zotero.org/groups/5885221/items/ASGJMAY2"],"itemData":{"id":311,"type":"article-journal","abstract":"The popularity and practice of adventure physical activities in nature (APAN) have risen substantially in the past 20 years. At the same time, the number of events leading to serious injury has increased substantially. Several factors account for the occurrence of such events, albeit individual differences in personality traits together with sex differences appear as important intervening factors. Social or evolutionary approaches might be helpful to explain the higher risk taking and accidents in males compared with females. We evaluated whether sex similarities or differences emerged when relating individual traits with accidents in adventure sports, with a sample of Spanish practitioners of adventure sports (337 males, 168 females). Males endured more accidents than females albeit scoring similarly in risk taking. There was a more robust association between age and deliberate risk taking for males than for females, and risk taking was a more robust predictor of accidents for males than for females. Further, males remained more prone than females to endure an accident when scoring high in risk taking.","container-title":"International Journal of Psychology","DOI":"10.1002/ijop.70023","ISSN":"1464-066X","issue":"2","language":"en","license":"© 2025 International Union of Psychological Science.","note":"_eprint: https://onlinelibrary.wiley.com/doi/pdf/10.1002/ijop.70023","page":"e70023","source":"Wiley Online Library","title":"Risk Taking and Accidents in Adventure Sports Across Males and Females","volume":"60","author":[{"family":"Blanch","given":"Angel"},{"family":"Martínez","given":"Albert"}],"issued":{"date-parts":[["2025"]]}}}],"schema":"https://github.com/citation-style-language/schema/raw/master/csl-citation.json"} </w:instrText>
      </w:r>
      <w:r w:rsidRPr="006B15C8">
        <w:fldChar w:fldCharType="separate"/>
      </w:r>
      <w:r w:rsidRPr="006B15C8">
        <w:t>Blanch and Martínez, 2025)</w:t>
      </w:r>
      <w:r w:rsidRPr="006B15C8">
        <w:fldChar w:fldCharType="end"/>
      </w:r>
      <w:r w:rsidRPr="006B15C8">
        <w:t xml:space="preserve"> have observed that men exhibit higher levels of sensation-seeking and impulsivity, which lead them to prioritize immediate rewards over long-term consequences, </w:t>
      </w:r>
      <w:r w:rsidRPr="006B15C8">
        <w:lastRenderedPageBreak/>
        <w:t xml:space="preserve">thereby increasing their likelihood of engaging in risky behaviors. Additionally, peer influence, media portrayals, and societal norms of masculinity emphasizing toughness, competition, and dominance can encourage men to adopt riskier behaviors </w:t>
      </w:r>
      <w:r w:rsidRPr="006B15C8">
        <w:fldChar w:fldCharType="begin"/>
      </w:r>
      <w:r w:rsidRPr="006B15C8">
        <w:instrText xml:space="preserve"> ADDIN ZOTERO_ITEM CSL_CITATION {"citationID":"vbfjJRd3","properties":{"formattedCitation":"(Morgenroth et al., 2018)","plainCitation":"(Morgenroth et al., 2018)","dontUpdate":true,"noteIndex":0},"citationItems":[{"id":405,"uris":["http://zotero.org/groups/5885221/items/TMTTX2NS"],"itemData":{"id":405,"type":"article-journal","abstract":"We investigated whether risk-taking measures inadvertently focus on behaviors that are more normative for men, resulting in the overestimation of gender differences. Using a popular measure of risk-taking (Domain-Specific Risk-Taking) in Study 1 (N = 99), we found that conventionally used behaviors were more normative for men, while, overall, newly developed behaviors were not. In Studies 2 (N = 114) and 3 (N = 124), we demonstrate that differences in normativity are reflected in gender differences in self-reported risk-taking, which are dependent on the specific items used. Study 3 further demonstrates that conventional, masculine risk behaviors are perceived as more risky than newly generated, more feminine items, even when risks are matched. We conclude that there is confirmation bias in risk-taking measurement.","container-title":"Social Psychological and Personality Science","DOI":"10.1177/1948550617722833","ISSN":"1948-5506","issue":"6","language":"EN","note":"publisher: SAGE Publications Inc","page":"744-753","source":"SAGE Journals","title":"Sex, Drugs, and Reckless Driving: Are Measures Biased Toward Identifying Risk-Taking in Men?","title-short":"Sex, Drugs, and Reckless Driving","volume":"9","author":[{"family":"Morgenroth","given":"Thekla"},{"family":"Fine","given":"Cordelia"},{"family":"Ryan","given":"Michelle K."},{"family":"Genat","given":"Anna E."}],"issued":{"date-parts":[["2018",8,1]]}}}],"schema":"https://github.com/citation-style-language/schema/raw/master/csl-citation.json"} </w:instrText>
      </w:r>
      <w:r w:rsidRPr="006B15C8">
        <w:fldChar w:fldCharType="separate"/>
      </w:r>
      <w:r w:rsidRPr="006B15C8">
        <w:t>(Morgenroth et al., 2018</w:t>
      </w:r>
      <w:r w:rsidRPr="006B15C8">
        <w:fldChar w:fldCharType="end"/>
      </w:r>
      <w:r w:rsidRPr="006B15C8">
        <w:t xml:space="preserve">, and </w:t>
      </w:r>
      <w:r w:rsidRPr="006B15C8">
        <w:fldChar w:fldCharType="begin"/>
      </w:r>
      <w:r w:rsidRPr="006B15C8">
        <w:instrText xml:space="preserve"> ADDIN ZOTERO_ITEM CSL_CITATION {"citationID":"4s35LaZZ","properties":{"formattedCitation":"(Dellosa &amp; Browne, 2024)","plainCitation":"(Dellosa &amp; Browne, 2024)","dontUpdate":true,"noteIndex":0},"citationItems":[{"id":403,"uris":["http://zotero.org/groups/5885221/items/DFWQKKMA"],"itemData":{"id":403,"type":"article-journal","abstract":"Background and Aims Problem gambling (PG) represents a significant public health concern with widespread effects in various cultures and regions globally, with younger individuals and males at a particularly higher risk. This disparity is attributed to a mix of cultural, developmental, and biological influences. To date, there has not been a comprehensive examination to determine whether this risk pattern holds consistently across different jurisdictions. Methods We performed a systematic review and meta-analysis using the PRISMA framework, identifying 21 eligible studies from 18 countries, encompassing 156,249 participants (47.6% male and 52.4% female). Results The studies varied considerably by region (Asia: 19%, Europe: 52%, Oceania: 19%, North America: 10%), the diagnostic criteria for PG, and participation rates in gambling (ranging from 12% to 92%). Data on PG prevalence was categorised by gender and three age groups (young: 18–35, middle: 30–55, and older: 45–65). Using a random-effects meta-analysis, we found a global PG prevalence of 1.9%. Europe reported a significantly lower prevalence (1.3%) compared to North America (5.3%). Men were found to be 3.4 times more likely than women to engage in problem gambling, although the gap narrows in North America. The young demographic showed a 1.51 times higher likelihood of reporting PG compared to the middle-aged group, whereas older adults were 0.80 times less likely to report PG. Notably, age-related effects varied significantly across regions. Conclusions Our findings confirm that age and gender significantly influence PG risk across cultures, with significant heterogeneity observed across jurisdictions.","DOI":"10.1556/2006.2024.00051","language":"en","note":"section: Journal of Behavioral Addictions","source":"akjournals.com","title":"The influence of age on gambling problems worldwide: A systematic review and meta-analysis of risk among younger, middle-aged, and older adults","title-short":"The influence of age on gambling problems worldwide","URL":"https://akjournals.com/view/journals/2006/13/3/article-p702.xml","author":[{"family":"Dellosa","given":"Georgia"},{"family":"Browne","given":"Matthew"}],"accessed":{"date-parts":[["2025",6,10]]},"issued":{"date-parts":[["2024",9,13]]}}}],"schema":"https://github.com/citation-style-language/schema/raw/master/csl-citation.json"} </w:instrText>
      </w:r>
      <w:r w:rsidRPr="006B15C8">
        <w:fldChar w:fldCharType="separate"/>
      </w:r>
      <w:r w:rsidRPr="006B15C8">
        <w:t>Dellosa and Browne, 2024)</w:t>
      </w:r>
      <w:r w:rsidRPr="006B15C8">
        <w:fldChar w:fldCharType="end"/>
      </w:r>
      <w:r w:rsidRPr="006B15C8">
        <w:t>. Overall, the observation that male pedestrians are more likely to engage in risky behaviors</w:t>
      </w:r>
      <w:r w:rsidR="00ED5C08" w:rsidRPr="006B15C8">
        <w:t xml:space="preserve">, coupled with their increased vulnerability </w:t>
      </w:r>
      <w:r w:rsidR="006C2052" w:rsidRPr="006B15C8">
        <w:t xml:space="preserve">during nighttime crossings </w:t>
      </w:r>
      <w:r w:rsidR="00ED5C08" w:rsidRPr="006B15C8">
        <w:t xml:space="preserve">discussed in Section 4.1.3, </w:t>
      </w:r>
      <w:r w:rsidRPr="006B15C8">
        <w:t xml:space="preserve">provides a plausible explanation for their overrepresentation in pedestrian crash statistics </w:t>
      </w:r>
      <w:r w:rsidRPr="006B15C8">
        <w:fldChar w:fldCharType="begin"/>
      </w:r>
      <w:r w:rsidRPr="006B15C8">
        <w:instrText xml:space="preserve"> ADDIN ZOTERO_ITEM CSL_CITATION {"citationID":"IDE0dz7n","properties":{"formattedCitation":"(McGuckin et al., 2018; U.S. Department of Transportation, 2024)","plainCitation":"(McGuckin et al., 2018; U.S. Department of Transportation, 2024)","noteIndex":0},"citationItems":[{"id":22,"uris":["http://zotero.org/groups/5885221/items/RJARDTS8"],"itemData":{"id":22,"type":"report","abstract":"The 2017 National Household Travel Survey (NHTS) provides an inventory of daily travel in the US and its major Census Divisions and add-on areas. It is the only source of national-level statistics on personal travel in the US. The survey series (conducted since 1969) includes demographic data on households, people, vehicles, and detailed information on daily travel by all modes of transportation and for all purposes. NHTS survey data are collected from a sample of households and expanded to provide estimates of trips and miles of travel by travel mode, trip purpose, and other important attributes. When combined with historical data from the earlier surveys (1969, 1977, 1983, 1990, and 1995 NPTS and the 2001 NHTS, 2009 NHTS, and 2017 NHTS) these data serve as a rich source of information on the trends in travel over time. This report summarizes trends in household and personal travel patterns, including information on changes to the household-based vehicle fleet and commuting patterns. The report begins with a summary of the changes in the population, demographics, and related travel. Next, travel trends are examined at the household level, including differences between different areas of the US and by household income, for example. Next, changes in travel are summarized at the person-level, including trips by purpose and miles of travel by age and sex. Following sections detail changes in vehicle availability and usage, commute travel patterns, temporal distribution, and the travel of special populations. The 2017 NHTS was conducted with major changes in sampling strategy (an address-based sample compared to previous land-line random-digit sample) and methodology (Web-based self-reports compared to previous computer-aided interviewing). These and other critical changes are summarized here in Appendix A and in the data documentation at https://nhts.ornl.gov/. Researchers and data users are cautioned to do their best to assess how the change in methods may affect their estimates and to caution their readers about these critical changes in the data series.","call-number":"dot:68751","language":"English","number":"FHWA-PL-18-019","source":"ROSA P","title":"Summary of Travel Trends: 2017 National Household Travel Survey","title-short":"Summary of Travel Trends","URL":"https://rosap.ntl.bts.gov/view/dot/68751","author":[{"family":"McGuckin","given":"N"},{"family":"Fucci","given":"A"},{"family":"Westat","given":"Inc."}],"accessed":{"date-parts":[["2025",2,25]]},"issued":{"date-parts":[["2018",7,1]]}}},{"id":"ReAbCZ5Q/tcBM3cLn","uris":["http://zotero.org/users/9292995/items/H9P3KQW3"],"itemData":{"id":2487,"type":"dataset","title":"National Highway Traffic Safety Administration (NHTSA)","URL":"https://www.nhtsa.gov/crash-data-systems/fatality-analysis-reporting-system","author":[{"literal":"U.S. Department of Transportation"}],"issued":{"date-parts":[["2024"]]}}}],"schema":"https://github.com/citation-style-language/schema/raw/master/csl-citation.json"} </w:instrText>
      </w:r>
      <w:r w:rsidRPr="006B15C8">
        <w:fldChar w:fldCharType="separate"/>
      </w:r>
      <w:r w:rsidRPr="006B15C8">
        <w:t>(McGuckin et al., 2018</w:t>
      </w:r>
      <w:r w:rsidR="00123993" w:rsidRPr="006B15C8">
        <w:t>,</w:t>
      </w:r>
      <w:r w:rsidRPr="006B15C8">
        <w:t xml:space="preserve"> U.S. Department of Transportation, 2024)</w:t>
      </w:r>
      <w:r w:rsidRPr="006B15C8">
        <w:fldChar w:fldCharType="end"/>
      </w:r>
      <w:r w:rsidRPr="006B15C8">
        <w:t>. These findings suggest that effective safety interventions must extend beyond traditional enforcement approaches to address the behavioral and sociocultural factors underlying male risk-taking and driver perceptions. Campaigns that leverage peer influence and temper traditional masculinity norms (i.e., emphasizing responsibility and caution over bravado), as well as underscore the vulnerability of pedestrians regardless of gender may be particularly effective in reshaping attitudes toward safer street behavior on the part of both pedestrians and motorists.</w:t>
      </w:r>
    </w:p>
    <w:p w14:paraId="17ABEF36" w14:textId="77777777" w:rsidR="00EE0617" w:rsidRPr="006B15C8" w:rsidRDefault="00EE0617" w:rsidP="004A6C6E">
      <w:pPr>
        <w:spacing w:line="271" w:lineRule="auto"/>
      </w:pPr>
    </w:p>
    <w:p w14:paraId="3A04A68F" w14:textId="77777777" w:rsidR="00EE0617" w:rsidRPr="006B15C8" w:rsidRDefault="00EE0617" w:rsidP="004A6C6E">
      <w:pPr>
        <w:spacing w:line="271" w:lineRule="auto"/>
        <w:rPr>
          <w:i/>
          <w:iCs/>
          <w:u w:val="single"/>
        </w:rPr>
      </w:pPr>
      <w:r w:rsidRPr="006B15C8">
        <w:rPr>
          <w:i/>
          <w:iCs/>
          <w:u w:val="single"/>
        </w:rPr>
        <w:t>Pedestrian Perceived Age</w:t>
      </w:r>
    </w:p>
    <w:p w14:paraId="5F76A1C6" w14:textId="10A927C5" w:rsidR="00EE0617" w:rsidRPr="006B15C8" w:rsidRDefault="00EE0617" w:rsidP="004A6C6E">
      <w:pPr>
        <w:spacing w:line="271" w:lineRule="auto"/>
      </w:pPr>
      <w:r w:rsidRPr="006B15C8">
        <w:t xml:space="preserve">Although age did not significantly influence pedestrian crossing compliance, older </w:t>
      </w:r>
      <w:r w:rsidR="00285BE5" w:rsidRPr="006B15C8">
        <w:t xml:space="preserve">(over 40 years) </w:t>
      </w:r>
      <w:r w:rsidRPr="006B15C8">
        <w:t>pedestrians experienced an 84.</w:t>
      </w:r>
      <w:r w:rsidR="00DF5F99" w:rsidRPr="006B15C8">
        <w:t>0</w:t>
      </w:r>
      <w:r w:rsidRPr="006B15C8">
        <w:t xml:space="preserve">% higher probability of driver failure to yield compared to younger </w:t>
      </w:r>
      <w:r w:rsidR="00285BE5" w:rsidRPr="006B15C8">
        <w:t xml:space="preserve">(≤40 years) </w:t>
      </w:r>
      <w:r w:rsidRPr="006B15C8">
        <w:t xml:space="preserve">individuals. While this contradicts some previous studies, our findings may be explained by </w:t>
      </w:r>
      <w:r w:rsidR="00285BE5" w:rsidRPr="006B15C8">
        <w:t xml:space="preserve">the </w:t>
      </w:r>
      <w:r w:rsidRPr="006B15C8">
        <w:t xml:space="preserve">slower walking speeds </w:t>
      </w:r>
      <w:r w:rsidR="00285BE5" w:rsidRPr="006B15C8">
        <w:t>of</w:t>
      </w:r>
      <w:r w:rsidRPr="006B15C8">
        <w:t xml:space="preserve"> older individuals due to mobility limitations or a higher risk of falling </w:t>
      </w:r>
      <w:r w:rsidRPr="006B15C8">
        <w:fldChar w:fldCharType="begin"/>
      </w:r>
      <w:r w:rsidRPr="006B15C8">
        <w:instrText xml:space="preserve"> ADDIN ZOTERO_ITEM CSL_CITATION {"citationID":"X4Uf2Hrm","properties":{"formattedCitation":"(Avineri et al., 2012)","plainCitation":"(Avineri et al., 2012)","dontUpdate":true,"noteIndex":0},"citationItems":[{"id":136,"uris":["http://zotero.org/groups/5885221/items/A7RVP5SE"],"itemData":{"id":136,"type":"article-journal","abstract":"Pedestrians are exposed to risks when crossing roads in urban areas. The crossing behaviour of pedestrians was studied as a factor contributing to their exposure to risks on the road and to their involvement in road accidents. This work explores two specific aspects of crossing behaviour: crossing speed and head pitches—the proportion of time pedestrians point their heads down (rather than towards the traffic) when crossing a road. The last one is used as an indicator of the (lack of) attention to cross-traffic. We also explored the possible effect of fear of falling (FOF) among pedestrians, as it might be associated with slow walking, less attention to cross traffic, and more attention to the pavement and their footsteps. This paper reports on a field study that combined an observatory technique with short survey. 203 pedestrians in two sites (signalised and unsignalised crosswalks) were video recorded while crossing the road. The FOF of pedestrians and other measures of pedestrian behaviour at crosswalks were revealed by means of questionnaire. Age and gender had the most significant effects on crossing speed, and FOF had a significant effect on the proportion of downward head pitches during crossing.","collection-title":"Safety and Mobility of Vulnerable Road Usears: Pedestrians, Bicyclists, and Motorcyclists","container-title":"Accident Analysis &amp; Prevention","DOI":"10.1016/j.aap.2010.11.028","ISSN":"0001-4575","issue":"1","journalAbbreviation":"Accident Analysis &amp; Prevention","page":"30-34","source":"ScienceDirect","title":"Pedestrians’ behaviour in cross walks: The effects of fear of falling and age","title-short":"Pedestrians’ behaviour in cross walks","volume":"44","author":[{"family":"Avineri","given":"Erel"},{"family":"Shinar","given":"David"},{"family":"Susilo","given":"Yusak O."}],"issued":{"date-parts":[["2012",1,1]]}}}],"schema":"https://github.com/citation-style-language/schema/raw/master/csl-citation.json"} </w:instrText>
      </w:r>
      <w:r w:rsidRPr="006B15C8">
        <w:fldChar w:fldCharType="separate"/>
      </w:r>
      <w:r w:rsidRPr="006B15C8">
        <w:t>(Avineri et al., 2012</w:t>
      </w:r>
      <w:r w:rsidRPr="006B15C8">
        <w:fldChar w:fldCharType="end"/>
      </w:r>
      <w:r w:rsidRPr="006B15C8">
        <w:t xml:space="preserve">, </w:t>
      </w:r>
      <w:r w:rsidRPr="006B15C8">
        <w:fldChar w:fldCharType="begin"/>
      </w:r>
      <w:r w:rsidRPr="006B15C8">
        <w:instrText xml:space="preserve"> ADDIN ZOTERO_ITEM CSL_CITATION {"citationID":"LuJac9R5","properties":{"formattedCitation":"(Brosseau et al., 2013; Liu &amp; Tung, 2014)","plainCitation":"(Brosseau et al., 2013; Liu &amp; Tung, 2014)","dontUpdate":true,"noteIndex":0},"citationItems":[{"id":42,"uris":["http://zotero.org/groups/5885221/items/C6MJDJYF"],"itemData":{"id":42,"type":"article-journal","abstract":"Pedestrian violations of traffic signals and dangerous crossings at intersections are common. The objective of this study is to determine the impact of pedestrian waiting time at an intersection on the proportion and type of pedestrian violations and dangerous crossings. The amount of waiting depends on signal phasing, time of arrival, and the presence of a pedestrian signal. Thirteen intersections with similar geometry and traffic conditions but different maximum waiting times, seven of which had a pedestrian signal, were observed over at least 2h to collect crossing information. Data was collected manually for the main analysis and complementary video data was used for validation. Several factors were identified as having an impact on the proportion of pedestrian violations. In accordance with the literature, age, sex, group size, pedestrian flow and pedestrian signals are associated to pedestrian violations. In addition, other factors were identified in this research, such as maximum waiting time (red phase). It was also determined that an intersection clearing time had an impact on violations and on the proportion of dangerous crossings committed. Also, pedestrians’ speeds depended on the type of crossing. The results underline the importance of providing pedestrian signals including countdown displays, which is significantly and negatively linked to dangerous violations and crossings. The results also highlight the importance of pedestrian maximum waiting time as well as clearing time. When designing cycle and phase lengths, particular attention should be paid to pedestrian waiting times that are positively correlated to violations. Minimizing waiting times for pedestrians is expected to reduce dangerous pedestrian behaviors at signalized intersections.","container-title":"Transportation Research Part F: Traffic Psychology and Behaviour","DOI":"10.1016/j.trf.2013.09.010","ISSN":"1369-8478","journalAbbreviation":"Transportation Research Part F: Traffic Psychology and Behaviour","page":"159-172","source":"ScienceDirect","title":"The impact of waiting time and other factors on dangerous pedestrian crossings and violations at signalized intersections: A case study in Montreal","title-short":"The impact of waiting time and other factors on dangerous pedestrian crossings and violations at signalized intersections","volume":"21","author":[{"family":"Brosseau","given":"Marilyne"},{"family":"Zangenehpour","given":"Sohail"},{"family":"Saunier","given":"Nicolas"},{"family":"Miranda-Moreno","given":"Luis"}],"issued":{"date-parts":[["2013",11,1]]}}},{"id":93,"uris":["http://zotero.org/groups/5885221/items/FMGYVR3I"],"itemData":{"id":93,"type":"article-journal","abstract":"The current study investigated the effects of age, time gap, time of day, and speed of approaching vehicle on the decision of pedestrians to cross a road. Sixteen young and sixteen elderly participants were asked to watch pre-recorded videos in which a vehicle was approaching from the left and then decide the last moment at which they could safely cross. Data on pedestrians’ walking speed, road-crossing decision performance, subjective confidence ratings and walking strategies, as well as responses given in post-experiment interviews were collected as dependent variables. A logistic regression model was constructed to analyse the risk of above mentioned variables yielding the odds that the road would be crossed safely. This study found that pedestrians’ decisions on whether or not they would cross the road safely were made based on the distance between them and the oncoming vehicle; and thus the faster the vehicular approach, the higher the risk. Young pedestrians demonstrated a higher safe road-crossing ratio than their elderly counterparts. Elderly pedestrians might not have taken their decline in walking ability into consideration when they made the same road-crossing decisions as young pedestrians, resulting in a relatively higher risk of road crossing. In addition, the most significant determinant of risk was the time gap. The time gap, which is affected by the distance from the oncoming vehicle and its speed, could be easily misjudged.","container-title":"Safety Science","DOI":"10.1016/j.ssci.2013.11.002","ISSN":"0925-7535","journalAbbreviation":"Safety Science","page":"77-82","source":"ScienceDirect","title":"Risk analysis of pedestrians’ road-crossing decisions: Effects of age, time gap, time of day, and vehicle speed","title-short":"Risk analysis of pedestrians’ road-crossing decisions","volume":"63","author":[{"family":"Liu","given":"Yung-Ching"},{"family":"Tung","given":"Ying-Chan"}],"issued":{"date-parts":[["2014",3,1]]}}}],"schema":"https://github.com/citation-style-language/schema/raw/master/csl-citation.json"} </w:instrText>
      </w:r>
      <w:r w:rsidRPr="006B15C8">
        <w:fldChar w:fldCharType="separate"/>
      </w:r>
      <w:r w:rsidRPr="006B15C8">
        <w:t>Brosseau et al., 2013, and Liu and Tung, 2014)</w:t>
      </w:r>
      <w:r w:rsidRPr="006B15C8">
        <w:fldChar w:fldCharType="end"/>
      </w:r>
      <w:r w:rsidRPr="006B15C8">
        <w:t>. These reduced speeds could lead to drivers losing patience when waiting for older pedestrians to cross. Addressing this issue requires design changes in areas with older populations. Design enhancements, such as extended crossing times, signalized midblock crossings, curb extensions, and tactile and auditory cues, can reduce exposure and support safer mobility. These physical changes should be paired with public awareness campaigns encouraging drivers to exercise additional caution and patience, reinforcing pedestrians’ right to safe and accessible mobility.</w:t>
      </w:r>
    </w:p>
    <w:p w14:paraId="6529235C" w14:textId="77777777" w:rsidR="00EE0617" w:rsidRPr="006B15C8" w:rsidRDefault="00EE0617" w:rsidP="004A6C6E">
      <w:pPr>
        <w:spacing w:line="271" w:lineRule="auto"/>
      </w:pPr>
    </w:p>
    <w:p w14:paraId="55B418FD" w14:textId="04AED2E6" w:rsidR="003F569B" w:rsidRPr="006B15C8" w:rsidRDefault="00C87177" w:rsidP="00726FC6">
      <w:pPr>
        <w:spacing w:line="274" w:lineRule="auto"/>
      </w:pPr>
      <w:r w:rsidRPr="006B15C8">
        <w:rPr>
          <w:b/>
          <w:bCs/>
        </w:rPr>
        <w:br w:type="page"/>
      </w:r>
      <w:r w:rsidR="00EE0617" w:rsidRPr="006B15C8">
        <w:rPr>
          <w:b/>
          <w:bCs/>
        </w:rPr>
        <w:lastRenderedPageBreak/>
        <w:t>Table 4. Model Estimation Results</w:t>
      </w:r>
    </w:p>
    <w:tbl>
      <w:tblPr>
        <w:tblW w:w="9356" w:type="dxa"/>
        <w:tblCellMar>
          <w:left w:w="15" w:type="dxa"/>
          <w:right w:w="0" w:type="dxa"/>
        </w:tblCellMar>
        <w:tblLook w:val="04A0" w:firstRow="1" w:lastRow="0" w:firstColumn="1" w:lastColumn="0" w:noHBand="0" w:noVBand="1"/>
      </w:tblPr>
      <w:tblGrid>
        <w:gridCol w:w="3939"/>
        <w:gridCol w:w="898"/>
        <w:gridCol w:w="989"/>
        <w:gridCol w:w="890"/>
        <w:gridCol w:w="920"/>
        <w:gridCol w:w="809"/>
        <w:gridCol w:w="911"/>
      </w:tblGrid>
      <w:tr w:rsidR="00973649" w:rsidRPr="006B15C8" w14:paraId="3B8B0996" w14:textId="77777777" w:rsidTr="00726FC6">
        <w:trPr>
          <w:trHeight w:val="20"/>
          <w:tblHeader/>
        </w:trPr>
        <w:tc>
          <w:tcPr>
            <w:tcW w:w="3939" w:type="dxa"/>
            <w:vMerge w:val="restart"/>
            <w:tcBorders>
              <w:top w:val="double" w:sz="4" w:space="0" w:color="auto"/>
              <w:left w:val="double" w:sz="4" w:space="0" w:color="auto"/>
              <w:right w:val="double" w:sz="4" w:space="0" w:color="auto"/>
            </w:tcBorders>
            <w:tcMar>
              <w:top w:w="0" w:type="dxa"/>
              <w:left w:w="20" w:type="dxa"/>
              <w:bottom w:w="0" w:type="dxa"/>
              <w:right w:w="20" w:type="dxa"/>
            </w:tcMar>
            <w:vAlign w:val="center"/>
            <w:hideMark/>
          </w:tcPr>
          <w:p w14:paraId="4BFDBFD1" w14:textId="77777777" w:rsidR="00474741" w:rsidRPr="006B15C8" w:rsidRDefault="00474741" w:rsidP="00726FC6">
            <w:pPr>
              <w:jc w:val="center"/>
              <w:rPr>
                <w:rFonts w:eastAsia="Arial"/>
                <w:sz w:val="22"/>
                <w:szCs w:val="22"/>
              </w:rPr>
            </w:pPr>
            <w:r w:rsidRPr="006B15C8">
              <w:rPr>
                <w:rFonts w:eastAsia="Arial"/>
                <w:b/>
                <w:bCs/>
                <w:sz w:val="22"/>
                <w:szCs w:val="22"/>
              </w:rPr>
              <w:t>Variable</w:t>
            </w:r>
          </w:p>
        </w:tc>
        <w:tc>
          <w:tcPr>
            <w:tcW w:w="2777" w:type="dxa"/>
            <w:gridSpan w:val="3"/>
            <w:tcBorders>
              <w:top w:val="double" w:sz="4" w:space="0" w:color="auto"/>
              <w:left w:val="double" w:sz="4" w:space="0" w:color="auto"/>
              <w:bottom w:val="single" w:sz="6" w:space="0" w:color="000000"/>
              <w:right w:val="double" w:sz="4" w:space="0" w:color="auto"/>
            </w:tcBorders>
            <w:tcMar>
              <w:top w:w="0" w:type="dxa"/>
              <w:left w:w="20" w:type="dxa"/>
              <w:bottom w:w="0" w:type="dxa"/>
              <w:right w:w="20" w:type="dxa"/>
            </w:tcMar>
            <w:vAlign w:val="center"/>
            <w:hideMark/>
          </w:tcPr>
          <w:p w14:paraId="60B49EA6" w14:textId="02AD3B8F" w:rsidR="00474741" w:rsidRPr="006B15C8" w:rsidRDefault="00474741" w:rsidP="00726FC6">
            <w:pPr>
              <w:jc w:val="center"/>
              <w:rPr>
                <w:rFonts w:eastAsia="Arial"/>
                <w:sz w:val="22"/>
                <w:szCs w:val="22"/>
              </w:rPr>
            </w:pPr>
            <w:r w:rsidRPr="006B15C8">
              <w:rPr>
                <w:rFonts w:eastAsia="Arial"/>
                <w:b/>
                <w:bCs/>
                <w:sz w:val="22"/>
                <w:szCs w:val="22"/>
              </w:rPr>
              <w:t xml:space="preserve">Non-Compliant Pedestrian Crossing </w:t>
            </w:r>
            <w:r w:rsidR="00285BE5" w:rsidRPr="006B15C8">
              <w:rPr>
                <w:rFonts w:eastAsia="Arial"/>
                <w:b/>
                <w:bCs/>
                <w:sz w:val="22"/>
                <w:szCs w:val="22"/>
              </w:rPr>
              <w:t xml:space="preserve">(NCPC) </w:t>
            </w:r>
            <w:r w:rsidRPr="006B15C8">
              <w:rPr>
                <w:rFonts w:eastAsia="Arial"/>
                <w:b/>
                <w:bCs/>
                <w:sz w:val="22"/>
                <w:szCs w:val="22"/>
              </w:rPr>
              <w:t>Model</w:t>
            </w:r>
          </w:p>
        </w:tc>
        <w:tc>
          <w:tcPr>
            <w:tcW w:w="2640" w:type="dxa"/>
            <w:gridSpan w:val="3"/>
            <w:tcBorders>
              <w:top w:val="double" w:sz="4" w:space="0" w:color="auto"/>
              <w:left w:val="double" w:sz="4" w:space="0" w:color="auto"/>
              <w:bottom w:val="single" w:sz="6" w:space="0" w:color="000000"/>
              <w:right w:val="double" w:sz="4" w:space="0" w:color="auto"/>
            </w:tcBorders>
            <w:tcMar>
              <w:top w:w="0" w:type="dxa"/>
              <w:left w:w="60" w:type="dxa"/>
              <w:bottom w:w="0" w:type="dxa"/>
              <w:right w:w="60" w:type="dxa"/>
            </w:tcMar>
            <w:vAlign w:val="center"/>
            <w:hideMark/>
          </w:tcPr>
          <w:p w14:paraId="0C372B76" w14:textId="446763BE" w:rsidR="00474741" w:rsidRPr="006B15C8" w:rsidRDefault="00474741" w:rsidP="00726FC6">
            <w:pPr>
              <w:jc w:val="center"/>
              <w:rPr>
                <w:rFonts w:eastAsia="Arial"/>
                <w:sz w:val="22"/>
                <w:szCs w:val="22"/>
              </w:rPr>
            </w:pPr>
            <w:r w:rsidRPr="006B15C8">
              <w:rPr>
                <w:rFonts w:eastAsia="Arial"/>
                <w:b/>
                <w:bCs/>
                <w:sz w:val="22"/>
                <w:szCs w:val="22"/>
              </w:rPr>
              <w:t xml:space="preserve">Driver </w:t>
            </w:r>
            <w:r w:rsidR="00285BE5" w:rsidRPr="006B15C8">
              <w:rPr>
                <w:rFonts w:eastAsia="Arial"/>
                <w:b/>
                <w:bCs/>
                <w:sz w:val="22"/>
                <w:szCs w:val="22"/>
              </w:rPr>
              <w:t>Uny</w:t>
            </w:r>
            <w:r w:rsidRPr="006B15C8">
              <w:rPr>
                <w:rFonts w:eastAsia="Arial"/>
                <w:b/>
                <w:bCs/>
                <w:sz w:val="22"/>
                <w:szCs w:val="22"/>
              </w:rPr>
              <w:t xml:space="preserve">ielding </w:t>
            </w:r>
            <w:r w:rsidR="00285BE5" w:rsidRPr="006B15C8">
              <w:rPr>
                <w:rFonts w:eastAsia="Arial"/>
                <w:b/>
                <w:bCs/>
                <w:sz w:val="22"/>
                <w:szCs w:val="22"/>
              </w:rPr>
              <w:t xml:space="preserve">(DUY) </w:t>
            </w:r>
            <w:r w:rsidRPr="006B15C8">
              <w:rPr>
                <w:rFonts w:eastAsia="Arial"/>
                <w:b/>
                <w:bCs/>
                <w:sz w:val="22"/>
                <w:szCs w:val="22"/>
              </w:rPr>
              <w:t>Model</w:t>
            </w:r>
          </w:p>
        </w:tc>
      </w:tr>
      <w:tr w:rsidR="00BA33A3" w:rsidRPr="006B15C8" w14:paraId="53870B4A" w14:textId="77777777" w:rsidTr="00C87177">
        <w:trPr>
          <w:trHeight w:val="20"/>
          <w:tblHeader/>
        </w:trPr>
        <w:tc>
          <w:tcPr>
            <w:tcW w:w="3939" w:type="dxa"/>
            <w:vMerge/>
            <w:tcBorders>
              <w:left w:val="double" w:sz="4" w:space="0" w:color="auto"/>
              <w:right w:val="double" w:sz="4" w:space="0" w:color="auto"/>
            </w:tcBorders>
            <w:vAlign w:val="center"/>
            <w:hideMark/>
          </w:tcPr>
          <w:p w14:paraId="5FFB906A" w14:textId="77777777" w:rsidR="00474741" w:rsidRPr="006B15C8" w:rsidRDefault="00474741" w:rsidP="00726FC6">
            <w:pPr>
              <w:jc w:val="center"/>
              <w:rPr>
                <w:rFonts w:eastAsia="Arial"/>
                <w:sz w:val="22"/>
                <w:szCs w:val="22"/>
              </w:rPr>
            </w:pPr>
          </w:p>
        </w:tc>
        <w:tc>
          <w:tcPr>
            <w:tcW w:w="898" w:type="dxa"/>
            <w:tcBorders>
              <w:top w:val="single" w:sz="6" w:space="0" w:color="000000"/>
              <w:left w:val="double" w:sz="4" w:space="0" w:color="auto"/>
              <w:bottom w:val="single" w:sz="12" w:space="0" w:color="000000"/>
              <w:right w:val="single" w:sz="6" w:space="0" w:color="000000"/>
            </w:tcBorders>
            <w:tcMar>
              <w:top w:w="0" w:type="dxa"/>
              <w:left w:w="20" w:type="dxa"/>
              <w:bottom w:w="0" w:type="dxa"/>
              <w:right w:w="20" w:type="dxa"/>
            </w:tcMar>
            <w:vAlign w:val="center"/>
            <w:hideMark/>
          </w:tcPr>
          <w:p w14:paraId="50E012F1" w14:textId="77777777" w:rsidR="00474741" w:rsidRPr="006B15C8" w:rsidRDefault="00474741" w:rsidP="00726FC6">
            <w:pPr>
              <w:jc w:val="center"/>
              <w:rPr>
                <w:rFonts w:eastAsia="Arial"/>
                <w:sz w:val="22"/>
                <w:szCs w:val="22"/>
              </w:rPr>
            </w:pPr>
            <w:r w:rsidRPr="006B15C8">
              <w:rPr>
                <w:rFonts w:eastAsia="Arial"/>
                <w:b/>
                <w:bCs/>
                <w:sz w:val="22"/>
                <w:szCs w:val="22"/>
              </w:rPr>
              <w:t>Coef.</w:t>
            </w:r>
          </w:p>
        </w:tc>
        <w:tc>
          <w:tcPr>
            <w:tcW w:w="989" w:type="dxa"/>
            <w:tcBorders>
              <w:top w:val="single" w:sz="6" w:space="0" w:color="000000"/>
              <w:left w:val="single" w:sz="6" w:space="0" w:color="000000"/>
              <w:bottom w:val="single" w:sz="12" w:space="0" w:color="000000"/>
              <w:right w:val="single" w:sz="6" w:space="0" w:color="000000"/>
            </w:tcBorders>
            <w:tcMar>
              <w:top w:w="0" w:type="dxa"/>
              <w:left w:w="20" w:type="dxa"/>
              <w:bottom w:w="0" w:type="dxa"/>
              <w:right w:w="20" w:type="dxa"/>
            </w:tcMar>
            <w:vAlign w:val="center"/>
            <w:hideMark/>
          </w:tcPr>
          <w:p w14:paraId="3F4378A0" w14:textId="77777777" w:rsidR="00474741" w:rsidRPr="006B15C8" w:rsidRDefault="00474741" w:rsidP="00726FC6">
            <w:pPr>
              <w:jc w:val="center"/>
              <w:rPr>
                <w:rFonts w:eastAsia="Arial"/>
                <w:sz w:val="22"/>
                <w:szCs w:val="22"/>
              </w:rPr>
            </w:pPr>
            <w:r w:rsidRPr="006B15C8">
              <w:rPr>
                <w:rFonts w:eastAsia="Arial"/>
                <w:b/>
                <w:bCs/>
                <w:sz w:val="22"/>
                <w:szCs w:val="22"/>
              </w:rPr>
              <w:t>t-stat</w:t>
            </w:r>
          </w:p>
        </w:tc>
        <w:tc>
          <w:tcPr>
            <w:tcW w:w="890" w:type="dxa"/>
            <w:tcBorders>
              <w:top w:val="single" w:sz="6" w:space="0" w:color="000000"/>
              <w:left w:val="single" w:sz="6" w:space="0" w:color="000000"/>
              <w:bottom w:val="single" w:sz="12" w:space="0" w:color="000000"/>
              <w:right w:val="double" w:sz="4" w:space="0" w:color="auto"/>
            </w:tcBorders>
            <w:tcMar>
              <w:top w:w="0" w:type="dxa"/>
              <w:left w:w="20" w:type="dxa"/>
              <w:bottom w:w="0" w:type="dxa"/>
              <w:right w:w="20" w:type="dxa"/>
            </w:tcMar>
            <w:vAlign w:val="center"/>
            <w:hideMark/>
          </w:tcPr>
          <w:p w14:paraId="1A775A22" w14:textId="77777777" w:rsidR="00474741" w:rsidRPr="006B15C8" w:rsidRDefault="00474741" w:rsidP="00726FC6">
            <w:pPr>
              <w:jc w:val="center"/>
              <w:rPr>
                <w:rFonts w:eastAsia="Arial"/>
                <w:sz w:val="22"/>
                <w:szCs w:val="22"/>
              </w:rPr>
            </w:pPr>
            <w:r w:rsidRPr="006B15C8">
              <w:rPr>
                <w:rFonts w:eastAsia="Arial"/>
                <w:b/>
                <w:bCs/>
                <w:sz w:val="22"/>
                <w:szCs w:val="22"/>
              </w:rPr>
              <w:t>%ATE</w:t>
            </w:r>
          </w:p>
        </w:tc>
        <w:tc>
          <w:tcPr>
            <w:tcW w:w="920" w:type="dxa"/>
            <w:tcBorders>
              <w:top w:val="single" w:sz="6" w:space="0" w:color="000000"/>
              <w:left w:val="double" w:sz="4" w:space="0" w:color="auto"/>
              <w:bottom w:val="single" w:sz="12" w:space="0" w:color="000000"/>
              <w:right w:val="single" w:sz="6" w:space="0" w:color="000000"/>
            </w:tcBorders>
            <w:tcMar>
              <w:top w:w="0" w:type="dxa"/>
              <w:left w:w="20" w:type="dxa"/>
              <w:bottom w:w="0" w:type="dxa"/>
              <w:right w:w="20" w:type="dxa"/>
            </w:tcMar>
            <w:vAlign w:val="center"/>
            <w:hideMark/>
          </w:tcPr>
          <w:p w14:paraId="6FC9932E" w14:textId="77777777" w:rsidR="00474741" w:rsidRPr="006B15C8" w:rsidRDefault="00474741" w:rsidP="00726FC6">
            <w:pPr>
              <w:jc w:val="center"/>
              <w:rPr>
                <w:rFonts w:eastAsia="Arial"/>
                <w:sz w:val="22"/>
                <w:szCs w:val="22"/>
              </w:rPr>
            </w:pPr>
            <w:r w:rsidRPr="006B15C8">
              <w:rPr>
                <w:rFonts w:eastAsia="Arial"/>
                <w:b/>
                <w:bCs/>
                <w:sz w:val="22"/>
                <w:szCs w:val="22"/>
              </w:rPr>
              <w:t>Coef.</w:t>
            </w:r>
          </w:p>
        </w:tc>
        <w:tc>
          <w:tcPr>
            <w:tcW w:w="809" w:type="dxa"/>
            <w:tcBorders>
              <w:top w:val="single" w:sz="6" w:space="0" w:color="000000"/>
              <w:left w:val="single" w:sz="6" w:space="0" w:color="000000"/>
              <w:bottom w:val="single" w:sz="12" w:space="0" w:color="000000"/>
              <w:right w:val="single" w:sz="6" w:space="0" w:color="000000"/>
            </w:tcBorders>
            <w:tcMar>
              <w:top w:w="0" w:type="dxa"/>
              <w:left w:w="20" w:type="dxa"/>
              <w:bottom w:w="0" w:type="dxa"/>
              <w:right w:w="20" w:type="dxa"/>
            </w:tcMar>
            <w:vAlign w:val="center"/>
            <w:hideMark/>
          </w:tcPr>
          <w:p w14:paraId="23203AD5" w14:textId="77777777" w:rsidR="00474741" w:rsidRPr="006B15C8" w:rsidRDefault="00474741" w:rsidP="00726FC6">
            <w:pPr>
              <w:jc w:val="center"/>
              <w:rPr>
                <w:rFonts w:eastAsia="Arial"/>
                <w:sz w:val="22"/>
                <w:szCs w:val="22"/>
              </w:rPr>
            </w:pPr>
            <w:r w:rsidRPr="006B15C8">
              <w:rPr>
                <w:rFonts w:eastAsia="Arial"/>
                <w:b/>
                <w:bCs/>
                <w:sz w:val="22"/>
                <w:szCs w:val="22"/>
              </w:rPr>
              <w:t>t-stat</w:t>
            </w:r>
          </w:p>
        </w:tc>
        <w:tc>
          <w:tcPr>
            <w:tcW w:w="911" w:type="dxa"/>
            <w:tcBorders>
              <w:top w:val="single" w:sz="6" w:space="0" w:color="000000"/>
              <w:left w:val="single" w:sz="6" w:space="0" w:color="000000"/>
              <w:bottom w:val="single" w:sz="12" w:space="0" w:color="000000"/>
              <w:right w:val="double" w:sz="4" w:space="0" w:color="auto"/>
            </w:tcBorders>
            <w:tcMar>
              <w:top w:w="0" w:type="dxa"/>
              <w:left w:w="20" w:type="dxa"/>
              <w:bottom w:w="0" w:type="dxa"/>
              <w:right w:w="20" w:type="dxa"/>
            </w:tcMar>
            <w:vAlign w:val="center"/>
            <w:hideMark/>
          </w:tcPr>
          <w:p w14:paraId="267DBF3E" w14:textId="77777777" w:rsidR="00474741" w:rsidRPr="006B15C8" w:rsidRDefault="00474741" w:rsidP="00726FC6">
            <w:pPr>
              <w:jc w:val="center"/>
              <w:rPr>
                <w:rFonts w:eastAsia="Arial"/>
                <w:sz w:val="22"/>
                <w:szCs w:val="22"/>
              </w:rPr>
            </w:pPr>
            <w:r w:rsidRPr="006B15C8">
              <w:rPr>
                <w:rFonts w:eastAsia="Arial"/>
                <w:b/>
                <w:bCs/>
                <w:sz w:val="22"/>
                <w:szCs w:val="22"/>
              </w:rPr>
              <w:t>%ATE</w:t>
            </w:r>
          </w:p>
        </w:tc>
      </w:tr>
      <w:tr w:rsidR="00474741" w:rsidRPr="006B15C8" w14:paraId="4A89EECF" w14:textId="77777777" w:rsidTr="00C87177">
        <w:trPr>
          <w:trHeight w:val="20"/>
        </w:trPr>
        <w:tc>
          <w:tcPr>
            <w:tcW w:w="9356" w:type="dxa"/>
            <w:gridSpan w:val="7"/>
            <w:tcBorders>
              <w:top w:val="double" w:sz="4" w:space="0" w:color="auto"/>
              <w:left w:val="double" w:sz="4" w:space="0" w:color="auto"/>
              <w:bottom w:val="single" w:sz="6" w:space="0" w:color="000000"/>
              <w:right w:val="double" w:sz="4" w:space="0" w:color="auto"/>
            </w:tcBorders>
            <w:vAlign w:val="center"/>
            <w:hideMark/>
          </w:tcPr>
          <w:p w14:paraId="494A82D5" w14:textId="77777777" w:rsidR="00474741" w:rsidRPr="006B15C8" w:rsidRDefault="00474741" w:rsidP="00474741">
            <w:pPr>
              <w:jc w:val="left"/>
              <w:rPr>
                <w:rFonts w:eastAsia="Arial"/>
                <w:sz w:val="22"/>
                <w:szCs w:val="22"/>
              </w:rPr>
            </w:pPr>
            <w:r w:rsidRPr="006B15C8">
              <w:rPr>
                <w:rFonts w:eastAsia="Arial"/>
                <w:b/>
                <w:bCs/>
                <w:sz w:val="22"/>
                <w:szCs w:val="22"/>
              </w:rPr>
              <w:t>Pedestrian Sociodemographic Variables</w:t>
            </w:r>
          </w:p>
        </w:tc>
      </w:tr>
      <w:tr w:rsidR="00474741" w:rsidRPr="006B15C8" w14:paraId="6A25B1C9" w14:textId="77777777" w:rsidTr="00726FC6">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289B5557" w14:textId="37F181A0" w:rsidR="00474741" w:rsidRPr="006B15C8" w:rsidRDefault="00F673F0" w:rsidP="00474741">
            <w:pPr>
              <w:jc w:val="left"/>
              <w:rPr>
                <w:rFonts w:eastAsia="Arial"/>
                <w:sz w:val="22"/>
                <w:szCs w:val="22"/>
              </w:rPr>
            </w:pPr>
            <w:r w:rsidRPr="006B15C8">
              <w:rPr>
                <w:rFonts w:eastAsia="Arial"/>
                <w:i/>
                <w:iCs/>
                <w:sz w:val="22"/>
                <w:szCs w:val="22"/>
              </w:rPr>
              <w:t xml:space="preserve">  </w:t>
            </w:r>
            <w:r w:rsidR="00474741" w:rsidRPr="006B15C8">
              <w:rPr>
                <w:rFonts w:eastAsia="Arial"/>
                <w:i/>
                <w:iCs/>
                <w:sz w:val="22"/>
                <w:szCs w:val="22"/>
              </w:rPr>
              <w:t>Pedestrian Perceived Gender (Base: Female)</w:t>
            </w:r>
          </w:p>
        </w:tc>
      </w:tr>
      <w:tr w:rsidR="00404FE1" w:rsidRPr="006B15C8" w14:paraId="7D7E64F0"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43225B4A" w14:textId="4FCA87DB"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Male</w:t>
            </w:r>
          </w:p>
        </w:tc>
        <w:tc>
          <w:tcPr>
            <w:tcW w:w="898" w:type="dxa"/>
            <w:tcBorders>
              <w:top w:val="single" w:sz="6" w:space="0" w:color="000000"/>
              <w:left w:val="double" w:sz="4" w:space="0" w:color="auto"/>
              <w:bottom w:val="single" w:sz="6" w:space="0" w:color="000000"/>
              <w:right w:val="single" w:sz="6" w:space="0" w:color="000000"/>
            </w:tcBorders>
            <w:vAlign w:val="center"/>
            <w:hideMark/>
          </w:tcPr>
          <w:p w14:paraId="1814F59C" w14:textId="3820A93B"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0.443</w:t>
            </w:r>
            <w:r w:rsidR="0092116A" w:rsidRPr="006B15C8">
              <w:rPr>
                <w:rFonts w:eastAsia="Arial"/>
                <w:sz w:val="22"/>
                <w:szCs w:val="22"/>
              </w:rPr>
              <w:t xml:space="preserve">   </w:t>
            </w:r>
            <w:r w:rsidR="001E7BA6" w:rsidRPr="006B15C8">
              <w:rPr>
                <w:rFonts w:eastAsia="Arial"/>
                <w:sz w:val="22"/>
                <w:szCs w:val="22"/>
              </w:rPr>
              <w:t xml:space="preserve"> </w:t>
            </w:r>
          </w:p>
        </w:tc>
        <w:tc>
          <w:tcPr>
            <w:tcW w:w="989" w:type="dxa"/>
            <w:tcBorders>
              <w:top w:val="single" w:sz="6" w:space="0" w:color="000000"/>
              <w:left w:val="single" w:sz="6" w:space="0" w:color="000000"/>
              <w:bottom w:val="single" w:sz="6" w:space="0" w:color="000000"/>
              <w:right w:val="single" w:sz="6" w:space="0" w:color="000000"/>
            </w:tcBorders>
            <w:vAlign w:val="center"/>
            <w:hideMark/>
          </w:tcPr>
          <w:p w14:paraId="771F1F56" w14:textId="77777777" w:rsidR="00474741" w:rsidRPr="006B15C8" w:rsidRDefault="00474741" w:rsidP="00726FC6">
            <w:pPr>
              <w:ind w:left="-270" w:right="145"/>
              <w:jc w:val="right"/>
              <w:rPr>
                <w:rFonts w:eastAsia="Arial"/>
                <w:sz w:val="22"/>
                <w:szCs w:val="22"/>
              </w:rPr>
            </w:pPr>
            <w:r w:rsidRPr="006B15C8">
              <w:rPr>
                <w:rFonts w:eastAsia="Arial"/>
                <w:sz w:val="22"/>
                <w:szCs w:val="22"/>
              </w:rPr>
              <w:t>6.10</w:t>
            </w:r>
          </w:p>
        </w:tc>
        <w:tc>
          <w:tcPr>
            <w:tcW w:w="890" w:type="dxa"/>
            <w:tcBorders>
              <w:top w:val="single" w:sz="6" w:space="0" w:color="000000"/>
              <w:left w:val="single" w:sz="6" w:space="0" w:color="000000"/>
              <w:bottom w:val="single" w:sz="6" w:space="0" w:color="000000"/>
              <w:right w:val="double" w:sz="4" w:space="0" w:color="auto"/>
            </w:tcBorders>
            <w:vAlign w:val="center"/>
            <w:hideMark/>
          </w:tcPr>
          <w:p w14:paraId="000212E4" w14:textId="77777777" w:rsidR="00474741" w:rsidRPr="006B15C8" w:rsidRDefault="00474741" w:rsidP="00726FC6">
            <w:pPr>
              <w:ind w:left="-345" w:right="215"/>
              <w:jc w:val="right"/>
              <w:rPr>
                <w:rFonts w:eastAsia="Arial"/>
                <w:sz w:val="22"/>
                <w:szCs w:val="22"/>
              </w:rPr>
            </w:pPr>
            <w:r w:rsidRPr="006B15C8">
              <w:rPr>
                <w:rFonts w:eastAsia="Arial"/>
                <w:sz w:val="22"/>
                <w:szCs w:val="22"/>
              </w:rPr>
              <w:t>49.0</w:t>
            </w:r>
          </w:p>
        </w:tc>
        <w:tc>
          <w:tcPr>
            <w:tcW w:w="920" w:type="dxa"/>
            <w:tcBorders>
              <w:top w:val="single" w:sz="6" w:space="0" w:color="000000"/>
              <w:left w:val="double" w:sz="4" w:space="0" w:color="auto"/>
              <w:bottom w:val="single" w:sz="6" w:space="0" w:color="000000"/>
              <w:right w:val="single" w:sz="6" w:space="0" w:color="000000"/>
            </w:tcBorders>
            <w:vAlign w:val="center"/>
            <w:hideMark/>
          </w:tcPr>
          <w:p w14:paraId="6A9B76FD" w14:textId="77777777" w:rsidR="00474741" w:rsidRPr="006B15C8" w:rsidRDefault="00474741" w:rsidP="00726FC6">
            <w:pPr>
              <w:jc w:val="center"/>
              <w:rPr>
                <w:rFonts w:eastAsia="Arial"/>
                <w:sz w:val="22"/>
                <w:szCs w:val="22"/>
              </w:rPr>
            </w:pPr>
            <w:r w:rsidRPr="006B15C8">
              <w:rPr>
                <w:rFonts w:eastAsia="Arial"/>
                <w:sz w:val="22"/>
                <w:szCs w:val="22"/>
              </w:rPr>
              <w:t>--</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930B0A9"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11" w:type="dxa"/>
            <w:tcBorders>
              <w:top w:val="single" w:sz="6" w:space="0" w:color="000000"/>
              <w:left w:val="single" w:sz="6" w:space="0" w:color="000000"/>
              <w:bottom w:val="single" w:sz="6" w:space="0" w:color="000000"/>
              <w:right w:val="double" w:sz="4" w:space="0" w:color="auto"/>
            </w:tcBorders>
            <w:vAlign w:val="center"/>
            <w:hideMark/>
          </w:tcPr>
          <w:p w14:paraId="0BF6288D" w14:textId="77777777" w:rsidR="00474741" w:rsidRPr="006B15C8" w:rsidRDefault="00474741" w:rsidP="00726FC6">
            <w:pPr>
              <w:jc w:val="center"/>
              <w:rPr>
                <w:rFonts w:eastAsia="Arial"/>
                <w:sz w:val="22"/>
                <w:szCs w:val="22"/>
              </w:rPr>
            </w:pPr>
            <w:r w:rsidRPr="006B15C8">
              <w:rPr>
                <w:rFonts w:eastAsia="Arial"/>
                <w:sz w:val="22"/>
                <w:szCs w:val="22"/>
              </w:rPr>
              <w:t>--</w:t>
            </w:r>
          </w:p>
        </w:tc>
      </w:tr>
      <w:tr w:rsidR="00474741" w:rsidRPr="006B15C8" w14:paraId="3349FC64" w14:textId="77777777" w:rsidTr="00726FC6">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74F34278" w14:textId="189E394F" w:rsidR="00474741" w:rsidRPr="006B15C8" w:rsidRDefault="00F673F0" w:rsidP="00474741">
            <w:pPr>
              <w:jc w:val="left"/>
              <w:rPr>
                <w:rFonts w:eastAsia="Arial"/>
                <w:sz w:val="22"/>
                <w:szCs w:val="22"/>
              </w:rPr>
            </w:pPr>
            <w:r w:rsidRPr="006B15C8">
              <w:rPr>
                <w:rFonts w:eastAsia="Arial"/>
                <w:i/>
                <w:iCs/>
                <w:sz w:val="22"/>
                <w:szCs w:val="22"/>
              </w:rPr>
              <w:t xml:space="preserve">  </w:t>
            </w:r>
            <w:r w:rsidR="00474741" w:rsidRPr="006B15C8">
              <w:rPr>
                <w:rFonts w:eastAsia="Arial"/>
                <w:i/>
                <w:iCs/>
                <w:sz w:val="22"/>
                <w:szCs w:val="22"/>
              </w:rPr>
              <w:t>Pedestrian Perceived Age (Base: Young adult or minor)</w:t>
            </w:r>
          </w:p>
        </w:tc>
      </w:tr>
      <w:tr w:rsidR="00404FE1" w:rsidRPr="006B15C8" w14:paraId="7080DC17"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3864597A" w14:textId="7FF19482"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Older (over 40 years)</w:t>
            </w:r>
          </w:p>
        </w:tc>
        <w:tc>
          <w:tcPr>
            <w:tcW w:w="898" w:type="dxa"/>
            <w:tcBorders>
              <w:top w:val="single" w:sz="6" w:space="0" w:color="000000"/>
              <w:left w:val="double" w:sz="4" w:space="0" w:color="auto"/>
              <w:bottom w:val="single" w:sz="6" w:space="0" w:color="000000"/>
              <w:right w:val="single" w:sz="6" w:space="0" w:color="000000"/>
            </w:tcBorders>
            <w:vAlign w:val="center"/>
            <w:hideMark/>
          </w:tcPr>
          <w:p w14:paraId="7CC96C4B"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89" w:type="dxa"/>
            <w:tcBorders>
              <w:top w:val="single" w:sz="6" w:space="0" w:color="000000"/>
              <w:left w:val="single" w:sz="6" w:space="0" w:color="000000"/>
              <w:bottom w:val="single" w:sz="6" w:space="0" w:color="000000"/>
              <w:right w:val="single" w:sz="6" w:space="0" w:color="000000"/>
            </w:tcBorders>
            <w:vAlign w:val="center"/>
            <w:hideMark/>
          </w:tcPr>
          <w:p w14:paraId="564C6451" w14:textId="77777777" w:rsidR="00474741" w:rsidRPr="006B15C8" w:rsidRDefault="00474741" w:rsidP="00726FC6">
            <w:pPr>
              <w:jc w:val="center"/>
              <w:rPr>
                <w:rFonts w:eastAsia="Arial"/>
                <w:sz w:val="22"/>
                <w:szCs w:val="22"/>
              </w:rPr>
            </w:pPr>
            <w:r w:rsidRPr="006B15C8">
              <w:rPr>
                <w:rFonts w:eastAsia="Arial"/>
                <w:sz w:val="22"/>
                <w:szCs w:val="22"/>
              </w:rPr>
              <w:t>--</w:t>
            </w:r>
          </w:p>
        </w:tc>
        <w:tc>
          <w:tcPr>
            <w:tcW w:w="890" w:type="dxa"/>
            <w:tcBorders>
              <w:top w:val="single" w:sz="6" w:space="0" w:color="000000"/>
              <w:left w:val="single" w:sz="6" w:space="0" w:color="000000"/>
              <w:bottom w:val="single" w:sz="6" w:space="0" w:color="000000"/>
              <w:right w:val="double" w:sz="4" w:space="0" w:color="auto"/>
            </w:tcBorders>
            <w:vAlign w:val="center"/>
            <w:hideMark/>
          </w:tcPr>
          <w:p w14:paraId="4BB166FE"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20" w:type="dxa"/>
            <w:tcBorders>
              <w:top w:val="single" w:sz="6" w:space="0" w:color="000000"/>
              <w:left w:val="double" w:sz="4" w:space="0" w:color="auto"/>
              <w:bottom w:val="single" w:sz="6" w:space="0" w:color="000000"/>
              <w:right w:val="single" w:sz="6" w:space="0" w:color="000000"/>
            </w:tcBorders>
            <w:vAlign w:val="center"/>
            <w:hideMark/>
          </w:tcPr>
          <w:p w14:paraId="6FC909DE"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0.750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E8C838F" w14:textId="77777777" w:rsidR="00474741" w:rsidRPr="006B15C8" w:rsidRDefault="00474741" w:rsidP="00726FC6">
            <w:pPr>
              <w:ind w:left="-270" w:right="145"/>
              <w:jc w:val="right"/>
              <w:rPr>
                <w:rFonts w:eastAsia="Arial"/>
                <w:sz w:val="22"/>
                <w:szCs w:val="22"/>
              </w:rPr>
            </w:pPr>
            <w:r w:rsidRPr="006B15C8">
              <w:rPr>
                <w:rFonts w:eastAsia="Arial"/>
                <w:sz w:val="22"/>
                <w:szCs w:val="22"/>
              </w:rPr>
              <w:t>5.35</w:t>
            </w:r>
          </w:p>
        </w:tc>
        <w:tc>
          <w:tcPr>
            <w:tcW w:w="911" w:type="dxa"/>
            <w:tcBorders>
              <w:top w:val="single" w:sz="6" w:space="0" w:color="000000"/>
              <w:left w:val="single" w:sz="6" w:space="0" w:color="000000"/>
              <w:bottom w:val="single" w:sz="6" w:space="0" w:color="000000"/>
              <w:right w:val="double" w:sz="4" w:space="0" w:color="auto"/>
            </w:tcBorders>
            <w:vAlign w:val="center"/>
            <w:hideMark/>
          </w:tcPr>
          <w:p w14:paraId="3F9FCCCE" w14:textId="77777777" w:rsidR="00474741" w:rsidRPr="006B15C8" w:rsidRDefault="00474741" w:rsidP="00726FC6">
            <w:pPr>
              <w:ind w:left="-345" w:right="215"/>
              <w:jc w:val="right"/>
              <w:rPr>
                <w:rFonts w:eastAsia="Arial"/>
                <w:sz w:val="22"/>
                <w:szCs w:val="22"/>
              </w:rPr>
            </w:pPr>
            <w:r w:rsidRPr="006B15C8">
              <w:rPr>
                <w:rFonts w:eastAsia="Arial"/>
                <w:sz w:val="22"/>
                <w:szCs w:val="22"/>
              </w:rPr>
              <w:t>84.0</w:t>
            </w:r>
          </w:p>
        </w:tc>
      </w:tr>
      <w:tr w:rsidR="00474741" w:rsidRPr="006B15C8" w14:paraId="7B4D34F4" w14:textId="77777777" w:rsidTr="00726FC6">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1A8855B8" w14:textId="0311B13B" w:rsidR="00474741" w:rsidRPr="006B15C8" w:rsidRDefault="00F673F0" w:rsidP="00474741">
            <w:pPr>
              <w:jc w:val="left"/>
              <w:rPr>
                <w:rFonts w:eastAsia="Arial"/>
                <w:sz w:val="22"/>
                <w:szCs w:val="22"/>
              </w:rPr>
            </w:pPr>
            <w:r w:rsidRPr="006B15C8">
              <w:rPr>
                <w:rFonts w:eastAsia="Arial"/>
                <w:i/>
                <w:iCs/>
                <w:sz w:val="22"/>
                <w:szCs w:val="22"/>
              </w:rPr>
              <w:t xml:space="preserve">  </w:t>
            </w:r>
            <w:r w:rsidR="00474741" w:rsidRPr="006B15C8">
              <w:rPr>
                <w:rFonts w:eastAsia="Arial"/>
                <w:i/>
                <w:iCs/>
                <w:sz w:val="22"/>
                <w:szCs w:val="22"/>
              </w:rPr>
              <w:t>Pedestrian Perceived Skin Tone (Base: White - MST 1-2)</w:t>
            </w:r>
          </w:p>
        </w:tc>
      </w:tr>
      <w:tr w:rsidR="00BA33A3" w:rsidRPr="006B15C8" w14:paraId="0B8CBCF1" w14:textId="77777777" w:rsidTr="00C87177">
        <w:trPr>
          <w:trHeight w:val="20"/>
        </w:trPr>
        <w:tc>
          <w:tcPr>
            <w:tcW w:w="3939" w:type="dxa"/>
            <w:tcBorders>
              <w:top w:val="single" w:sz="6" w:space="0" w:color="000000"/>
              <w:left w:val="double" w:sz="4" w:space="0" w:color="auto"/>
              <w:right w:val="double" w:sz="4" w:space="0" w:color="auto"/>
            </w:tcBorders>
            <w:vAlign w:val="center"/>
            <w:hideMark/>
          </w:tcPr>
          <w:p w14:paraId="5BF56EEC" w14:textId="4D6A4C2F"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Brown - MST 3-8</w:t>
            </w:r>
          </w:p>
        </w:tc>
        <w:tc>
          <w:tcPr>
            <w:tcW w:w="898" w:type="dxa"/>
            <w:tcBorders>
              <w:top w:val="single" w:sz="6" w:space="0" w:color="000000"/>
              <w:left w:val="double" w:sz="4" w:space="0" w:color="auto"/>
              <w:right w:val="single" w:sz="6" w:space="0" w:color="000000"/>
            </w:tcBorders>
            <w:vAlign w:val="center"/>
            <w:hideMark/>
          </w:tcPr>
          <w:p w14:paraId="71AD3E5B"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-0.187</w:t>
            </w:r>
          </w:p>
        </w:tc>
        <w:tc>
          <w:tcPr>
            <w:tcW w:w="989" w:type="dxa"/>
            <w:tcBorders>
              <w:top w:val="single" w:sz="6" w:space="0" w:color="000000"/>
              <w:left w:val="single" w:sz="6" w:space="0" w:color="000000"/>
              <w:right w:val="single" w:sz="6" w:space="0" w:color="000000"/>
            </w:tcBorders>
            <w:vAlign w:val="center"/>
            <w:hideMark/>
          </w:tcPr>
          <w:p w14:paraId="1E3E151C" w14:textId="77777777" w:rsidR="00474741" w:rsidRPr="006B15C8" w:rsidRDefault="00474741" w:rsidP="00726FC6">
            <w:pPr>
              <w:ind w:left="-270" w:right="145"/>
              <w:jc w:val="right"/>
              <w:rPr>
                <w:rFonts w:eastAsia="Arial"/>
                <w:sz w:val="22"/>
                <w:szCs w:val="22"/>
              </w:rPr>
            </w:pPr>
            <w:r w:rsidRPr="006B15C8">
              <w:rPr>
                <w:rFonts w:eastAsia="Arial"/>
                <w:sz w:val="22"/>
                <w:szCs w:val="22"/>
              </w:rPr>
              <w:t>-1.85</w:t>
            </w:r>
          </w:p>
        </w:tc>
        <w:tc>
          <w:tcPr>
            <w:tcW w:w="890" w:type="dxa"/>
            <w:tcBorders>
              <w:top w:val="single" w:sz="6" w:space="0" w:color="000000"/>
              <w:left w:val="single" w:sz="6" w:space="0" w:color="000000"/>
              <w:right w:val="double" w:sz="4" w:space="0" w:color="auto"/>
            </w:tcBorders>
            <w:vAlign w:val="center"/>
            <w:hideMark/>
          </w:tcPr>
          <w:p w14:paraId="4EBC83F3" w14:textId="77777777" w:rsidR="00474741" w:rsidRPr="006B15C8" w:rsidRDefault="00474741" w:rsidP="00726FC6">
            <w:pPr>
              <w:ind w:left="-345" w:right="215"/>
              <w:jc w:val="right"/>
              <w:rPr>
                <w:rFonts w:eastAsia="Arial"/>
                <w:sz w:val="22"/>
                <w:szCs w:val="22"/>
              </w:rPr>
            </w:pPr>
            <w:r w:rsidRPr="006B15C8">
              <w:rPr>
                <w:rFonts w:eastAsia="Arial"/>
                <w:sz w:val="22"/>
                <w:szCs w:val="22"/>
              </w:rPr>
              <w:t>-15.4</w:t>
            </w:r>
          </w:p>
        </w:tc>
        <w:tc>
          <w:tcPr>
            <w:tcW w:w="920" w:type="dxa"/>
            <w:tcBorders>
              <w:top w:val="single" w:sz="6" w:space="0" w:color="000000"/>
              <w:left w:val="double" w:sz="4" w:space="0" w:color="auto"/>
              <w:right w:val="single" w:sz="6" w:space="0" w:color="000000"/>
            </w:tcBorders>
            <w:vAlign w:val="center"/>
            <w:hideMark/>
          </w:tcPr>
          <w:p w14:paraId="311EE4A2"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0.271</w:t>
            </w:r>
          </w:p>
        </w:tc>
        <w:tc>
          <w:tcPr>
            <w:tcW w:w="809" w:type="dxa"/>
            <w:tcBorders>
              <w:top w:val="single" w:sz="6" w:space="0" w:color="000000"/>
              <w:left w:val="single" w:sz="6" w:space="0" w:color="000000"/>
              <w:right w:val="single" w:sz="6" w:space="0" w:color="000000"/>
            </w:tcBorders>
            <w:vAlign w:val="center"/>
            <w:hideMark/>
          </w:tcPr>
          <w:p w14:paraId="0935EF26" w14:textId="77777777" w:rsidR="00474741" w:rsidRPr="006B15C8" w:rsidRDefault="00474741" w:rsidP="00726FC6">
            <w:pPr>
              <w:ind w:left="-270" w:right="145"/>
              <w:jc w:val="right"/>
              <w:rPr>
                <w:rFonts w:eastAsia="Arial"/>
                <w:sz w:val="22"/>
                <w:szCs w:val="22"/>
              </w:rPr>
            </w:pPr>
            <w:r w:rsidRPr="006B15C8">
              <w:rPr>
                <w:rFonts w:eastAsia="Arial"/>
                <w:sz w:val="22"/>
                <w:szCs w:val="22"/>
              </w:rPr>
              <w:t>2.02</w:t>
            </w:r>
          </w:p>
        </w:tc>
        <w:tc>
          <w:tcPr>
            <w:tcW w:w="911" w:type="dxa"/>
            <w:tcBorders>
              <w:top w:val="single" w:sz="6" w:space="0" w:color="000000"/>
              <w:left w:val="single" w:sz="6" w:space="0" w:color="000000"/>
              <w:right w:val="double" w:sz="4" w:space="0" w:color="auto"/>
            </w:tcBorders>
            <w:vAlign w:val="center"/>
            <w:hideMark/>
          </w:tcPr>
          <w:p w14:paraId="7524458A" w14:textId="77777777" w:rsidR="00474741" w:rsidRPr="006B15C8" w:rsidRDefault="00474741" w:rsidP="00726FC6">
            <w:pPr>
              <w:ind w:left="-345" w:right="207"/>
              <w:jc w:val="right"/>
              <w:rPr>
                <w:rFonts w:eastAsia="Arial"/>
                <w:sz w:val="22"/>
                <w:szCs w:val="22"/>
              </w:rPr>
            </w:pPr>
            <w:r w:rsidRPr="006B15C8">
              <w:rPr>
                <w:rFonts w:eastAsia="Arial"/>
                <w:sz w:val="22"/>
                <w:szCs w:val="22"/>
              </w:rPr>
              <w:t>25.0</w:t>
            </w:r>
          </w:p>
        </w:tc>
      </w:tr>
      <w:tr w:rsidR="00BA33A3" w:rsidRPr="006B15C8" w14:paraId="27F9746C" w14:textId="77777777" w:rsidTr="00C87177">
        <w:trPr>
          <w:trHeight w:val="20"/>
        </w:trPr>
        <w:tc>
          <w:tcPr>
            <w:tcW w:w="3939" w:type="dxa"/>
            <w:tcBorders>
              <w:left w:val="double" w:sz="4" w:space="0" w:color="auto"/>
              <w:bottom w:val="single" w:sz="4" w:space="0" w:color="auto"/>
              <w:right w:val="double" w:sz="4" w:space="0" w:color="auto"/>
            </w:tcBorders>
            <w:vAlign w:val="center"/>
            <w:hideMark/>
          </w:tcPr>
          <w:p w14:paraId="31391C21" w14:textId="3E750A15"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Black - MST 9-10</w:t>
            </w:r>
          </w:p>
        </w:tc>
        <w:tc>
          <w:tcPr>
            <w:tcW w:w="898" w:type="dxa"/>
            <w:tcBorders>
              <w:left w:val="double" w:sz="4" w:space="0" w:color="auto"/>
              <w:bottom w:val="single" w:sz="4" w:space="0" w:color="auto"/>
              <w:right w:val="single" w:sz="6" w:space="0" w:color="000000"/>
            </w:tcBorders>
            <w:vAlign w:val="center"/>
            <w:hideMark/>
          </w:tcPr>
          <w:p w14:paraId="76F8E8C4"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0.414</w:t>
            </w:r>
          </w:p>
        </w:tc>
        <w:tc>
          <w:tcPr>
            <w:tcW w:w="989" w:type="dxa"/>
            <w:tcBorders>
              <w:left w:val="single" w:sz="6" w:space="0" w:color="000000"/>
              <w:bottom w:val="single" w:sz="4" w:space="0" w:color="auto"/>
              <w:right w:val="single" w:sz="6" w:space="0" w:color="000000"/>
            </w:tcBorders>
            <w:vAlign w:val="center"/>
            <w:hideMark/>
          </w:tcPr>
          <w:p w14:paraId="46068BAF" w14:textId="77777777" w:rsidR="00474741" w:rsidRPr="006B15C8" w:rsidRDefault="00474741" w:rsidP="00726FC6">
            <w:pPr>
              <w:ind w:left="-270" w:right="145"/>
              <w:jc w:val="right"/>
              <w:rPr>
                <w:rFonts w:eastAsia="Arial"/>
                <w:sz w:val="22"/>
                <w:szCs w:val="22"/>
              </w:rPr>
            </w:pPr>
            <w:r w:rsidRPr="006B15C8">
              <w:rPr>
                <w:rFonts w:eastAsia="Arial"/>
                <w:sz w:val="22"/>
                <w:szCs w:val="22"/>
              </w:rPr>
              <w:t>3.95</w:t>
            </w:r>
          </w:p>
        </w:tc>
        <w:tc>
          <w:tcPr>
            <w:tcW w:w="890" w:type="dxa"/>
            <w:tcBorders>
              <w:left w:val="single" w:sz="6" w:space="0" w:color="000000"/>
              <w:bottom w:val="single" w:sz="4" w:space="0" w:color="auto"/>
              <w:right w:val="double" w:sz="4" w:space="0" w:color="auto"/>
            </w:tcBorders>
            <w:vAlign w:val="center"/>
            <w:hideMark/>
          </w:tcPr>
          <w:p w14:paraId="04298262" w14:textId="77777777" w:rsidR="00474741" w:rsidRPr="006B15C8" w:rsidRDefault="00474741" w:rsidP="00726FC6">
            <w:pPr>
              <w:ind w:left="-345" w:right="215"/>
              <w:jc w:val="right"/>
              <w:rPr>
                <w:rFonts w:eastAsia="Arial"/>
                <w:sz w:val="22"/>
                <w:szCs w:val="22"/>
              </w:rPr>
            </w:pPr>
            <w:r w:rsidRPr="006B15C8">
              <w:rPr>
                <w:rFonts w:eastAsia="Arial"/>
                <w:sz w:val="22"/>
                <w:szCs w:val="22"/>
              </w:rPr>
              <w:t>43.6</w:t>
            </w:r>
          </w:p>
        </w:tc>
        <w:tc>
          <w:tcPr>
            <w:tcW w:w="920" w:type="dxa"/>
            <w:tcBorders>
              <w:left w:val="double" w:sz="4" w:space="0" w:color="auto"/>
              <w:bottom w:val="single" w:sz="4" w:space="0" w:color="auto"/>
              <w:right w:val="single" w:sz="6" w:space="0" w:color="000000"/>
            </w:tcBorders>
            <w:vAlign w:val="center"/>
            <w:hideMark/>
          </w:tcPr>
          <w:p w14:paraId="477B99DB"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0.271</w:t>
            </w:r>
          </w:p>
        </w:tc>
        <w:tc>
          <w:tcPr>
            <w:tcW w:w="809" w:type="dxa"/>
            <w:tcBorders>
              <w:left w:val="single" w:sz="6" w:space="0" w:color="000000"/>
              <w:bottom w:val="single" w:sz="4" w:space="0" w:color="auto"/>
              <w:right w:val="single" w:sz="6" w:space="0" w:color="000000"/>
            </w:tcBorders>
            <w:vAlign w:val="center"/>
            <w:hideMark/>
          </w:tcPr>
          <w:p w14:paraId="6BCA3F7F" w14:textId="77777777" w:rsidR="00474741" w:rsidRPr="006B15C8" w:rsidRDefault="00474741" w:rsidP="00726FC6">
            <w:pPr>
              <w:ind w:left="-270" w:right="145"/>
              <w:jc w:val="right"/>
              <w:rPr>
                <w:rFonts w:eastAsia="Arial"/>
                <w:sz w:val="22"/>
                <w:szCs w:val="22"/>
              </w:rPr>
            </w:pPr>
            <w:r w:rsidRPr="006B15C8">
              <w:rPr>
                <w:rFonts w:eastAsia="Arial"/>
                <w:sz w:val="22"/>
                <w:szCs w:val="22"/>
              </w:rPr>
              <w:t>2.02</w:t>
            </w:r>
          </w:p>
        </w:tc>
        <w:tc>
          <w:tcPr>
            <w:tcW w:w="911" w:type="dxa"/>
            <w:tcBorders>
              <w:left w:val="single" w:sz="6" w:space="0" w:color="000000"/>
              <w:bottom w:val="single" w:sz="4" w:space="0" w:color="auto"/>
              <w:right w:val="double" w:sz="4" w:space="0" w:color="auto"/>
            </w:tcBorders>
            <w:vAlign w:val="center"/>
            <w:hideMark/>
          </w:tcPr>
          <w:p w14:paraId="48F2DC47" w14:textId="77777777" w:rsidR="00474741" w:rsidRPr="006B15C8" w:rsidRDefault="00474741" w:rsidP="00726FC6">
            <w:pPr>
              <w:ind w:left="-345" w:right="207"/>
              <w:jc w:val="right"/>
              <w:rPr>
                <w:rFonts w:eastAsia="Arial"/>
                <w:sz w:val="22"/>
                <w:szCs w:val="22"/>
              </w:rPr>
            </w:pPr>
            <w:r w:rsidRPr="006B15C8">
              <w:rPr>
                <w:rFonts w:eastAsia="Arial"/>
                <w:sz w:val="22"/>
                <w:szCs w:val="22"/>
              </w:rPr>
              <w:t>25.0</w:t>
            </w:r>
          </w:p>
        </w:tc>
      </w:tr>
      <w:tr w:rsidR="00474741" w:rsidRPr="006B15C8" w14:paraId="5D1EA753" w14:textId="77777777" w:rsidTr="00726FC6">
        <w:trPr>
          <w:trHeight w:val="20"/>
        </w:trPr>
        <w:tc>
          <w:tcPr>
            <w:tcW w:w="9356" w:type="dxa"/>
            <w:gridSpan w:val="7"/>
            <w:tcBorders>
              <w:top w:val="single" w:sz="4" w:space="0" w:color="auto"/>
              <w:left w:val="double" w:sz="4" w:space="0" w:color="auto"/>
              <w:bottom w:val="single" w:sz="4" w:space="0" w:color="auto"/>
              <w:right w:val="double" w:sz="4" w:space="0" w:color="auto"/>
            </w:tcBorders>
            <w:vAlign w:val="center"/>
            <w:hideMark/>
          </w:tcPr>
          <w:p w14:paraId="27F42AE7" w14:textId="25122C42" w:rsidR="00474741" w:rsidRPr="006B15C8" w:rsidRDefault="00F673F0" w:rsidP="00474741">
            <w:pPr>
              <w:jc w:val="left"/>
              <w:rPr>
                <w:rFonts w:eastAsia="Arial"/>
                <w:sz w:val="22"/>
                <w:szCs w:val="22"/>
              </w:rPr>
            </w:pPr>
            <w:r w:rsidRPr="006B15C8">
              <w:rPr>
                <w:rFonts w:eastAsia="Arial"/>
                <w:i/>
                <w:iCs/>
                <w:sz w:val="22"/>
                <w:szCs w:val="22"/>
              </w:rPr>
              <w:t xml:space="preserve">  </w:t>
            </w:r>
            <w:r w:rsidR="00474741" w:rsidRPr="006B15C8">
              <w:rPr>
                <w:rFonts w:eastAsia="Arial"/>
                <w:i/>
                <w:iCs/>
                <w:sz w:val="22"/>
                <w:szCs w:val="22"/>
              </w:rPr>
              <w:t>Pedestrian Exhibiting Visual Markers of Housing Insecurity (VHI</w:t>
            </w:r>
            <w:r w:rsidR="00474741" w:rsidRPr="006B15C8">
              <w:rPr>
                <w:rFonts w:eastAsia="Arial"/>
                <w:b/>
                <w:bCs/>
                <w:i/>
                <w:iCs/>
                <w:sz w:val="22"/>
                <w:szCs w:val="22"/>
              </w:rPr>
              <w:t xml:space="preserve">) </w:t>
            </w:r>
            <w:r w:rsidR="00474741" w:rsidRPr="006B15C8">
              <w:rPr>
                <w:rFonts w:eastAsia="Arial"/>
                <w:i/>
                <w:iCs/>
                <w:sz w:val="22"/>
                <w:szCs w:val="22"/>
              </w:rPr>
              <w:t>(Base: No VHI identified)</w:t>
            </w:r>
          </w:p>
        </w:tc>
      </w:tr>
      <w:tr w:rsidR="00BA33A3" w:rsidRPr="006B15C8" w14:paraId="4AF338F7" w14:textId="77777777" w:rsidTr="00C87177">
        <w:trPr>
          <w:trHeight w:val="20"/>
        </w:trPr>
        <w:tc>
          <w:tcPr>
            <w:tcW w:w="3939" w:type="dxa"/>
            <w:tcBorders>
              <w:top w:val="single" w:sz="4" w:space="0" w:color="auto"/>
              <w:left w:val="double" w:sz="4" w:space="0" w:color="auto"/>
              <w:bottom w:val="single" w:sz="6" w:space="0" w:color="000000"/>
              <w:right w:val="double" w:sz="4" w:space="0" w:color="auto"/>
            </w:tcBorders>
            <w:vAlign w:val="center"/>
            <w:hideMark/>
          </w:tcPr>
          <w:p w14:paraId="7C05F8F6" w14:textId="3CFC4290"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VHI identified</w:t>
            </w:r>
          </w:p>
        </w:tc>
        <w:tc>
          <w:tcPr>
            <w:tcW w:w="898" w:type="dxa"/>
            <w:tcBorders>
              <w:top w:val="single" w:sz="4" w:space="0" w:color="auto"/>
              <w:left w:val="double" w:sz="4" w:space="0" w:color="auto"/>
              <w:bottom w:val="single" w:sz="6" w:space="0" w:color="000000"/>
              <w:right w:val="single" w:sz="6" w:space="0" w:color="000000"/>
            </w:tcBorders>
            <w:vAlign w:val="center"/>
            <w:hideMark/>
          </w:tcPr>
          <w:p w14:paraId="0C2CDF18"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1.092</w:t>
            </w:r>
          </w:p>
        </w:tc>
        <w:tc>
          <w:tcPr>
            <w:tcW w:w="989" w:type="dxa"/>
            <w:tcBorders>
              <w:top w:val="single" w:sz="4" w:space="0" w:color="auto"/>
              <w:left w:val="single" w:sz="6" w:space="0" w:color="000000"/>
              <w:bottom w:val="single" w:sz="6" w:space="0" w:color="000000"/>
              <w:right w:val="single" w:sz="6" w:space="0" w:color="000000"/>
            </w:tcBorders>
            <w:vAlign w:val="center"/>
            <w:hideMark/>
          </w:tcPr>
          <w:p w14:paraId="30775A96" w14:textId="77777777" w:rsidR="00474741" w:rsidRPr="006B15C8" w:rsidRDefault="00474741" w:rsidP="00726FC6">
            <w:pPr>
              <w:ind w:left="-270" w:right="145"/>
              <w:jc w:val="right"/>
              <w:rPr>
                <w:rFonts w:eastAsia="Arial"/>
                <w:sz w:val="22"/>
                <w:szCs w:val="22"/>
              </w:rPr>
            </w:pPr>
            <w:r w:rsidRPr="006B15C8">
              <w:rPr>
                <w:rFonts w:eastAsia="Arial"/>
                <w:sz w:val="22"/>
                <w:szCs w:val="22"/>
              </w:rPr>
              <w:t>6.88</w:t>
            </w:r>
          </w:p>
        </w:tc>
        <w:tc>
          <w:tcPr>
            <w:tcW w:w="890" w:type="dxa"/>
            <w:tcBorders>
              <w:top w:val="single" w:sz="4" w:space="0" w:color="auto"/>
              <w:left w:val="single" w:sz="6" w:space="0" w:color="000000"/>
              <w:bottom w:val="single" w:sz="6" w:space="0" w:color="000000"/>
              <w:right w:val="double" w:sz="4" w:space="0" w:color="auto"/>
            </w:tcBorders>
            <w:vAlign w:val="center"/>
            <w:hideMark/>
          </w:tcPr>
          <w:p w14:paraId="6DDAEF2D" w14:textId="77777777" w:rsidR="00474741" w:rsidRPr="006B15C8" w:rsidRDefault="00474741" w:rsidP="00726FC6">
            <w:pPr>
              <w:ind w:left="-345" w:right="215"/>
              <w:jc w:val="right"/>
              <w:rPr>
                <w:rFonts w:eastAsia="Arial"/>
                <w:sz w:val="22"/>
                <w:szCs w:val="22"/>
              </w:rPr>
            </w:pPr>
            <w:r w:rsidRPr="006B15C8">
              <w:rPr>
                <w:rFonts w:eastAsia="Arial"/>
                <w:sz w:val="22"/>
                <w:szCs w:val="22"/>
              </w:rPr>
              <w:t>149.1</w:t>
            </w:r>
          </w:p>
        </w:tc>
        <w:tc>
          <w:tcPr>
            <w:tcW w:w="920" w:type="dxa"/>
            <w:tcBorders>
              <w:top w:val="single" w:sz="4" w:space="0" w:color="auto"/>
              <w:left w:val="double" w:sz="4" w:space="0" w:color="auto"/>
              <w:bottom w:val="single" w:sz="6" w:space="0" w:color="000000"/>
              <w:right w:val="single" w:sz="6" w:space="0" w:color="000000"/>
            </w:tcBorders>
            <w:vAlign w:val="center"/>
            <w:hideMark/>
          </w:tcPr>
          <w:p w14:paraId="03168484"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1.065</w:t>
            </w:r>
          </w:p>
        </w:tc>
        <w:tc>
          <w:tcPr>
            <w:tcW w:w="809" w:type="dxa"/>
            <w:tcBorders>
              <w:top w:val="single" w:sz="4" w:space="0" w:color="auto"/>
              <w:left w:val="single" w:sz="6" w:space="0" w:color="000000"/>
              <w:bottom w:val="single" w:sz="6" w:space="0" w:color="000000"/>
              <w:right w:val="single" w:sz="6" w:space="0" w:color="000000"/>
            </w:tcBorders>
            <w:vAlign w:val="center"/>
            <w:hideMark/>
          </w:tcPr>
          <w:p w14:paraId="11E6767A" w14:textId="77777777" w:rsidR="00474741" w:rsidRPr="006B15C8" w:rsidRDefault="00474741" w:rsidP="00726FC6">
            <w:pPr>
              <w:ind w:left="-270" w:right="145"/>
              <w:jc w:val="right"/>
              <w:rPr>
                <w:rFonts w:eastAsia="Arial"/>
                <w:sz w:val="22"/>
                <w:szCs w:val="22"/>
              </w:rPr>
            </w:pPr>
            <w:r w:rsidRPr="006B15C8">
              <w:rPr>
                <w:rFonts w:eastAsia="Arial"/>
                <w:sz w:val="22"/>
                <w:szCs w:val="22"/>
              </w:rPr>
              <w:t>3.60</w:t>
            </w:r>
          </w:p>
        </w:tc>
        <w:tc>
          <w:tcPr>
            <w:tcW w:w="911" w:type="dxa"/>
            <w:tcBorders>
              <w:top w:val="single" w:sz="4" w:space="0" w:color="auto"/>
              <w:left w:val="single" w:sz="6" w:space="0" w:color="000000"/>
              <w:bottom w:val="single" w:sz="6" w:space="0" w:color="000000"/>
              <w:right w:val="double" w:sz="4" w:space="0" w:color="auto"/>
            </w:tcBorders>
            <w:vAlign w:val="center"/>
            <w:hideMark/>
          </w:tcPr>
          <w:p w14:paraId="515BD47A" w14:textId="77777777" w:rsidR="00474741" w:rsidRPr="006B15C8" w:rsidRDefault="00474741" w:rsidP="00726FC6">
            <w:pPr>
              <w:ind w:left="-345" w:right="215"/>
              <w:jc w:val="right"/>
              <w:rPr>
                <w:rFonts w:eastAsia="Arial"/>
                <w:sz w:val="22"/>
                <w:szCs w:val="22"/>
              </w:rPr>
            </w:pPr>
            <w:r w:rsidRPr="006B15C8">
              <w:rPr>
                <w:rFonts w:eastAsia="Arial"/>
                <w:sz w:val="22"/>
                <w:szCs w:val="22"/>
              </w:rPr>
              <w:t>127.3</w:t>
            </w:r>
          </w:p>
        </w:tc>
      </w:tr>
      <w:tr w:rsidR="00474741" w:rsidRPr="006B15C8" w14:paraId="168A9AA0" w14:textId="77777777" w:rsidTr="00726FC6">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6FDD441A" w14:textId="77777777" w:rsidR="00474741" w:rsidRPr="006B15C8" w:rsidRDefault="00474741" w:rsidP="00474741">
            <w:pPr>
              <w:jc w:val="left"/>
              <w:rPr>
                <w:rFonts w:eastAsia="Arial"/>
                <w:sz w:val="22"/>
                <w:szCs w:val="22"/>
              </w:rPr>
            </w:pPr>
            <w:r w:rsidRPr="006B15C8">
              <w:rPr>
                <w:rFonts w:eastAsia="Arial"/>
                <w:b/>
                <w:bCs/>
                <w:sz w:val="22"/>
                <w:szCs w:val="22"/>
              </w:rPr>
              <w:t>Pedestrian Activity and Contextual Variables</w:t>
            </w:r>
          </w:p>
        </w:tc>
      </w:tr>
      <w:tr w:rsidR="00474741" w:rsidRPr="006B15C8" w14:paraId="56841ECA" w14:textId="77777777" w:rsidTr="00726FC6">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5E5AA54B" w14:textId="6E9B9E62" w:rsidR="00474741" w:rsidRPr="006B15C8" w:rsidRDefault="00F673F0" w:rsidP="00474741">
            <w:pPr>
              <w:jc w:val="left"/>
              <w:rPr>
                <w:rFonts w:eastAsia="Arial"/>
                <w:sz w:val="22"/>
                <w:szCs w:val="22"/>
              </w:rPr>
            </w:pPr>
            <w:r w:rsidRPr="006B15C8">
              <w:rPr>
                <w:rFonts w:eastAsia="Arial"/>
                <w:i/>
                <w:iCs/>
                <w:sz w:val="22"/>
                <w:szCs w:val="22"/>
              </w:rPr>
              <w:t xml:space="preserve">  </w:t>
            </w:r>
            <w:r w:rsidR="00474741" w:rsidRPr="006B15C8">
              <w:rPr>
                <w:rFonts w:eastAsia="Arial"/>
                <w:i/>
                <w:iCs/>
                <w:sz w:val="22"/>
                <w:szCs w:val="22"/>
              </w:rPr>
              <w:t>Social Context (Base: Solo crossing)</w:t>
            </w:r>
          </w:p>
        </w:tc>
      </w:tr>
      <w:tr w:rsidR="00404FE1" w:rsidRPr="006B15C8" w14:paraId="0D806701"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259DFE7B" w14:textId="5025AB2F"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Group crossing</w:t>
            </w:r>
          </w:p>
        </w:tc>
        <w:tc>
          <w:tcPr>
            <w:tcW w:w="898" w:type="dxa"/>
            <w:tcBorders>
              <w:top w:val="single" w:sz="6" w:space="0" w:color="000000"/>
              <w:left w:val="double" w:sz="4" w:space="0" w:color="auto"/>
              <w:bottom w:val="single" w:sz="6" w:space="0" w:color="000000"/>
              <w:right w:val="single" w:sz="6" w:space="0" w:color="000000"/>
            </w:tcBorders>
            <w:vAlign w:val="center"/>
            <w:hideMark/>
          </w:tcPr>
          <w:p w14:paraId="39387905"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-0.450</w:t>
            </w:r>
          </w:p>
        </w:tc>
        <w:tc>
          <w:tcPr>
            <w:tcW w:w="989" w:type="dxa"/>
            <w:tcBorders>
              <w:top w:val="single" w:sz="6" w:space="0" w:color="000000"/>
              <w:left w:val="single" w:sz="6" w:space="0" w:color="000000"/>
              <w:bottom w:val="single" w:sz="6" w:space="0" w:color="000000"/>
              <w:right w:val="single" w:sz="6" w:space="0" w:color="000000"/>
            </w:tcBorders>
            <w:vAlign w:val="center"/>
            <w:hideMark/>
          </w:tcPr>
          <w:p w14:paraId="46878178" w14:textId="77777777" w:rsidR="00474741" w:rsidRPr="006B15C8" w:rsidRDefault="00474741" w:rsidP="00726FC6">
            <w:pPr>
              <w:ind w:left="-270" w:right="145"/>
              <w:jc w:val="right"/>
              <w:rPr>
                <w:rFonts w:eastAsia="Arial"/>
                <w:sz w:val="22"/>
                <w:szCs w:val="22"/>
              </w:rPr>
            </w:pPr>
            <w:r w:rsidRPr="006B15C8">
              <w:rPr>
                <w:rFonts w:eastAsia="Arial"/>
                <w:sz w:val="22"/>
                <w:szCs w:val="22"/>
              </w:rPr>
              <w:t>-4.17</w:t>
            </w:r>
          </w:p>
        </w:tc>
        <w:tc>
          <w:tcPr>
            <w:tcW w:w="890" w:type="dxa"/>
            <w:tcBorders>
              <w:top w:val="single" w:sz="6" w:space="0" w:color="000000"/>
              <w:left w:val="single" w:sz="6" w:space="0" w:color="000000"/>
              <w:bottom w:val="single" w:sz="6" w:space="0" w:color="000000"/>
              <w:right w:val="double" w:sz="4" w:space="0" w:color="auto"/>
            </w:tcBorders>
            <w:vAlign w:val="center"/>
            <w:hideMark/>
          </w:tcPr>
          <w:p w14:paraId="577EAB77" w14:textId="77777777" w:rsidR="00474741" w:rsidRPr="006B15C8" w:rsidRDefault="00474741" w:rsidP="00726FC6">
            <w:pPr>
              <w:ind w:left="-345" w:right="215"/>
              <w:jc w:val="right"/>
              <w:rPr>
                <w:rFonts w:eastAsia="Arial"/>
                <w:sz w:val="22"/>
                <w:szCs w:val="22"/>
              </w:rPr>
            </w:pPr>
            <w:r w:rsidRPr="006B15C8">
              <w:rPr>
                <w:rFonts w:eastAsia="Arial"/>
                <w:sz w:val="22"/>
                <w:szCs w:val="22"/>
              </w:rPr>
              <w:t>-33.4</w:t>
            </w:r>
          </w:p>
        </w:tc>
        <w:tc>
          <w:tcPr>
            <w:tcW w:w="920" w:type="dxa"/>
            <w:tcBorders>
              <w:top w:val="single" w:sz="6" w:space="0" w:color="000000"/>
              <w:left w:val="double" w:sz="4" w:space="0" w:color="auto"/>
              <w:bottom w:val="single" w:sz="6" w:space="0" w:color="000000"/>
              <w:right w:val="single" w:sz="6" w:space="0" w:color="000000"/>
            </w:tcBorders>
            <w:vAlign w:val="center"/>
            <w:hideMark/>
          </w:tcPr>
          <w:p w14:paraId="3184CA06"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-0.273</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4E472132" w14:textId="77777777" w:rsidR="00474741" w:rsidRPr="006B15C8" w:rsidRDefault="00474741" w:rsidP="00726FC6">
            <w:pPr>
              <w:ind w:left="-270" w:right="145"/>
              <w:jc w:val="right"/>
              <w:rPr>
                <w:rFonts w:eastAsia="Arial"/>
                <w:sz w:val="22"/>
                <w:szCs w:val="22"/>
              </w:rPr>
            </w:pPr>
            <w:r w:rsidRPr="006B15C8">
              <w:rPr>
                <w:rFonts w:eastAsia="Arial"/>
                <w:sz w:val="22"/>
                <w:szCs w:val="22"/>
              </w:rPr>
              <w:t>-1.67</w:t>
            </w:r>
          </w:p>
        </w:tc>
        <w:tc>
          <w:tcPr>
            <w:tcW w:w="911" w:type="dxa"/>
            <w:tcBorders>
              <w:top w:val="single" w:sz="6" w:space="0" w:color="000000"/>
              <w:left w:val="single" w:sz="6" w:space="0" w:color="000000"/>
              <w:bottom w:val="single" w:sz="6" w:space="0" w:color="000000"/>
              <w:right w:val="double" w:sz="4" w:space="0" w:color="auto"/>
            </w:tcBorders>
            <w:vAlign w:val="center"/>
            <w:hideMark/>
          </w:tcPr>
          <w:p w14:paraId="19D14CEA" w14:textId="77777777" w:rsidR="00474741" w:rsidRPr="006B15C8" w:rsidRDefault="00474741" w:rsidP="00726FC6">
            <w:pPr>
              <w:ind w:left="-345" w:right="215"/>
              <w:jc w:val="right"/>
              <w:rPr>
                <w:rFonts w:eastAsia="Arial"/>
                <w:sz w:val="22"/>
                <w:szCs w:val="22"/>
              </w:rPr>
            </w:pPr>
            <w:r w:rsidRPr="006B15C8">
              <w:rPr>
                <w:rFonts w:eastAsia="Arial"/>
                <w:sz w:val="22"/>
                <w:szCs w:val="22"/>
              </w:rPr>
              <w:t>-20.5</w:t>
            </w:r>
          </w:p>
        </w:tc>
      </w:tr>
      <w:tr w:rsidR="00474741" w:rsidRPr="006B15C8" w14:paraId="194DD6B9" w14:textId="77777777" w:rsidTr="00726FC6">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11FC5B78" w14:textId="39A63C11" w:rsidR="00474741" w:rsidRPr="006B15C8" w:rsidRDefault="00F673F0" w:rsidP="00474741">
            <w:pPr>
              <w:jc w:val="left"/>
              <w:rPr>
                <w:rFonts w:eastAsia="Arial"/>
                <w:sz w:val="22"/>
                <w:szCs w:val="22"/>
              </w:rPr>
            </w:pPr>
            <w:r w:rsidRPr="006B15C8">
              <w:rPr>
                <w:rFonts w:eastAsia="Arial"/>
                <w:i/>
                <w:iCs/>
                <w:sz w:val="22"/>
                <w:szCs w:val="22"/>
              </w:rPr>
              <w:t xml:space="preserve">  </w:t>
            </w:r>
            <w:r w:rsidR="00474741" w:rsidRPr="006B15C8">
              <w:rPr>
                <w:rFonts w:eastAsia="Arial"/>
                <w:i/>
                <w:iCs/>
                <w:sz w:val="22"/>
                <w:szCs w:val="22"/>
              </w:rPr>
              <w:t>Pedestrian Activity Type (Base: Walker)</w:t>
            </w:r>
          </w:p>
        </w:tc>
      </w:tr>
      <w:tr w:rsidR="00404FE1" w:rsidRPr="006B15C8" w14:paraId="0894A89B"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5A333FA9" w14:textId="15064637"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Runner</w:t>
            </w:r>
          </w:p>
        </w:tc>
        <w:tc>
          <w:tcPr>
            <w:tcW w:w="898" w:type="dxa"/>
            <w:tcBorders>
              <w:top w:val="single" w:sz="6" w:space="0" w:color="000000"/>
              <w:left w:val="double" w:sz="4" w:space="0" w:color="auto"/>
              <w:bottom w:val="single" w:sz="6" w:space="0" w:color="000000"/>
              <w:right w:val="single" w:sz="6" w:space="0" w:color="000000"/>
            </w:tcBorders>
            <w:vAlign w:val="center"/>
            <w:hideMark/>
          </w:tcPr>
          <w:p w14:paraId="7B1E2908"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0.760</w:t>
            </w:r>
          </w:p>
        </w:tc>
        <w:tc>
          <w:tcPr>
            <w:tcW w:w="989" w:type="dxa"/>
            <w:tcBorders>
              <w:top w:val="single" w:sz="6" w:space="0" w:color="000000"/>
              <w:left w:val="single" w:sz="6" w:space="0" w:color="000000"/>
              <w:bottom w:val="single" w:sz="6" w:space="0" w:color="000000"/>
              <w:right w:val="single" w:sz="6" w:space="0" w:color="000000"/>
            </w:tcBorders>
            <w:vAlign w:val="center"/>
            <w:hideMark/>
          </w:tcPr>
          <w:p w14:paraId="4F1914A9" w14:textId="77777777" w:rsidR="00474741" w:rsidRPr="006B15C8" w:rsidRDefault="00474741" w:rsidP="00726FC6">
            <w:pPr>
              <w:ind w:left="-270" w:right="145"/>
              <w:jc w:val="right"/>
              <w:rPr>
                <w:rFonts w:eastAsia="Arial"/>
                <w:sz w:val="22"/>
                <w:szCs w:val="22"/>
              </w:rPr>
            </w:pPr>
            <w:r w:rsidRPr="006B15C8">
              <w:rPr>
                <w:rFonts w:eastAsia="Arial"/>
                <w:sz w:val="22"/>
                <w:szCs w:val="22"/>
              </w:rPr>
              <w:t>8.79</w:t>
            </w:r>
          </w:p>
        </w:tc>
        <w:tc>
          <w:tcPr>
            <w:tcW w:w="890" w:type="dxa"/>
            <w:tcBorders>
              <w:top w:val="single" w:sz="6" w:space="0" w:color="000000"/>
              <w:left w:val="single" w:sz="6" w:space="0" w:color="000000"/>
              <w:bottom w:val="single" w:sz="6" w:space="0" w:color="000000"/>
              <w:right w:val="double" w:sz="4" w:space="0" w:color="auto"/>
            </w:tcBorders>
            <w:vAlign w:val="center"/>
            <w:hideMark/>
          </w:tcPr>
          <w:p w14:paraId="103A81DF" w14:textId="77777777" w:rsidR="00474741" w:rsidRPr="006B15C8" w:rsidRDefault="00474741" w:rsidP="00726FC6">
            <w:pPr>
              <w:ind w:left="-345" w:right="215"/>
              <w:jc w:val="right"/>
              <w:rPr>
                <w:rFonts w:eastAsia="Arial"/>
                <w:sz w:val="22"/>
                <w:szCs w:val="22"/>
              </w:rPr>
            </w:pPr>
            <w:r w:rsidRPr="006B15C8">
              <w:rPr>
                <w:rFonts w:eastAsia="Arial"/>
                <w:sz w:val="22"/>
                <w:szCs w:val="22"/>
              </w:rPr>
              <w:t>92.7</w:t>
            </w:r>
          </w:p>
        </w:tc>
        <w:tc>
          <w:tcPr>
            <w:tcW w:w="920" w:type="dxa"/>
            <w:tcBorders>
              <w:top w:val="single" w:sz="6" w:space="0" w:color="000000"/>
              <w:left w:val="double" w:sz="4" w:space="0" w:color="auto"/>
              <w:bottom w:val="single" w:sz="6" w:space="0" w:color="000000"/>
              <w:right w:val="single" w:sz="6" w:space="0" w:color="000000"/>
            </w:tcBorders>
            <w:vAlign w:val="center"/>
            <w:hideMark/>
          </w:tcPr>
          <w:p w14:paraId="2F94FFC2" w14:textId="77777777" w:rsidR="00474741" w:rsidRPr="006B15C8" w:rsidRDefault="00474741" w:rsidP="00726FC6">
            <w:pPr>
              <w:jc w:val="center"/>
              <w:rPr>
                <w:rFonts w:eastAsia="Arial"/>
                <w:sz w:val="22"/>
                <w:szCs w:val="22"/>
              </w:rPr>
            </w:pPr>
            <w:r w:rsidRPr="006B15C8">
              <w:rPr>
                <w:rFonts w:eastAsia="Arial"/>
                <w:sz w:val="22"/>
                <w:szCs w:val="22"/>
              </w:rPr>
              <w:t>--</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22494B7"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11" w:type="dxa"/>
            <w:tcBorders>
              <w:top w:val="single" w:sz="6" w:space="0" w:color="000000"/>
              <w:left w:val="single" w:sz="6" w:space="0" w:color="000000"/>
              <w:bottom w:val="single" w:sz="6" w:space="0" w:color="000000"/>
              <w:right w:val="double" w:sz="4" w:space="0" w:color="auto"/>
            </w:tcBorders>
            <w:vAlign w:val="center"/>
            <w:hideMark/>
          </w:tcPr>
          <w:p w14:paraId="5069DEC9" w14:textId="77777777" w:rsidR="00474741" w:rsidRPr="006B15C8" w:rsidRDefault="00474741" w:rsidP="00726FC6">
            <w:pPr>
              <w:jc w:val="center"/>
              <w:rPr>
                <w:rFonts w:eastAsia="Arial"/>
                <w:sz w:val="22"/>
                <w:szCs w:val="22"/>
              </w:rPr>
            </w:pPr>
            <w:r w:rsidRPr="006B15C8">
              <w:rPr>
                <w:rFonts w:eastAsia="Arial"/>
                <w:sz w:val="22"/>
                <w:szCs w:val="22"/>
              </w:rPr>
              <w:t>--</w:t>
            </w:r>
          </w:p>
        </w:tc>
      </w:tr>
      <w:tr w:rsidR="00474741" w:rsidRPr="006B15C8" w14:paraId="2125F1B2" w14:textId="77777777" w:rsidTr="00726FC6">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4A14F5C9" w14:textId="6D3464FD" w:rsidR="00474741" w:rsidRPr="006B15C8" w:rsidRDefault="00F673F0" w:rsidP="00474741">
            <w:pPr>
              <w:jc w:val="left"/>
              <w:rPr>
                <w:rFonts w:eastAsia="Arial"/>
                <w:sz w:val="22"/>
                <w:szCs w:val="22"/>
              </w:rPr>
            </w:pPr>
            <w:r w:rsidRPr="006B15C8">
              <w:rPr>
                <w:rFonts w:eastAsia="Arial"/>
                <w:i/>
                <w:iCs/>
                <w:sz w:val="22"/>
                <w:szCs w:val="22"/>
              </w:rPr>
              <w:t xml:space="preserve">  </w:t>
            </w:r>
            <w:r w:rsidR="00474741" w:rsidRPr="006B15C8">
              <w:rPr>
                <w:rFonts w:eastAsia="Arial"/>
                <w:i/>
                <w:iCs/>
                <w:sz w:val="22"/>
                <w:szCs w:val="22"/>
              </w:rPr>
              <w:t>Vehicle Interaction (Base: No vehicle interaction)</w:t>
            </w:r>
          </w:p>
        </w:tc>
      </w:tr>
      <w:tr w:rsidR="00404FE1" w:rsidRPr="006B15C8" w14:paraId="688BBA44"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47B5ECB1" w14:textId="0AC71FD4"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Vehicle interaction</w:t>
            </w:r>
          </w:p>
        </w:tc>
        <w:tc>
          <w:tcPr>
            <w:tcW w:w="898" w:type="dxa"/>
            <w:tcBorders>
              <w:top w:val="single" w:sz="6" w:space="0" w:color="000000"/>
              <w:left w:val="double" w:sz="4" w:space="0" w:color="auto"/>
              <w:bottom w:val="single" w:sz="6" w:space="0" w:color="000000"/>
              <w:right w:val="single" w:sz="6" w:space="0" w:color="000000"/>
            </w:tcBorders>
            <w:vAlign w:val="center"/>
            <w:hideMark/>
          </w:tcPr>
          <w:p w14:paraId="29461087"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-0.715</w:t>
            </w:r>
          </w:p>
        </w:tc>
        <w:tc>
          <w:tcPr>
            <w:tcW w:w="989" w:type="dxa"/>
            <w:tcBorders>
              <w:top w:val="single" w:sz="6" w:space="0" w:color="000000"/>
              <w:left w:val="single" w:sz="6" w:space="0" w:color="000000"/>
              <w:bottom w:val="single" w:sz="6" w:space="0" w:color="000000"/>
              <w:right w:val="single" w:sz="6" w:space="0" w:color="000000"/>
            </w:tcBorders>
            <w:vAlign w:val="center"/>
            <w:hideMark/>
          </w:tcPr>
          <w:p w14:paraId="7FF4D6CB" w14:textId="77777777" w:rsidR="00474741" w:rsidRPr="006B15C8" w:rsidRDefault="00474741" w:rsidP="00726FC6">
            <w:pPr>
              <w:ind w:left="-270" w:right="145"/>
              <w:jc w:val="right"/>
              <w:rPr>
                <w:rFonts w:eastAsia="Arial"/>
                <w:sz w:val="22"/>
                <w:szCs w:val="22"/>
              </w:rPr>
            </w:pPr>
            <w:r w:rsidRPr="006B15C8">
              <w:rPr>
                <w:rFonts w:eastAsia="Arial"/>
                <w:sz w:val="22"/>
                <w:szCs w:val="22"/>
              </w:rPr>
              <w:t>-7.13</w:t>
            </w:r>
          </w:p>
        </w:tc>
        <w:tc>
          <w:tcPr>
            <w:tcW w:w="890" w:type="dxa"/>
            <w:tcBorders>
              <w:top w:val="single" w:sz="6" w:space="0" w:color="000000"/>
              <w:left w:val="single" w:sz="6" w:space="0" w:color="000000"/>
              <w:bottom w:val="single" w:sz="6" w:space="0" w:color="000000"/>
              <w:right w:val="double" w:sz="4" w:space="0" w:color="auto"/>
            </w:tcBorders>
            <w:vAlign w:val="center"/>
            <w:hideMark/>
          </w:tcPr>
          <w:p w14:paraId="6EE11C16" w14:textId="77777777" w:rsidR="00474741" w:rsidRPr="006B15C8" w:rsidRDefault="00474741" w:rsidP="00726FC6">
            <w:pPr>
              <w:ind w:left="-345" w:right="215"/>
              <w:jc w:val="right"/>
              <w:rPr>
                <w:rFonts w:eastAsia="Arial"/>
                <w:sz w:val="22"/>
                <w:szCs w:val="22"/>
              </w:rPr>
            </w:pPr>
            <w:r w:rsidRPr="006B15C8">
              <w:rPr>
                <w:rFonts w:eastAsia="Arial"/>
                <w:sz w:val="22"/>
                <w:szCs w:val="22"/>
              </w:rPr>
              <w:t>-48.0</w:t>
            </w:r>
          </w:p>
        </w:tc>
        <w:tc>
          <w:tcPr>
            <w:tcW w:w="920" w:type="dxa"/>
            <w:tcBorders>
              <w:top w:val="single" w:sz="6" w:space="0" w:color="000000"/>
              <w:left w:val="double" w:sz="4" w:space="0" w:color="auto"/>
              <w:bottom w:val="single" w:sz="6" w:space="0" w:color="000000"/>
              <w:right w:val="single" w:sz="6" w:space="0" w:color="000000"/>
            </w:tcBorders>
            <w:vAlign w:val="center"/>
            <w:hideMark/>
          </w:tcPr>
          <w:p w14:paraId="4CFF5906" w14:textId="77777777" w:rsidR="00474741" w:rsidRPr="006B15C8" w:rsidRDefault="00474741" w:rsidP="00726FC6">
            <w:pPr>
              <w:jc w:val="center"/>
              <w:rPr>
                <w:rFonts w:eastAsia="Arial"/>
                <w:sz w:val="22"/>
                <w:szCs w:val="22"/>
              </w:rPr>
            </w:pPr>
            <w:r w:rsidRPr="006B15C8">
              <w:rPr>
                <w:rFonts w:eastAsia="Arial"/>
                <w:i/>
                <w:iCs/>
                <w:sz w:val="22"/>
                <w:szCs w:val="22"/>
              </w:rPr>
              <w:t>n.a.</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B071DB5" w14:textId="77777777" w:rsidR="00474741" w:rsidRPr="006B15C8" w:rsidRDefault="00474741" w:rsidP="00726FC6">
            <w:pPr>
              <w:jc w:val="center"/>
              <w:rPr>
                <w:rFonts w:eastAsia="Arial"/>
                <w:sz w:val="22"/>
                <w:szCs w:val="22"/>
              </w:rPr>
            </w:pPr>
            <w:r w:rsidRPr="006B15C8">
              <w:rPr>
                <w:rFonts w:eastAsia="Arial"/>
                <w:i/>
                <w:iCs/>
                <w:sz w:val="22"/>
                <w:szCs w:val="22"/>
              </w:rPr>
              <w:t>n.a.</w:t>
            </w:r>
          </w:p>
        </w:tc>
        <w:tc>
          <w:tcPr>
            <w:tcW w:w="911" w:type="dxa"/>
            <w:tcBorders>
              <w:top w:val="single" w:sz="6" w:space="0" w:color="000000"/>
              <w:left w:val="single" w:sz="6" w:space="0" w:color="000000"/>
              <w:bottom w:val="single" w:sz="6" w:space="0" w:color="000000"/>
              <w:right w:val="double" w:sz="4" w:space="0" w:color="auto"/>
            </w:tcBorders>
            <w:vAlign w:val="center"/>
            <w:hideMark/>
          </w:tcPr>
          <w:p w14:paraId="5B0BA37C" w14:textId="77777777" w:rsidR="00474741" w:rsidRPr="006B15C8" w:rsidRDefault="00474741" w:rsidP="00726FC6">
            <w:pPr>
              <w:jc w:val="center"/>
              <w:rPr>
                <w:rFonts w:eastAsia="Arial"/>
                <w:sz w:val="22"/>
                <w:szCs w:val="22"/>
              </w:rPr>
            </w:pPr>
            <w:r w:rsidRPr="006B15C8">
              <w:rPr>
                <w:rFonts w:eastAsia="Arial"/>
                <w:i/>
                <w:iCs/>
                <w:sz w:val="22"/>
                <w:szCs w:val="22"/>
              </w:rPr>
              <w:t>n.a.</w:t>
            </w:r>
          </w:p>
        </w:tc>
      </w:tr>
      <w:tr w:rsidR="00474741" w:rsidRPr="006B15C8" w14:paraId="631FE55D" w14:textId="77777777" w:rsidTr="00726FC6">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5375A3F6" w14:textId="77777777" w:rsidR="00474741" w:rsidRPr="006B15C8" w:rsidRDefault="00474741" w:rsidP="00474741">
            <w:pPr>
              <w:jc w:val="left"/>
              <w:rPr>
                <w:rFonts w:eastAsia="Arial"/>
                <w:sz w:val="22"/>
                <w:szCs w:val="22"/>
              </w:rPr>
            </w:pPr>
            <w:r w:rsidRPr="006B15C8">
              <w:rPr>
                <w:rFonts w:eastAsia="Arial"/>
                <w:b/>
                <w:bCs/>
                <w:sz w:val="22"/>
                <w:szCs w:val="22"/>
              </w:rPr>
              <w:t>Time-of-Day and its Interactions</w:t>
            </w:r>
          </w:p>
        </w:tc>
      </w:tr>
      <w:tr w:rsidR="00474741" w:rsidRPr="006B15C8" w14:paraId="2AD9E664" w14:textId="77777777" w:rsidTr="00726FC6">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59AF082F" w14:textId="2F206DA0" w:rsidR="00474741" w:rsidRPr="006B15C8" w:rsidRDefault="00F673F0" w:rsidP="00474741">
            <w:pPr>
              <w:jc w:val="left"/>
              <w:rPr>
                <w:rFonts w:eastAsia="Arial"/>
                <w:sz w:val="22"/>
                <w:szCs w:val="22"/>
              </w:rPr>
            </w:pPr>
            <w:r w:rsidRPr="006B15C8">
              <w:rPr>
                <w:rFonts w:eastAsia="Arial"/>
                <w:i/>
                <w:iCs/>
                <w:sz w:val="22"/>
                <w:szCs w:val="22"/>
              </w:rPr>
              <w:t xml:space="preserve">  </w:t>
            </w:r>
            <w:r w:rsidR="00474741" w:rsidRPr="006B15C8">
              <w:rPr>
                <w:rFonts w:eastAsia="Arial"/>
                <w:i/>
                <w:iCs/>
                <w:sz w:val="22"/>
                <w:szCs w:val="22"/>
              </w:rPr>
              <w:t>Time-of-day (Base: Noon or Afternoon; 12:00-17:59)</w:t>
            </w:r>
          </w:p>
        </w:tc>
      </w:tr>
      <w:tr w:rsidR="00BA33A3" w:rsidRPr="006B15C8" w14:paraId="14A546DA" w14:textId="77777777" w:rsidTr="00C87177">
        <w:trPr>
          <w:trHeight w:val="20"/>
        </w:trPr>
        <w:tc>
          <w:tcPr>
            <w:tcW w:w="3939" w:type="dxa"/>
            <w:tcBorders>
              <w:top w:val="single" w:sz="6" w:space="0" w:color="000000"/>
              <w:left w:val="double" w:sz="4" w:space="0" w:color="auto"/>
              <w:right w:val="double" w:sz="4" w:space="0" w:color="auto"/>
            </w:tcBorders>
            <w:vAlign w:val="center"/>
            <w:hideMark/>
          </w:tcPr>
          <w:p w14:paraId="046852B6" w14:textId="0B9A2498"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Dawn (04:00-05:59)</w:t>
            </w:r>
          </w:p>
        </w:tc>
        <w:tc>
          <w:tcPr>
            <w:tcW w:w="898" w:type="dxa"/>
            <w:tcBorders>
              <w:top w:val="single" w:sz="6" w:space="0" w:color="000000"/>
              <w:left w:val="double" w:sz="4" w:space="0" w:color="auto"/>
              <w:right w:val="single" w:sz="6" w:space="0" w:color="000000"/>
            </w:tcBorders>
            <w:vAlign w:val="center"/>
            <w:hideMark/>
          </w:tcPr>
          <w:p w14:paraId="3139D56D"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1.246</w:t>
            </w:r>
          </w:p>
        </w:tc>
        <w:tc>
          <w:tcPr>
            <w:tcW w:w="989" w:type="dxa"/>
            <w:tcBorders>
              <w:top w:val="single" w:sz="6" w:space="0" w:color="000000"/>
              <w:left w:val="single" w:sz="6" w:space="0" w:color="000000"/>
              <w:right w:val="single" w:sz="6" w:space="0" w:color="000000"/>
            </w:tcBorders>
            <w:vAlign w:val="center"/>
            <w:hideMark/>
          </w:tcPr>
          <w:p w14:paraId="12BD911D" w14:textId="77777777" w:rsidR="00474741" w:rsidRPr="006B15C8" w:rsidRDefault="00474741" w:rsidP="00726FC6">
            <w:pPr>
              <w:ind w:left="-270" w:right="145"/>
              <w:jc w:val="right"/>
              <w:rPr>
                <w:rFonts w:eastAsia="Arial"/>
                <w:sz w:val="22"/>
                <w:szCs w:val="22"/>
              </w:rPr>
            </w:pPr>
            <w:r w:rsidRPr="006B15C8">
              <w:rPr>
                <w:rFonts w:eastAsia="Arial"/>
                <w:sz w:val="22"/>
                <w:szCs w:val="22"/>
              </w:rPr>
              <w:t>4.90</w:t>
            </w:r>
          </w:p>
        </w:tc>
        <w:tc>
          <w:tcPr>
            <w:tcW w:w="890" w:type="dxa"/>
            <w:tcBorders>
              <w:top w:val="single" w:sz="6" w:space="0" w:color="000000"/>
              <w:left w:val="single" w:sz="6" w:space="0" w:color="000000"/>
              <w:right w:val="double" w:sz="4" w:space="0" w:color="auto"/>
            </w:tcBorders>
            <w:vAlign w:val="center"/>
            <w:hideMark/>
          </w:tcPr>
          <w:p w14:paraId="0D74C933" w14:textId="77777777" w:rsidR="00474741" w:rsidRPr="006B15C8" w:rsidRDefault="00474741" w:rsidP="00726FC6">
            <w:pPr>
              <w:ind w:left="-345" w:right="215"/>
              <w:jc w:val="right"/>
              <w:rPr>
                <w:rFonts w:eastAsia="Arial"/>
                <w:sz w:val="22"/>
                <w:szCs w:val="22"/>
              </w:rPr>
            </w:pPr>
            <w:r w:rsidRPr="006B15C8">
              <w:rPr>
                <w:rFonts w:eastAsia="Arial"/>
                <w:sz w:val="22"/>
                <w:szCs w:val="22"/>
              </w:rPr>
              <w:t>178.1</w:t>
            </w:r>
          </w:p>
        </w:tc>
        <w:tc>
          <w:tcPr>
            <w:tcW w:w="920" w:type="dxa"/>
            <w:tcBorders>
              <w:top w:val="single" w:sz="6" w:space="0" w:color="000000"/>
              <w:left w:val="double" w:sz="4" w:space="0" w:color="auto"/>
              <w:right w:val="single" w:sz="6" w:space="0" w:color="000000"/>
            </w:tcBorders>
            <w:vAlign w:val="center"/>
            <w:hideMark/>
          </w:tcPr>
          <w:p w14:paraId="54575DD4" w14:textId="77777777" w:rsidR="00474741" w:rsidRPr="006B15C8" w:rsidRDefault="00474741" w:rsidP="00726FC6">
            <w:pPr>
              <w:jc w:val="center"/>
              <w:rPr>
                <w:rFonts w:eastAsia="Arial"/>
                <w:sz w:val="22"/>
                <w:szCs w:val="22"/>
              </w:rPr>
            </w:pPr>
            <w:r w:rsidRPr="006B15C8">
              <w:rPr>
                <w:rFonts w:eastAsia="Arial"/>
                <w:sz w:val="22"/>
                <w:szCs w:val="22"/>
              </w:rPr>
              <w:t>--</w:t>
            </w:r>
          </w:p>
        </w:tc>
        <w:tc>
          <w:tcPr>
            <w:tcW w:w="809" w:type="dxa"/>
            <w:tcBorders>
              <w:top w:val="single" w:sz="6" w:space="0" w:color="000000"/>
              <w:left w:val="single" w:sz="6" w:space="0" w:color="000000"/>
              <w:right w:val="single" w:sz="6" w:space="0" w:color="000000"/>
            </w:tcBorders>
            <w:vAlign w:val="center"/>
            <w:hideMark/>
          </w:tcPr>
          <w:p w14:paraId="36B75F9D"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11" w:type="dxa"/>
            <w:tcBorders>
              <w:top w:val="single" w:sz="6" w:space="0" w:color="000000"/>
              <w:left w:val="single" w:sz="6" w:space="0" w:color="000000"/>
              <w:right w:val="double" w:sz="4" w:space="0" w:color="auto"/>
            </w:tcBorders>
            <w:vAlign w:val="center"/>
            <w:hideMark/>
          </w:tcPr>
          <w:p w14:paraId="33DBDC75" w14:textId="77777777" w:rsidR="00474741" w:rsidRPr="006B15C8" w:rsidRDefault="00474741" w:rsidP="00726FC6">
            <w:pPr>
              <w:jc w:val="center"/>
              <w:rPr>
                <w:rFonts w:eastAsia="Arial"/>
                <w:sz w:val="22"/>
                <w:szCs w:val="22"/>
              </w:rPr>
            </w:pPr>
            <w:r w:rsidRPr="006B15C8">
              <w:rPr>
                <w:rFonts w:eastAsia="Arial"/>
                <w:sz w:val="22"/>
                <w:szCs w:val="22"/>
              </w:rPr>
              <w:t>--</w:t>
            </w:r>
          </w:p>
        </w:tc>
      </w:tr>
      <w:tr w:rsidR="00BA33A3" w:rsidRPr="006B15C8" w14:paraId="446985FC" w14:textId="77777777" w:rsidTr="00C87177">
        <w:trPr>
          <w:trHeight w:val="20"/>
        </w:trPr>
        <w:tc>
          <w:tcPr>
            <w:tcW w:w="3939" w:type="dxa"/>
            <w:tcBorders>
              <w:left w:val="double" w:sz="4" w:space="0" w:color="auto"/>
              <w:right w:val="double" w:sz="4" w:space="0" w:color="auto"/>
            </w:tcBorders>
            <w:vAlign w:val="center"/>
            <w:hideMark/>
          </w:tcPr>
          <w:p w14:paraId="239BE493" w14:textId="579E49BE"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Morning (06:00-11:59)</w:t>
            </w:r>
          </w:p>
        </w:tc>
        <w:tc>
          <w:tcPr>
            <w:tcW w:w="898" w:type="dxa"/>
            <w:tcBorders>
              <w:left w:val="double" w:sz="4" w:space="0" w:color="auto"/>
              <w:right w:val="single" w:sz="6" w:space="0" w:color="000000"/>
            </w:tcBorders>
            <w:vAlign w:val="center"/>
            <w:hideMark/>
          </w:tcPr>
          <w:p w14:paraId="2E9CAAE7"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0.393</w:t>
            </w:r>
          </w:p>
        </w:tc>
        <w:tc>
          <w:tcPr>
            <w:tcW w:w="989" w:type="dxa"/>
            <w:tcBorders>
              <w:left w:val="single" w:sz="6" w:space="0" w:color="000000"/>
              <w:right w:val="single" w:sz="6" w:space="0" w:color="000000"/>
            </w:tcBorders>
            <w:vAlign w:val="center"/>
            <w:hideMark/>
          </w:tcPr>
          <w:p w14:paraId="4B552F0B" w14:textId="77777777" w:rsidR="00474741" w:rsidRPr="006B15C8" w:rsidRDefault="00474741" w:rsidP="00726FC6">
            <w:pPr>
              <w:ind w:left="-270" w:right="145"/>
              <w:jc w:val="right"/>
              <w:rPr>
                <w:rFonts w:eastAsia="Arial"/>
                <w:sz w:val="22"/>
                <w:szCs w:val="22"/>
              </w:rPr>
            </w:pPr>
            <w:r w:rsidRPr="006B15C8">
              <w:rPr>
                <w:rFonts w:eastAsia="Arial"/>
                <w:sz w:val="22"/>
                <w:szCs w:val="22"/>
              </w:rPr>
              <w:t>5.59</w:t>
            </w:r>
          </w:p>
        </w:tc>
        <w:tc>
          <w:tcPr>
            <w:tcW w:w="890" w:type="dxa"/>
            <w:tcBorders>
              <w:left w:val="single" w:sz="6" w:space="0" w:color="000000"/>
              <w:right w:val="double" w:sz="4" w:space="0" w:color="auto"/>
            </w:tcBorders>
            <w:vAlign w:val="center"/>
            <w:hideMark/>
          </w:tcPr>
          <w:p w14:paraId="1DFA8BA5" w14:textId="77777777" w:rsidR="00474741" w:rsidRPr="006B15C8" w:rsidRDefault="00474741" w:rsidP="00726FC6">
            <w:pPr>
              <w:ind w:left="-345" w:right="215"/>
              <w:jc w:val="right"/>
              <w:rPr>
                <w:rFonts w:eastAsia="Arial"/>
                <w:sz w:val="22"/>
                <w:szCs w:val="22"/>
              </w:rPr>
            </w:pPr>
            <w:r w:rsidRPr="006B15C8">
              <w:rPr>
                <w:rFonts w:eastAsia="Arial"/>
                <w:sz w:val="22"/>
                <w:szCs w:val="22"/>
              </w:rPr>
              <w:t>41.4</w:t>
            </w:r>
          </w:p>
        </w:tc>
        <w:tc>
          <w:tcPr>
            <w:tcW w:w="920" w:type="dxa"/>
            <w:tcBorders>
              <w:left w:val="double" w:sz="4" w:space="0" w:color="auto"/>
              <w:right w:val="single" w:sz="6" w:space="0" w:color="000000"/>
            </w:tcBorders>
            <w:vAlign w:val="center"/>
            <w:hideMark/>
          </w:tcPr>
          <w:p w14:paraId="2FCBF9D5" w14:textId="77777777" w:rsidR="00474741" w:rsidRPr="006B15C8" w:rsidRDefault="00474741" w:rsidP="00726FC6">
            <w:pPr>
              <w:tabs>
                <w:tab w:val="left" w:pos="-165"/>
              </w:tabs>
              <w:ind w:left="-165" w:right="208"/>
              <w:jc w:val="right"/>
              <w:rPr>
                <w:rFonts w:eastAsia="Arial"/>
                <w:sz w:val="22"/>
                <w:szCs w:val="22"/>
              </w:rPr>
            </w:pPr>
            <w:r w:rsidRPr="006B15C8">
              <w:rPr>
                <w:rFonts w:eastAsia="Arial"/>
                <w:sz w:val="22"/>
                <w:szCs w:val="22"/>
              </w:rPr>
              <w:t>0.378</w:t>
            </w:r>
          </w:p>
        </w:tc>
        <w:tc>
          <w:tcPr>
            <w:tcW w:w="809" w:type="dxa"/>
            <w:tcBorders>
              <w:left w:val="single" w:sz="6" w:space="0" w:color="000000"/>
              <w:right w:val="single" w:sz="6" w:space="0" w:color="000000"/>
            </w:tcBorders>
            <w:vAlign w:val="center"/>
            <w:hideMark/>
          </w:tcPr>
          <w:p w14:paraId="3F3C1F65" w14:textId="77777777" w:rsidR="00474741" w:rsidRPr="006B15C8" w:rsidRDefault="00474741" w:rsidP="00726FC6">
            <w:pPr>
              <w:ind w:left="-270" w:right="145"/>
              <w:jc w:val="right"/>
              <w:rPr>
                <w:rFonts w:eastAsia="Arial"/>
                <w:sz w:val="22"/>
                <w:szCs w:val="22"/>
              </w:rPr>
            </w:pPr>
            <w:r w:rsidRPr="006B15C8">
              <w:rPr>
                <w:rFonts w:eastAsia="Arial"/>
                <w:sz w:val="22"/>
                <w:szCs w:val="22"/>
              </w:rPr>
              <w:t>3.08</w:t>
            </w:r>
          </w:p>
        </w:tc>
        <w:tc>
          <w:tcPr>
            <w:tcW w:w="911" w:type="dxa"/>
            <w:tcBorders>
              <w:left w:val="single" w:sz="6" w:space="0" w:color="000000"/>
              <w:right w:val="double" w:sz="4" w:space="0" w:color="auto"/>
            </w:tcBorders>
            <w:vAlign w:val="center"/>
            <w:hideMark/>
          </w:tcPr>
          <w:p w14:paraId="008D3652" w14:textId="77777777" w:rsidR="00474741" w:rsidRPr="006B15C8" w:rsidRDefault="00474741" w:rsidP="00726FC6">
            <w:pPr>
              <w:ind w:left="-345" w:right="215"/>
              <w:jc w:val="right"/>
              <w:rPr>
                <w:rFonts w:eastAsia="Arial"/>
                <w:sz w:val="22"/>
                <w:szCs w:val="22"/>
              </w:rPr>
            </w:pPr>
            <w:r w:rsidRPr="006B15C8">
              <w:rPr>
                <w:rFonts w:eastAsia="Arial"/>
                <w:sz w:val="22"/>
                <w:szCs w:val="22"/>
              </w:rPr>
              <w:t>36.6</w:t>
            </w:r>
          </w:p>
        </w:tc>
      </w:tr>
      <w:tr w:rsidR="00BA33A3" w:rsidRPr="006B15C8" w14:paraId="3CB91D48" w14:textId="77777777" w:rsidTr="00C87177">
        <w:trPr>
          <w:trHeight w:val="20"/>
        </w:trPr>
        <w:tc>
          <w:tcPr>
            <w:tcW w:w="3939" w:type="dxa"/>
            <w:tcBorders>
              <w:left w:val="double" w:sz="4" w:space="0" w:color="auto"/>
              <w:right w:val="double" w:sz="4" w:space="0" w:color="auto"/>
            </w:tcBorders>
            <w:vAlign w:val="center"/>
            <w:hideMark/>
          </w:tcPr>
          <w:p w14:paraId="1F45F61B" w14:textId="56125B98"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Dusk (18:00-19:59)</w:t>
            </w:r>
          </w:p>
        </w:tc>
        <w:tc>
          <w:tcPr>
            <w:tcW w:w="898" w:type="dxa"/>
            <w:tcBorders>
              <w:left w:val="double" w:sz="4" w:space="0" w:color="auto"/>
              <w:right w:val="single" w:sz="6" w:space="0" w:color="000000"/>
            </w:tcBorders>
            <w:vAlign w:val="center"/>
            <w:hideMark/>
          </w:tcPr>
          <w:p w14:paraId="59FF3BC7"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0.359</w:t>
            </w:r>
          </w:p>
        </w:tc>
        <w:tc>
          <w:tcPr>
            <w:tcW w:w="989" w:type="dxa"/>
            <w:tcBorders>
              <w:left w:val="single" w:sz="6" w:space="0" w:color="000000"/>
              <w:right w:val="single" w:sz="6" w:space="0" w:color="000000"/>
            </w:tcBorders>
            <w:vAlign w:val="center"/>
            <w:hideMark/>
          </w:tcPr>
          <w:p w14:paraId="2FA5368F" w14:textId="77777777" w:rsidR="00474741" w:rsidRPr="006B15C8" w:rsidRDefault="00474741" w:rsidP="00726FC6">
            <w:pPr>
              <w:ind w:left="-270" w:right="145"/>
              <w:jc w:val="right"/>
              <w:rPr>
                <w:rFonts w:eastAsia="Arial"/>
                <w:sz w:val="22"/>
                <w:szCs w:val="22"/>
              </w:rPr>
            </w:pPr>
            <w:r w:rsidRPr="006B15C8">
              <w:rPr>
                <w:rFonts w:eastAsia="Arial"/>
                <w:sz w:val="22"/>
                <w:szCs w:val="22"/>
              </w:rPr>
              <w:t>3.68</w:t>
            </w:r>
          </w:p>
        </w:tc>
        <w:tc>
          <w:tcPr>
            <w:tcW w:w="890" w:type="dxa"/>
            <w:tcBorders>
              <w:left w:val="single" w:sz="6" w:space="0" w:color="000000"/>
              <w:right w:val="double" w:sz="4" w:space="0" w:color="auto"/>
            </w:tcBorders>
            <w:vAlign w:val="center"/>
            <w:hideMark/>
          </w:tcPr>
          <w:p w14:paraId="702AC9B0" w14:textId="77777777" w:rsidR="00474741" w:rsidRPr="006B15C8" w:rsidRDefault="00474741" w:rsidP="00726FC6">
            <w:pPr>
              <w:ind w:left="-345" w:right="215"/>
              <w:jc w:val="right"/>
              <w:rPr>
                <w:rFonts w:eastAsia="Arial"/>
                <w:sz w:val="22"/>
                <w:szCs w:val="22"/>
              </w:rPr>
            </w:pPr>
            <w:r w:rsidRPr="006B15C8">
              <w:rPr>
                <w:rFonts w:eastAsia="Arial"/>
                <w:sz w:val="22"/>
                <w:szCs w:val="22"/>
              </w:rPr>
              <w:t>36.9</w:t>
            </w:r>
          </w:p>
        </w:tc>
        <w:tc>
          <w:tcPr>
            <w:tcW w:w="920" w:type="dxa"/>
            <w:tcBorders>
              <w:left w:val="double" w:sz="4" w:space="0" w:color="auto"/>
              <w:right w:val="single" w:sz="6" w:space="0" w:color="000000"/>
            </w:tcBorders>
            <w:vAlign w:val="center"/>
            <w:hideMark/>
          </w:tcPr>
          <w:p w14:paraId="3488588E" w14:textId="77777777" w:rsidR="00474741" w:rsidRPr="006B15C8" w:rsidRDefault="00474741" w:rsidP="00726FC6">
            <w:pPr>
              <w:jc w:val="center"/>
              <w:rPr>
                <w:rFonts w:eastAsia="Arial"/>
                <w:sz w:val="22"/>
                <w:szCs w:val="22"/>
              </w:rPr>
            </w:pPr>
            <w:r w:rsidRPr="006B15C8">
              <w:rPr>
                <w:rFonts w:eastAsia="Arial"/>
                <w:sz w:val="22"/>
                <w:szCs w:val="22"/>
              </w:rPr>
              <w:t>--</w:t>
            </w:r>
          </w:p>
        </w:tc>
        <w:tc>
          <w:tcPr>
            <w:tcW w:w="809" w:type="dxa"/>
            <w:tcBorders>
              <w:left w:val="single" w:sz="6" w:space="0" w:color="000000"/>
              <w:right w:val="single" w:sz="6" w:space="0" w:color="000000"/>
            </w:tcBorders>
            <w:vAlign w:val="center"/>
            <w:hideMark/>
          </w:tcPr>
          <w:p w14:paraId="6DB9FD8D"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11" w:type="dxa"/>
            <w:tcBorders>
              <w:left w:val="single" w:sz="6" w:space="0" w:color="000000"/>
              <w:right w:val="double" w:sz="4" w:space="0" w:color="auto"/>
            </w:tcBorders>
            <w:vAlign w:val="center"/>
            <w:hideMark/>
          </w:tcPr>
          <w:p w14:paraId="1340EC62" w14:textId="77777777" w:rsidR="00474741" w:rsidRPr="006B15C8" w:rsidRDefault="00474741" w:rsidP="00726FC6">
            <w:pPr>
              <w:jc w:val="center"/>
              <w:rPr>
                <w:rFonts w:eastAsia="Arial"/>
                <w:sz w:val="22"/>
                <w:szCs w:val="22"/>
              </w:rPr>
            </w:pPr>
            <w:r w:rsidRPr="006B15C8">
              <w:rPr>
                <w:rFonts w:eastAsia="Arial"/>
                <w:sz w:val="22"/>
                <w:szCs w:val="22"/>
              </w:rPr>
              <w:t>--</w:t>
            </w:r>
          </w:p>
        </w:tc>
      </w:tr>
      <w:tr w:rsidR="00BA33A3" w:rsidRPr="006B15C8" w14:paraId="41F184BA" w14:textId="77777777" w:rsidTr="00C87177">
        <w:trPr>
          <w:trHeight w:val="20"/>
        </w:trPr>
        <w:tc>
          <w:tcPr>
            <w:tcW w:w="3939" w:type="dxa"/>
            <w:tcBorders>
              <w:left w:val="double" w:sz="4" w:space="0" w:color="auto"/>
              <w:right w:val="double" w:sz="4" w:space="0" w:color="auto"/>
            </w:tcBorders>
            <w:vAlign w:val="center"/>
            <w:hideMark/>
          </w:tcPr>
          <w:p w14:paraId="24A5170B" w14:textId="71E017C3"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Evening (20:00-21:59)</w:t>
            </w:r>
          </w:p>
        </w:tc>
        <w:tc>
          <w:tcPr>
            <w:tcW w:w="898" w:type="dxa"/>
            <w:tcBorders>
              <w:left w:val="double" w:sz="4" w:space="0" w:color="auto"/>
              <w:right w:val="single" w:sz="6" w:space="0" w:color="000000"/>
            </w:tcBorders>
            <w:vAlign w:val="center"/>
            <w:hideMark/>
          </w:tcPr>
          <w:p w14:paraId="6C71CA33"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0.932</w:t>
            </w:r>
          </w:p>
        </w:tc>
        <w:tc>
          <w:tcPr>
            <w:tcW w:w="989" w:type="dxa"/>
            <w:tcBorders>
              <w:left w:val="single" w:sz="6" w:space="0" w:color="000000"/>
              <w:right w:val="single" w:sz="6" w:space="0" w:color="000000"/>
            </w:tcBorders>
            <w:vAlign w:val="center"/>
            <w:hideMark/>
          </w:tcPr>
          <w:p w14:paraId="6466F21F" w14:textId="77777777" w:rsidR="00474741" w:rsidRPr="006B15C8" w:rsidRDefault="00474741" w:rsidP="00726FC6">
            <w:pPr>
              <w:ind w:left="-270" w:right="145"/>
              <w:jc w:val="right"/>
              <w:rPr>
                <w:rFonts w:eastAsia="Arial"/>
                <w:sz w:val="22"/>
                <w:szCs w:val="22"/>
              </w:rPr>
            </w:pPr>
            <w:r w:rsidRPr="006B15C8">
              <w:rPr>
                <w:rFonts w:eastAsia="Arial"/>
                <w:sz w:val="22"/>
                <w:szCs w:val="22"/>
              </w:rPr>
              <w:t>5.69</w:t>
            </w:r>
          </w:p>
        </w:tc>
        <w:tc>
          <w:tcPr>
            <w:tcW w:w="890" w:type="dxa"/>
            <w:tcBorders>
              <w:left w:val="single" w:sz="6" w:space="0" w:color="000000"/>
              <w:right w:val="double" w:sz="4" w:space="0" w:color="auto"/>
            </w:tcBorders>
            <w:vAlign w:val="center"/>
            <w:hideMark/>
          </w:tcPr>
          <w:p w14:paraId="5C63892B" w14:textId="77777777" w:rsidR="00474741" w:rsidRPr="006B15C8" w:rsidRDefault="00474741" w:rsidP="00726FC6">
            <w:pPr>
              <w:ind w:left="-345" w:right="215"/>
              <w:jc w:val="right"/>
              <w:rPr>
                <w:rFonts w:eastAsia="Arial"/>
                <w:sz w:val="22"/>
                <w:szCs w:val="22"/>
              </w:rPr>
            </w:pPr>
            <w:r w:rsidRPr="006B15C8">
              <w:rPr>
                <w:rFonts w:eastAsia="Arial"/>
                <w:sz w:val="22"/>
                <w:szCs w:val="22"/>
              </w:rPr>
              <w:t>119.2</w:t>
            </w:r>
          </w:p>
        </w:tc>
        <w:tc>
          <w:tcPr>
            <w:tcW w:w="920" w:type="dxa"/>
            <w:tcBorders>
              <w:left w:val="double" w:sz="4" w:space="0" w:color="auto"/>
              <w:right w:val="single" w:sz="6" w:space="0" w:color="000000"/>
            </w:tcBorders>
            <w:vAlign w:val="center"/>
            <w:hideMark/>
          </w:tcPr>
          <w:p w14:paraId="719224C3" w14:textId="77777777" w:rsidR="00474741" w:rsidRPr="006B15C8" w:rsidRDefault="00474741" w:rsidP="00726FC6">
            <w:pPr>
              <w:jc w:val="center"/>
              <w:rPr>
                <w:rFonts w:eastAsia="Arial"/>
                <w:sz w:val="22"/>
                <w:szCs w:val="22"/>
              </w:rPr>
            </w:pPr>
            <w:r w:rsidRPr="006B15C8">
              <w:rPr>
                <w:rFonts w:eastAsia="Arial"/>
                <w:sz w:val="22"/>
                <w:szCs w:val="22"/>
              </w:rPr>
              <w:t>--</w:t>
            </w:r>
          </w:p>
        </w:tc>
        <w:tc>
          <w:tcPr>
            <w:tcW w:w="809" w:type="dxa"/>
            <w:tcBorders>
              <w:left w:val="single" w:sz="6" w:space="0" w:color="000000"/>
              <w:right w:val="single" w:sz="6" w:space="0" w:color="000000"/>
            </w:tcBorders>
            <w:vAlign w:val="center"/>
            <w:hideMark/>
          </w:tcPr>
          <w:p w14:paraId="0E994D7F"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11" w:type="dxa"/>
            <w:tcBorders>
              <w:left w:val="single" w:sz="6" w:space="0" w:color="000000"/>
              <w:right w:val="double" w:sz="4" w:space="0" w:color="auto"/>
            </w:tcBorders>
            <w:vAlign w:val="center"/>
            <w:hideMark/>
          </w:tcPr>
          <w:p w14:paraId="2A3EAFF8" w14:textId="77777777" w:rsidR="00474741" w:rsidRPr="006B15C8" w:rsidRDefault="00474741" w:rsidP="00726FC6">
            <w:pPr>
              <w:jc w:val="center"/>
              <w:rPr>
                <w:rFonts w:eastAsia="Arial"/>
                <w:sz w:val="22"/>
                <w:szCs w:val="22"/>
              </w:rPr>
            </w:pPr>
            <w:r w:rsidRPr="006B15C8">
              <w:rPr>
                <w:rFonts w:eastAsia="Arial"/>
                <w:sz w:val="22"/>
                <w:szCs w:val="22"/>
              </w:rPr>
              <w:t>--</w:t>
            </w:r>
          </w:p>
        </w:tc>
      </w:tr>
      <w:tr w:rsidR="00BA33A3" w:rsidRPr="006B15C8" w14:paraId="083D37F0" w14:textId="77777777" w:rsidTr="00C87177">
        <w:trPr>
          <w:trHeight w:val="20"/>
        </w:trPr>
        <w:tc>
          <w:tcPr>
            <w:tcW w:w="3939" w:type="dxa"/>
            <w:tcBorders>
              <w:left w:val="double" w:sz="4" w:space="0" w:color="auto"/>
              <w:bottom w:val="single" w:sz="4" w:space="0" w:color="auto"/>
              <w:right w:val="double" w:sz="4" w:space="0" w:color="auto"/>
            </w:tcBorders>
            <w:vAlign w:val="center"/>
            <w:hideMark/>
          </w:tcPr>
          <w:p w14:paraId="697D9FEC" w14:textId="6CA9DBFD"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Night (22:00-03:59)</w:t>
            </w:r>
          </w:p>
        </w:tc>
        <w:tc>
          <w:tcPr>
            <w:tcW w:w="898" w:type="dxa"/>
            <w:tcBorders>
              <w:left w:val="double" w:sz="4" w:space="0" w:color="auto"/>
              <w:bottom w:val="single" w:sz="4" w:space="0" w:color="auto"/>
              <w:right w:val="single" w:sz="6" w:space="0" w:color="000000"/>
            </w:tcBorders>
            <w:vAlign w:val="center"/>
            <w:hideMark/>
          </w:tcPr>
          <w:p w14:paraId="136CFE19"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1.722</w:t>
            </w:r>
          </w:p>
        </w:tc>
        <w:tc>
          <w:tcPr>
            <w:tcW w:w="989" w:type="dxa"/>
            <w:tcBorders>
              <w:left w:val="single" w:sz="6" w:space="0" w:color="000000"/>
              <w:bottom w:val="single" w:sz="4" w:space="0" w:color="auto"/>
              <w:right w:val="single" w:sz="6" w:space="0" w:color="000000"/>
            </w:tcBorders>
            <w:vAlign w:val="center"/>
            <w:hideMark/>
          </w:tcPr>
          <w:p w14:paraId="575CC4FF" w14:textId="77777777" w:rsidR="00474741" w:rsidRPr="006B15C8" w:rsidRDefault="00474741" w:rsidP="00726FC6">
            <w:pPr>
              <w:ind w:left="-270" w:right="145"/>
              <w:jc w:val="right"/>
              <w:rPr>
                <w:rFonts w:eastAsia="Arial"/>
                <w:sz w:val="22"/>
                <w:szCs w:val="22"/>
              </w:rPr>
            </w:pPr>
            <w:r w:rsidRPr="006B15C8">
              <w:rPr>
                <w:rFonts w:eastAsia="Arial"/>
                <w:sz w:val="22"/>
                <w:szCs w:val="22"/>
              </w:rPr>
              <w:t>10.55</w:t>
            </w:r>
          </w:p>
        </w:tc>
        <w:tc>
          <w:tcPr>
            <w:tcW w:w="890" w:type="dxa"/>
            <w:tcBorders>
              <w:left w:val="single" w:sz="6" w:space="0" w:color="000000"/>
              <w:bottom w:val="single" w:sz="4" w:space="0" w:color="auto"/>
              <w:right w:val="double" w:sz="4" w:space="0" w:color="auto"/>
            </w:tcBorders>
            <w:vAlign w:val="center"/>
            <w:hideMark/>
          </w:tcPr>
          <w:p w14:paraId="1CFE4228" w14:textId="77777777" w:rsidR="00474741" w:rsidRPr="006B15C8" w:rsidRDefault="00474741" w:rsidP="00726FC6">
            <w:pPr>
              <w:ind w:left="-345" w:right="215"/>
              <w:jc w:val="right"/>
              <w:rPr>
                <w:rFonts w:eastAsia="Arial"/>
                <w:sz w:val="22"/>
                <w:szCs w:val="22"/>
              </w:rPr>
            </w:pPr>
            <w:r w:rsidRPr="006B15C8">
              <w:rPr>
                <w:rFonts w:eastAsia="Arial"/>
                <w:sz w:val="22"/>
                <w:szCs w:val="22"/>
              </w:rPr>
              <w:t>299.6</w:t>
            </w:r>
          </w:p>
        </w:tc>
        <w:tc>
          <w:tcPr>
            <w:tcW w:w="920" w:type="dxa"/>
            <w:tcBorders>
              <w:left w:val="double" w:sz="4" w:space="0" w:color="auto"/>
              <w:bottom w:val="single" w:sz="4" w:space="0" w:color="auto"/>
              <w:right w:val="single" w:sz="6" w:space="0" w:color="000000"/>
            </w:tcBorders>
            <w:vAlign w:val="center"/>
            <w:hideMark/>
          </w:tcPr>
          <w:p w14:paraId="613CB200" w14:textId="77777777" w:rsidR="00474741" w:rsidRPr="006B15C8" w:rsidRDefault="00474741" w:rsidP="00726FC6">
            <w:pPr>
              <w:jc w:val="center"/>
              <w:rPr>
                <w:rFonts w:eastAsia="Arial"/>
                <w:sz w:val="22"/>
                <w:szCs w:val="22"/>
              </w:rPr>
            </w:pPr>
            <w:r w:rsidRPr="006B15C8">
              <w:rPr>
                <w:rFonts w:eastAsia="Arial"/>
                <w:sz w:val="22"/>
                <w:szCs w:val="22"/>
              </w:rPr>
              <w:t>--</w:t>
            </w:r>
          </w:p>
        </w:tc>
        <w:tc>
          <w:tcPr>
            <w:tcW w:w="809" w:type="dxa"/>
            <w:tcBorders>
              <w:left w:val="single" w:sz="6" w:space="0" w:color="000000"/>
              <w:bottom w:val="single" w:sz="4" w:space="0" w:color="auto"/>
              <w:right w:val="single" w:sz="6" w:space="0" w:color="000000"/>
            </w:tcBorders>
            <w:vAlign w:val="center"/>
            <w:hideMark/>
          </w:tcPr>
          <w:p w14:paraId="7085900D"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11" w:type="dxa"/>
            <w:tcBorders>
              <w:left w:val="single" w:sz="6" w:space="0" w:color="000000"/>
              <w:bottom w:val="single" w:sz="4" w:space="0" w:color="auto"/>
              <w:right w:val="double" w:sz="4" w:space="0" w:color="auto"/>
            </w:tcBorders>
            <w:vAlign w:val="center"/>
            <w:hideMark/>
          </w:tcPr>
          <w:p w14:paraId="4EF42BB2" w14:textId="77777777" w:rsidR="00474741" w:rsidRPr="006B15C8" w:rsidRDefault="00474741" w:rsidP="00726FC6">
            <w:pPr>
              <w:jc w:val="center"/>
              <w:rPr>
                <w:rFonts w:eastAsia="Arial"/>
                <w:sz w:val="22"/>
                <w:szCs w:val="22"/>
              </w:rPr>
            </w:pPr>
            <w:r w:rsidRPr="006B15C8">
              <w:rPr>
                <w:rFonts w:eastAsia="Arial"/>
                <w:sz w:val="22"/>
                <w:szCs w:val="22"/>
              </w:rPr>
              <w:t>--</w:t>
            </w:r>
          </w:p>
        </w:tc>
      </w:tr>
      <w:tr w:rsidR="00474741" w:rsidRPr="006B15C8" w14:paraId="6A6FFD43" w14:textId="77777777" w:rsidTr="00726FC6">
        <w:trPr>
          <w:trHeight w:val="20"/>
        </w:trPr>
        <w:tc>
          <w:tcPr>
            <w:tcW w:w="9356" w:type="dxa"/>
            <w:gridSpan w:val="7"/>
            <w:tcBorders>
              <w:top w:val="single" w:sz="4" w:space="0" w:color="auto"/>
              <w:left w:val="double" w:sz="4" w:space="0" w:color="auto"/>
              <w:bottom w:val="single" w:sz="4" w:space="0" w:color="auto"/>
              <w:right w:val="double" w:sz="4" w:space="0" w:color="auto"/>
            </w:tcBorders>
            <w:vAlign w:val="center"/>
            <w:hideMark/>
          </w:tcPr>
          <w:p w14:paraId="2F97B7B9" w14:textId="26B7521C" w:rsidR="00474741" w:rsidRPr="006B15C8" w:rsidRDefault="00F673F0" w:rsidP="00474741">
            <w:pPr>
              <w:jc w:val="left"/>
              <w:rPr>
                <w:rFonts w:eastAsia="Arial"/>
                <w:sz w:val="22"/>
                <w:szCs w:val="22"/>
              </w:rPr>
            </w:pPr>
            <w:r w:rsidRPr="006B15C8">
              <w:rPr>
                <w:rFonts w:eastAsia="Arial"/>
                <w:i/>
                <w:iCs/>
                <w:sz w:val="22"/>
                <w:szCs w:val="22"/>
              </w:rPr>
              <w:t xml:space="preserve">  </w:t>
            </w:r>
            <w:r w:rsidR="00474741" w:rsidRPr="006B15C8">
              <w:rPr>
                <w:rFonts w:eastAsia="Arial"/>
                <w:i/>
                <w:iCs/>
                <w:sz w:val="22"/>
                <w:szCs w:val="22"/>
              </w:rPr>
              <w:t>Pedestrian Demographics and Time-of-Day Interactions</w:t>
            </w:r>
          </w:p>
        </w:tc>
      </w:tr>
      <w:tr w:rsidR="00BA33A3" w:rsidRPr="006B15C8" w14:paraId="6F438720" w14:textId="77777777" w:rsidTr="00C87177">
        <w:trPr>
          <w:trHeight w:val="20"/>
        </w:trPr>
        <w:tc>
          <w:tcPr>
            <w:tcW w:w="3939" w:type="dxa"/>
            <w:tcBorders>
              <w:top w:val="single" w:sz="4" w:space="0" w:color="auto"/>
              <w:left w:val="double" w:sz="4" w:space="0" w:color="auto"/>
              <w:right w:val="double" w:sz="4" w:space="0" w:color="auto"/>
            </w:tcBorders>
            <w:vAlign w:val="center"/>
            <w:hideMark/>
          </w:tcPr>
          <w:p w14:paraId="6553D100" w14:textId="5CFE2A28"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Male × Nighttime (Dawn/Night)</w:t>
            </w:r>
          </w:p>
        </w:tc>
        <w:tc>
          <w:tcPr>
            <w:tcW w:w="898" w:type="dxa"/>
            <w:tcBorders>
              <w:top w:val="single" w:sz="4" w:space="0" w:color="auto"/>
              <w:left w:val="double" w:sz="4" w:space="0" w:color="auto"/>
              <w:right w:val="single" w:sz="6" w:space="0" w:color="000000"/>
            </w:tcBorders>
            <w:shd w:val="clear" w:color="auto" w:fill="FFFFFF"/>
            <w:vAlign w:val="center"/>
            <w:hideMark/>
          </w:tcPr>
          <w:p w14:paraId="5B85C8C9"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-0.446</w:t>
            </w:r>
          </w:p>
        </w:tc>
        <w:tc>
          <w:tcPr>
            <w:tcW w:w="989" w:type="dxa"/>
            <w:tcBorders>
              <w:top w:val="single" w:sz="4" w:space="0" w:color="auto"/>
              <w:left w:val="single" w:sz="6" w:space="0" w:color="000000"/>
              <w:right w:val="single" w:sz="6" w:space="0" w:color="000000"/>
            </w:tcBorders>
            <w:vAlign w:val="center"/>
            <w:hideMark/>
          </w:tcPr>
          <w:p w14:paraId="3674B46A" w14:textId="77777777" w:rsidR="00474741" w:rsidRPr="006B15C8" w:rsidRDefault="00474741" w:rsidP="00726FC6">
            <w:pPr>
              <w:ind w:left="-270" w:right="145"/>
              <w:jc w:val="right"/>
              <w:rPr>
                <w:rFonts w:eastAsia="Arial"/>
                <w:sz w:val="22"/>
                <w:szCs w:val="22"/>
              </w:rPr>
            </w:pPr>
            <w:r w:rsidRPr="006B15C8">
              <w:rPr>
                <w:rFonts w:eastAsia="Arial"/>
                <w:sz w:val="22"/>
                <w:szCs w:val="22"/>
              </w:rPr>
              <w:t>-2.69</w:t>
            </w:r>
          </w:p>
        </w:tc>
        <w:tc>
          <w:tcPr>
            <w:tcW w:w="890" w:type="dxa"/>
            <w:tcBorders>
              <w:top w:val="single" w:sz="4" w:space="0" w:color="auto"/>
              <w:left w:val="single" w:sz="6" w:space="0" w:color="000000"/>
              <w:right w:val="double" w:sz="4" w:space="0" w:color="auto"/>
            </w:tcBorders>
            <w:shd w:val="clear" w:color="auto" w:fill="FFFFFF"/>
            <w:vAlign w:val="center"/>
            <w:hideMark/>
          </w:tcPr>
          <w:p w14:paraId="363A27D7" w14:textId="6D738716" w:rsidR="00474741" w:rsidRPr="006B15C8" w:rsidRDefault="00474741" w:rsidP="00726FC6">
            <w:pPr>
              <w:ind w:left="-333" w:right="114"/>
              <w:jc w:val="right"/>
              <w:rPr>
                <w:rFonts w:eastAsia="Arial"/>
                <w:sz w:val="22"/>
                <w:szCs w:val="22"/>
              </w:rPr>
            </w:pPr>
            <w:r w:rsidRPr="006B15C8">
              <w:rPr>
                <w:rFonts w:eastAsia="Arial"/>
                <w:sz w:val="22"/>
                <w:szCs w:val="22"/>
              </w:rPr>
              <w:t>-0.2</w:t>
            </w:r>
            <w:r w:rsidRPr="006B15C8">
              <w:rPr>
                <w:rFonts w:eastAsia="Arial"/>
                <w:sz w:val="22"/>
                <w:szCs w:val="22"/>
                <w:vertAlign w:val="superscript"/>
              </w:rPr>
              <w:t>a</w:t>
            </w:r>
          </w:p>
        </w:tc>
        <w:tc>
          <w:tcPr>
            <w:tcW w:w="920" w:type="dxa"/>
            <w:tcBorders>
              <w:top w:val="single" w:sz="4" w:space="0" w:color="auto"/>
              <w:left w:val="double" w:sz="4" w:space="0" w:color="auto"/>
              <w:right w:val="single" w:sz="6" w:space="0" w:color="000000"/>
            </w:tcBorders>
            <w:vAlign w:val="center"/>
            <w:hideMark/>
          </w:tcPr>
          <w:p w14:paraId="70173B12" w14:textId="77777777" w:rsidR="00474741" w:rsidRPr="006B15C8" w:rsidRDefault="00474741" w:rsidP="00726FC6">
            <w:pPr>
              <w:tabs>
                <w:tab w:val="left" w:pos="-165"/>
              </w:tabs>
              <w:ind w:left="-165" w:right="208"/>
              <w:jc w:val="right"/>
              <w:rPr>
                <w:rFonts w:eastAsia="Arial"/>
                <w:sz w:val="22"/>
                <w:szCs w:val="22"/>
              </w:rPr>
            </w:pPr>
            <w:r w:rsidRPr="006B15C8">
              <w:rPr>
                <w:rFonts w:eastAsia="Arial"/>
                <w:sz w:val="22"/>
                <w:szCs w:val="22"/>
              </w:rPr>
              <w:t>0.622</w:t>
            </w:r>
          </w:p>
        </w:tc>
        <w:tc>
          <w:tcPr>
            <w:tcW w:w="809" w:type="dxa"/>
            <w:tcBorders>
              <w:top w:val="single" w:sz="4" w:space="0" w:color="auto"/>
              <w:left w:val="single" w:sz="6" w:space="0" w:color="000000"/>
              <w:right w:val="single" w:sz="6" w:space="0" w:color="000000"/>
            </w:tcBorders>
            <w:vAlign w:val="center"/>
            <w:hideMark/>
          </w:tcPr>
          <w:p w14:paraId="464204D2" w14:textId="77777777" w:rsidR="00474741" w:rsidRPr="006B15C8" w:rsidRDefault="00474741" w:rsidP="00726FC6">
            <w:pPr>
              <w:ind w:left="-270" w:right="145"/>
              <w:jc w:val="right"/>
              <w:rPr>
                <w:rFonts w:eastAsia="Arial"/>
                <w:sz w:val="22"/>
                <w:szCs w:val="22"/>
              </w:rPr>
            </w:pPr>
            <w:r w:rsidRPr="006B15C8">
              <w:rPr>
                <w:rFonts w:eastAsia="Arial"/>
                <w:sz w:val="22"/>
                <w:szCs w:val="22"/>
              </w:rPr>
              <w:t>2.84</w:t>
            </w:r>
          </w:p>
        </w:tc>
        <w:tc>
          <w:tcPr>
            <w:tcW w:w="911" w:type="dxa"/>
            <w:tcBorders>
              <w:top w:val="single" w:sz="4" w:space="0" w:color="auto"/>
              <w:left w:val="single" w:sz="6" w:space="0" w:color="000000"/>
              <w:right w:val="double" w:sz="4" w:space="0" w:color="auto"/>
            </w:tcBorders>
            <w:vAlign w:val="center"/>
            <w:hideMark/>
          </w:tcPr>
          <w:p w14:paraId="6DBFB9B0" w14:textId="77777777" w:rsidR="00474741" w:rsidRPr="006B15C8" w:rsidRDefault="00474741" w:rsidP="00726FC6">
            <w:pPr>
              <w:ind w:left="-333" w:right="114"/>
              <w:jc w:val="right"/>
              <w:rPr>
                <w:rFonts w:eastAsia="Arial"/>
                <w:sz w:val="22"/>
                <w:szCs w:val="22"/>
              </w:rPr>
            </w:pPr>
            <w:r w:rsidRPr="006B15C8">
              <w:rPr>
                <w:rFonts w:eastAsia="Arial"/>
                <w:sz w:val="22"/>
                <w:szCs w:val="22"/>
              </w:rPr>
              <w:t>64.2</w:t>
            </w:r>
            <w:r w:rsidR="00C93A66" w:rsidRPr="006B15C8">
              <w:rPr>
                <w:rFonts w:eastAsia="Arial"/>
                <w:sz w:val="22"/>
                <w:szCs w:val="22"/>
                <w:vertAlign w:val="superscript"/>
              </w:rPr>
              <w:t>a</w:t>
            </w:r>
          </w:p>
        </w:tc>
      </w:tr>
      <w:tr w:rsidR="00BA33A3" w:rsidRPr="006B15C8" w14:paraId="108FD076" w14:textId="77777777" w:rsidTr="00C87177">
        <w:trPr>
          <w:trHeight w:val="20"/>
        </w:trPr>
        <w:tc>
          <w:tcPr>
            <w:tcW w:w="3939" w:type="dxa"/>
            <w:tcBorders>
              <w:left w:val="double" w:sz="4" w:space="0" w:color="auto"/>
              <w:right w:val="double" w:sz="4" w:space="0" w:color="auto"/>
            </w:tcBorders>
            <w:vAlign w:val="center"/>
            <w:hideMark/>
          </w:tcPr>
          <w:p w14:paraId="0CA3CFF0" w14:textId="00C1AA80"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Brown × Nighttime (Dawn/Night)</w:t>
            </w:r>
          </w:p>
        </w:tc>
        <w:tc>
          <w:tcPr>
            <w:tcW w:w="898" w:type="dxa"/>
            <w:tcBorders>
              <w:left w:val="double" w:sz="4" w:space="0" w:color="auto"/>
              <w:right w:val="single" w:sz="6" w:space="0" w:color="000000"/>
            </w:tcBorders>
            <w:shd w:val="clear" w:color="auto" w:fill="FFFFFF"/>
            <w:vAlign w:val="center"/>
            <w:hideMark/>
          </w:tcPr>
          <w:p w14:paraId="036CE0AA"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-0.826</w:t>
            </w:r>
          </w:p>
        </w:tc>
        <w:tc>
          <w:tcPr>
            <w:tcW w:w="989" w:type="dxa"/>
            <w:tcBorders>
              <w:left w:val="single" w:sz="6" w:space="0" w:color="000000"/>
              <w:right w:val="single" w:sz="6" w:space="0" w:color="000000"/>
            </w:tcBorders>
            <w:vAlign w:val="center"/>
            <w:hideMark/>
          </w:tcPr>
          <w:p w14:paraId="02F38F43" w14:textId="77777777" w:rsidR="00474741" w:rsidRPr="006B15C8" w:rsidRDefault="00474741" w:rsidP="00726FC6">
            <w:pPr>
              <w:ind w:left="-270" w:right="145"/>
              <w:jc w:val="right"/>
              <w:rPr>
                <w:rFonts w:eastAsia="Arial"/>
                <w:sz w:val="22"/>
                <w:szCs w:val="22"/>
              </w:rPr>
            </w:pPr>
            <w:r w:rsidRPr="006B15C8">
              <w:rPr>
                <w:rFonts w:eastAsia="Arial"/>
                <w:sz w:val="22"/>
                <w:szCs w:val="22"/>
              </w:rPr>
              <w:t>-2.01</w:t>
            </w:r>
          </w:p>
        </w:tc>
        <w:tc>
          <w:tcPr>
            <w:tcW w:w="890" w:type="dxa"/>
            <w:tcBorders>
              <w:left w:val="single" w:sz="6" w:space="0" w:color="000000"/>
              <w:right w:val="double" w:sz="4" w:space="0" w:color="auto"/>
            </w:tcBorders>
            <w:shd w:val="clear" w:color="auto" w:fill="FFFFFF"/>
            <w:vAlign w:val="center"/>
            <w:hideMark/>
          </w:tcPr>
          <w:p w14:paraId="54CBA4FA" w14:textId="77777777" w:rsidR="00474741" w:rsidRPr="006B15C8" w:rsidRDefault="00474741" w:rsidP="00726FC6">
            <w:pPr>
              <w:ind w:left="-333" w:right="114"/>
              <w:jc w:val="right"/>
              <w:rPr>
                <w:rFonts w:eastAsia="Arial"/>
                <w:sz w:val="22"/>
                <w:szCs w:val="22"/>
              </w:rPr>
            </w:pPr>
            <w:r w:rsidRPr="006B15C8">
              <w:rPr>
                <w:rFonts w:eastAsia="Arial"/>
                <w:sz w:val="22"/>
                <w:szCs w:val="22"/>
              </w:rPr>
              <w:t>-52.4</w:t>
            </w:r>
            <w:r w:rsidRPr="006B15C8">
              <w:rPr>
                <w:rFonts w:eastAsia="Arial"/>
                <w:sz w:val="22"/>
                <w:szCs w:val="22"/>
                <w:vertAlign w:val="superscript"/>
              </w:rPr>
              <w:t>b</w:t>
            </w:r>
          </w:p>
        </w:tc>
        <w:tc>
          <w:tcPr>
            <w:tcW w:w="920" w:type="dxa"/>
            <w:tcBorders>
              <w:left w:val="double" w:sz="4" w:space="0" w:color="auto"/>
              <w:right w:val="single" w:sz="6" w:space="0" w:color="000000"/>
            </w:tcBorders>
            <w:vAlign w:val="center"/>
            <w:hideMark/>
          </w:tcPr>
          <w:p w14:paraId="2384E809" w14:textId="77777777" w:rsidR="00474741" w:rsidRPr="006B15C8" w:rsidRDefault="00474741" w:rsidP="00726FC6">
            <w:pPr>
              <w:jc w:val="center"/>
              <w:rPr>
                <w:rFonts w:eastAsia="Arial"/>
                <w:sz w:val="22"/>
                <w:szCs w:val="22"/>
              </w:rPr>
            </w:pPr>
            <w:r w:rsidRPr="006B15C8">
              <w:rPr>
                <w:rFonts w:eastAsia="Arial"/>
                <w:sz w:val="22"/>
                <w:szCs w:val="22"/>
              </w:rPr>
              <w:t>--</w:t>
            </w:r>
          </w:p>
        </w:tc>
        <w:tc>
          <w:tcPr>
            <w:tcW w:w="809" w:type="dxa"/>
            <w:tcBorders>
              <w:left w:val="single" w:sz="6" w:space="0" w:color="000000"/>
              <w:right w:val="single" w:sz="6" w:space="0" w:color="000000"/>
            </w:tcBorders>
            <w:vAlign w:val="center"/>
            <w:hideMark/>
          </w:tcPr>
          <w:p w14:paraId="3CC66A40"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11" w:type="dxa"/>
            <w:tcBorders>
              <w:left w:val="single" w:sz="6" w:space="0" w:color="000000"/>
              <w:right w:val="double" w:sz="4" w:space="0" w:color="auto"/>
            </w:tcBorders>
            <w:vAlign w:val="center"/>
            <w:hideMark/>
          </w:tcPr>
          <w:p w14:paraId="22E6EFF2" w14:textId="77777777" w:rsidR="00474741" w:rsidRPr="006B15C8" w:rsidRDefault="00474741" w:rsidP="00726FC6">
            <w:pPr>
              <w:jc w:val="center"/>
              <w:rPr>
                <w:rFonts w:eastAsia="Arial"/>
                <w:sz w:val="22"/>
                <w:szCs w:val="22"/>
              </w:rPr>
            </w:pPr>
            <w:r w:rsidRPr="006B15C8">
              <w:rPr>
                <w:rFonts w:eastAsia="Arial"/>
                <w:sz w:val="22"/>
                <w:szCs w:val="22"/>
              </w:rPr>
              <w:t>--</w:t>
            </w:r>
          </w:p>
        </w:tc>
      </w:tr>
      <w:tr w:rsidR="00BA33A3" w:rsidRPr="006B15C8" w14:paraId="587912A4" w14:textId="77777777" w:rsidTr="00726FC6">
        <w:trPr>
          <w:trHeight w:val="20"/>
        </w:trPr>
        <w:tc>
          <w:tcPr>
            <w:tcW w:w="3939" w:type="dxa"/>
            <w:tcBorders>
              <w:left w:val="double" w:sz="4" w:space="0" w:color="auto"/>
              <w:bottom w:val="single" w:sz="6" w:space="0" w:color="000000"/>
              <w:right w:val="double" w:sz="4" w:space="0" w:color="auto"/>
            </w:tcBorders>
            <w:vAlign w:val="center"/>
            <w:hideMark/>
          </w:tcPr>
          <w:p w14:paraId="783D0585" w14:textId="3AAE0632"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Black × Nighttime (Dawn/Night)</w:t>
            </w:r>
          </w:p>
        </w:tc>
        <w:tc>
          <w:tcPr>
            <w:tcW w:w="898" w:type="dxa"/>
            <w:tcBorders>
              <w:left w:val="double" w:sz="4" w:space="0" w:color="auto"/>
              <w:bottom w:val="single" w:sz="6" w:space="0" w:color="000000"/>
              <w:right w:val="single" w:sz="6" w:space="0" w:color="000000"/>
            </w:tcBorders>
            <w:shd w:val="clear" w:color="auto" w:fill="FFFFFF"/>
            <w:vAlign w:val="center"/>
            <w:hideMark/>
          </w:tcPr>
          <w:p w14:paraId="5809CA88"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-0.482</w:t>
            </w:r>
          </w:p>
        </w:tc>
        <w:tc>
          <w:tcPr>
            <w:tcW w:w="989" w:type="dxa"/>
            <w:tcBorders>
              <w:left w:val="single" w:sz="6" w:space="0" w:color="000000"/>
              <w:bottom w:val="single" w:sz="6" w:space="0" w:color="000000"/>
              <w:right w:val="single" w:sz="6" w:space="0" w:color="000000"/>
            </w:tcBorders>
            <w:vAlign w:val="center"/>
            <w:hideMark/>
          </w:tcPr>
          <w:p w14:paraId="0AABB021" w14:textId="77777777" w:rsidR="00474741" w:rsidRPr="006B15C8" w:rsidRDefault="00474741" w:rsidP="00726FC6">
            <w:pPr>
              <w:ind w:left="-270" w:right="145"/>
              <w:jc w:val="right"/>
              <w:rPr>
                <w:rFonts w:eastAsia="Arial"/>
                <w:sz w:val="22"/>
                <w:szCs w:val="22"/>
              </w:rPr>
            </w:pPr>
            <w:r w:rsidRPr="006B15C8">
              <w:rPr>
                <w:rFonts w:eastAsia="Arial"/>
                <w:sz w:val="22"/>
                <w:szCs w:val="22"/>
              </w:rPr>
              <w:t>-1.80</w:t>
            </w:r>
          </w:p>
        </w:tc>
        <w:tc>
          <w:tcPr>
            <w:tcW w:w="890" w:type="dxa"/>
            <w:tcBorders>
              <w:left w:val="single" w:sz="6" w:space="0" w:color="000000"/>
              <w:bottom w:val="single" w:sz="6" w:space="0" w:color="000000"/>
              <w:right w:val="double" w:sz="4" w:space="0" w:color="auto"/>
            </w:tcBorders>
            <w:shd w:val="clear" w:color="auto" w:fill="FFFFFF"/>
            <w:vAlign w:val="center"/>
            <w:hideMark/>
          </w:tcPr>
          <w:p w14:paraId="7790AAF7" w14:textId="77777777" w:rsidR="00474741" w:rsidRPr="006B15C8" w:rsidRDefault="00474741" w:rsidP="00726FC6">
            <w:pPr>
              <w:ind w:left="-333" w:right="114"/>
              <w:jc w:val="right"/>
              <w:rPr>
                <w:rFonts w:eastAsia="Arial"/>
                <w:sz w:val="22"/>
                <w:szCs w:val="22"/>
              </w:rPr>
            </w:pPr>
            <w:r w:rsidRPr="006B15C8">
              <w:rPr>
                <w:rFonts w:eastAsia="Arial"/>
                <w:sz w:val="22"/>
                <w:szCs w:val="22"/>
              </w:rPr>
              <w:t>-5.9</w:t>
            </w:r>
            <w:r w:rsidRPr="006B15C8">
              <w:rPr>
                <w:rFonts w:eastAsia="Arial"/>
                <w:sz w:val="22"/>
                <w:szCs w:val="22"/>
                <w:vertAlign w:val="superscript"/>
              </w:rPr>
              <w:t>b</w:t>
            </w:r>
          </w:p>
        </w:tc>
        <w:tc>
          <w:tcPr>
            <w:tcW w:w="920" w:type="dxa"/>
            <w:tcBorders>
              <w:left w:val="double" w:sz="4" w:space="0" w:color="auto"/>
              <w:bottom w:val="single" w:sz="6" w:space="0" w:color="000000"/>
              <w:right w:val="single" w:sz="6" w:space="0" w:color="000000"/>
            </w:tcBorders>
            <w:vAlign w:val="center"/>
            <w:hideMark/>
          </w:tcPr>
          <w:p w14:paraId="03FBC2CA" w14:textId="77777777" w:rsidR="00474741" w:rsidRPr="006B15C8" w:rsidRDefault="00474741" w:rsidP="00726FC6">
            <w:pPr>
              <w:jc w:val="center"/>
              <w:rPr>
                <w:rFonts w:eastAsia="Arial"/>
                <w:sz w:val="22"/>
                <w:szCs w:val="22"/>
              </w:rPr>
            </w:pPr>
            <w:r w:rsidRPr="006B15C8">
              <w:rPr>
                <w:rFonts w:eastAsia="Arial"/>
                <w:sz w:val="22"/>
                <w:szCs w:val="22"/>
              </w:rPr>
              <w:t>--</w:t>
            </w:r>
          </w:p>
        </w:tc>
        <w:tc>
          <w:tcPr>
            <w:tcW w:w="809" w:type="dxa"/>
            <w:tcBorders>
              <w:left w:val="single" w:sz="6" w:space="0" w:color="000000"/>
              <w:bottom w:val="single" w:sz="6" w:space="0" w:color="000000"/>
              <w:right w:val="single" w:sz="6" w:space="0" w:color="000000"/>
            </w:tcBorders>
            <w:vAlign w:val="center"/>
            <w:hideMark/>
          </w:tcPr>
          <w:p w14:paraId="6C6C7900"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11" w:type="dxa"/>
            <w:tcBorders>
              <w:left w:val="single" w:sz="6" w:space="0" w:color="000000"/>
              <w:bottom w:val="single" w:sz="6" w:space="0" w:color="000000"/>
              <w:right w:val="double" w:sz="4" w:space="0" w:color="auto"/>
            </w:tcBorders>
            <w:vAlign w:val="center"/>
            <w:hideMark/>
          </w:tcPr>
          <w:p w14:paraId="186AE8FE" w14:textId="77777777" w:rsidR="00474741" w:rsidRPr="006B15C8" w:rsidRDefault="00474741" w:rsidP="00726FC6">
            <w:pPr>
              <w:jc w:val="center"/>
              <w:rPr>
                <w:rFonts w:eastAsia="Arial"/>
                <w:sz w:val="22"/>
                <w:szCs w:val="22"/>
              </w:rPr>
            </w:pPr>
            <w:r w:rsidRPr="006B15C8">
              <w:rPr>
                <w:rFonts w:eastAsia="Arial"/>
                <w:sz w:val="22"/>
                <w:szCs w:val="22"/>
              </w:rPr>
              <w:t>--</w:t>
            </w:r>
          </w:p>
        </w:tc>
      </w:tr>
      <w:tr w:rsidR="00474741" w:rsidRPr="006B15C8" w14:paraId="50199490" w14:textId="77777777" w:rsidTr="00C87177">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37CD0A86" w14:textId="77777777" w:rsidR="00474741" w:rsidRPr="006B15C8" w:rsidRDefault="00474741" w:rsidP="00474741">
            <w:pPr>
              <w:jc w:val="left"/>
              <w:rPr>
                <w:rFonts w:eastAsia="Arial"/>
                <w:sz w:val="22"/>
                <w:szCs w:val="22"/>
              </w:rPr>
            </w:pPr>
            <w:r w:rsidRPr="006B15C8">
              <w:rPr>
                <w:rFonts w:eastAsia="Arial"/>
                <w:b/>
                <w:bCs/>
                <w:sz w:val="22"/>
                <w:szCs w:val="22"/>
              </w:rPr>
              <w:t>Vehicle Characteristics</w:t>
            </w:r>
          </w:p>
        </w:tc>
      </w:tr>
      <w:tr w:rsidR="00474741" w:rsidRPr="006B15C8" w14:paraId="48AE8C65" w14:textId="77777777" w:rsidTr="00726FC6">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00654902" w14:textId="1AB7017B" w:rsidR="00474741" w:rsidRPr="006B15C8" w:rsidRDefault="00F673F0" w:rsidP="00474741">
            <w:pPr>
              <w:jc w:val="left"/>
              <w:rPr>
                <w:rFonts w:eastAsia="Arial"/>
                <w:sz w:val="22"/>
                <w:szCs w:val="22"/>
              </w:rPr>
            </w:pPr>
            <w:r w:rsidRPr="006B15C8">
              <w:rPr>
                <w:rFonts w:eastAsia="Arial"/>
                <w:i/>
                <w:iCs/>
                <w:sz w:val="22"/>
                <w:szCs w:val="22"/>
              </w:rPr>
              <w:t xml:space="preserve">  </w:t>
            </w:r>
            <w:r w:rsidR="00474741" w:rsidRPr="006B15C8">
              <w:rPr>
                <w:rFonts w:eastAsia="Arial"/>
                <w:i/>
                <w:iCs/>
                <w:sz w:val="22"/>
                <w:szCs w:val="22"/>
              </w:rPr>
              <w:t>Vehicle Type</w:t>
            </w:r>
            <w:r w:rsidR="00474741" w:rsidRPr="006B15C8">
              <w:rPr>
                <w:rFonts w:eastAsia="Arial"/>
                <w:b/>
                <w:bCs/>
                <w:sz w:val="22"/>
                <w:szCs w:val="22"/>
              </w:rPr>
              <w:t xml:space="preserve"> </w:t>
            </w:r>
            <w:r w:rsidR="00474741" w:rsidRPr="006B15C8">
              <w:rPr>
                <w:rFonts w:eastAsia="Arial"/>
                <w:sz w:val="22"/>
                <w:szCs w:val="22"/>
              </w:rPr>
              <w:t>(</w:t>
            </w:r>
            <w:r w:rsidR="00474741" w:rsidRPr="006B15C8">
              <w:rPr>
                <w:rFonts w:eastAsia="Arial"/>
                <w:i/>
                <w:iCs/>
                <w:sz w:val="22"/>
                <w:szCs w:val="22"/>
              </w:rPr>
              <w:t>Base: SUV, sedan, pickup truck, other</w:t>
            </w:r>
            <w:r w:rsidR="00474741" w:rsidRPr="006B15C8">
              <w:rPr>
                <w:rFonts w:eastAsia="Arial"/>
                <w:sz w:val="22"/>
                <w:szCs w:val="22"/>
              </w:rPr>
              <w:t>)</w:t>
            </w:r>
          </w:p>
        </w:tc>
      </w:tr>
      <w:tr w:rsidR="00404FE1" w:rsidRPr="006B15C8" w14:paraId="42BCF71D"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6B4CE125" w14:textId="5C4E7795"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Commercial vehicle</w:t>
            </w:r>
          </w:p>
        </w:tc>
        <w:tc>
          <w:tcPr>
            <w:tcW w:w="898" w:type="dxa"/>
            <w:tcBorders>
              <w:top w:val="single" w:sz="6" w:space="0" w:color="000000"/>
              <w:left w:val="double" w:sz="4" w:space="0" w:color="auto"/>
              <w:bottom w:val="single" w:sz="6" w:space="0" w:color="000000"/>
              <w:right w:val="single" w:sz="6" w:space="0" w:color="000000"/>
            </w:tcBorders>
            <w:vAlign w:val="center"/>
            <w:hideMark/>
          </w:tcPr>
          <w:p w14:paraId="7F664A97"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89" w:type="dxa"/>
            <w:tcBorders>
              <w:top w:val="single" w:sz="6" w:space="0" w:color="000000"/>
              <w:left w:val="single" w:sz="6" w:space="0" w:color="000000"/>
              <w:bottom w:val="single" w:sz="6" w:space="0" w:color="000000"/>
              <w:right w:val="single" w:sz="6" w:space="0" w:color="000000"/>
            </w:tcBorders>
            <w:vAlign w:val="center"/>
            <w:hideMark/>
          </w:tcPr>
          <w:p w14:paraId="12487054" w14:textId="77777777" w:rsidR="00474741" w:rsidRPr="006B15C8" w:rsidRDefault="00474741" w:rsidP="00726FC6">
            <w:pPr>
              <w:jc w:val="center"/>
              <w:rPr>
                <w:rFonts w:eastAsia="Arial"/>
                <w:sz w:val="22"/>
                <w:szCs w:val="22"/>
              </w:rPr>
            </w:pPr>
            <w:r w:rsidRPr="006B15C8">
              <w:rPr>
                <w:rFonts w:eastAsia="Arial"/>
                <w:sz w:val="22"/>
                <w:szCs w:val="22"/>
              </w:rPr>
              <w:t>--</w:t>
            </w:r>
          </w:p>
        </w:tc>
        <w:tc>
          <w:tcPr>
            <w:tcW w:w="890" w:type="dxa"/>
            <w:tcBorders>
              <w:top w:val="single" w:sz="6" w:space="0" w:color="000000"/>
              <w:left w:val="single" w:sz="6" w:space="0" w:color="000000"/>
              <w:bottom w:val="single" w:sz="6" w:space="0" w:color="000000"/>
              <w:right w:val="double" w:sz="4" w:space="0" w:color="auto"/>
            </w:tcBorders>
            <w:vAlign w:val="center"/>
            <w:hideMark/>
          </w:tcPr>
          <w:p w14:paraId="000A0888" w14:textId="77777777" w:rsidR="00474741" w:rsidRPr="006B15C8" w:rsidRDefault="00474741" w:rsidP="00726FC6">
            <w:pPr>
              <w:jc w:val="center"/>
              <w:rPr>
                <w:rFonts w:eastAsia="Arial"/>
                <w:sz w:val="22"/>
                <w:szCs w:val="22"/>
              </w:rPr>
            </w:pPr>
            <w:r w:rsidRPr="006B15C8">
              <w:rPr>
                <w:rFonts w:eastAsia="Arial"/>
                <w:sz w:val="22"/>
                <w:szCs w:val="22"/>
              </w:rPr>
              <w:t>--</w:t>
            </w:r>
          </w:p>
        </w:tc>
        <w:tc>
          <w:tcPr>
            <w:tcW w:w="920" w:type="dxa"/>
            <w:tcBorders>
              <w:top w:val="single" w:sz="6" w:space="0" w:color="000000"/>
              <w:left w:val="double" w:sz="4" w:space="0" w:color="auto"/>
              <w:bottom w:val="single" w:sz="6" w:space="0" w:color="000000"/>
              <w:right w:val="single" w:sz="6" w:space="0" w:color="000000"/>
            </w:tcBorders>
            <w:vAlign w:val="center"/>
            <w:hideMark/>
          </w:tcPr>
          <w:p w14:paraId="1BF5FDDC"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-0.275</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47189A18" w14:textId="77777777" w:rsidR="00474741" w:rsidRPr="006B15C8" w:rsidRDefault="00474741" w:rsidP="00726FC6">
            <w:pPr>
              <w:ind w:left="-270" w:right="145"/>
              <w:jc w:val="right"/>
              <w:rPr>
                <w:rFonts w:eastAsia="Arial"/>
                <w:sz w:val="22"/>
                <w:szCs w:val="22"/>
              </w:rPr>
            </w:pPr>
            <w:r w:rsidRPr="006B15C8">
              <w:rPr>
                <w:rFonts w:eastAsia="Arial"/>
                <w:sz w:val="22"/>
                <w:szCs w:val="22"/>
              </w:rPr>
              <w:t>-1.00</w:t>
            </w:r>
          </w:p>
        </w:tc>
        <w:tc>
          <w:tcPr>
            <w:tcW w:w="911" w:type="dxa"/>
            <w:tcBorders>
              <w:top w:val="single" w:sz="6" w:space="0" w:color="000000"/>
              <w:left w:val="single" w:sz="6" w:space="0" w:color="000000"/>
              <w:bottom w:val="single" w:sz="6" w:space="0" w:color="000000"/>
              <w:right w:val="double" w:sz="4" w:space="0" w:color="auto"/>
            </w:tcBorders>
            <w:vAlign w:val="center"/>
            <w:hideMark/>
          </w:tcPr>
          <w:p w14:paraId="15DC628A" w14:textId="77777777" w:rsidR="00474741" w:rsidRPr="006B15C8" w:rsidRDefault="00474741" w:rsidP="00726FC6">
            <w:pPr>
              <w:ind w:left="-345" w:right="215"/>
              <w:jc w:val="right"/>
              <w:rPr>
                <w:rFonts w:eastAsia="Arial"/>
                <w:sz w:val="22"/>
                <w:szCs w:val="22"/>
              </w:rPr>
            </w:pPr>
            <w:r w:rsidRPr="006B15C8">
              <w:rPr>
                <w:rFonts w:eastAsia="Arial"/>
                <w:sz w:val="22"/>
                <w:szCs w:val="22"/>
              </w:rPr>
              <w:t>-20.8</w:t>
            </w:r>
          </w:p>
        </w:tc>
      </w:tr>
      <w:tr w:rsidR="00474741" w:rsidRPr="006B15C8" w14:paraId="2EDB74EB" w14:textId="77777777" w:rsidTr="00726FC6">
        <w:trPr>
          <w:trHeight w:val="20"/>
        </w:trPr>
        <w:tc>
          <w:tcPr>
            <w:tcW w:w="9356" w:type="dxa"/>
            <w:gridSpan w:val="7"/>
            <w:tcBorders>
              <w:top w:val="single" w:sz="6" w:space="0" w:color="000000"/>
              <w:left w:val="double" w:sz="4" w:space="0" w:color="auto"/>
              <w:bottom w:val="single" w:sz="6" w:space="0" w:color="000000"/>
              <w:right w:val="double" w:sz="4" w:space="0" w:color="auto"/>
            </w:tcBorders>
            <w:vAlign w:val="center"/>
            <w:hideMark/>
          </w:tcPr>
          <w:p w14:paraId="6660E91A" w14:textId="77777777" w:rsidR="00474741" w:rsidRPr="006B15C8" w:rsidRDefault="00474741" w:rsidP="00474741">
            <w:pPr>
              <w:jc w:val="left"/>
              <w:rPr>
                <w:rFonts w:eastAsia="Arial"/>
                <w:sz w:val="22"/>
                <w:szCs w:val="22"/>
              </w:rPr>
            </w:pPr>
            <w:r w:rsidRPr="006B15C8">
              <w:rPr>
                <w:rFonts w:eastAsia="Arial"/>
                <w:b/>
                <w:bCs/>
                <w:sz w:val="22"/>
                <w:szCs w:val="22"/>
              </w:rPr>
              <w:t>NCPC Behavior</w:t>
            </w:r>
          </w:p>
        </w:tc>
      </w:tr>
      <w:tr w:rsidR="00404FE1" w:rsidRPr="006B15C8" w14:paraId="416137F9"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3421397B" w14:textId="5137F785" w:rsidR="00474741" w:rsidRPr="006B15C8" w:rsidRDefault="00F673F0" w:rsidP="00474741">
            <w:pPr>
              <w:jc w:val="left"/>
              <w:rPr>
                <w:rFonts w:eastAsia="Arial"/>
                <w:sz w:val="22"/>
                <w:szCs w:val="22"/>
              </w:rPr>
            </w:pPr>
            <w:r w:rsidRPr="006B15C8">
              <w:rPr>
                <w:rFonts w:eastAsia="Arial"/>
                <w:sz w:val="22"/>
                <w:szCs w:val="22"/>
              </w:rPr>
              <w:t xml:space="preserve">    </w:t>
            </w:r>
            <w:r w:rsidR="00474741" w:rsidRPr="006B15C8">
              <w:rPr>
                <w:rFonts w:eastAsia="Arial"/>
                <w:sz w:val="22"/>
                <w:szCs w:val="22"/>
              </w:rPr>
              <w:t xml:space="preserve">Pedestrian exhibiting NCPC </w:t>
            </w:r>
            <w:r w:rsidR="00474741" w:rsidRPr="006B15C8">
              <w:rPr>
                <w:rFonts w:eastAsia="Arial"/>
                <w:i/>
                <w:iCs/>
                <w:sz w:val="22"/>
                <w:szCs w:val="22"/>
              </w:rPr>
              <w:t>(Base: CPC)</w:t>
            </w:r>
          </w:p>
        </w:tc>
        <w:tc>
          <w:tcPr>
            <w:tcW w:w="898" w:type="dxa"/>
            <w:tcBorders>
              <w:top w:val="single" w:sz="6" w:space="0" w:color="000000"/>
              <w:left w:val="double" w:sz="4" w:space="0" w:color="auto"/>
              <w:bottom w:val="single" w:sz="6" w:space="0" w:color="000000"/>
              <w:right w:val="single" w:sz="6" w:space="0" w:color="000000"/>
            </w:tcBorders>
            <w:vAlign w:val="center"/>
            <w:hideMark/>
          </w:tcPr>
          <w:p w14:paraId="79A702EA" w14:textId="77777777" w:rsidR="00474741" w:rsidRPr="006B15C8" w:rsidRDefault="00474741" w:rsidP="00726FC6">
            <w:pPr>
              <w:jc w:val="center"/>
              <w:rPr>
                <w:rFonts w:eastAsia="Arial"/>
                <w:i/>
                <w:sz w:val="22"/>
                <w:szCs w:val="22"/>
              </w:rPr>
            </w:pPr>
            <w:r w:rsidRPr="006B15C8">
              <w:rPr>
                <w:rFonts w:eastAsia="Arial"/>
                <w:i/>
                <w:sz w:val="22"/>
                <w:szCs w:val="22"/>
              </w:rPr>
              <w:t>n.a.</w:t>
            </w:r>
          </w:p>
        </w:tc>
        <w:tc>
          <w:tcPr>
            <w:tcW w:w="989" w:type="dxa"/>
            <w:tcBorders>
              <w:top w:val="single" w:sz="6" w:space="0" w:color="000000"/>
              <w:left w:val="single" w:sz="6" w:space="0" w:color="000000"/>
              <w:bottom w:val="single" w:sz="6" w:space="0" w:color="000000"/>
              <w:right w:val="single" w:sz="6" w:space="0" w:color="000000"/>
            </w:tcBorders>
            <w:vAlign w:val="center"/>
            <w:hideMark/>
          </w:tcPr>
          <w:p w14:paraId="1727C60B" w14:textId="77777777" w:rsidR="00474741" w:rsidRPr="006B15C8" w:rsidRDefault="00474741" w:rsidP="00726FC6">
            <w:pPr>
              <w:jc w:val="center"/>
              <w:rPr>
                <w:rFonts w:eastAsia="Arial"/>
                <w:i/>
                <w:sz w:val="22"/>
                <w:szCs w:val="22"/>
              </w:rPr>
            </w:pPr>
            <w:r w:rsidRPr="006B15C8">
              <w:rPr>
                <w:rFonts w:eastAsia="Arial"/>
                <w:i/>
                <w:sz w:val="22"/>
                <w:szCs w:val="22"/>
              </w:rPr>
              <w:t>n.a.</w:t>
            </w:r>
          </w:p>
        </w:tc>
        <w:tc>
          <w:tcPr>
            <w:tcW w:w="890" w:type="dxa"/>
            <w:tcBorders>
              <w:top w:val="single" w:sz="6" w:space="0" w:color="000000"/>
              <w:left w:val="single" w:sz="6" w:space="0" w:color="000000"/>
              <w:bottom w:val="single" w:sz="6" w:space="0" w:color="000000"/>
              <w:right w:val="double" w:sz="4" w:space="0" w:color="auto"/>
            </w:tcBorders>
            <w:vAlign w:val="center"/>
            <w:hideMark/>
          </w:tcPr>
          <w:p w14:paraId="6BE5515C" w14:textId="77777777" w:rsidR="00474741" w:rsidRPr="006B15C8" w:rsidRDefault="00474741" w:rsidP="00726FC6">
            <w:pPr>
              <w:jc w:val="center"/>
              <w:rPr>
                <w:rFonts w:eastAsia="Arial"/>
                <w:i/>
                <w:sz w:val="22"/>
                <w:szCs w:val="22"/>
              </w:rPr>
            </w:pPr>
            <w:r w:rsidRPr="006B15C8">
              <w:rPr>
                <w:rFonts w:eastAsia="Arial"/>
                <w:i/>
                <w:sz w:val="22"/>
                <w:szCs w:val="22"/>
              </w:rPr>
              <w:t>n.a.</w:t>
            </w:r>
          </w:p>
        </w:tc>
        <w:tc>
          <w:tcPr>
            <w:tcW w:w="920" w:type="dxa"/>
            <w:tcBorders>
              <w:top w:val="single" w:sz="6" w:space="0" w:color="000000"/>
              <w:left w:val="double" w:sz="4" w:space="0" w:color="auto"/>
              <w:bottom w:val="single" w:sz="6" w:space="0" w:color="000000"/>
              <w:right w:val="single" w:sz="6" w:space="0" w:color="000000"/>
            </w:tcBorders>
            <w:vAlign w:val="center"/>
            <w:hideMark/>
          </w:tcPr>
          <w:p w14:paraId="576F2D8F"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1.270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5F339998" w14:textId="77777777" w:rsidR="00474741" w:rsidRPr="006B15C8" w:rsidRDefault="00474741" w:rsidP="00726FC6">
            <w:pPr>
              <w:ind w:left="-270" w:right="145"/>
              <w:jc w:val="right"/>
              <w:rPr>
                <w:rFonts w:eastAsia="Arial"/>
                <w:sz w:val="22"/>
                <w:szCs w:val="22"/>
              </w:rPr>
            </w:pPr>
            <w:r w:rsidRPr="006B15C8">
              <w:rPr>
                <w:rFonts w:eastAsia="Arial"/>
                <w:sz w:val="22"/>
                <w:szCs w:val="22"/>
              </w:rPr>
              <w:t>5.97</w:t>
            </w:r>
          </w:p>
        </w:tc>
        <w:tc>
          <w:tcPr>
            <w:tcW w:w="911" w:type="dxa"/>
            <w:tcBorders>
              <w:top w:val="single" w:sz="6" w:space="0" w:color="000000"/>
              <w:left w:val="single" w:sz="6" w:space="0" w:color="000000"/>
              <w:bottom w:val="single" w:sz="6" w:space="0" w:color="000000"/>
              <w:right w:val="double" w:sz="4" w:space="0" w:color="auto"/>
            </w:tcBorders>
            <w:vAlign w:val="center"/>
            <w:hideMark/>
          </w:tcPr>
          <w:p w14:paraId="59984378" w14:textId="77777777" w:rsidR="00474741" w:rsidRPr="006B15C8" w:rsidRDefault="00474741" w:rsidP="00726FC6">
            <w:pPr>
              <w:ind w:left="-345" w:right="215"/>
              <w:jc w:val="right"/>
              <w:rPr>
                <w:rFonts w:eastAsia="Arial"/>
                <w:sz w:val="22"/>
                <w:szCs w:val="22"/>
              </w:rPr>
            </w:pPr>
            <w:r w:rsidRPr="006B15C8">
              <w:rPr>
                <w:rFonts w:eastAsia="Arial"/>
                <w:sz w:val="22"/>
                <w:szCs w:val="22"/>
              </w:rPr>
              <w:t>164.1</w:t>
            </w:r>
          </w:p>
        </w:tc>
      </w:tr>
      <w:tr w:rsidR="00BA33A3" w:rsidRPr="006B15C8" w14:paraId="151E9B1A" w14:textId="77777777" w:rsidTr="00C87177">
        <w:trPr>
          <w:trHeight w:val="20"/>
        </w:trPr>
        <w:tc>
          <w:tcPr>
            <w:tcW w:w="3939" w:type="dxa"/>
            <w:tcBorders>
              <w:top w:val="single" w:sz="6" w:space="0" w:color="000000"/>
              <w:left w:val="double" w:sz="4" w:space="0" w:color="auto"/>
              <w:bottom w:val="double" w:sz="4" w:space="0" w:color="auto"/>
              <w:right w:val="double" w:sz="4" w:space="0" w:color="auto"/>
            </w:tcBorders>
            <w:vAlign w:val="center"/>
            <w:hideMark/>
          </w:tcPr>
          <w:p w14:paraId="49AD1C14" w14:textId="77777777" w:rsidR="00474741" w:rsidRPr="006B15C8" w:rsidRDefault="00474741" w:rsidP="00474741">
            <w:pPr>
              <w:jc w:val="left"/>
              <w:rPr>
                <w:rFonts w:eastAsia="Arial"/>
                <w:sz w:val="22"/>
                <w:szCs w:val="22"/>
              </w:rPr>
            </w:pPr>
            <w:r w:rsidRPr="006B15C8">
              <w:rPr>
                <w:rFonts w:eastAsia="Arial"/>
                <w:b/>
                <w:bCs/>
                <w:sz w:val="22"/>
                <w:szCs w:val="22"/>
              </w:rPr>
              <w:t>Constants</w:t>
            </w:r>
          </w:p>
        </w:tc>
        <w:tc>
          <w:tcPr>
            <w:tcW w:w="898" w:type="dxa"/>
            <w:tcBorders>
              <w:top w:val="single" w:sz="6" w:space="0" w:color="000000"/>
              <w:left w:val="double" w:sz="4" w:space="0" w:color="auto"/>
              <w:bottom w:val="double" w:sz="4" w:space="0" w:color="auto"/>
              <w:right w:val="single" w:sz="6" w:space="0" w:color="000000"/>
            </w:tcBorders>
            <w:vAlign w:val="center"/>
            <w:hideMark/>
          </w:tcPr>
          <w:p w14:paraId="111B1631"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-3.081</w:t>
            </w:r>
          </w:p>
        </w:tc>
        <w:tc>
          <w:tcPr>
            <w:tcW w:w="989" w:type="dxa"/>
            <w:tcBorders>
              <w:top w:val="single" w:sz="6" w:space="0" w:color="000000"/>
              <w:left w:val="single" w:sz="6" w:space="0" w:color="000000"/>
              <w:bottom w:val="double" w:sz="4" w:space="0" w:color="auto"/>
              <w:right w:val="single" w:sz="6" w:space="0" w:color="000000"/>
            </w:tcBorders>
            <w:vAlign w:val="center"/>
            <w:hideMark/>
          </w:tcPr>
          <w:p w14:paraId="572F10FE" w14:textId="77777777" w:rsidR="00474741" w:rsidRPr="006B15C8" w:rsidRDefault="00474741" w:rsidP="00726FC6">
            <w:pPr>
              <w:ind w:left="-270" w:right="145"/>
              <w:jc w:val="right"/>
              <w:rPr>
                <w:rFonts w:eastAsia="Arial"/>
                <w:sz w:val="22"/>
                <w:szCs w:val="22"/>
              </w:rPr>
            </w:pPr>
            <w:r w:rsidRPr="006B15C8">
              <w:rPr>
                <w:rFonts w:eastAsia="Arial"/>
                <w:sz w:val="22"/>
                <w:szCs w:val="22"/>
              </w:rPr>
              <w:t>-38.90</w:t>
            </w:r>
          </w:p>
        </w:tc>
        <w:tc>
          <w:tcPr>
            <w:tcW w:w="890" w:type="dxa"/>
            <w:tcBorders>
              <w:top w:val="single" w:sz="6" w:space="0" w:color="000000"/>
              <w:left w:val="single" w:sz="6" w:space="0" w:color="000000"/>
              <w:bottom w:val="double" w:sz="4" w:space="0" w:color="auto"/>
              <w:right w:val="double" w:sz="4" w:space="0" w:color="auto"/>
            </w:tcBorders>
            <w:vAlign w:val="center"/>
            <w:hideMark/>
          </w:tcPr>
          <w:p w14:paraId="43ABCD25" w14:textId="77777777" w:rsidR="00474741" w:rsidRPr="006B15C8" w:rsidRDefault="00474741" w:rsidP="00726FC6">
            <w:pPr>
              <w:jc w:val="center"/>
              <w:rPr>
                <w:rFonts w:eastAsia="Arial"/>
                <w:i/>
                <w:sz w:val="22"/>
                <w:szCs w:val="22"/>
              </w:rPr>
            </w:pPr>
            <w:r w:rsidRPr="006B15C8">
              <w:rPr>
                <w:rFonts w:eastAsia="Arial"/>
                <w:i/>
                <w:sz w:val="22"/>
                <w:szCs w:val="22"/>
              </w:rPr>
              <w:t>n.a.</w:t>
            </w:r>
          </w:p>
        </w:tc>
        <w:tc>
          <w:tcPr>
            <w:tcW w:w="920" w:type="dxa"/>
            <w:tcBorders>
              <w:top w:val="single" w:sz="6" w:space="0" w:color="000000"/>
              <w:left w:val="double" w:sz="4" w:space="0" w:color="auto"/>
              <w:bottom w:val="double" w:sz="4" w:space="0" w:color="auto"/>
              <w:right w:val="single" w:sz="6" w:space="0" w:color="000000"/>
            </w:tcBorders>
            <w:vAlign w:val="center"/>
            <w:hideMark/>
          </w:tcPr>
          <w:p w14:paraId="30E9DB5C" w14:textId="77777777" w:rsidR="00474741" w:rsidRPr="006B15C8" w:rsidRDefault="00474741" w:rsidP="00726FC6">
            <w:pPr>
              <w:tabs>
                <w:tab w:val="left" w:pos="-165"/>
              </w:tabs>
              <w:ind w:left="-165" w:right="124"/>
              <w:jc w:val="right"/>
              <w:rPr>
                <w:rFonts w:eastAsia="Arial"/>
                <w:sz w:val="22"/>
                <w:szCs w:val="22"/>
              </w:rPr>
            </w:pPr>
            <w:r w:rsidRPr="006B15C8">
              <w:rPr>
                <w:rFonts w:eastAsia="Arial"/>
                <w:sz w:val="22"/>
                <w:szCs w:val="22"/>
              </w:rPr>
              <w:t>-2.334</w:t>
            </w:r>
          </w:p>
        </w:tc>
        <w:tc>
          <w:tcPr>
            <w:tcW w:w="809" w:type="dxa"/>
            <w:tcBorders>
              <w:top w:val="single" w:sz="6" w:space="0" w:color="000000"/>
              <w:left w:val="single" w:sz="6" w:space="0" w:color="000000"/>
              <w:bottom w:val="double" w:sz="4" w:space="0" w:color="auto"/>
              <w:right w:val="single" w:sz="6" w:space="0" w:color="000000"/>
            </w:tcBorders>
            <w:vAlign w:val="center"/>
            <w:hideMark/>
          </w:tcPr>
          <w:p w14:paraId="169126E0" w14:textId="77777777" w:rsidR="00474741" w:rsidRPr="006B15C8" w:rsidRDefault="00474741" w:rsidP="00726FC6">
            <w:pPr>
              <w:ind w:left="-270" w:right="145"/>
              <w:jc w:val="right"/>
              <w:rPr>
                <w:rFonts w:eastAsia="Arial"/>
                <w:sz w:val="22"/>
                <w:szCs w:val="22"/>
              </w:rPr>
            </w:pPr>
            <w:r w:rsidRPr="006B15C8">
              <w:rPr>
                <w:rFonts w:eastAsia="Arial"/>
                <w:sz w:val="22"/>
                <w:szCs w:val="22"/>
              </w:rPr>
              <w:t>-25.06</w:t>
            </w:r>
          </w:p>
        </w:tc>
        <w:tc>
          <w:tcPr>
            <w:tcW w:w="911" w:type="dxa"/>
            <w:tcBorders>
              <w:top w:val="single" w:sz="6" w:space="0" w:color="000000"/>
              <w:left w:val="single" w:sz="6" w:space="0" w:color="000000"/>
              <w:bottom w:val="double" w:sz="4" w:space="0" w:color="auto"/>
              <w:right w:val="double" w:sz="4" w:space="0" w:color="auto"/>
            </w:tcBorders>
            <w:vAlign w:val="center"/>
            <w:hideMark/>
          </w:tcPr>
          <w:p w14:paraId="598D19AB" w14:textId="77777777" w:rsidR="00474741" w:rsidRPr="006B15C8" w:rsidRDefault="00474741" w:rsidP="00726FC6">
            <w:pPr>
              <w:jc w:val="center"/>
              <w:rPr>
                <w:rFonts w:eastAsia="Arial"/>
                <w:i/>
                <w:sz w:val="22"/>
                <w:szCs w:val="22"/>
              </w:rPr>
            </w:pPr>
            <w:r w:rsidRPr="006B15C8">
              <w:rPr>
                <w:rFonts w:eastAsia="Arial"/>
                <w:i/>
                <w:sz w:val="22"/>
                <w:szCs w:val="22"/>
              </w:rPr>
              <w:t>n.a.</w:t>
            </w:r>
          </w:p>
        </w:tc>
      </w:tr>
      <w:tr w:rsidR="00474741" w:rsidRPr="006B15C8" w14:paraId="3A776C4F" w14:textId="77777777" w:rsidTr="00726FC6">
        <w:trPr>
          <w:trHeight w:val="20"/>
        </w:trPr>
        <w:tc>
          <w:tcPr>
            <w:tcW w:w="9356" w:type="dxa"/>
            <w:gridSpan w:val="7"/>
            <w:tcBorders>
              <w:top w:val="double" w:sz="4" w:space="0" w:color="auto"/>
              <w:left w:val="double" w:sz="4" w:space="0" w:color="auto"/>
              <w:bottom w:val="double" w:sz="4" w:space="0" w:color="auto"/>
              <w:right w:val="double" w:sz="4" w:space="0" w:color="auto"/>
            </w:tcBorders>
            <w:vAlign w:val="center"/>
            <w:hideMark/>
          </w:tcPr>
          <w:p w14:paraId="5230F016" w14:textId="77777777" w:rsidR="00474741" w:rsidRPr="006B15C8" w:rsidRDefault="00474741" w:rsidP="00726FC6">
            <w:pPr>
              <w:jc w:val="center"/>
              <w:rPr>
                <w:rFonts w:eastAsia="Arial"/>
                <w:sz w:val="22"/>
                <w:szCs w:val="22"/>
              </w:rPr>
            </w:pPr>
            <w:r w:rsidRPr="006B15C8">
              <w:rPr>
                <w:rFonts w:eastAsia="Arial"/>
                <w:b/>
                <w:bCs/>
                <w:sz w:val="22"/>
                <w:szCs w:val="22"/>
              </w:rPr>
              <w:t>Goodness-of-Fit</w:t>
            </w:r>
          </w:p>
        </w:tc>
      </w:tr>
      <w:tr w:rsidR="00404FE1" w:rsidRPr="006B15C8" w14:paraId="40E6774B" w14:textId="77777777" w:rsidTr="00C87177">
        <w:trPr>
          <w:trHeight w:val="20"/>
        </w:trPr>
        <w:tc>
          <w:tcPr>
            <w:tcW w:w="3939" w:type="dxa"/>
            <w:tcBorders>
              <w:top w:val="double" w:sz="4" w:space="0" w:color="auto"/>
              <w:left w:val="double" w:sz="4" w:space="0" w:color="auto"/>
              <w:bottom w:val="single" w:sz="6" w:space="0" w:color="000000"/>
              <w:right w:val="double" w:sz="4" w:space="0" w:color="auto"/>
            </w:tcBorders>
            <w:vAlign w:val="center"/>
            <w:hideMark/>
          </w:tcPr>
          <w:p w14:paraId="1282F742" w14:textId="77777777" w:rsidR="00474741" w:rsidRPr="006B15C8" w:rsidRDefault="00474741">
            <w:pPr>
              <w:jc w:val="left"/>
              <w:rPr>
                <w:rFonts w:eastAsia="Arial"/>
                <w:sz w:val="22"/>
                <w:szCs w:val="22"/>
              </w:rPr>
            </w:pPr>
            <w:r w:rsidRPr="006B15C8">
              <w:rPr>
                <w:rFonts w:eastAsia="Arial"/>
                <w:sz w:val="22"/>
                <w:szCs w:val="22"/>
              </w:rPr>
              <w:t>Number of observations</w:t>
            </w:r>
          </w:p>
        </w:tc>
        <w:tc>
          <w:tcPr>
            <w:tcW w:w="2777" w:type="dxa"/>
            <w:gridSpan w:val="3"/>
            <w:tcBorders>
              <w:top w:val="double" w:sz="4" w:space="0" w:color="auto"/>
              <w:left w:val="double" w:sz="4" w:space="0" w:color="auto"/>
              <w:bottom w:val="single" w:sz="6" w:space="0" w:color="000000"/>
              <w:right w:val="double" w:sz="4" w:space="0" w:color="auto"/>
            </w:tcBorders>
            <w:vAlign w:val="center"/>
            <w:hideMark/>
          </w:tcPr>
          <w:p w14:paraId="45544950" w14:textId="77777777" w:rsidR="00474741" w:rsidRPr="006B15C8" w:rsidRDefault="00474741" w:rsidP="00726FC6">
            <w:pPr>
              <w:jc w:val="center"/>
              <w:rPr>
                <w:rFonts w:eastAsia="Arial"/>
                <w:sz w:val="22"/>
                <w:szCs w:val="22"/>
              </w:rPr>
            </w:pPr>
            <w:r w:rsidRPr="006B15C8">
              <w:rPr>
                <w:rFonts w:eastAsia="Arial"/>
                <w:sz w:val="22"/>
                <w:szCs w:val="22"/>
              </w:rPr>
              <w:t>17,374</w:t>
            </w:r>
          </w:p>
        </w:tc>
        <w:tc>
          <w:tcPr>
            <w:tcW w:w="2640" w:type="dxa"/>
            <w:gridSpan w:val="3"/>
            <w:tcBorders>
              <w:top w:val="double" w:sz="4" w:space="0" w:color="auto"/>
              <w:left w:val="double" w:sz="4" w:space="0" w:color="auto"/>
              <w:bottom w:val="single" w:sz="6" w:space="0" w:color="000000"/>
              <w:right w:val="double" w:sz="4" w:space="0" w:color="auto"/>
            </w:tcBorders>
            <w:vAlign w:val="center"/>
            <w:hideMark/>
          </w:tcPr>
          <w:p w14:paraId="4D8D4D97" w14:textId="77777777" w:rsidR="00474741" w:rsidRPr="006B15C8" w:rsidRDefault="00474741" w:rsidP="00726FC6">
            <w:pPr>
              <w:jc w:val="center"/>
              <w:rPr>
                <w:rFonts w:eastAsia="Arial"/>
                <w:sz w:val="22"/>
                <w:szCs w:val="22"/>
              </w:rPr>
            </w:pPr>
            <w:r w:rsidRPr="006B15C8">
              <w:rPr>
                <w:rFonts w:eastAsia="Arial"/>
                <w:sz w:val="22"/>
                <w:szCs w:val="22"/>
              </w:rPr>
              <w:t>2,890</w:t>
            </w:r>
          </w:p>
        </w:tc>
      </w:tr>
      <w:tr w:rsidR="00404FE1" w:rsidRPr="006B15C8" w14:paraId="126DC2BC"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647B3F20" w14:textId="77777777" w:rsidR="00474741" w:rsidRPr="006B15C8" w:rsidRDefault="00474741">
            <w:pPr>
              <w:jc w:val="left"/>
              <w:rPr>
                <w:rFonts w:eastAsia="Arial"/>
                <w:sz w:val="22"/>
                <w:szCs w:val="22"/>
              </w:rPr>
            </w:pPr>
            <w:r w:rsidRPr="006B15C8">
              <w:rPr>
                <w:rFonts w:eastAsia="Arial"/>
                <w:sz w:val="22"/>
                <w:szCs w:val="22"/>
              </w:rPr>
              <w:t>Number of parameters</w:t>
            </w:r>
          </w:p>
        </w:tc>
        <w:tc>
          <w:tcPr>
            <w:tcW w:w="2777" w:type="dxa"/>
            <w:gridSpan w:val="3"/>
            <w:tcBorders>
              <w:top w:val="single" w:sz="6" w:space="0" w:color="000000"/>
              <w:left w:val="double" w:sz="4" w:space="0" w:color="auto"/>
              <w:bottom w:val="single" w:sz="6" w:space="0" w:color="000000"/>
              <w:right w:val="double" w:sz="4" w:space="0" w:color="auto"/>
            </w:tcBorders>
            <w:vAlign w:val="center"/>
            <w:hideMark/>
          </w:tcPr>
          <w:p w14:paraId="6731A862" w14:textId="77777777" w:rsidR="00474741" w:rsidRPr="006B15C8" w:rsidRDefault="00474741" w:rsidP="00726FC6">
            <w:pPr>
              <w:jc w:val="center"/>
              <w:rPr>
                <w:rFonts w:eastAsia="Arial"/>
                <w:sz w:val="22"/>
                <w:szCs w:val="22"/>
              </w:rPr>
            </w:pPr>
            <w:r w:rsidRPr="006B15C8">
              <w:rPr>
                <w:rFonts w:eastAsia="Arial"/>
                <w:sz w:val="22"/>
                <w:szCs w:val="22"/>
              </w:rPr>
              <w:t>16</w:t>
            </w:r>
          </w:p>
        </w:tc>
        <w:tc>
          <w:tcPr>
            <w:tcW w:w="2640" w:type="dxa"/>
            <w:gridSpan w:val="3"/>
            <w:tcBorders>
              <w:top w:val="single" w:sz="6" w:space="0" w:color="000000"/>
              <w:left w:val="double" w:sz="4" w:space="0" w:color="auto"/>
              <w:bottom w:val="single" w:sz="6" w:space="0" w:color="000000"/>
              <w:right w:val="double" w:sz="4" w:space="0" w:color="auto"/>
            </w:tcBorders>
            <w:vAlign w:val="center"/>
            <w:hideMark/>
          </w:tcPr>
          <w:p w14:paraId="771597CE" w14:textId="77777777" w:rsidR="00474741" w:rsidRPr="006B15C8" w:rsidRDefault="00474741" w:rsidP="00726FC6">
            <w:pPr>
              <w:jc w:val="center"/>
              <w:rPr>
                <w:rFonts w:eastAsia="Arial"/>
                <w:sz w:val="22"/>
                <w:szCs w:val="22"/>
              </w:rPr>
            </w:pPr>
            <w:r w:rsidRPr="006B15C8">
              <w:rPr>
                <w:rFonts w:eastAsia="Arial"/>
                <w:sz w:val="22"/>
                <w:szCs w:val="22"/>
              </w:rPr>
              <w:t>9</w:t>
            </w:r>
          </w:p>
        </w:tc>
      </w:tr>
      <w:tr w:rsidR="00404FE1" w:rsidRPr="006B15C8" w14:paraId="0C311DDF"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17D45461" w14:textId="77777777" w:rsidR="00474741" w:rsidRPr="006B15C8" w:rsidRDefault="00474741">
            <w:pPr>
              <w:jc w:val="left"/>
              <w:rPr>
                <w:rFonts w:eastAsia="Arial"/>
                <w:sz w:val="22"/>
                <w:szCs w:val="22"/>
              </w:rPr>
            </w:pPr>
            <w:r w:rsidRPr="006B15C8">
              <w:rPr>
                <w:rFonts w:eastAsia="Arial"/>
                <w:sz w:val="22"/>
                <w:szCs w:val="22"/>
              </w:rPr>
              <w:t xml:space="preserve">Log-likelihood at convergence </w:t>
            </w:r>
            <w:r w:rsidRPr="003B3FB1">
              <w:rPr>
                <w:rFonts w:eastAsia="Arial"/>
                <w:i/>
                <w:iCs/>
                <w:sz w:val="22"/>
                <w:szCs w:val="22"/>
              </w:rPr>
              <w:t>L</w:t>
            </w:r>
            <w:r w:rsidRPr="006B15C8">
              <w:rPr>
                <w:rFonts w:eastAsia="Arial"/>
                <w:sz w:val="22"/>
                <w:szCs w:val="22"/>
              </w:rPr>
              <w:t>(</w:t>
            </w:r>
            <w:r w:rsidRPr="006B15C8">
              <w:rPr>
                <w:rFonts w:eastAsia="Arial"/>
                <w:i/>
                <w:iCs/>
                <w:sz w:val="22"/>
                <w:szCs w:val="22"/>
              </w:rPr>
              <w:t>β</w:t>
            </w:r>
            <w:r w:rsidRPr="006B15C8">
              <w:rPr>
                <w:rFonts w:eastAsia="Arial"/>
                <w:sz w:val="22"/>
                <w:szCs w:val="22"/>
              </w:rPr>
              <w:t>)</w:t>
            </w:r>
          </w:p>
        </w:tc>
        <w:tc>
          <w:tcPr>
            <w:tcW w:w="2777" w:type="dxa"/>
            <w:gridSpan w:val="3"/>
            <w:tcBorders>
              <w:top w:val="single" w:sz="6" w:space="0" w:color="000000"/>
              <w:left w:val="double" w:sz="4" w:space="0" w:color="auto"/>
              <w:bottom w:val="single" w:sz="6" w:space="0" w:color="000000"/>
              <w:right w:val="double" w:sz="4" w:space="0" w:color="auto"/>
            </w:tcBorders>
            <w:vAlign w:val="center"/>
            <w:hideMark/>
          </w:tcPr>
          <w:p w14:paraId="47B5DBEA" w14:textId="77777777" w:rsidR="00474741" w:rsidRPr="006B15C8" w:rsidRDefault="00474741" w:rsidP="00726FC6">
            <w:pPr>
              <w:jc w:val="center"/>
              <w:rPr>
                <w:rFonts w:eastAsia="Arial"/>
                <w:sz w:val="22"/>
                <w:szCs w:val="22"/>
              </w:rPr>
            </w:pPr>
            <w:r w:rsidRPr="006B15C8">
              <w:rPr>
                <w:rFonts w:eastAsia="Arial"/>
                <w:sz w:val="22"/>
                <w:szCs w:val="22"/>
              </w:rPr>
              <w:t>-4651.541</w:t>
            </w:r>
          </w:p>
        </w:tc>
        <w:tc>
          <w:tcPr>
            <w:tcW w:w="2640" w:type="dxa"/>
            <w:gridSpan w:val="3"/>
            <w:tcBorders>
              <w:top w:val="single" w:sz="6" w:space="0" w:color="000000"/>
              <w:left w:val="double" w:sz="4" w:space="0" w:color="auto"/>
              <w:bottom w:val="single" w:sz="6" w:space="0" w:color="000000"/>
              <w:right w:val="double" w:sz="4" w:space="0" w:color="auto"/>
            </w:tcBorders>
            <w:vAlign w:val="center"/>
            <w:hideMark/>
          </w:tcPr>
          <w:p w14:paraId="26C26F35" w14:textId="77777777" w:rsidR="00474741" w:rsidRPr="006B15C8" w:rsidRDefault="00474741" w:rsidP="00726FC6">
            <w:pPr>
              <w:jc w:val="center"/>
              <w:rPr>
                <w:rFonts w:eastAsia="Arial"/>
                <w:sz w:val="22"/>
                <w:szCs w:val="22"/>
              </w:rPr>
            </w:pPr>
            <w:r w:rsidRPr="006B15C8">
              <w:rPr>
                <w:rFonts w:eastAsia="Arial"/>
                <w:sz w:val="22"/>
                <w:szCs w:val="22"/>
              </w:rPr>
              <w:t>-1054.130</w:t>
            </w:r>
          </w:p>
        </w:tc>
      </w:tr>
      <w:tr w:rsidR="00B7218E" w:rsidRPr="006B15C8" w14:paraId="52A7022F" w14:textId="77777777" w:rsidTr="004A6C6E">
        <w:trPr>
          <w:trHeight w:val="20"/>
        </w:trPr>
        <w:tc>
          <w:tcPr>
            <w:tcW w:w="3939" w:type="dxa"/>
            <w:tcBorders>
              <w:top w:val="double" w:sz="4" w:space="0" w:color="auto"/>
              <w:left w:val="double" w:sz="4" w:space="0" w:color="auto"/>
              <w:bottom w:val="single" w:sz="6" w:space="0" w:color="000000"/>
              <w:right w:val="double" w:sz="4" w:space="0" w:color="auto"/>
            </w:tcBorders>
            <w:vAlign w:val="center"/>
            <w:hideMark/>
          </w:tcPr>
          <w:p w14:paraId="5353B0C7" w14:textId="77777777" w:rsidR="00474741" w:rsidRPr="006B15C8" w:rsidRDefault="00474741">
            <w:pPr>
              <w:jc w:val="left"/>
              <w:rPr>
                <w:rFonts w:eastAsia="Arial"/>
                <w:sz w:val="22"/>
                <w:szCs w:val="22"/>
              </w:rPr>
            </w:pPr>
            <w:r w:rsidRPr="006B15C8">
              <w:rPr>
                <w:rFonts w:eastAsia="Arial"/>
                <w:sz w:val="22"/>
                <w:szCs w:val="22"/>
              </w:rPr>
              <w:lastRenderedPageBreak/>
              <w:t xml:space="preserve">Log-likelihood of constant-only model </w:t>
            </w:r>
            <w:r w:rsidRPr="00F45208">
              <w:rPr>
                <w:rFonts w:eastAsia="Arial"/>
                <w:sz w:val="22"/>
                <w:szCs w:val="22"/>
              </w:rPr>
              <w:t>L</w:t>
            </w:r>
            <w:r w:rsidRPr="006B15C8">
              <w:rPr>
                <w:rFonts w:eastAsia="Arial"/>
                <w:sz w:val="22"/>
                <w:szCs w:val="22"/>
              </w:rPr>
              <w:t>(</w:t>
            </w:r>
            <w:r w:rsidRPr="00F45208">
              <w:rPr>
                <w:rFonts w:eastAsia="Arial"/>
                <w:sz w:val="22"/>
                <w:szCs w:val="22"/>
              </w:rPr>
              <w:t>c</w:t>
            </w:r>
            <w:r w:rsidRPr="006B15C8">
              <w:rPr>
                <w:rFonts w:eastAsia="Arial"/>
                <w:sz w:val="22"/>
                <w:szCs w:val="22"/>
              </w:rPr>
              <w:t>)</w:t>
            </w:r>
          </w:p>
        </w:tc>
        <w:tc>
          <w:tcPr>
            <w:tcW w:w="2777" w:type="dxa"/>
            <w:gridSpan w:val="3"/>
            <w:tcBorders>
              <w:top w:val="double" w:sz="4" w:space="0" w:color="auto"/>
              <w:left w:val="double" w:sz="4" w:space="0" w:color="auto"/>
              <w:bottom w:val="single" w:sz="6" w:space="0" w:color="000000"/>
              <w:right w:val="double" w:sz="4" w:space="0" w:color="auto"/>
            </w:tcBorders>
            <w:vAlign w:val="center"/>
            <w:hideMark/>
          </w:tcPr>
          <w:p w14:paraId="4CB1A80C" w14:textId="77777777" w:rsidR="00474741" w:rsidRPr="006B15C8" w:rsidRDefault="00C93A66" w:rsidP="00726FC6">
            <w:pPr>
              <w:jc w:val="center"/>
              <w:rPr>
                <w:rFonts w:eastAsia="Arial"/>
                <w:sz w:val="22"/>
                <w:szCs w:val="22"/>
              </w:rPr>
            </w:pPr>
            <w:r w:rsidRPr="006B15C8">
              <w:rPr>
                <w:rFonts w:eastAsia="Arial"/>
                <w:sz w:val="22"/>
                <w:szCs w:val="22"/>
              </w:rPr>
              <w:t>-4889.200</w:t>
            </w:r>
          </w:p>
        </w:tc>
        <w:tc>
          <w:tcPr>
            <w:tcW w:w="2640" w:type="dxa"/>
            <w:gridSpan w:val="3"/>
            <w:tcBorders>
              <w:top w:val="double" w:sz="4" w:space="0" w:color="auto"/>
              <w:left w:val="double" w:sz="4" w:space="0" w:color="auto"/>
              <w:bottom w:val="single" w:sz="6" w:space="0" w:color="000000"/>
              <w:right w:val="double" w:sz="4" w:space="0" w:color="auto"/>
            </w:tcBorders>
            <w:vAlign w:val="center"/>
            <w:hideMark/>
          </w:tcPr>
          <w:p w14:paraId="5688A176" w14:textId="77777777" w:rsidR="00474741" w:rsidRPr="006B15C8" w:rsidRDefault="00C93A66" w:rsidP="00726FC6">
            <w:pPr>
              <w:jc w:val="center"/>
              <w:rPr>
                <w:rFonts w:eastAsia="Arial"/>
                <w:sz w:val="22"/>
                <w:szCs w:val="22"/>
              </w:rPr>
            </w:pPr>
            <w:r w:rsidRPr="006B15C8">
              <w:rPr>
                <w:rFonts w:eastAsia="Arial"/>
                <w:sz w:val="22"/>
                <w:szCs w:val="22"/>
              </w:rPr>
              <w:t>-1107.688</w:t>
            </w:r>
          </w:p>
        </w:tc>
      </w:tr>
      <w:tr w:rsidR="00B7218E" w:rsidRPr="006B15C8" w14:paraId="1F99FFDE"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6C0BA880" w14:textId="77777777" w:rsidR="00474741" w:rsidRPr="006B15C8" w:rsidRDefault="00474741">
            <w:pPr>
              <w:jc w:val="left"/>
              <w:rPr>
                <w:rFonts w:eastAsia="Arial"/>
                <w:sz w:val="22"/>
                <w:szCs w:val="22"/>
              </w:rPr>
            </w:pPr>
            <w:r w:rsidRPr="006B15C8">
              <w:rPr>
                <w:rFonts w:eastAsia="Arial"/>
                <w:sz w:val="22"/>
                <w:szCs w:val="22"/>
              </w:rPr>
              <w:t xml:space="preserve">Log-likelihood of equal shares model </w:t>
            </w:r>
            <w:r w:rsidRPr="00F45208">
              <w:rPr>
                <w:rFonts w:eastAsia="Arial"/>
                <w:sz w:val="22"/>
                <w:szCs w:val="22"/>
              </w:rPr>
              <w:t>L</w:t>
            </w:r>
            <w:r w:rsidRPr="006B15C8">
              <w:rPr>
                <w:rFonts w:eastAsia="Arial"/>
                <w:sz w:val="22"/>
                <w:szCs w:val="22"/>
              </w:rPr>
              <w:t>(0)</w:t>
            </w:r>
            <w:r w:rsidRPr="006B15C8">
              <w:rPr>
                <w:rFonts w:eastAsia="Arial"/>
                <w:i/>
                <w:iCs/>
                <w:sz w:val="22"/>
                <w:szCs w:val="22"/>
                <w:vertAlign w:val="superscript"/>
              </w:rPr>
              <w:t>c</w:t>
            </w:r>
          </w:p>
        </w:tc>
        <w:tc>
          <w:tcPr>
            <w:tcW w:w="2777" w:type="dxa"/>
            <w:gridSpan w:val="3"/>
            <w:tcBorders>
              <w:top w:val="single" w:sz="6" w:space="0" w:color="000000"/>
              <w:left w:val="double" w:sz="4" w:space="0" w:color="auto"/>
              <w:bottom w:val="single" w:sz="6" w:space="0" w:color="000000"/>
              <w:right w:val="double" w:sz="4" w:space="0" w:color="auto"/>
            </w:tcBorders>
            <w:vAlign w:val="center"/>
            <w:hideMark/>
          </w:tcPr>
          <w:p w14:paraId="164C3821" w14:textId="77777777" w:rsidR="00474741" w:rsidRPr="006B15C8" w:rsidRDefault="00B43574" w:rsidP="00726FC6">
            <w:pPr>
              <w:jc w:val="center"/>
              <w:rPr>
                <w:rFonts w:eastAsia="Arial"/>
                <w:sz w:val="22"/>
                <w:szCs w:val="22"/>
              </w:rPr>
            </w:pPr>
            <w:r w:rsidRPr="006B15C8">
              <w:rPr>
                <w:rFonts w:eastAsia="Arial"/>
                <w:sz w:val="22"/>
                <w:szCs w:val="22"/>
              </w:rPr>
              <w:t>-12042.739</w:t>
            </w:r>
          </w:p>
        </w:tc>
        <w:tc>
          <w:tcPr>
            <w:tcW w:w="2640" w:type="dxa"/>
            <w:gridSpan w:val="3"/>
            <w:tcBorders>
              <w:top w:val="single" w:sz="6" w:space="0" w:color="000000"/>
              <w:left w:val="double" w:sz="4" w:space="0" w:color="auto"/>
              <w:bottom w:val="single" w:sz="6" w:space="0" w:color="000000"/>
              <w:right w:val="double" w:sz="4" w:space="0" w:color="auto"/>
            </w:tcBorders>
            <w:vAlign w:val="center"/>
            <w:hideMark/>
          </w:tcPr>
          <w:p w14:paraId="051206C2" w14:textId="77777777" w:rsidR="00474741" w:rsidRPr="006B15C8" w:rsidRDefault="00B43574" w:rsidP="00726FC6">
            <w:pPr>
              <w:jc w:val="center"/>
              <w:rPr>
                <w:rFonts w:eastAsia="Arial"/>
                <w:sz w:val="22"/>
                <w:szCs w:val="22"/>
              </w:rPr>
            </w:pPr>
            <w:r w:rsidRPr="006B15C8">
              <w:rPr>
                <w:rFonts w:eastAsia="Arial"/>
                <w:sz w:val="22"/>
                <w:szCs w:val="22"/>
              </w:rPr>
              <w:t>-2003.195</w:t>
            </w:r>
          </w:p>
        </w:tc>
      </w:tr>
      <w:tr w:rsidR="00404FE1" w:rsidRPr="006B15C8" w14:paraId="77B973A1"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71F9B4BF" w14:textId="77777777" w:rsidR="00474741" w:rsidRPr="006B15C8" w:rsidRDefault="00474741">
            <w:pPr>
              <w:jc w:val="left"/>
              <w:rPr>
                <w:rFonts w:eastAsia="Arial"/>
                <w:sz w:val="22"/>
                <w:szCs w:val="22"/>
              </w:rPr>
            </w:pPr>
            <w:r w:rsidRPr="006B15C8">
              <w:rPr>
                <w:rFonts w:eastAsia="Arial"/>
                <w:sz w:val="22"/>
                <w:szCs w:val="22"/>
              </w:rPr>
              <w:t>Nested likelihood ratio test</w:t>
            </w:r>
            <w:r w:rsidRPr="006B15C8">
              <w:rPr>
                <w:rFonts w:eastAsia="Arial"/>
                <w:i/>
                <w:iCs/>
                <w:sz w:val="22"/>
                <w:szCs w:val="22"/>
                <w:vertAlign w:val="superscript"/>
              </w:rPr>
              <w:t>d</w:t>
            </w:r>
          </w:p>
        </w:tc>
        <w:tc>
          <w:tcPr>
            <w:tcW w:w="2777" w:type="dxa"/>
            <w:gridSpan w:val="3"/>
            <w:tcBorders>
              <w:top w:val="single" w:sz="6" w:space="0" w:color="000000"/>
              <w:left w:val="double" w:sz="4" w:space="0" w:color="auto"/>
              <w:bottom w:val="single" w:sz="6" w:space="0" w:color="000000"/>
              <w:right w:val="double" w:sz="4" w:space="0" w:color="auto"/>
            </w:tcBorders>
            <w:vAlign w:val="center"/>
            <w:hideMark/>
          </w:tcPr>
          <w:p w14:paraId="13980012" w14:textId="77777777" w:rsidR="00474741" w:rsidRPr="006B15C8" w:rsidRDefault="00474741" w:rsidP="00474741">
            <w:pPr>
              <w:jc w:val="center"/>
              <w:rPr>
                <w:rFonts w:eastAsia="Arial"/>
                <w:sz w:val="22"/>
                <w:szCs w:val="22"/>
              </w:rPr>
            </w:pPr>
            <w:r w:rsidRPr="006B15C8">
              <w:rPr>
                <w:rFonts w:eastAsia="Arial"/>
                <w:sz w:val="22"/>
                <w:szCs w:val="22"/>
              </w:rPr>
              <w:t xml:space="preserve">LR = </w:t>
            </w:r>
            <w:r w:rsidR="00B43574" w:rsidRPr="006B15C8">
              <w:rPr>
                <w:rFonts w:eastAsia="Arial"/>
                <w:sz w:val="22"/>
                <w:szCs w:val="22"/>
              </w:rPr>
              <w:t>475.32</w:t>
            </w:r>
            <w:r w:rsidRPr="006B15C8">
              <w:rPr>
                <w:rFonts w:eastAsia="Arial"/>
                <w:sz w:val="22"/>
                <w:szCs w:val="22"/>
              </w:rPr>
              <w:t xml:space="preserve"> &gt;</w:t>
            </w:r>
          </w:p>
          <w:p w14:paraId="49476F9B" w14:textId="02C9CEA1" w:rsidR="00B11AE9" w:rsidRPr="006B15C8" w:rsidRDefault="00DD3817" w:rsidP="00726FC6">
            <w:pPr>
              <w:jc w:val="center"/>
            </w:pPr>
            <w:r w:rsidRPr="006B15C8">
              <w:rPr>
                <w:rFonts w:eastAsia="Arial"/>
                <w:position w:val="-14"/>
                <w:sz w:val="22"/>
                <w:szCs w:val="22"/>
              </w:rPr>
              <w:object w:dxaOrig="1600" w:dyaOrig="380" w14:anchorId="446E6FD5">
                <v:shape id="_x0000_i1066" type="#_x0000_t75" style="width:80.05pt;height:18.95pt" o:ole="">
                  <v:imagedata r:id="rId100" o:title=""/>
                </v:shape>
                <o:OLEObject Type="Embed" ProgID="Equation.DSMT4" ShapeID="_x0000_i1066" DrawAspect="Content" ObjectID="_1832934310" r:id="rId101"/>
              </w:object>
            </w:r>
          </w:p>
        </w:tc>
        <w:tc>
          <w:tcPr>
            <w:tcW w:w="2640" w:type="dxa"/>
            <w:gridSpan w:val="3"/>
            <w:tcBorders>
              <w:top w:val="single" w:sz="6" w:space="0" w:color="000000"/>
              <w:left w:val="double" w:sz="4" w:space="0" w:color="auto"/>
              <w:bottom w:val="single" w:sz="6" w:space="0" w:color="000000"/>
              <w:right w:val="double" w:sz="4" w:space="0" w:color="auto"/>
            </w:tcBorders>
            <w:vAlign w:val="center"/>
            <w:hideMark/>
          </w:tcPr>
          <w:p w14:paraId="67BD53A8" w14:textId="77777777" w:rsidR="007420D7" w:rsidRPr="006B15C8" w:rsidRDefault="00474741" w:rsidP="00C87177">
            <w:pPr>
              <w:jc w:val="center"/>
              <w:rPr>
                <w:rFonts w:eastAsia="Arial"/>
                <w:sz w:val="22"/>
                <w:szCs w:val="22"/>
              </w:rPr>
            </w:pPr>
            <w:r w:rsidRPr="006B15C8">
              <w:rPr>
                <w:rFonts w:eastAsia="Arial"/>
                <w:sz w:val="22"/>
                <w:szCs w:val="22"/>
              </w:rPr>
              <w:t>LR =</w:t>
            </w:r>
            <w:r w:rsidR="00B43574" w:rsidRPr="006B15C8">
              <w:rPr>
                <w:rFonts w:eastAsia="Arial"/>
                <w:sz w:val="22"/>
                <w:szCs w:val="22"/>
              </w:rPr>
              <w:t>107.12</w:t>
            </w:r>
            <w:r w:rsidR="00B11AE9" w:rsidRPr="006B15C8">
              <w:rPr>
                <w:rFonts w:eastAsia="Arial"/>
                <w:sz w:val="22"/>
                <w:szCs w:val="22"/>
              </w:rPr>
              <w:t xml:space="preserve"> </w:t>
            </w:r>
            <w:r w:rsidRPr="006B15C8">
              <w:rPr>
                <w:rFonts w:eastAsia="Arial"/>
                <w:sz w:val="22"/>
                <w:szCs w:val="22"/>
              </w:rPr>
              <w:t>&gt;</w:t>
            </w:r>
          </w:p>
          <w:p w14:paraId="54916892" w14:textId="76179C08" w:rsidR="00B11AE9" w:rsidRPr="006B15C8" w:rsidDel="00CB2C17" w:rsidRDefault="00F673F0" w:rsidP="00726FC6">
            <w:pPr>
              <w:jc w:val="center"/>
              <w:rPr>
                <w:rFonts w:eastAsia="Arial"/>
                <w:sz w:val="22"/>
                <w:szCs w:val="22"/>
              </w:rPr>
            </w:pPr>
            <w:r w:rsidRPr="006B15C8">
              <w:rPr>
                <w:rFonts w:eastAsia="Arial"/>
                <w:position w:val="-14"/>
                <w:sz w:val="22"/>
                <w:szCs w:val="22"/>
              </w:rPr>
              <w:object w:dxaOrig="1540" w:dyaOrig="380" w14:anchorId="653F416D">
                <v:shape id="_x0000_i1067" type="#_x0000_t75" style="width:77.2pt;height:19.4pt" o:ole="">
                  <v:imagedata r:id="rId102" o:title=""/>
                </v:shape>
                <o:OLEObject Type="Embed" ProgID="Equation.DSMT4" ShapeID="_x0000_i1067" DrawAspect="Content" ObjectID="_1832934311" r:id="rId103"/>
              </w:object>
            </w:r>
          </w:p>
          <w:p w14:paraId="69658C04" w14:textId="77777777" w:rsidR="00474741" w:rsidRPr="006B15C8" w:rsidRDefault="00474741" w:rsidP="00726FC6">
            <w:pPr>
              <w:jc w:val="center"/>
              <w:rPr>
                <w:rFonts w:eastAsia="Arial"/>
                <w:sz w:val="22"/>
                <w:szCs w:val="22"/>
              </w:rPr>
            </w:pPr>
          </w:p>
        </w:tc>
      </w:tr>
      <w:tr w:rsidR="00404FE1" w:rsidRPr="006B15C8" w14:paraId="0163A7C9" w14:textId="77777777" w:rsidTr="00C87177">
        <w:trPr>
          <w:trHeight w:val="20"/>
        </w:trPr>
        <w:tc>
          <w:tcPr>
            <w:tcW w:w="3939" w:type="dxa"/>
            <w:tcBorders>
              <w:top w:val="single" w:sz="6" w:space="0" w:color="000000"/>
              <w:left w:val="double" w:sz="4" w:space="0" w:color="auto"/>
              <w:bottom w:val="single" w:sz="6" w:space="0" w:color="000000"/>
              <w:right w:val="double" w:sz="4" w:space="0" w:color="auto"/>
            </w:tcBorders>
            <w:vAlign w:val="center"/>
            <w:hideMark/>
          </w:tcPr>
          <w:p w14:paraId="2095E332" w14:textId="1CE20063" w:rsidR="00474741" w:rsidRPr="006B15C8" w:rsidRDefault="00474741">
            <w:pPr>
              <w:jc w:val="left"/>
              <w:rPr>
                <w:rFonts w:eastAsia="Arial"/>
                <w:sz w:val="22"/>
                <w:szCs w:val="22"/>
              </w:rPr>
            </w:pPr>
            <w:r w:rsidRPr="006B15C8">
              <w:rPr>
                <w:rFonts w:eastAsia="Arial"/>
                <w:sz w:val="22"/>
                <w:szCs w:val="22"/>
              </w:rPr>
              <w:t xml:space="preserve">Adjusted likelihood ratio index </w:t>
            </w:r>
            <w:r w:rsidR="00726FC6" w:rsidRPr="006B15C8">
              <w:rPr>
                <w:rFonts w:eastAsia="Arial"/>
                <w:noProof/>
                <w:sz w:val="22"/>
                <w:szCs w:val="22"/>
              </w:rPr>
              <w:drawing>
                <wp:inline distT="0" distB="0" distL="0" distR="0" wp14:anchorId="7705CD7E" wp14:editId="2312A21D">
                  <wp:extent cx="190500" cy="219075"/>
                  <wp:effectExtent l="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6B15C8">
              <w:rPr>
                <w:rFonts w:eastAsia="Arial"/>
                <w:i/>
                <w:iCs/>
                <w:sz w:val="22"/>
                <w:szCs w:val="22"/>
                <w:vertAlign w:val="superscript"/>
              </w:rPr>
              <w:t>e</w:t>
            </w:r>
          </w:p>
        </w:tc>
        <w:tc>
          <w:tcPr>
            <w:tcW w:w="2777" w:type="dxa"/>
            <w:gridSpan w:val="3"/>
            <w:tcBorders>
              <w:top w:val="single" w:sz="6" w:space="0" w:color="000000"/>
              <w:left w:val="double" w:sz="4" w:space="0" w:color="auto"/>
              <w:bottom w:val="single" w:sz="6" w:space="0" w:color="000000"/>
              <w:right w:val="double" w:sz="4" w:space="0" w:color="auto"/>
            </w:tcBorders>
            <w:vAlign w:val="center"/>
            <w:hideMark/>
          </w:tcPr>
          <w:p w14:paraId="3139CACF" w14:textId="77777777" w:rsidR="00474741" w:rsidRPr="006B15C8" w:rsidRDefault="00B11AE9" w:rsidP="00726FC6">
            <w:pPr>
              <w:jc w:val="center"/>
              <w:rPr>
                <w:rFonts w:eastAsia="Arial"/>
                <w:sz w:val="22"/>
                <w:szCs w:val="22"/>
              </w:rPr>
            </w:pPr>
            <w:r w:rsidRPr="006B15C8">
              <w:rPr>
                <w:rFonts w:eastAsia="Arial"/>
                <w:sz w:val="22"/>
                <w:szCs w:val="22"/>
              </w:rPr>
              <w:t>0.614</w:t>
            </w:r>
          </w:p>
        </w:tc>
        <w:tc>
          <w:tcPr>
            <w:tcW w:w="2640" w:type="dxa"/>
            <w:gridSpan w:val="3"/>
            <w:tcBorders>
              <w:top w:val="single" w:sz="6" w:space="0" w:color="000000"/>
              <w:left w:val="double" w:sz="4" w:space="0" w:color="auto"/>
              <w:bottom w:val="single" w:sz="6" w:space="0" w:color="000000"/>
              <w:right w:val="double" w:sz="4" w:space="0" w:color="auto"/>
            </w:tcBorders>
            <w:vAlign w:val="center"/>
          </w:tcPr>
          <w:p w14:paraId="11263248" w14:textId="77777777" w:rsidR="00474741" w:rsidRPr="006B15C8" w:rsidRDefault="00B11AE9" w:rsidP="00726FC6">
            <w:pPr>
              <w:jc w:val="center"/>
              <w:rPr>
                <w:rFonts w:eastAsia="Arial"/>
                <w:sz w:val="22"/>
                <w:szCs w:val="22"/>
              </w:rPr>
            </w:pPr>
            <w:r w:rsidRPr="006B15C8">
              <w:rPr>
                <w:rFonts w:eastAsia="Arial"/>
                <w:sz w:val="22"/>
                <w:szCs w:val="22"/>
              </w:rPr>
              <w:t>0.474</w:t>
            </w:r>
          </w:p>
        </w:tc>
      </w:tr>
      <w:tr w:rsidR="00404FE1" w:rsidRPr="006B15C8" w14:paraId="5F5BD2E8" w14:textId="77777777" w:rsidTr="00C87177">
        <w:trPr>
          <w:trHeight w:val="20"/>
        </w:trPr>
        <w:tc>
          <w:tcPr>
            <w:tcW w:w="3939" w:type="dxa"/>
            <w:tcBorders>
              <w:top w:val="single" w:sz="6" w:space="0" w:color="000000"/>
              <w:left w:val="double" w:sz="4" w:space="0" w:color="auto"/>
              <w:bottom w:val="double" w:sz="4" w:space="0" w:color="auto"/>
              <w:right w:val="double" w:sz="4" w:space="0" w:color="auto"/>
            </w:tcBorders>
            <w:vAlign w:val="center"/>
            <w:hideMark/>
          </w:tcPr>
          <w:p w14:paraId="67288343" w14:textId="23399D4B" w:rsidR="00474741" w:rsidRPr="006B15C8" w:rsidRDefault="00474741">
            <w:pPr>
              <w:jc w:val="left"/>
              <w:rPr>
                <w:rFonts w:eastAsia="Arial"/>
                <w:sz w:val="22"/>
                <w:szCs w:val="22"/>
              </w:rPr>
            </w:pPr>
            <w:r w:rsidRPr="006B15C8">
              <w:rPr>
                <w:rFonts w:eastAsia="Arial"/>
                <w:sz w:val="22"/>
                <w:szCs w:val="22"/>
              </w:rPr>
              <w:t xml:space="preserve">Adjusted likelihood ratio index </w:t>
            </w:r>
            <w:r w:rsidR="00726FC6" w:rsidRPr="006B15C8">
              <w:rPr>
                <w:rFonts w:eastAsia="Arial"/>
                <w:noProof/>
                <w:sz w:val="22"/>
                <w:szCs w:val="22"/>
              </w:rPr>
              <w:drawing>
                <wp:inline distT="0" distB="0" distL="0" distR="0" wp14:anchorId="34A949E5" wp14:editId="2FB08DB8">
                  <wp:extent cx="190500" cy="219075"/>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6B15C8">
              <w:rPr>
                <w:rFonts w:eastAsia="Arial"/>
                <w:i/>
                <w:iCs/>
                <w:sz w:val="22"/>
                <w:szCs w:val="22"/>
                <w:vertAlign w:val="superscript"/>
              </w:rPr>
              <w:t>e</w:t>
            </w:r>
          </w:p>
        </w:tc>
        <w:tc>
          <w:tcPr>
            <w:tcW w:w="2777" w:type="dxa"/>
            <w:gridSpan w:val="3"/>
            <w:tcBorders>
              <w:top w:val="single" w:sz="6" w:space="0" w:color="000000"/>
              <w:left w:val="double" w:sz="4" w:space="0" w:color="auto"/>
              <w:bottom w:val="double" w:sz="4" w:space="0" w:color="auto"/>
              <w:right w:val="double" w:sz="4" w:space="0" w:color="auto"/>
            </w:tcBorders>
            <w:vAlign w:val="center"/>
            <w:hideMark/>
          </w:tcPr>
          <w:p w14:paraId="184098DB" w14:textId="77777777" w:rsidR="00474741" w:rsidRPr="006B15C8" w:rsidRDefault="00B11AE9" w:rsidP="00726FC6">
            <w:pPr>
              <w:jc w:val="center"/>
              <w:rPr>
                <w:rFonts w:eastAsia="Arial"/>
                <w:sz w:val="22"/>
                <w:szCs w:val="22"/>
              </w:rPr>
            </w:pPr>
            <w:r w:rsidRPr="006B15C8">
              <w:rPr>
                <w:rFonts w:eastAsia="Arial"/>
                <w:sz w:val="22"/>
                <w:szCs w:val="22"/>
              </w:rPr>
              <w:t>0.046</w:t>
            </w:r>
          </w:p>
        </w:tc>
        <w:tc>
          <w:tcPr>
            <w:tcW w:w="2640" w:type="dxa"/>
            <w:gridSpan w:val="3"/>
            <w:tcBorders>
              <w:top w:val="single" w:sz="6" w:space="0" w:color="000000"/>
              <w:left w:val="double" w:sz="4" w:space="0" w:color="auto"/>
              <w:bottom w:val="double" w:sz="4" w:space="0" w:color="auto"/>
              <w:right w:val="double" w:sz="4" w:space="0" w:color="auto"/>
            </w:tcBorders>
            <w:vAlign w:val="center"/>
            <w:hideMark/>
          </w:tcPr>
          <w:p w14:paraId="0134BDA3" w14:textId="77777777" w:rsidR="00474741" w:rsidRPr="006B15C8" w:rsidRDefault="00B11AE9" w:rsidP="00726FC6">
            <w:pPr>
              <w:jc w:val="center"/>
              <w:rPr>
                <w:rFonts w:eastAsia="Arial"/>
                <w:sz w:val="22"/>
                <w:szCs w:val="22"/>
              </w:rPr>
            </w:pPr>
            <w:r w:rsidRPr="006B15C8">
              <w:rPr>
                <w:rFonts w:eastAsia="Arial"/>
                <w:sz w:val="22"/>
                <w:szCs w:val="22"/>
              </w:rPr>
              <w:t>0.041</w:t>
            </w:r>
          </w:p>
        </w:tc>
      </w:tr>
    </w:tbl>
    <w:p w14:paraId="60B6ED11" w14:textId="77777777" w:rsidR="004D553B" w:rsidRPr="006B15C8" w:rsidRDefault="004D553B" w:rsidP="004D553B">
      <w:pPr>
        <w:rPr>
          <w:vanish/>
        </w:rPr>
      </w:pPr>
    </w:p>
    <w:p w14:paraId="070566A6" w14:textId="77777777" w:rsidR="00C93A66" w:rsidRPr="006B15C8" w:rsidRDefault="00C93A66" w:rsidP="00C93A66">
      <w:pPr>
        <w:spacing w:before="60"/>
        <w:ind w:left="180" w:hanging="180"/>
        <w:rPr>
          <w:sz w:val="20"/>
          <w:szCs w:val="20"/>
        </w:rPr>
      </w:pPr>
      <w:r w:rsidRPr="006B15C8">
        <w:rPr>
          <w:i/>
          <w:iCs/>
          <w:sz w:val="20"/>
          <w:szCs w:val="20"/>
          <w:vertAlign w:val="superscript"/>
        </w:rPr>
        <w:t xml:space="preserve">a </w:t>
      </w:r>
      <w:r w:rsidRPr="006B15C8">
        <w:rPr>
          <w:sz w:val="20"/>
          <w:szCs w:val="20"/>
        </w:rPr>
        <w:t>The base category for Male × Nighttime in the %ATE comparison is Female × Nighttime.</w:t>
      </w:r>
    </w:p>
    <w:p w14:paraId="753F9710" w14:textId="77777777" w:rsidR="00C93A66" w:rsidRPr="006B15C8" w:rsidRDefault="00C93A66" w:rsidP="00C93A66">
      <w:pPr>
        <w:ind w:left="180" w:hanging="180"/>
        <w:rPr>
          <w:sz w:val="20"/>
          <w:szCs w:val="20"/>
        </w:rPr>
      </w:pPr>
      <w:r w:rsidRPr="006B15C8">
        <w:rPr>
          <w:i/>
          <w:iCs/>
          <w:sz w:val="20"/>
          <w:szCs w:val="20"/>
          <w:vertAlign w:val="superscript"/>
        </w:rPr>
        <w:t xml:space="preserve">b </w:t>
      </w:r>
      <w:r w:rsidRPr="006B15C8">
        <w:rPr>
          <w:sz w:val="20"/>
          <w:szCs w:val="20"/>
        </w:rPr>
        <w:t>The base category for Brown × Nighttime in the %ATE comparison is White × Nighttime. The base category for Black × Nighttime in the %ATE comparison is White × Nighttime.</w:t>
      </w:r>
    </w:p>
    <w:p w14:paraId="239339D3" w14:textId="77777777" w:rsidR="00C93A66" w:rsidRPr="006B15C8" w:rsidRDefault="00C93A66" w:rsidP="00C93A66">
      <w:pPr>
        <w:rPr>
          <w:sz w:val="20"/>
          <w:szCs w:val="20"/>
        </w:rPr>
      </w:pPr>
      <w:r w:rsidRPr="006B15C8">
        <w:rPr>
          <w:i/>
          <w:iCs/>
          <w:sz w:val="20"/>
          <w:szCs w:val="20"/>
          <w:vertAlign w:val="superscript"/>
        </w:rPr>
        <w:t>c</w:t>
      </w:r>
      <w:r w:rsidRPr="006B15C8">
        <w:rPr>
          <w:sz w:val="20"/>
          <w:szCs w:val="20"/>
        </w:rPr>
        <w:t xml:space="preserve"> </w:t>
      </w:r>
      <w:r w:rsidRPr="00F45208">
        <w:rPr>
          <w:sz w:val="20"/>
          <w:szCs w:val="20"/>
        </w:rPr>
        <w:t>L</w:t>
      </w:r>
      <w:r w:rsidRPr="006B15C8">
        <w:rPr>
          <w:sz w:val="20"/>
          <w:szCs w:val="20"/>
        </w:rPr>
        <w:t>(0) = [(</w:t>
      </w:r>
      <w:r w:rsidR="00B43574" w:rsidRPr="006B15C8">
        <w:rPr>
          <w:sz w:val="20"/>
          <w:szCs w:val="20"/>
        </w:rPr>
        <w:t>-</w:t>
      </w:r>
      <w:r w:rsidRPr="006B15C8">
        <w:rPr>
          <w:sz w:val="20"/>
          <w:szCs w:val="20"/>
        </w:rPr>
        <w:t>Number of</w:t>
      </w:r>
      <w:r w:rsidR="00B43574" w:rsidRPr="006B15C8">
        <w:rPr>
          <w:sz w:val="20"/>
          <w:szCs w:val="20"/>
        </w:rPr>
        <w:t xml:space="preserve"> observations</w:t>
      </w:r>
      <w:r w:rsidRPr="006B15C8">
        <w:rPr>
          <w:sz w:val="20"/>
          <w:szCs w:val="20"/>
        </w:rPr>
        <w:t>)×ln(0.5)] for a binary model.</w:t>
      </w:r>
    </w:p>
    <w:p w14:paraId="621E149D" w14:textId="77777777" w:rsidR="00C93A66" w:rsidRPr="006B15C8" w:rsidRDefault="00C93A66" w:rsidP="00C93A66">
      <w:pPr>
        <w:ind w:left="180" w:hanging="180"/>
        <w:rPr>
          <w:sz w:val="20"/>
          <w:szCs w:val="20"/>
        </w:rPr>
      </w:pPr>
      <w:r w:rsidRPr="006B15C8">
        <w:rPr>
          <w:rFonts w:eastAsia="Arial"/>
          <w:i/>
          <w:iCs/>
          <w:sz w:val="20"/>
          <w:szCs w:val="20"/>
          <w:vertAlign w:val="superscript"/>
        </w:rPr>
        <w:t>d</w:t>
      </w:r>
      <w:r w:rsidRPr="006B15C8">
        <w:rPr>
          <w:rFonts w:eastAsia="Arial"/>
          <w:sz w:val="20"/>
          <w:szCs w:val="20"/>
          <w:vertAlign w:val="superscript"/>
        </w:rPr>
        <w:t xml:space="preserve"> </w:t>
      </w:r>
      <w:r w:rsidRPr="006B15C8">
        <w:rPr>
          <w:sz w:val="20"/>
          <w:szCs w:val="20"/>
        </w:rPr>
        <w:t xml:space="preserve">The nested likelihood ratio test is computed with respect to the constants only model. </w:t>
      </w:r>
    </w:p>
    <w:p w14:paraId="0ACCF71B" w14:textId="6F256687" w:rsidR="00B11AE9" w:rsidRPr="006B15C8" w:rsidRDefault="00C93A66" w:rsidP="00726FC6">
      <w:pPr>
        <w:ind w:left="180" w:hanging="180"/>
        <w:jc w:val="left"/>
        <w:rPr>
          <w:sz w:val="20"/>
          <w:szCs w:val="20"/>
        </w:rPr>
      </w:pPr>
      <w:r w:rsidRPr="006B15C8">
        <w:rPr>
          <w:rFonts w:eastAsia="Arial"/>
          <w:i/>
          <w:iCs/>
          <w:sz w:val="20"/>
          <w:szCs w:val="20"/>
          <w:vertAlign w:val="superscript"/>
        </w:rPr>
        <w:t xml:space="preserve">e </w:t>
      </w:r>
      <w:r w:rsidRPr="006B15C8">
        <w:rPr>
          <w:sz w:val="20"/>
          <w:szCs w:val="20"/>
        </w:rPr>
        <w:t xml:space="preserve">The adjusted likelihood ratio indices are computed as follows:  </w:t>
      </w:r>
      <w:r w:rsidR="00F45208" w:rsidRPr="006B15C8">
        <w:rPr>
          <w:position w:val="-14"/>
          <w:sz w:val="20"/>
          <w:szCs w:val="20"/>
        </w:rPr>
        <w:object w:dxaOrig="4980" w:dyaOrig="400" w14:anchorId="5D84980D">
          <v:shape id="_x0000_i1068" type="#_x0000_t75" style="width:214.6pt;height:18.45pt" o:ole="">
            <v:imagedata r:id="rId106" o:title=""/>
          </v:shape>
          <o:OLEObject Type="Embed" ProgID="Equation.DSMT4" ShapeID="_x0000_i1068" DrawAspect="Content" ObjectID="_1832934312" r:id="rId107"/>
        </w:object>
      </w:r>
      <w:r w:rsidRPr="006B15C8">
        <w:rPr>
          <w:sz w:val="20"/>
          <w:szCs w:val="20"/>
        </w:rPr>
        <w:t>where M is the number of parameters excluding constants.</w:t>
      </w:r>
    </w:p>
    <w:p w14:paraId="0B7CE2CF" w14:textId="77777777" w:rsidR="00EE0617" w:rsidRPr="006B15C8" w:rsidRDefault="00EE0617" w:rsidP="004A6C6E">
      <w:pPr>
        <w:spacing w:line="271" w:lineRule="auto"/>
      </w:pPr>
      <w:bookmarkStart w:id="77" w:name="_Hlk201836124"/>
    </w:p>
    <w:p w14:paraId="5115DCF0" w14:textId="77777777" w:rsidR="005F5D31" w:rsidRPr="006B15C8" w:rsidRDefault="005F5D31" w:rsidP="004A6C6E">
      <w:pPr>
        <w:spacing w:line="271" w:lineRule="auto"/>
        <w:rPr>
          <w:i/>
          <w:iCs/>
          <w:u w:val="single"/>
        </w:rPr>
      </w:pPr>
      <w:bookmarkStart w:id="78" w:name="_Hlk204513979"/>
      <w:r w:rsidRPr="006B15C8">
        <w:rPr>
          <w:i/>
          <w:iCs/>
          <w:u w:val="single"/>
        </w:rPr>
        <w:t>Pedestrian Perceived Skin Tone</w:t>
      </w:r>
    </w:p>
    <w:p w14:paraId="4EC9D6CD" w14:textId="5F5D8E66" w:rsidR="00E45245" w:rsidRPr="006B15C8" w:rsidRDefault="00FE0F61" w:rsidP="004A6C6E">
      <w:pPr>
        <w:spacing w:line="271" w:lineRule="auto"/>
      </w:pPr>
      <w:bookmarkStart w:id="79" w:name="_Hlk201836687"/>
      <w:bookmarkEnd w:id="77"/>
      <w:r w:rsidRPr="006B15C8">
        <w:t xml:space="preserve">Skin tone plays a </w:t>
      </w:r>
      <w:r w:rsidR="00DA7E85" w:rsidRPr="006B15C8">
        <w:t>significant</w:t>
      </w:r>
      <w:r w:rsidRPr="006B15C8">
        <w:t xml:space="preserve"> role in shaping pedestrian crossing behavior and driver responses, revealing layered inequities in public space. </w:t>
      </w:r>
      <w:r w:rsidR="00DA7E85" w:rsidRPr="006B15C8">
        <w:t>While the effects are smaller than those associated with gender or time</w:t>
      </w:r>
      <w:r w:rsidR="008C222F" w:rsidRPr="006B15C8">
        <w:t>-</w:t>
      </w:r>
      <w:r w:rsidR="00DA7E85" w:rsidRPr="006B15C8">
        <w:t>of</w:t>
      </w:r>
      <w:r w:rsidR="008C222F" w:rsidRPr="006B15C8">
        <w:t>-</w:t>
      </w:r>
      <w:r w:rsidR="00DA7E85" w:rsidRPr="006B15C8">
        <w:t>day, they remain statistically significant and socially meaningful. The results show that p</w:t>
      </w:r>
      <w:r w:rsidRPr="006B15C8">
        <w:t>edestrians with darker skin tones (MST 9-10</w:t>
      </w:r>
      <w:r w:rsidR="00BE02A1" w:rsidRPr="006B15C8">
        <w:t>-Black</w:t>
      </w:r>
      <w:r w:rsidRPr="006B15C8">
        <w:t xml:space="preserve">) </w:t>
      </w:r>
      <w:r w:rsidR="00BE02A1" w:rsidRPr="006B15C8">
        <w:t>a</w:t>
      </w:r>
      <w:r w:rsidR="00DA7E85" w:rsidRPr="006B15C8">
        <w:t xml:space="preserve">re </w:t>
      </w:r>
      <w:r w:rsidR="00DF5F99" w:rsidRPr="006B15C8">
        <w:t>43.6</w:t>
      </w:r>
      <w:r w:rsidR="00DA7E85" w:rsidRPr="006B15C8">
        <w:t xml:space="preserve">% more likely, </w:t>
      </w:r>
      <w:r w:rsidR="00BE02A1" w:rsidRPr="006B15C8">
        <w:t xml:space="preserve">and </w:t>
      </w:r>
      <w:r w:rsidR="00DA7E85" w:rsidRPr="006B15C8">
        <w:t>those with medium skin tones (MST 3-8</w:t>
      </w:r>
      <w:r w:rsidR="00BE02A1" w:rsidRPr="006B15C8">
        <w:t>-Brown</w:t>
      </w:r>
      <w:r w:rsidR="00DA7E85" w:rsidRPr="006B15C8">
        <w:t xml:space="preserve">) </w:t>
      </w:r>
      <w:r w:rsidR="00BE02A1" w:rsidRPr="006B15C8">
        <w:t>a</w:t>
      </w:r>
      <w:r w:rsidR="00DA7E85" w:rsidRPr="006B15C8">
        <w:t xml:space="preserve">re </w:t>
      </w:r>
      <w:r w:rsidR="00DF5F99" w:rsidRPr="006B15C8">
        <w:t>15.4</w:t>
      </w:r>
      <w:r w:rsidR="00DA7E85" w:rsidRPr="006B15C8">
        <w:t>% less likely</w:t>
      </w:r>
      <w:r w:rsidR="00BE02A1" w:rsidRPr="006B15C8">
        <w:t>,</w:t>
      </w:r>
      <w:r w:rsidR="00DA7E85" w:rsidRPr="006B15C8">
        <w:t xml:space="preserve"> than lighter-skinned </w:t>
      </w:r>
      <w:r w:rsidR="00BE02A1" w:rsidRPr="006B15C8">
        <w:t xml:space="preserve">(MST 1-2-White) </w:t>
      </w:r>
      <w:r w:rsidR="00DA7E85" w:rsidRPr="006B15C8">
        <w:t>individuals</w:t>
      </w:r>
      <w:r w:rsidR="00BE02A1" w:rsidRPr="006B15C8">
        <w:t xml:space="preserve"> to partake in NCPC behavior</w:t>
      </w:r>
      <w:r w:rsidR="00DA7E85" w:rsidRPr="006B15C8">
        <w:t xml:space="preserve">. Although naturalistic pedestrian studies have rarely examined the effect of skin tone, </w:t>
      </w:r>
      <w:r w:rsidR="00BE02A1" w:rsidRPr="006B15C8">
        <w:t xml:space="preserve">as already identified in Section 2, </w:t>
      </w:r>
      <w:r w:rsidR="00DA7E85" w:rsidRPr="006B15C8">
        <w:t xml:space="preserve">research in behavioral science and psychology suggests that experiences of discrimination, stereotype threat, and systemic inequities may heighten risk-taking behaviors among marginalized groups, particularly Black or African American </w:t>
      </w:r>
      <w:bookmarkStart w:id="80" w:name="_Hlk203662433"/>
      <w:r w:rsidR="00DA7E85" w:rsidRPr="006B15C8">
        <w:t xml:space="preserve">individuals </w:t>
      </w:r>
      <w:bookmarkStart w:id="81" w:name="_Hlk202478305"/>
      <w:r w:rsidR="00DA7E85" w:rsidRPr="006B15C8">
        <w:fldChar w:fldCharType="begin"/>
      </w:r>
      <w:r w:rsidR="003F5890" w:rsidRPr="006B15C8">
        <w:instrText xml:space="preserve"> ADDIN ZOTERO_ITEM CSL_CITATION {"citationID":"HsbXKJHr","properties":{"formattedCitation":"(Factor et al., 2013; Jamieson et al., 2013)","plainCitation":"(Factor et al., 2013; Jamieson et al., 2013)","dontUpdate":true,"noteIndex":0},"citationItems":[{"id":"ReAbCZ5Q/o1iEAuIl","uris":["http://zotero.org/users/9292995/items/4TGGS7HP"],"itemData":{"id":407,"type":"article-journal","container-title":"American journal of public health","ISSN":"1541-0048","issue":"12","journalAbbreviation":"American journal of public health","note":"publisher: American Public Health Association","page":"2245-2251","title":"Social resistance framework for understanding high-risk behavior among nondominant minorities: Preliminary evidence","volume":"103","author":[{"family":"Factor","given":"Roni"},{"family":"Williams","given":"David R"},{"family":"Kawachi","given":"Ichiro"}],"issued":{"date-parts":[["2013"]]}}},{"id":440,"uris":["http://zotero.org/groups/5885221/items/P5FWGI5J"],"itemData":{"id":440,"type":"article-journal","abstract":"Prior research has revealed racial disparities in health outcomes and health-compromising behaviors, such as smoking and drug abuse. It has been suggested that discrimination contributes to such disparities, but the mechanisms through which this might occur are not well understood. In the research reported here, we examined whether the experience of discrimination affects acute physiological stress responses and increases risk-taking behavior. Black and White participants each received rejecting feedback from partners who were either of their own race (in-group rejection) or of a different race (out-group rejection, which could be interpreted as discrimination). Physiological (cardiovascular and neuroendocrine) changes, cognition (memory and attentional bias), affect, and risk-taking behavior were assessed. Significant Participant Race × Partner Race interactions were observed. Cross-race rejection, compared with same-race rejection, was associated with lower levels of cortisol, increased cardiac output, decreased vascular resistance, greater anger, increased attentional bias, and more risk-taking behavior. These data suggest that perceived discrimination is associated with distinct profiles of physiological reactivity, affect, cognitive processing, and risk taking, implicating direct and indirect pathways to health disparities.","container-title":"Psychological Science","DOI":"10.1177/0956797612448194","ISSN":"0956-7976","issue":"2","journalAbbreviation":"Psychol Sci","language":"EN","note":"publisher: SAGE Publications Inc","page":"131-139","source":"SAGE Journals","title":"Experiencing Discrimination Increases Risk Taking","volume":"24","author":[{"family":"Jamieson","given":"Jeremy P."},{"family":"Koslov","given":"Katrina"},{"family":"Nock","given":"Matthew K."},{"family":"Mendes","given":"Wendy Berry"}],"issued":{"date-parts":[["2013",2,1]]}}}],"schema":"https://github.com/citation-style-language/schema/raw/master/csl-citation.json"} </w:instrText>
      </w:r>
      <w:r w:rsidR="00DA7E85" w:rsidRPr="006B15C8">
        <w:fldChar w:fldCharType="separate"/>
      </w:r>
      <w:r w:rsidR="00DA7E85" w:rsidRPr="006B15C8">
        <w:t>(Factor et al., 2013, Jamieson et al., 2013,</w:t>
      </w:r>
      <w:r w:rsidR="00DA7E85" w:rsidRPr="006B15C8">
        <w:fldChar w:fldCharType="end"/>
      </w:r>
      <w:r w:rsidR="00DA7E85" w:rsidRPr="006B15C8">
        <w:t xml:space="preserve"> </w:t>
      </w:r>
      <w:r w:rsidR="00DA7E85" w:rsidRPr="006B15C8">
        <w:fldChar w:fldCharType="begin"/>
      </w:r>
      <w:r w:rsidR="00911EF4" w:rsidRPr="006B15C8">
        <w:instrText xml:space="preserve"> ADDIN ZOTERO_ITEM CSL_CITATION {"citationID":"Tm91T1Lw","properties":{"formattedCitation":"(T. H. Xie et al., 2020)","plainCitation":"(T. H. Xie et al., 2020)","dontUpdate":true,"noteIndex":0},"citationItems":[{"id":441,"uris":["http://zotero.org/groups/5885221/items/ESIRV8Z8"],"itemData":{"id":441,"type":"article-journal","abstract":"Purpose.\nDiscrimination is a common stressor among African Americans and may increase vulnerability to risk behaviors, such as early initiation of substance use, substance use problems, and physical aggression; however, few studies have examined different types of discrimination and their associations with patterns of risk behaviors. This study examines the relationship between experiences of racial and socioeconomic discrimination and risk behaviors in African-American adolescents and young adults.\n\nMethods.\nWe investigated associations of two discrimination types with risk behavior patterns identified with latent class analysis in a high-risk sample of African Americans (N= 797, Mage=17.9 years, 50.2% female).\n\nResults.\nFour distinct classes of risk behaviors were characterized by High Use &amp; Aggression (10%), Moderate Use &amp; Aggression (10%), High Alcohol (17%), and Low Use &amp; Aggression (63%). Classes that exhibit general risk behaviors, including substance use and aggression, were significantly associated with racial and socioeconomic discrimination, even in the fully-adjusted model. Relative to other classes, the High Use &amp; Aggression class demonstrated an elevated likelihood of experiencing both racial and socioeconomic discrimination.\n\nConclusions.\nFindings support a link between racial and socioeconomic discrimination and risk behavior in African-American youth, which may be stronger for socioeconomic discrimination. Understanding the relationship between discrimination and risk behavior can inform future interventions to prevent substance misuse and conduct problems in youth. Further study is needed to elucidate the relationship between discrimination and other risk behaviors.","container-title":"Social psychiatry and psychiatric epidemiology","DOI":"10.1007/s00127-020-01884-y","ISSN":"0933-7954","issue":"11","journalAbbreviation":"Soc Psychiatry Psychiatr Epidemiol","note":"PMID: 32417956\nPMCID: PMC9036724","page":"1479-1489","source":"PubMed Central","title":"Associations between Racial and Socioeconomic Discrimination and Risk Behaviors among African-American Adolescents and Young Adults: A Latent Class Analysis","title-short":"Associations between Racial and Socioeconomic Discrimination and Risk Behaviors among African-American Adolescents and Young Adults","volume":"55","author":[{"family":"Xie","given":"Tiffany H."},{"family":"Ahuja","given":"Manik"},{"family":"McCutcheon","given":"Vivia V."},{"family":"Bucholz","given":"Kathleen K."}],"issued":{"date-parts":[["2020",11]]}}}],"schema":"https://github.com/citation-style-language/schema/raw/master/csl-citation.json"} </w:instrText>
      </w:r>
      <w:r w:rsidR="00DA7E85" w:rsidRPr="006B15C8">
        <w:fldChar w:fldCharType="separate"/>
      </w:r>
      <w:r w:rsidR="00DA7E85" w:rsidRPr="006B15C8">
        <w:t>Xie et al., 2020)</w:t>
      </w:r>
      <w:r w:rsidR="00DA7E85" w:rsidRPr="006B15C8">
        <w:fldChar w:fldCharType="end"/>
      </w:r>
      <w:bookmarkEnd w:id="80"/>
      <w:r w:rsidR="00DA7E85" w:rsidRPr="006B15C8">
        <w:t>.</w:t>
      </w:r>
      <w:r w:rsidR="002D5C32" w:rsidRPr="006B15C8">
        <w:t xml:space="preserve"> </w:t>
      </w:r>
      <w:bookmarkEnd w:id="81"/>
      <w:r w:rsidR="00DA7E85" w:rsidRPr="006B15C8">
        <w:t xml:space="preserve">Disparities </w:t>
      </w:r>
      <w:r w:rsidR="00BE02A1" w:rsidRPr="006B15C8">
        <w:t>a</w:t>
      </w:r>
      <w:r w:rsidR="00DA7E85" w:rsidRPr="006B15C8">
        <w:t xml:space="preserve">re also observed in driver behavior. Pedestrians with darker skin tones </w:t>
      </w:r>
      <w:r w:rsidR="00285BE5" w:rsidRPr="006B15C8">
        <w:t xml:space="preserve">(Brown/Black) </w:t>
      </w:r>
      <w:r w:rsidR="00686A5E" w:rsidRPr="006B15C8">
        <w:t>a</w:t>
      </w:r>
      <w:r w:rsidR="00DA7E85" w:rsidRPr="006B15C8">
        <w:t>re 2</w:t>
      </w:r>
      <w:r w:rsidR="00DF5F99" w:rsidRPr="006B15C8">
        <w:t>5.0</w:t>
      </w:r>
      <w:r w:rsidR="00DA7E85" w:rsidRPr="006B15C8">
        <w:t xml:space="preserve">% more likely to experience </w:t>
      </w:r>
      <w:r w:rsidR="00285BE5" w:rsidRPr="006B15C8">
        <w:t xml:space="preserve">DUY </w:t>
      </w:r>
      <w:r w:rsidR="00DA7E85" w:rsidRPr="006B15C8">
        <w:t xml:space="preserve">than their lighter-skinned </w:t>
      </w:r>
      <w:r w:rsidR="00285BE5" w:rsidRPr="006B15C8">
        <w:t xml:space="preserve">(White) </w:t>
      </w:r>
      <w:r w:rsidR="00DA7E85" w:rsidRPr="006B15C8">
        <w:t xml:space="preserve">counterparts, echoing past research on racial bias in driver responses </w:t>
      </w:r>
      <w:bookmarkStart w:id="82" w:name="_Hlk202478312"/>
      <w:r w:rsidR="00687EF4" w:rsidRPr="006B15C8">
        <w:fldChar w:fldCharType="begin"/>
      </w:r>
      <w:r w:rsidR="00911EF4" w:rsidRPr="006B15C8">
        <w:instrText xml:space="preserve"> ADDIN ZOTERO_ITEM CSL_CITATION {"citationID":"WPI1uufW","properties":{"formattedCitation":"(Goddard et al., 2015)","plainCitation":"(Goddard et al., 2015)","dontUpdate":true,"noteIndex":0},"citationItems":[{"id":129,"uris":["http://zotero.org/groups/5885221/items/EP5N78CJ"],"itemData":{"id":129,"type":"article-journal","abstract":"Psychological and social identity-related factors have been shown to influence drivers’ behaviors toward pedestrians, but no previous studies have examined the potential for drivers’ racial bias to impact yielding behavior with pedestrians. If drivers’ yielding behavior results in differential behavior toward Black and White pedestrians, this may lead to disparate pedestrian crossing experiences based on race and potentially contribute to disproportionate safety outcomes for minorities. We tested the hypothesis that drivers’ yielding behavior is influenced by pedestrians’ race in a controlled field experiment at an unsignalized midblock marked crosswalk in downtown Portland, Oregon. Six trained male research team participants (3 White, 3 Black) simulated an individual pedestrian crossing, while trained observers cataloged the number of cars that passed and the time until a driver yielded. Results (88 pedestrian trials, 173 driver-subjects) revealed that Black pedestrians were passed by twice as many cars and experienced wait times that were 32% longer than White pedestrians. Results support the hypothesis that minority pedestrians experience discriminatory treatment by drivers at crosswalks.","container-title":"Transportation Research Part F: Traffic Psychology and Behaviour","DOI":"10.1016/j.trf.2015.06.002","ISSN":"1369-8478","journalAbbreviation":"Transportation Research Part F: Traffic Psychology and Behaviour","page":"1-6","source":"ScienceDirect","title":"Racial bias in driver yielding behavior at crosswalks","volume":"33","author":[{"family":"Goddard","given":"Tara"},{"family":"Kahn","given":"Kimberly Barsamian"},{"family":"Adkins","given":"Arlie"}],"issued":{"date-parts":[["2015",8,1]]}}}],"schema":"https://github.com/citation-style-language/schema/raw/master/csl-citation.json"} </w:instrText>
      </w:r>
      <w:r w:rsidR="00687EF4" w:rsidRPr="006B15C8">
        <w:fldChar w:fldCharType="separate"/>
      </w:r>
      <w:r w:rsidR="00687EF4" w:rsidRPr="006B15C8">
        <w:t>(Goddard et al., 2015,</w:t>
      </w:r>
      <w:r w:rsidR="00687EF4" w:rsidRPr="006B15C8">
        <w:fldChar w:fldCharType="end"/>
      </w:r>
      <w:r w:rsidR="00687EF4" w:rsidRPr="006B15C8">
        <w:t xml:space="preserve"> </w:t>
      </w:r>
      <w:r w:rsidR="00687EF4" w:rsidRPr="006B15C8">
        <w:fldChar w:fldCharType="begin"/>
      </w:r>
      <w:r w:rsidR="003F5890" w:rsidRPr="006B15C8">
        <w:instrText xml:space="preserve"> ADDIN ZOTERO_ITEM CSL_CITATION {"citationID":"A0J3S8sv","properties":{"formattedCitation":"(Coughenour et al., 2017)","plainCitation":"(Coughenour et al., 2017)","dontUpdate":true,"noteIndex":0},"citationItems":[{"id":"ReAbCZ5Q/IyPuvxDN","uris":["http://zotero.org/groups/5098585/items/DBUB5ZJT"],"itemData":{"id":1117,"type":"article-journal","container-title":"Accident Analysis &amp; Prevention","ISSN":"0001-4575","journalAbbreviation":"Accident Analysis &amp; Prevention","note":"publisher: Elsevier","page":"96-100","title":"Examining racial bias as a potential factor in pedestrian crashes","volume":"98","author":[{"family":"Coughenour","given":"Courtney"},{"family":"Clark","given":"Sheila"},{"family":"Singh","given":"Ashok"},{"family":"Claw","given":"Eudora"},{"family":"Abelar","given":"James"},{"family":"Huebner","given":"Joshua"}],"issued":{"date-parts":[["2017"]]}}}],"schema":"https://github.com/citation-style-language/schema/raw/master/csl-citation.json"} </w:instrText>
      </w:r>
      <w:r w:rsidR="00687EF4" w:rsidRPr="006B15C8">
        <w:fldChar w:fldCharType="separate"/>
      </w:r>
      <w:r w:rsidR="00687EF4" w:rsidRPr="006B15C8">
        <w:t>Coughenour et al., 2017,</w:t>
      </w:r>
      <w:r w:rsidR="00687EF4" w:rsidRPr="006B15C8">
        <w:fldChar w:fldCharType="end"/>
      </w:r>
      <w:r w:rsidR="00687EF4" w:rsidRPr="006B15C8">
        <w:t xml:space="preserve"> </w:t>
      </w:r>
      <w:r w:rsidR="00687EF4" w:rsidRPr="006B15C8">
        <w:fldChar w:fldCharType="begin"/>
      </w:r>
      <w:r w:rsidR="003F5890" w:rsidRPr="006B15C8">
        <w:instrText xml:space="preserve"> ADDIN ZOTERO_ITEM CSL_CITATION {"citationID":"aNLPVDZz","properties":{"formattedCitation":"(Schneider et al., 2018)","plainCitation":"(Schneider et al., 2018)","dontUpdate":true,"noteIndex":0},"citationItems":[{"id":"ReAbCZ5Q/8onc4vkx","uris":["http://zotero.org/users/9292995/items/HF8WSFB3"],"itemData":{"id":362,"type":"article-journal","container-title":"Transportation research record","ISSN":"0361-1981","issue":"35","journalAbbreviation":"Transportation research record","note":"publisher: SAGE Publications Sage CA: Los Angeles, CA","page":"21-32","title":"Exploratory analysis of driver yielding at low-speed, uncontrolled crosswalks in Milwaukee, Wisconsin","volume":"2672","author":[{"family":"Schneider","given":"Robert J"},{"family":"Sanatizadeh","given":"Aida"},{"family":"Shaon","given":"Mohammad Razaur Rahman"},{"family":"He","given":"Zhaoxiang"},{"family":"Qin","given":"Xiao"}],"issued":{"date-parts":[["2018"]]}}}],"schema":"https://github.com/citation-style-language/schema/raw/master/csl-citation.json"} </w:instrText>
      </w:r>
      <w:r w:rsidR="00687EF4" w:rsidRPr="006B15C8">
        <w:fldChar w:fldCharType="separate"/>
      </w:r>
      <w:r w:rsidR="00687EF4" w:rsidRPr="006B15C8">
        <w:t>Schneider et al., 2018,</w:t>
      </w:r>
      <w:r w:rsidR="00687EF4" w:rsidRPr="006B15C8">
        <w:fldChar w:fldCharType="end"/>
      </w:r>
      <w:r w:rsidR="00687EF4" w:rsidRPr="006B15C8">
        <w:t xml:space="preserve"> </w:t>
      </w:r>
      <w:r w:rsidR="00687EF4" w:rsidRPr="006B15C8">
        <w:fldChar w:fldCharType="begin"/>
      </w:r>
      <w:r w:rsidR="00911EF4" w:rsidRPr="006B15C8">
        <w:instrText xml:space="preserve"> ADDIN ZOTERO_ITEM CSL_CITATION {"citationID":"HnN3QWDd","properties":{"formattedCitation":"(Coughenour et al., 2020)","plainCitation":"(Coughenour et al., 2020)","dontUpdate":true,"noteIndex":0},"citationItems":[{"id":322,"uris":["http://zotero.org/groups/5885221/items/394Q398C"],"itemData":{"id":322,"type":"article-journal","abstract":"Introduction\nPedestrian crashes are not equitably distributed; people of color and males are overburdened. The aim of this study was to examine if driver yielding behavior differed based on gender and skin color of the pedestrian, and the estimated car cost at two midblock crosswalks in the Las Vegas metropolitan area.\nMethods\nOne white and one black female and one white and one black male crossed the intersection in a similar, prescribed manner. Crossings were video recorded. Driver yielding behavior was documented. The cost of car was estimated by cross referencing manufacturing websites and averaging the high and low values of estimated private sale. Generalized linear mixed model was applied, nesting within crossing attempt and within streets.\nResults\nOf 461 cars, 27.98% yielded to pedestrians. Cars yielded more frequently for females (31.33%) and whites (31.17%) compared to males (24.06%) and non-whites (24.78%). Cost of car was a significant predictor of driver yielding (OR = 0.97; p = 0.0307); odds of yielding decreased 3% per $1000 increase.\nDiscussion\nDriver yielding differed by cost of cars. Given previous findings, future research is needed to further examine gender and racial disparities in pedestrian crashes. Findings are significant for public health and pedestrian safety, especially given the upward trend in crash rates.","container-title":"Journal of Transport &amp; Health","DOI":"10.1016/j.jth.2020.100831","ISSN":"2214-1405","journalAbbreviation":"Journal of Transport &amp; Health","page":"100831","source":"ScienceDirect","title":"Estimated car cost as a predictor of driver yielding behaviors for pedestrians","volume":"16","author":[{"family":"Coughenour","given":"Courtney"},{"family":"Abelar","given":"James"},{"family":"Pharr","given":"Jennifer"},{"family":"Chien","given":"Lung-Chang"},{"family":"Singh","given":"Ashok"}],"issued":{"date-parts":[["2020",3,1]]}}}],"schema":"https://github.com/citation-style-language/schema/raw/master/csl-citation.json"} </w:instrText>
      </w:r>
      <w:r w:rsidR="00687EF4" w:rsidRPr="006B15C8">
        <w:fldChar w:fldCharType="separate"/>
      </w:r>
      <w:r w:rsidR="00687EF4" w:rsidRPr="006B15C8">
        <w:t>Coughenour et al., 2020)</w:t>
      </w:r>
      <w:r w:rsidR="00687EF4" w:rsidRPr="006B15C8">
        <w:fldChar w:fldCharType="end"/>
      </w:r>
      <w:r w:rsidR="00687EF4" w:rsidRPr="006B15C8">
        <w:t>.</w:t>
      </w:r>
      <w:r w:rsidR="003C73CF" w:rsidRPr="006B15C8">
        <w:t xml:space="preserve"> The</w:t>
      </w:r>
      <w:r w:rsidR="00C03792" w:rsidRPr="006B15C8">
        <w:t xml:space="preserve">se </w:t>
      </w:r>
      <w:r w:rsidR="00051F79" w:rsidRPr="006B15C8">
        <w:t>patterns</w:t>
      </w:r>
      <w:r w:rsidR="00C03792" w:rsidRPr="006B15C8">
        <w:t xml:space="preserve"> pers</w:t>
      </w:r>
      <w:r w:rsidR="00035816" w:rsidRPr="006B15C8">
        <w:t>ist on a per-crossing basis de</w:t>
      </w:r>
      <w:r w:rsidR="00FF5E0A" w:rsidRPr="006B15C8">
        <w:t>s</w:t>
      </w:r>
      <w:r w:rsidR="00035816" w:rsidRPr="006B15C8">
        <w:t>pite the</w:t>
      </w:r>
      <w:r w:rsidR="003C73CF" w:rsidRPr="006B15C8">
        <w:t xml:space="preserve"> inclusion o</w:t>
      </w:r>
      <w:r w:rsidR="00035816" w:rsidRPr="006B15C8">
        <w:t>f</w:t>
      </w:r>
      <w:r w:rsidR="003C73CF" w:rsidRPr="006B15C8">
        <w:t xml:space="preserve"> time-of-day effects</w:t>
      </w:r>
      <w:r w:rsidR="00035816" w:rsidRPr="006B15C8">
        <w:t>,</w:t>
      </w:r>
      <w:r w:rsidR="003C73CF" w:rsidRPr="006B15C8">
        <w:t xml:space="preserve"> interaction terms</w:t>
      </w:r>
      <w:r w:rsidR="00035816" w:rsidRPr="006B15C8">
        <w:t xml:space="preserve"> and</w:t>
      </w:r>
      <w:r w:rsidR="003C73CF" w:rsidRPr="006B15C8">
        <w:t xml:space="preserve"> </w:t>
      </w:r>
      <w:r w:rsidR="00C03792" w:rsidRPr="006B15C8">
        <w:t xml:space="preserve">VHI status, </w:t>
      </w:r>
      <w:r w:rsidR="00707419" w:rsidRPr="006B15C8">
        <w:t>suggesting that differences in y</w:t>
      </w:r>
      <w:r w:rsidR="00FF5E0A" w:rsidRPr="006B15C8">
        <w:t>ie</w:t>
      </w:r>
      <w:r w:rsidR="00707419" w:rsidRPr="006B15C8">
        <w:t xml:space="preserve">lding cannot be attributed to </w:t>
      </w:r>
      <w:r w:rsidR="00EF7B68" w:rsidRPr="006B15C8">
        <w:t>exposure or contextual effects.</w:t>
      </w:r>
      <w:r w:rsidR="00687EF4" w:rsidRPr="006B15C8">
        <w:t xml:space="preserve"> </w:t>
      </w:r>
      <w:bookmarkEnd w:id="82"/>
      <w:r w:rsidR="00E45245" w:rsidRPr="006B15C8">
        <w:t xml:space="preserve">These disparities may stem from racial bias, a well-documented issue in the United States </w:t>
      </w:r>
      <w:bookmarkStart w:id="83" w:name="_Hlk203662462"/>
      <w:bookmarkStart w:id="84" w:name="_Hlk202478318"/>
      <w:r w:rsidR="00E45245" w:rsidRPr="006B15C8">
        <w:fldChar w:fldCharType="begin"/>
      </w:r>
      <w:r w:rsidR="00911EF4" w:rsidRPr="006B15C8">
        <w:instrText xml:space="preserve"> ADDIN ZOTERO_ITEM CSL_CITATION {"citationID":"2owvy5zl","properties":{"formattedCitation":"(Payne &amp; Hannay, 2021)","plainCitation":"(Payne &amp; Hannay, 2021)","dontUpdate":true,"noteIndex":0},"citationItems":[{"id":438,"uris":["http://zotero.org/groups/5885221/items/6Q6RTI68"],"itemData":{"id":438,"type":"article-journal","abstract":"Implicit bias refers to automatically evoked mental associations about social groups. The idea has been influential across the social sciences as a way to explain persistent racial disparities amid changing self-report attitudes. Most research has treated implicit bias as an individual attitude. However, evidence suggests that it is neither a stable individual difference nor a strong correlate of individual behavior. Moreover, the individual-focused approach can lead researchers to neglect systemic racism as a cause of persistent disparities. We argue that implicit bias can be considered a cognitive reflection of systemic racism in the environment. In this view, implicit bias is an ongoing set of associations based on inequalities and stereotypes in the environment. As such, implicit bias changes when contexts change.","container-title":"Trends in Cognitive Sciences","DOI":"10.1016/j.tics.2021.08.001","ISSN":"1364-6613","issue":"11","journalAbbreviation":"Trends in Cognitive Sciences","page":"927-936","source":"ScienceDirect","title":"Implicit bias reflects systemic racism","volume":"25","author":[{"family":"Payne","given":"B. Keith"},{"family":"Hannay","given":"Jason W."}],"issued":{"date-parts":[["2021",11,1]]}}}],"schema":"https://github.com/citation-style-language/schema/raw/master/csl-citation.json"} </w:instrText>
      </w:r>
      <w:r w:rsidR="00E45245" w:rsidRPr="006B15C8">
        <w:fldChar w:fldCharType="separate"/>
      </w:r>
      <w:r w:rsidR="00E45245" w:rsidRPr="006B15C8">
        <w:t>(Payne and Hannay, 2021,</w:t>
      </w:r>
      <w:r w:rsidR="00E45245" w:rsidRPr="006B15C8">
        <w:fldChar w:fldCharType="end"/>
      </w:r>
      <w:r w:rsidR="00E45245" w:rsidRPr="006B15C8">
        <w:t xml:space="preserve"> </w:t>
      </w:r>
      <w:r w:rsidR="00E45245" w:rsidRPr="006B15C8">
        <w:fldChar w:fldCharType="begin"/>
      </w:r>
      <w:r w:rsidR="00911EF4" w:rsidRPr="006B15C8">
        <w:instrText xml:space="preserve"> ADDIN ZOTERO_ITEM CSL_CITATION {"citationID":"zGXA6BAt","properties":{"formattedCitation":"(Skinner-Dorkenoo et al., 2023)","plainCitation":"(Skinner-Dorkenoo et al., 2023)","dontUpdate":true,"noteIndex":0},"citationItems":[{"id":437,"uris":["http://zotero.org/groups/5885221/items/NTF9SWUE"],"itemData":{"id":437,"type":"article-journal","abstract":"Historically, the field of psychology has focused on racial biases at an individual level, considering the effects of various stimuli on individual racial attitudes and biases. This approach has provided valuable information, but not enough focus has been placed on the systemic nature of racial biases. In this Review, we examine the bidirectional relation between individual-level racial biases and broader societal systems through a systemic lens. We argue that systemic factors operating across levels — from the interpersonal to the cultural — contribute to the production and reinforcement of racial biases in children and adults. We consider the effects of five systemic factors on racial biases in the USA: power and privilege disparities, cultural narratives and values, segregated communities, shared stereotypes and nonverbal messages. We discuss evidence that these factors shape individual-level racial biases, and that individual-level biases shape systems and institutions to reproduce systemic racial biases and inequalities. We conclude with suggestions for interventions that could limit the effects of these influences and discuss future directions for the field.","container-title":"Nature Reviews Psychology","DOI":"10.1038/s44159-023-00190-z","ISSN":"2731-0574","issue":"7","journalAbbreviation":"Nat Rev Psychol","language":"en","license":"2023 Springer Nature America, Inc.","note":"publisher: Nature Publishing Group","page":"392-406","source":"www.nature.com","title":"A systemic approach to the psychology of racial bias within individuals and society","volume":"2","author":[{"family":"Skinner-Dorkenoo","given":"Allison L."},{"family":"George","given":"Meghan"},{"family":"Wages","given":"James E."},{"family":"Sánchez","given":"Sirenia"},{"family":"Perry","given":"Sylvia P."}],"issued":{"date-parts":[["2023",7]]}}}],"schema":"https://github.com/citation-style-language/schema/raw/master/csl-citation.json"} </w:instrText>
      </w:r>
      <w:r w:rsidR="00E45245" w:rsidRPr="006B15C8">
        <w:fldChar w:fldCharType="separate"/>
      </w:r>
      <w:r w:rsidR="00E45245" w:rsidRPr="006B15C8">
        <w:t>Skinner-Dorkenoo et al., 2023</w:t>
      </w:r>
      <w:r w:rsidR="00E45245" w:rsidRPr="006B15C8">
        <w:fldChar w:fldCharType="end"/>
      </w:r>
      <w:r w:rsidR="00E45245" w:rsidRPr="006B15C8">
        <w:t xml:space="preserve">, </w:t>
      </w:r>
      <w:r w:rsidR="00E45245" w:rsidRPr="006B15C8">
        <w:fldChar w:fldCharType="begin"/>
      </w:r>
      <w:r w:rsidR="00911EF4" w:rsidRPr="006B15C8">
        <w:instrText xml:space="preserve"> ADDIN ZOTERO_ITEM CSL_CITATION {"citationID":"WTHfjVzv","properties":{"formattedCitation":"(The White House, 2024)","plainCitation":"(The White House, 2024)","dontUpdate":true,"noteIndex":0},"citationItems":[{"id":439,"uris":["http://zotero.org/groups/5885221/items/TEBGHPPF"],"itemData":{"id":439,"type":"document","abstract":"Equal opportunity is the bedrock of American democracy, and our country’s diversity is one of our greatest strengths. However, in recognition of the fact that many Americans still face systemic barriers to equal opportunity and full participation in American life because of their race, on his first day in office, President Biden committed to an…","language":"en-US","title":"Racial Discrimination in Contemporary America","URL":"https://bidenwhitehouse.archives.gov/cea/written-materials/2024/07/03/racial-discrimination-in-contemporary-america/","author":[{"literal":"The White House"}],"accessed":{"date-parts":[["2025",6,11]]},"issued":{"date-parts":[["2024",7,3]]}}}],"schema":"https://github.com/citation-style-language/schema/raw/master/csl-citation.json"} </w:instrText>
      </w:r>
      <w:r w:rsidR="00E45245" w:rsidRPr="006B15C8">
        <w:fldChar w:fldCharType="separate"/>
      </w:r>
      <w:r w:rsidR="00E45245" w:rsidRPr="006B15C8">
        <w:t>The White House, 2024)</w:t>
      </w:r>
      <w:r w:rsidR="00E45245" w:rsidRPr="006B15C8">
        <w:fldChar w:fldCharType="end"/>
      </w:r>
      <w:bookmarkEnd w:id="83"/>
      <w:r w:rsidR="00E45245" w:rsidRPr="006B15C8">
        <w:t xml:space="preserve">. </w:t>
      </w:r>
      <w:bookmarkEnd w:id="84"/>
      <w:r w:rsidR="00E45245" w:rsidRPr="006B15C8">
        <w:t xml:space="preserve">Such bias </w:t>
      </w:r>
      <w:r w:rsidR="00BB60D1" w:rsidRPr="006B15C8">
        <w:t xml:space="preserve">can </w:t>
      </w:r>
      <w:r w:rsidR="00E45245" w:rsidRPr="006B15C8">
        <w:t xml:space="preserve">shape rapid, discretionary decisions, such as whether to yield </w:t>
      </w:r>
      <w:r w:rsidR="00285BE5" w:rsidRPr="006B15C8">
        <w:t xml:space="preserve">or not </w:t>
      </w:r>
      <w:r w:rsidR="00E45245" w:rsidRPr="006B15C8">
        <w:t xml:space="preserve">to a pedestrian </w:t>
      </w:r>
      <w:r w:rsidR="00E45245" w:rsidRPr="006B15C8">
        <w:fldChar w:fldCharType="begin"/>
      </w:r>
      <w:r w:rsidR="00911EF4" w:rsidRPr="006B15C8">
        <w:instrText xml:space="preserve"> ADDIN ZOTERO_ITEM CSL_CITATION {"citationID":"casaKiNW","properties":{"formattedCitation":"(Goddard et al., 2015)","plainCitation":"(Goddard et al., 2015)","noteIndex":0},"citationItems":[{"id":129,"uris":["http://zotero.org/groups/5885221/items/EP5N78CJ"],"itemData":{"id":129,"type":"article-journal","abstract":"Psychological and social identity-related factors have been shown to influence drivers’ behaviors toward pedestrians, but no previous studies have examined the potential for drivers’ racial bias to impact yielding behavior with pedestrians. If drivers’ yielding behavior results in differential behavior toward Black and White pedestrians, this may lead to disparate pedestrian crossing experiences based on race and potentially contribute to disproportionate safety outcomes for minorities. We tested the hypothesis that drivers’ yielding behavior is influenced by pedestrians’ race in a controlled field experiment at an unsignalized midblock marked crosswalk in downtown Portland, Oregon. Six trained male research team participants (3 White, 3 Black) simulated an individual pedestrian crossing, while trained observers cataloged the number of cars that passed and the time until a driver yielded. Results (88 pedestrian trials, 173 driver-subjects) revealed that Black pedestrians were passed by twice as many cars and experienced wait times that were 32% longer than White pedestrians. Results support the hypothesis that minority pedestrians experience discriminatory treatment by drivers at crosswalks.","container-title":"Transportation Research Part F: Traffic Psychology and Behaviour","DOI":"10.1016/j.trf.2015.06.002","ISSN":"1369-8478","journalAbbreviation":"Transportation Research Part F: Traffic Psychology and Behaviour","page":"1-6","source":"ScienceDirect","title":"Racial bias in driver yielding behavior at crosswalks","volume":"33","author":[{"family":"Goddard","given":"Tara"},{"family":"Kahn","given":"Kimberly Barsamian"},{"family":"Adkins","given":"Arlie"}],"issued":{"date-parts":[["2015",8,1]]}}}],"schema":"https://github.com/citation-style-language/schema/raw/master/csl-citation.json"} </w:instrText>
      </w:r>
      <w:r w:rsidR="00E45245" w:rsidRPr="006B15C8">
        <w:fldChar w:fldCharType="separate"/>
      </w:r>
      <w:r w:rsidR="00E45245" w:rsidRPr="006B15C8">
        <w:t>(Goddard et al., 2015)</w:t>
      </w:r>
      <w:r w:rsidR="00E45245" w:rsidRPr="006B15C8">
        <w:fldChar w:fldCharType="end"/>
      </w:r>
      <w:r w:rsidR="00E45245" w:rsidRPr="006B15C8">
        <w:t xml:space="preserve">. In these situations, drivers may </w:t>
      </w:r>
      <w:r w:rsidR="00BB60D1" w:rsidRPr="006B15C8">
        <w:t xml:space="preserve">consciously or </w:t>
      </w:r>
      <w:r w:rsidR="00E45245" w:rsidRPr="006B15C8">
        <w:t xml:space="preserve">subconsciously </w:t>
      </w:r>
      <w:r w:rsidR="002650B3" w:rsidRPr="006B15C8">
        <w:t>rely on racialized stereotypes, such as perceiving phenotypically Black individuals as more</w:t>
      </w:r>
      <w:r w:rsidR="00E45245" w:rsidRPr="006B15C8">
        <w:t xml:space="preserve"> unpredictable or</w:t>
      </w:r>
      <w:r w:rsidR="002650B3" w:rsidRPr="006B15C8">
        <w:t xml:space="preserve"> prone to risk-taking</w:t>
      </w:r>
      <w:bookmarkStart w:id="85" w:name="_Hlk203662485"/>
      <w:r w:rsidR="003F569B" w:rsidRPr="006B15C8">
        <w:t xml:space="preserve"> </w:t>
      </w:r>
      <w:bookmarkStart w:id="86" w:name="_Hlk202478328"/>
      <w:r w:rsidR="003F569B" w:rsidRPr="006B15C8">
        <w:t>(</w:t>
      </w:r>
      <w:r w:rsidR="003F569B" w:rsidRPr="006B15C8">
        <w:fldChar w:fldCharType="begin"/>
      </w:r>
      <w:r w:rsidR="00911EF4" w:rsidRPr="006B15C8">
        <w:instrText xml:space="preserve"> ADDIN ZOTERO_ITEM CSL_CITATION {"citationID":"sMdA5toz","properties":{"formattedCitation":"(Wages III et al., 2022)","plainCitation":"(Wages III et al., 2022)","dontUpdate":true,"noteIndex":0},"citationItems":[{"id":436,"uris":["http://zotero.org/groups/5885221/items/B9AY56KL"],"itemData":{"id":436,"type":"article-journal","abstract":"Risk-taking is sometimes admired and sometimes disparaged. In this research, we examine previously unexplored questions concerning how membership in social groups is related to expectations and perceptions of risk-taking. We propose that prototypes of risk-takers incorporate racial associations. We conducted five studies (NTotal = 1,603, predominantly White residents of the United States) examining whether prototypes of risk-takers—primarily reckless and responsible ones—activate racial stereotypes and discrimination. We first focused on whether participants perceive Black (vs. White) men as more likely to engage in risk-taking, broadly construed (Study 1). Next, we tested whether the trait attributions (Studies 2 and 3) and mental images constructed with the reverse correlation task (Study 3) of reckless risk-takers are more stereotypically Black (and less White) than responsible risk-takers. In Study 4, we employed an investment game to investigate participants’ willingness to trust targets we depicted using the racialized mental images of reckless and responsible risk-takers derived from Study 3. A final study examined whether thinking about reckless risk-takers evokes Black stereotypes broadly, including even positive stereotype content. Findings confirmed that reckless risk-takers were imagined as more phenotypically Black and as having more stereotypically Black traits (both positive and negative), compared with responsible risk-takers. Theoretical and practical implications for this novel stereotype content in the domain of risk are discussed. (PsycInfo Database Record (c) 2024 APA, all rights reserved)","container-title":"Journal of Personality and Social Psychology","DOI":"10.1037/pspa0000287","ISSN":"1939-1315","issue":"2","note":"publisher-place: US\npublisher: American Psychological Association","page":"202-221","source":"APA PsycNet","title":"Reckless gambles and responsible ventures: Racialized prototypes of risk-taking","title-short":"Reckless gambles and responsible ventures","volume":"122","author":[{"family":"Wages III","given":"James E."},{"family":"Perry","given":"Sylvia P."},{"family":"Skinner-Dorkenoo","given":"Allison L."},{"family":"Bodenhausen","given":"Galen V."}],"issued":{"date-parts":[["2022"]]}}}],"schema":"https://github.com/citation-style-language/schema/raw/master/csl-citation.json"} </w:instrText>
      </w:r>
      <w:r w:rsidR="003F569B" w:rsidRPr="006B15C8">
        <w:fldChar w:fldCharType="separate"/>
      </w:r>
      <w:r w:rsidR="003F569B" w:rsidRPr="006B15C8">
        <w:t>Wages et al. 2022)</w:t>
      </w:r>
      <w:r w:rsidR="003F569B" w:rsidRPr="006B15C8">
        <w:fldChar w:fldCharType="end"/>
      </w:r>
      <w:bookmarkEnd w:id="85"/>
      <w:bookmarkEnd w:id="86"/>
      <w:r w:rsidR="002650B3" w:rsidRPr="006B15C8">
        <w:t xml:space="preserve">, </w:t>
      </w:r>
      <w:r w:rsidR="00E45245" w:rsidRPr="006B15C8">
        <w:t xml:space="preserve">resulting in </w:t>
      </w:r>
      <w:r w:rsidR="00285BE5" w:rsidRPr="006B15C8">
        <w:t>elevated DUY</w:t>
      </w:r>
      <w:r w:rsidR="003F569B" w:rsidRPr="006B15C8">
        <w:t>.</w:t>
      </w:r>
    </w:p>
    <w:p w14:paraId="30425ABA" w14:textId="2D9B1001" w:rsidR="002D5C32" w:rsidRPr="006B15C8" w:rsidRDefault="00737236" w:rsidP="004A6C6E">
      <w:pPr>
        <w:spacing w:line="271" w:lineRule="auto"/>
        <w:ind w:firstLine="720"/>
      </w:pPr>
      <w:bookmarkStart w:id="87" w:name="_Hlk204514221"/>
      <w:bookmarkEnd w:id="78"/>
      <w:r w:rsidRPr="006B15C8">
        <w:lastRenderedPageBreak/>
        <w:t xml:space="preserve">Importantly, our results highlight that </w:t>
      </w:r>
      <w:r w:rsidR="00337ADA" w:rsidRPr="006B15C8">
        <w:t>under the same</w:t>
      </w:r>
      <w:r w:rsidRPr="006B15C8">
        <w:t xml:space="preserve"> infrastructure, environmental, and social contexts, behavioral differences, rooted in social and institutional inequities, place racial minorities at greater risk in public space, potentially explaining the persistent overrepresentation of Black and Brown individuals in pedestrian fatalities and injuries </w:t>
      </w:r>
      <w:bookmarkStart w:id="88" w:name="_Hlk202478335"/>
      <w:r w:rsidRPr="006B15C8">
        <w:fldChar w:fldCharType="begin"/>
      </w:r>
      <w:r w:rsidR="00911EF4" w:rsidRPr="006B15C8">
        <w:instrText xml:space="preserve"> ADDIN ZOTERO_ITEM CSL_CITATION {"citationID":"MvLJdiru","properties":{"formattedCitation":"(Roll &amp; McNeil, 2022)","plainCitation":"(Roll &amp; McNeil, 2022)","dontUpdate":true,"noteIndex":0},"citationItems":[{"id":57,"uris":["http://zotero.org/groups/5885221/items/EGZRWFBY"],"itemData":{"id":57,"type":"article-journal","abstract":"Pedestrian injuries are growing as a share of traffic injuries. Further, pedestrian injury risk is not experienced equally across sociodemographic groups. National data and prior research shows that Black, Indigenous and people of color (BIPOC) and lower-income people bear a disproportionate burden. This study employs an ecological analysis to explore pedestrian safety disparities in Oregon, incorporating crash data, roadway and land use factors, and sociodemographic data. The analysis examines factors associated with increased pedestrian injuries and fatalities, as well as the impact of model specification including urban area random effects and mixed- versus fixed-effects models. Lower median income and higher proportions of BIPOC residents are found to be associated with more pedestrian injuries. These variables may be proxies for other traffic exposure and deficient built environment variables, which may reflect a lack of historic investment in the neighborhoods where these populations are concentrated.","container-title":"Transportation Research Part D: Transport and Environment","DOI":"10.1016/j.trd.2022.103294","ISSN":"1361-9209","journalAbbreviation":"Transportation Research Part D: Transport and Environment","page":"103294","source":"ScienceDirect","title":"Race and income disparities in pedestrian injuries: Factors influencing pedestrian safety inequity","title-short":"Race and income disparities in pedestrian injuries","volume":"107","author":[{"family":"Roll","given":"Josh"},{"family":"McNeil","given":"Nathan"}],"issued":{"date-parts":[["2022",6,1]]}}}],"schema":"https://github.com/citation-style-language/schema/raw/master/csl-citation.json"} </w:instrText>
      </w:r>
      <w:r w:rsidRPr="006B15C8">
        <w:fldChar w:fldCharType="separate"/>
      </w:r>
      <w:r w:rsidRPr="006B15C8">
        <w:t>(e.g., Roll and McNeil, 2022</w:t>
      </w:r>
      <w:r w:rsidRPr="006B15C8">
        <w:fldChar w:fldCharType="end"/>
      </w:r>
      <w:r w:rsidR="00123993" w:rsidRPr="006B15C8">
        <w:t>,</w:t>
      </w:r>
      <w:r w:rsidRPr="006B15C8">
        <w:t xml:space="preserve"> </w:t>
      </w:r>
      <w:r w:rsidRPr="006B15C8">
        <w:fldChar w:fldCharType="begin"/>
      </w:r>
      <w:r w:rsidR="00911EF4" w:rsidRPr="006B15C8">
        <w:instrText xml:space="preserve"> ADDIN ZOTERO_ITEM CSL_CITATION {"citationID":"or8Vrs3I","properties":{"formattedCitation":"(Haddad et al., 2023; Smart Growth America, 2024)","plainCitation":"(Haddad et al., 2023; Smart Growth America, 2024)","dontUpdate":true,"noteIndex":0},"citationItems":[{"id":3,"uris":["http://zotero.org/groups/5885221/items/6IZ86X37"],"itemData":{"id":3,"type":"article-journal","abstract":"In this paper, we unpack the magnitude effects of the determinants of pedestrian crashes using a multivariate analysis approach. We consider four sets of exogenous factors that characterize residential neighborhoods as well as potentially affect pedestrian crashes and the racial composition of such crashes: (1) crash risk exposure (CE) attributes, (2) cultural variables, (3) built environment (BE) features, and (4) sociodemographic (SD) factors. Our investigation uses pedestrian crash and related data from the City of Houston, Texas, which we analyze at the spatial Census Block Group (CBG) level. Our results indicate that social resistance considerations (that is, minorities resisting norms as they are perceived as being set by the majority group), density of transit stops, and road design considerations (in particular in and around areas with high land-use diversity) are the three strongest determinants of pedestrian crashes, particularly in CBGs with a majority of the resident population being Black. The findings of this study can enable policymakers and planners to develop more effective countermeasures and interventions to contain the growing number of pedestrian crashes in recent years, as well as racial disparities in pedestrian crashes. Importantly, transportation safety engineers need to work with social scientists and engage with community leaders to build trust before leaping into implementing planning countermeasures and interventions. Issues of social resistance, in particular, need to be kept in mind.","container-title":"Accident Analysis &amp; Prevention","DOI":"10.1016/j.aap.2023.106954","ISSN":"0001-4575","journalAbbreviation":"Accident Analysis &amp; Prevention","page":"106954","source":"ScienceDirect","title":"Pedestrian crash frequency: Unpacking the effects of contributing factors and racial disparities","title-short":"Pedestrian crash frequency","volume":"182","author":[{"family":"Haddad","given":"Angela J."},{"family":"Mondal","given":"Aupal"},{"family":"Bhat","given":"Chandra R."},{"family":"Zhang","given":"Angie"},{"family":"Liao","given":"Madison C."},{"family":"Macias","given":"Lisa J."},{"family":"Lee","given":"Min Kyung"},{"family":"Watkins","given":"S. Craig"}],"issued":{"date-parts":[["2023",3,1]]}}},{"id":20,"uris":["http://zotero.org/groups/5885221/items/R8FW2WQ3"],"itemData":{"id":20,"type":"report","title":"Dangerous by Design 2024","URL":"https://smartgrowthamerica.org/resources/dangerous-by-design-2024/","author":[{"literal":"Smart Growth America"}],"issued":{"date-parts":[["2024"]]}}}],"schema":"https://github.com/citation-style-language/schema/raw/master/csl-citation.json"} </w:instrText>
      </w:r>
      <w:r w:rsidRPr="006B15C8">
        <w:fldChar w:fldCharType="separate"/>
      </w:r>
      <w:r w:rsidRPr="006B15C8">
        <w:t>Haddad et al., 2023</w:t>
      </w:r>
      <w:r w:rsidR="00123993" w:rsidRPr="006B15C8">
        <w:t>,</w:t>
      </w:r>
      <w:r w:rsidRPr="006B15C8">
        <w:t xml:space="preserve"> Smart Growth America, 2024)</w:t>
      </w:r>
      <w:r w:rsidRPr="006B15C8">
        <w:fldChar w:fldCharType="end"/>
      </w:r>
      <w:r w:rsidRPr="006B15C8">
        <w:t xml:space="preserve">. </w:t>
      </w:r>
      <w:bookmarkEnd w:id="88"/>
      <w:r w:rsidRPr="006B15C8">
        <w:t xml:space="preserve">For instance, institutional practices, particularly in law enforcement, provide important context for </w:t>
      </w:r>
      <w:r w:rsidR="002D5C32" w:rsidRPr="006B15C8">
        <w:t xml:space="preserve">contextualizing these risks, not as isolated actions, but as risk-avoidance strategies shaped by experiences of over-policing. Black and Latino pedestrians are disproportionately targeted by jaywalking laws, comprising 92% of citations in New York City </w:t>
      </w:r>
      <w:bookmarkStart w:id="89" w:name="_Hlk202478342"/>
      <w:r w:rsidR="002D5C32" w:rsidRPr="006B15C8">
        <w:fldChar w:fldCharType="begin"/>
      </w:r>
      <w:r w:rsidR="00911EF4" w:rsidRPr="006B15C8">
        <w:instrText xml:space="preserve"> ADDIN ZOTERO_ITEM CSL_CITATION {"citationID":"cqsNxvtU","properties":{"formattedCitation":"(Fitzsimmons, 2024)","plainCitation":"(Fitzsimmons, 2024)","noteIndex":0},"citationItems":[{"id":17,"uris":["http://zotero.org/groups/5885221/items/7D2RGFCV"],"itemData":{"id":17,"type":"article-newspaper","abstract":"New Yorkers can cross the street wherever they please without fear of a summons. Some fear the new law could lead to more pedestrian deaths.","container-title":"The New York Times","ISSN":"0362-4331","language":"en-US","section":"New York","source":"NYTimes.com","title":"Jaywalking Is a New York Tradition. Now It’s Legal, Too.","URL":"https://www.nytimes.com/2024/10/29/nyregion/jaywalking-legal-law-nyc.html","author":[{"family":"Fitzsimmons","given":"Emma G."}],"accessed":{"date-parts":[["2025",2,24]]},"issued":{"date-parts":[["2024",10,29]]}}}],"schema":"https://github.com/citation-style-language/schema/raw/master/csl-citation.json"} </w:instrText>
      </w:r>
      <w:r w:rsidR="002D5C32" w:rsidRPr="006B15C8">
        <w:fldChar w:fldCharType="separate"/>
      </w:r>
      <w:r w:rsidR="002D5C32" w:rsidRPr="006B15C8">
        <w:t>(Fitzsimmons, 2024)</w:t>
      </w:r>
      <w:r w:rsidR="002D5C32" w:rsidRPr="006B15C8">
        <w:fldChar w:fldCharType="end"/>
      </w:r>
      <w:r w:rsidR="002D5C32" w:rsidRPr="006B15C8">
        <w:t xml:space="preserve">, </w:t>
      </w:r>
      <w:bookmarkEnd w:id="89"/>
      <w:r w:rsidR="002D5C32" w:rsidRPr="006B15C8">
        <w:t xml:space="preserve">and 32% in Los Angeles, where Black residents make up just 9% of the population </w:t>
      </w:r>
      <w:bookmarkStart w:id="90" w:name="_Hlk203662535"/>
      <w:bookmarkStart w:id="91" w:name="_Hlk202478345"/>
      <w:r w:rsidR="002D5C32" w:rsidRPr="006B15C8">
        <w:fldChar w:fldCharType="begin"/>
      </w:r>
      <w:r w:rsidR="00911EF4" w:rsidRPr="006B15C8">
        <w:instrText xml:space="preserve"> ADDIN ZOTERO_ITEM CSL_CITATION {"citationID":"qtknGGc4","properties":{"formattedCitation":"(Widera, 2023)","plainCitation":"(Widera, 2023)","dontUpdate":true,"noteIndex":0},"citationItems":[{"id":425,"uris":["http://zotero.org/groups/5885221/items/M5ULF28T"],"itemData":{"id":425,"type":"article-journal","abstract":"California Assembly Bill (AB) No. 2147, commonly referred to as the “Freedom to Walk Act,” took effect on January 1, 2023. It virtually prohibits police officers from citing pedestrians who cross the street away from pedestrian crosswalks or intersections, all but legalizing “jaywalking.” However, this paper argues that AB 2147 is only a transformation of the existing enforcement regime, not a mobility reform. The dominance of car-centered urban mobility remains unchallenged. In fact, it highlights the accepted stability of the current system, where even seemingly significant reform can be passed without expecting a change in pedestrian behavior. The article outlines the historical issue of regulating pedestrians and cars in cities and how, with the production of the “jaywalker,” a public problem has been solved in a particular way and is now considered so stable that policing it is no longer deemed a necessary component. A way of explaining the stability of the current mobility system is through the concept of governmentality, which describes the ways in which populations allow themselves to be governed. The article concludes that this solution was not inevitable; as cases such as the Netherlands and China show, different paths to resolving this public problem are possible to either reinforce or challenge the dominance of automobility.","container-title":"International Journal of Communication","ISSN":"1932-8036","issue":"0","language":"en","license":"The  International Journal of Communication  is an academic journal. As such, it is dedicated to the open exchange of information. For this reason, IJoC is freely available to individuals and institutions. Copies of this journal or articles in this journal may be distributed for research or educational purposes free of charge and without permission. However, commercial use of the IJoC website or the articles contained herein is expressly prohibited without the written consent of the editor. Authors who publish in The  International Journal of Communication  will release their articles under the   Creative Commons Attribution Non-Commercial No Derivatives (by-nc-nd) license  . This license allows anyone to copy and distribute the article for non-commercial purposes provided that appropriate attribution is given. For details of the rights authors grants users of their work, see the  \"human-readable summary\" of the license , with a link to the full license. (Note that \"you\" refers to a user, not an author, in the summary.) This journal utilizes the  LOCKSS system to create a distributed archiving system among participating libraries and permits those libraries to create permanent archives of the journal for purposes of preservation and restoration. The publisher perpetually authorizes participants in the LOCKSS system to archive and restore our publication through the LOCKSS System for the benefit of all LOCKSS System participants. Specifically participating libraries may:  Collect and preserve currently accessible materials;  Use material consistent with original license terms;  Provide copies to other LOCKSS appliances for purposes of audit and repair.        Fair Use The U.S. Copyright Act of 1976 specifies, in Section 107, the terms of the Fair Use exception: Notwithstanding the provisions of sections 106 and 106A, the fair use of a copyrighted work, including such use by reproduction in copies or phonorecords or by any other means specified by that section,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shall include:  the purpose and character of the use, including whether such use is of a commercial nature or is for nonprofit educational purposes;  the nature of the copyrighted work;  the amount and substantiality of the portion used in relation to the copyrighted work as a whole; &amp;amp;  the effect of the use upon the potential market for or value of the copyrighted work.   The fact that a work is unpublished shall not itself bar a finding of fair use if such finding is made upon consideration of all the above factors. In accord with these provisions, the  International Journal of Communication  believes in the vigorous assertion and defense of Fair Use by scholars engaged in academic research, teaching and non-commercial publishing. Thus, we view the inclusion of “quotations” from existing print, visual, audio and audio-visual texts to be appropriate examples of Fair Use, as are reproductions of visual images for the purpose of scholarly analysis. We encourage authors to obtain appropriate permissions to use materials originally produced by others, but do not require such permissions as long as the usage of such materials falls within the boundaries of Fair Use.  The  International Journal of Communication  encourages authors to employ fair use in their scholarly publishing wherever appropriate. Fair use is the right to use unlicensed copyrighted material (whether it is text, images, audio-visual, or other) in your own work, in some circumstances. We consult the  Code of Best Practices in Fair Use for Scholarly Research in Communication , created by the International Communication Association and endorsed by the National Communication Association, and you should too. If you have any questions about whether fair use applies to your uses of copyrighted material (whether it is text, images, audio-visual, or other) in your scholarship, simply include your rationale, grounded in the Best Practices, as a supplementary document with your submission.","note":"number: 0","page":"7","source":"ijoc.org","title":"Pedestrian Mobilities at the Crossroads: The Contestation and Regulation of Jaywalking","title-short":"Sociotechnical Change","volume":"18","author":[{"family":"Widera","given":"Josh"}],"issued":{"date-parts":[["2023",12,26]]}}}],"schema":"https://github.com/citation-style-language/schema/raw/master/csl-citation.json"} </w:instrText>
      </w:r>
      <w:r w:rsidR="002D5C32" w:rsidRPr="006B15C8">
        <w:fldChar w:fldCharType="separate"/>
      </w:r>
      <w:r w:rsidR="002D5C32" w:rsidRPr="006B15C8">
        <w:t>(Widera, 202</w:t>
      </w:r>
      <w:r w:rsidR="003157CB" w:rsidRPr="006B15C8">
        <w:t>4</w:t>
      </w:r>
      <w:r w:rsidR="002D5C32" w:rsidRPr="006B15C8">
        <w:t>)</w:t>
      </w:r>
      <w:r w:rsidR="002D5C32" w:rsidRPr="006B15C8">
        <w:fldChar w:fldCharType="end"/>
      </w:r>
      <w:r w:rsidR="002D5C32" w:rsidRPr="006B15C8">
        <w:t xml:space="preserve">. </w:t>
      </w:r>
      <w:bookmarkEnd w:id="90"/>
      <w:r w:rsidR="002D5C32" w:rsidRPr="006B15C8">
        <w:t xml:space="preserve">Studies </w:t>
      </w:r>
      <w:bookmarkEnd w:id="91"/>
      <w:r w:rsidR="002D5C32" w:rsidRPr="006B15C8">
        <w:t xml:space="preserve">also show Black pedestrians are up to 4.5 times more likely than </w:t>
      </w:r>
      <w:r w:rsidR="000473EA" w:rsidRPr="006B15C8">
        <w:t>W</w:t>
      </w:r>
      <w:r w:rsidR="002D5C32" w:rsidRPr="006B15C8">
        <w:t xml:space="preserve">hite pedestrians to be stopped for the same behavior </w:t>
      </w:r>
      <w:r w:rsidR="002D5C32" w:rsidRPr="006B15C8">
        <w:fldChar w:fldCharType="begin"/>
      </w:r>
      <w:r w:rsidR="00911EF4" w:rsidRPr="006B15C8">
        <w:instrText xml:space="preserve"> ADDIN ZOTERO_ITEM CSL_CITATION {"citationID":"lwd8nrNG","properties":{"formattedCitation":"(Widera, 2023)","plainCitation":"(Widera, 2023)","dontUpdate":true,"noteIndex":0},"citationItems":[{"id":425,"uris":["http://zotero.org/groups/5885221/items/M5ULF28T"],"itemData":{"id":425,"type":"article-journal","abstract":"California Assembly Bill (AB) No. 2147, commonly referred to as the “Freedom to Walk Act,” took effect on January 1, 2023. It virtually prohibits police officers from citing pedestrians who cross the street away from pedestrian crosswalks or intersections, all but legalizing “jaywalking.” However, this paper argues that AB 2147 is only a transformation of the existing enforcement regime, not a mobility reform. The dominance of car-centered urban mobility remains unchallenged. In fact, it highlights the accepted stability of the current system, where even seemingly significant reform can be passed without expecting a change in pedestrian behavior. The article outlines the historical issue of regulating pedestrians and cars in cities and how, with the production of the “jaywalker,” a public problem has been solved in a particular way and is now considered so stable that policing it is no longer deemed a necessary component. A way of explaining the stability of the current mobility system is through the concept of governmentality, which describes the ways in which populations allow themselves to be governed. The article concludes that this solution was not inevitable; as cases such as the Netherlands and China show, different paths to resolving this public problem are possible to either reinforce or challenge the dominance of automobility.","container-title":"International Journal of Communication","ISSN":"1932-8036","issue":"0","language":"en","license":"The  International Journal of Communication  is an academic journal. As such, it is dedicated to the open exchange of information. For this reason, IJoC is freely available to individuals and institutions. Copies of this journal or articles in this journal may be distributed for research or educational purposes free of charge and without permission. However, commercial use of the IJoC website or the articles contained herein is expressly prohibited without the written consent of the editor. Authors who publish in The  International Journal of Communication  will release their articles under the   Creative Commons Attribution Non-Commercial No Derivatives (by-nc-nd) license  . This license allows anyone to copy and distribute the article for non-commercial purposes provided that appropriate attribution is given. For details of the rights authors grants users of their work, see the  \"human-readable summary\" of the license , with a link to the full license. (Note that \"you\" refers to a user, not an author, in the summary.) This journal utilizes the  LOCKSS system to create a distributed archiving system among participating libraries and permits those libraries to create permanent archives of the journal for purposes of preservation and restoration. The publisher perpetually authorizes participants in the LOCKSS system to archive and restore our publication through the LOCKSS System for the benefit of all LOCKSS System participants. Specifically participating libraries may:  Collect and preserve currently accessible materials;  Use material consistent with original license terms;  Provide copies to other LOCKSS appliances for purposes of audit and repair.        Fair Use The U.S. Copyright Act of 1976 specifies, in Section 107, the terms of the Fair Use exception: Notwithstanding the provisions of sections 106 and 106A, the fair use of a copyrighted work, including such use by reproduction in copies or phonorecords or by any other means specified by that section,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shall include:  the purpose and character of the use, including whether such use is of a commercial nature or is for nonprofit educational purposes;  the nature of the copyrighted work;  the amount and substantiality of the portion used in relation to the copyrighted work as a whole; &amp;amp;  the effect of the use upon the potential market for or value of the copyrighted work.   The fact that a work is unpublished shall not itself bar a finding of fair use if such finding is made upon consideration of all the above factors. In accord with these provisions, the  International Journal of Communication  believes in the vigorous assertion and defense of Fair Use by scholars engaged in academic research, teaching and non-commercial publishing. Thus, we view the inclusion of “quotations” from existing print, visual, audio and audio-visual texts to be appropriate examples of Fair Use, as are reproductions of visual images for the purpose of scholarly analysis. We encourage authors to obtain appropriate permissions to use materials originally produced by others, but do not require such permissions as long as the usage of such materials falls within the boundaries of Fair Use.  The  International Journal of Communication  encourages authors to employ fair use in their scholarly publishing wherever appropriate. Fair use is the right to use unlicensed copyrighted material (whether it is text, images, audio-visual, or other) in your own work, in some circumstances. We consult the  Code of Best Practices in Fair Use for Scholarly Research in Communication , created by the International Communication Association and endorsed by the National Communication Association, and you should too. If you have any questions about whether fair use applies to your uses of copyrighted material (whether it is text, images, audio-visual, or other) in your scholarship, simply include your rationale, grounded in the Best Practices, as a supplementary document with your submission.","note":"number: 0","page":"7","source":"ijoc.org","title":"Pedestrian Mobilities at the Crossroads: The Contestation and Regulation of Jaywalking","title-short":"Sociotechnical Change","volume":"18","author":[{"family":"Widera","given":"Josh"}],"issued":{"date-parts":[["2023",12,26]]}}}],"schema":"https://github.com/citation-style-language/schema/raw/master/csl-citation.json"} </w:instrText>
      </w:r>
      <w:r w:rsidR="002D5C32" w:rsidRPr="006B15C8">
        <w:fldChar w:fldCharType="separate"/>
      </w:r>
      <w:r w:rsidR="002D5C32" w:rsidRPr="006B15C8">
        <w:t>(Widera, 202</w:t>
      </w:r>
      <w:r w:rsidR="003157CB" w:rsidRPr="006B15C8">
        <w:t>4</w:t>
      </w:r>
      <w:r w:rsidR="002D5C32" w:rsidRPr="006B15C8">
        <w:t>)</w:t>
      </w:r>
      <w:r w:rsidR="002D5C32" w:rsidRPr="006B15C8">
        <w:fldChar w:fldCharType="end"/>
      </w:r>
      <w:r w:rsidR="002D5C32" w:rsidRPr="006B15C8">
        <w:t>.</w:t>
      </w:r>
      <w:r w:rsidR="00337ADA" w:rsidRPr="006B15C8">
        <w:t xml:space="preserve"> </w:t>
      </w:r>
      <w:r w:rsidR="002D5C32" w:rsidRPr="006B15C8">
        <w:t>These patterns perpetuate community mistrust and may prompt further behavioral adaptations, such as avoiding marked crossings to minimize police encounters, ironically increasing exposure to unsafe conditions.</w:t>
      </w:r>
    </w:p>
    <w:p w14:paraId="7C9F6CC1" w14:textId="15419EC8" w:rsidR="00906BDF" w:rsidRPr="006B15C8" w:rsidRDefault="002D5C32" w:rsidP="004A6C6E">
      <w:pPr>
        <w:spacing w:line="271" w:lineRule="auto"/>
        <w:ind w:firstLine="720"/>
      </w:pPr>
      <w:bookmarkStart w:id="92" w:name="_Hlk204514274"/>
      <w:bookmarkEnd w:id="87"/>
      <w:r w:rsidRPr="006B15C8">
        <w:t xml:space="preserve">Addressing these disparities requires more than </w:t>
      </w:r>
      <w:r w:rsidR="00337ADA" w:rsidRPr="006B15C8">
        <w:t xml:space="preserve">mere </w:t>
      </w:r>
      <w:r w:rsidRPr="006B15C8">
        <w:t xml:space="preserve">infrastructure </w:t>
      </w:r>
      <w:r w:rsidR="00337ADA" w:rsidRPr="006B15C8">
        <w:t xml:space="preserve">improvements </w:t>
      </w:r>
      <w:r w:rsidRPr="006B15C8">
        <w:t xml:space="preserve">or generalized awareness campaigns. Meaningful progress must begin with the communities most affected. Community-led safety initiatives, such as participatory design, storytelling, and localized education, can help </w:t>
      </w:r>
      <w:r w:rsidR="00337ADA" w:rsidRPr="006B15C8">
        <w:t>uncover</w:t>
      </w:r>
      <w:r w:rsidRPr="006B15C8">
        <w:t xml:space="preserve"> context-specific challenges, foster trust, and empower residents to co-develop interventions that genuinely support their safety and dignity. Simultaneously, the persistence of lower yielding rates toward Black and Brown pedestrians highlights the need to address </w:t>
      </w:r>
      <w:r w:rsidR="00BB60D1" w:rsidRPr="006B15C8">
        <w:t xml:space="preserve">racial </w:t>
      </w:r>
      <w:r w:rsidRPr="006B15C8">
        <w:t>bias not just among drivers but also among police</w:t>
      </w:r>
      <w:r w:rsidR="00337ADA" w:rsidRPr="006B15C8">
        <w:t xml:space="preserve"> officers</w:t>
      </w:r>
      <w:r w:rsidRPr="006B15C8">
        <w:t>, first responders, and transportation professionals.</w:t>
      </w:r>
      <w:r w:rsidR="004C1FFD" w:rsidRPr="006B15C8">
        <w:t xml:space="preserve"> Increasing evidence shows that educating both children and adults about historical and systemic racial injustices, including those embedded in transportation and law enforcement, can foster empathy, reduce prejudice, and enhance awareness of structural racism </w:t>
      </w:r>
      <w:bookmarkStart w:id="93" w:name="_Hlk203662575"/>
      <w:bookmarkStart w:id="94" w:name="_Hlk202478353"/>
      <w:r w:rsidR="004C1FFD" w:rsidRPr="006B15C8">
        <w:t>(</w:t>
      </w:r>
      <w:r w:rsidR="004C1FFD" w:rsidRPr="006B15C8">
        <w:fldChar w:fldCharType="begin"/>
      </w:r>
      <w:r w:rsidR="00911EF4" w:rsidRPr="006B15C8">
        <w:instrText xml:space="preserve"> ADDIN ZOTERO_ITEM CSL_CITATION {"citationID":"wCxXFJCH","properties":{"formattedCitation":"(Skinner-Dorkenoo et al., 2023)","plainCitation":"(Skinner-Dorkenoo et al., 2023)","dontUpdate":true,"noteIndex":0},"citationItems":[{"id":437,"uris":["http://zotero.org/groups/5885221/items/NTF9SWUE"],"itemData":{"id":437,"type":"article-journal","abstract":"Historically, the field of psychology has focused on racial biases at an individual level, considering the effects of various stimuli on individual racial attitudes and biases. This approach has provided valuable information, but not enough focus has been placed on the systemic nature of racial biases. In this Review, we examine the bidirectional relation between individual-level racial biases and broader societal systems through a systemic lens. We argue that systemic factors operating across levels — from the interpersonal to the cultural — contribute to the production and reinforcement of racial biases in children and adults. We consider the effects of five systemic factors on racial biases in the USA: power and privilege disparities, cultural narratives and values, segregated communities, shared stereotypes and nonverbal messages. We discuss evidence that these factors shape individual-level racial biases, and that individual-level biases shape systems and institutions to reproduce systemic racial biases and inequalities. We conclude with suggestions for interventions that could limit the effects of these influences and discuss future directions for the field.","container-title":"Nature Reviews Psychology","DOI":"10.1038/s44159-023-00190-z","ISSN":"2731-0574","issue":"7","journalAbbreviation":"Nat Rev Psychol","language":"en","license":"2023 Springer Nature America, Inc.","note":"publisher: Nature Publishing Group","page":"392-406","source":"www.nature.com","title":"A systemic approach to the psychology of racial bias within individuals and society","volume":"2","author":[{"family":"Skinner-Dorkenoo","given":"Allison L."},{"family":"George","given":"Meghan"},{"family":"Wages","given":"James E."},{"family":"Sánchez","given":"Sirenia"},{"family":"Perry","given":"Sylvia P."}],"issued":{"date-parts":[["2023",7]]}}}],"schema":"https://github.com/citation-style-language/schema/raw/master/csl-citation.json"} </w:instrText>
      </w:r>
      <w:r w:rsidR="004C1FFD" w:rsidRPr="006B15C8">
        <w:fldChar w:fldCharType="separate"/>
      </w:r>
      <w:r w:rsidR="004C1FFD" w:rsidRPr="006B15C8">
        <w:t>Skinner-Dorkenoo et al.</w:t>
      </w:r>
      <w:r w:rsidR="00337ADA" w:rsidRPr="006B15C8">
        <w:t>,</w:t>
      </w:r>
      <w:r w:rsidR="004C1FFD" w:rsidRPr="006B15C8">
        <w:t xml:space="preserve"> 2023)</w:t>
      </w:r>
      <w:r w:rsidR="004C1FFD" w:rsidRPr="006B15C8">
        <w:fldChar w:fldCharType="end"/>
      </w:r>
      <w:bookmarkEnd w:id="93"/>
      <w:r w:rsidR="004C1FFD" w:rsidRPr="006B15C8">
        <w:t xml:space="preserve">. </w:t>
      </w:r>
      <w:bookmarkEnd w:id="94"/>
      <w:r w:rsidR="004C1FFD" w:rsidRPr="006B15C8">
        <w:t>Integrating such content into public awareness campaigns, school curricula, and driver education programs can gradually shift societal attitudes and help dismantle racialized narratives that continue to shape pedestrian safety disparities.</w:t>
      </w:r>
      <w:r w:rsidR="00906BDF" w:rsidRPr="006B15C8">
        <w:t xml:space="preserve"> However, the effectiveness of these efforts not only depends on the message</w:t>
      </w:r>
      <w:r w:rsidR="00337ADA" w:rsidRPr="006B15C8">
        <w:t xml:space="preserve"> itself</w:t>
      </w:r>
      <w:r w:rsidR="00906BDF" w:rsidRPr="006B15C8">
        <w:t xml:space="preserve">, but also on how it is framed and communicated. Research on social norm messaging shows that positively framed dynamic norms (e.g., “More and more drivers are giving way to pedestrians”) and injunctive norms (e.g., “Please give way to pedestrians”) are especially effective in promoting yielding behavior, outperforming static or negatively worded messages </w:t>
      </w:r>
      <w:bookmarkStart w:id="95" w:name="_Hlk202478361"/>
      <w:bookmarkStart w:id="96" w:name="_Hlk203662614"/>
      <w:r w:rsidR="00906BDF" w:rsidRPr="006B15C8">
        <w:fldChar w:fldCharType="begin"/>
      </w:r>
      <w:r w:rsidR="00911EF4" w:rsidRPr="006B15C8">
        <w:instrText xml:space="preserve"> ADDIN ZOTERO_ITEM CSL_CITATION {"citationID":"TDQg7FTr","properties":{"formattedCitation":"(X. Liu et al., 2022)","plainCitation":"(X. Liu et al., 2022)","dontUpdate":true,"noteIndex":0},"citationItems":[{"id":415,"uris":["http://zotero.org/groups/5885221/items/BWEICRN2"],"itemData":{"id":415,"type":"article-journal","abstract":"Drivers who do not give way to pedestrians are among the main causes of traffic crashes of motor vehicles and pedestrians in China. There is an urgent need to explore effective methods for improving drivers' yielding behaviour. This study used eight kinds of social norm slogans to nudge drivers’ yielding behaviour and explored the influence of pedestrian characteristics and situational factors on drivers’ decision-making regarding giving way when turning right. By analysing 254 valid questionnaires, it was found that compared with static norms, injunctive norms and dynamic + static norms, positively worded dynamic norms have a better nudging effect on drivers' yielding behaviour. The results of the conjoint analysis showed that social norms have the greatest impact on drivers' decisions to yield (32.28%), followed by whether pedestrians comply with traffic rules (23.33%) and the age of pedestrians (18.40%). This study expands the application of social norms and provides a new perspective to promote positive behaviour among drivers.","container-title":"Transportation Research Part F: Traffic Psychology and Behaviour","DOI":"10.1016/j.trf.2022.06.011","ISSN":"1369-8478","journalAbbreviation":"Transportation Research Part F: Traffic Psychology and Behaviour","page":"53-63","source":"ScienceDirect","title":"The nudging effect of social norms on drivers’ yielding behaviour when turning corners","volume":"89","author":[{"family":"Liu","given":"Xinze"},{"family":"Qu","given":"Weina"},{"family":"Ge","given":"Yan"}],"issued":{"date-parts":[["2022",8,1]]}}}],"schema":"https://github.com/citation-style-language/schema/raw/master/csl-citation.json"} </w:instrText>
      </w:r>
      <w:r w:rsidR="00906BDF" w:rsidRPr="006B15C8">
        <w:fldChar w:fldCharType="separate"/>
      </w:r>
      <w:r w:rsidR="00906BDF" w:rsidRPr="006B15C8">
        <w:t>(Liu et al., 2022)</w:t>
      </w:r>
      <w:r w:rsidR="00906BDF" w:rsidRPr="006B15C8">
        <w:fldChar w:fldCharType="end"/>
      </w:r>
      <w:r w:rsidR="00906BDF" w:rsidRPr="006B15C8">
        <w:t xml:space="preserve">. </w:t>
      </w:r>
      <w:bookmarkEnd w:id="95"/>
      <w:r w:rsidR="00906BDF" w:rsidRPr="006B15C8">
        <w:t>Thus</w:t>
      </w:r>
      <w:bookmarkEnd w:id="96"/>
      <w:r w:rsidR="00906BDF" w:rsidRPr="006B15C8">
        <w:t>, integrating structural education with behaviorally-informed messaging strategies</w:t>
      </w:r>
      <w:r w:rsidR="00337ADA" w:rsidRPr="006B15C8">
        <w:t xml:space="preserve"> can</w:t>
      </w:r>
      <w:r w:rsidR="00906BDF" w:rsidRPr="006B15C8">
        <w:t xml:space="preserve"> offer a robust and effective approach to reshaping attitudes and addressing racialized disparities in pedestrian safety.</w:t>
      </w:r>
    </w:p>
    <w:bookmarkEnd w:id="79"/>
    <w:bookmarkEnd w:id="92"/>
    <w:p w14:paraId="0B1C2A7E" w14:textId="77777777" w:rsidR="00C45DC3" w:rsidRPr="006B15C8" w:rsidRDefault="00A02EC1" w:rsidP="004A6C6E">
      <w:pPr>
        <w:spacing w:line="271" w:lineRule="auto"/>
      </w:pPr>
      <w:r w:rsidRPr="006B15C8">
        <w:tab/>
      </w:r>
    </w:p>
    <w:p w14:paraId="5296D959" w14:textId="77777777" w:rsidR="00C45DC3" w:rsidRPr="006B15C8" w:rsidRDefault="00C45DC3" w:rsidP="004A6C6E">
      <w:pPr>
        <w:spacing w:line="271" w:lineRule="auto"/>
        <w:rPr>
          <w:i/>
          <w:iCs/>
          <w:u w:val="single"/>
        </w:rPr>
      </w:pPr>
      <w:bookmarkStart w:id="97" w:name="_Hlk204514400"/>
      <w:r w:rsidRPr="006B15C8">
        <w:rPr>
          <w:i/>
          <w:iCs/>
          <w:u w:val="single"/>
        </w:rPr>
        <w:t>Pedestrian Exhibiting Visual Markers of Housing Insecurity (VHI)</w:t>
      </w:r>
    </w:p>
    <w:p w14:paraId="001D004E" w14:textId="0D8C6953" w:rsidR="006963CF" w:rsidRPr="006B15C8" w:rsidRDefault="006963CF" w:rsidP="004A6C6E">
      <w:pPr>
        <w:spacing w:line="271" w:lineRule="auto"/>
      </w:pPr>
      <w:bookmarkStart w:id="98" w:name="_Hlk201843252"/>
      <w:r w:rsidRPr="006B15C8">
        <w:t>The results reveal a critical and underexamined relationship between visual indicators of housing instability (VHI), used as a proxy for homelessness, and pedestrian safety outcomes. Pedestrians identified as exhibiting VHI ha</w:t>
      </w:r>
      <w:r w:rsidR="0098673A" w:rsidRPr="006B15C8">
        <w:t xml:space="preserve">ve </w:t>
      </w:r>
      <w:r w:rsidRPr="006B15C8">
        <w:t>a 1</w:t>
      </w:r>
      <w:r w:rsidR="00696450" w:rsidRPr="006B15C8">
        <w:t>49.1</w:t>
      </w:r>
      <w:r w:rsidRPr="006B15C8">
        <w:t xml:space="preserve">% higher probability of engaging in NCPC </w:t>
      </w:r>
      <w:r w:rsidR="002F2770" w:rsidRPr="006B15C8">
        <w:t>behavior and</w:t>
      </w:r>
      <w:r w:rsidRPr="006B15C8">
        <w:t xml:space="preserve"> </w:t>
      </w:r>
      <w:r w:rsidR="0098673A" w:rsidRPr="006B15C8">
        <w:t>a</w:t>
      </w:r>
      <w:r w:rsidRPr="006B15C8">
        <w:t>re 1</w:t>
      </w:r>
      <w:r w:rsidR="00696450" w:rsidRPr="006B15C8">
        <w:t>27.3</w:t>
      </w:r>
      <w:r w:rsidRPr="006B15C8">
        <w:t xml:space="preserve">% more likely to experience driver failure to yield. These represent the third strongest overall effect on NCPC behavior and the most influential variable among all pedestrian </w:t>
      </w:r>
      <w:r w:rsidRPr="006B15C8">
        <w:lastRenderedPageBreak/>
        <w:t xml:space="preserve">characteristics. VHI </w:t>
      </w:r>
      <w:r w:rsidR="0098673A" w:rsidRPr="006B15C8">
        <w:t>i</w:t>
      </w:r>
      <w:r w:rsidR="00337ADA" w:rsidRPr="006B15C8">
        <w:t>s</w:t>
      </w:r>
      <w:r w:rsidRPr="006B15C8">
        <w:t xml:space="preserve"> also the </w:t>
      </w:r>
      <w:r w:rsidR="006D57B7" w:rsidRPr="006B15C8">
        <w:t xml:space="preserve">second </w:t>
      </w:r>
      <w:r w:rsidRPr="006B15C8">
        <w:t xml:space="preserve">strongest predictor of </w:t>
      </w:r>
      <w:r w:rsidR="002F2770" w:rsidRPr="006B15C8">
        <w:t>DUY</w:t>
      </w:r>
      <w:r w:rsidRPr="006B15C8">
        <w:t xml:space="preserve"> behavior in the model. These disparities likely stem from both behavioral factors and systemic neglect. Individuals experiencing homelessness often face health-related vulnerabilities, including physical disabilities, mental health conditions, and substance use disorders, that may influence crossing decisions </w:t>
      </w:r>
      <w:bookmarkStart w:id="99" w:name="_Hlk202478370"/>
      <w:bookmarkStart w:id="100" w:name="_Hlk203662679"/>
      <w:r w:rsidRPr="006B15C8">
        <w:fldChar w:fldCharType="begin"/>
      </w:r>
      <w:r w:rsidR="00911EF4" w:rsidRPr="006B15C8">
        <w:instrText xml:space="preserve"> ADDIN ZOTERO_ITEM CSL_CITATION {"citationID":"yoa5rdJP","properties":{"formattedCitation":"(Richards &amp; Kuhn, 2022)","plainCitation":"(Richards &amp; Kuhn, 2022)","dontUpdate":true,"noteIndex":0},"citationItems":[{"id":435,"uris":["http://zotero.org/groups/5885221/items/ERTCZGCF"],"itemData":{"id":435,"type":"article-journal","abstract":"•Unsheltered homelessness is rising, particularly in the Western U.S.•We reviewed studies that compared health outcomes by shelter status.•Unsheltered populations have higher rates of physical and mental illness and substance use.•Unsheltered populations use health care less and often lack health insurance.•Longitudinal studies are needed to assess the causes of poor health among unsheltered persons.,","container-title":"AJPM Focus","DOI":"10.1016/j.focus.2022.100043","ISSN":"2773-0654","issue":"1","journalAbbreviation":"AJPM Focus","note":"PMID: 37789936\nPMCID: PMC10546518","page":"100043","source":"PubMed Central","title":"Unsheltered Homelessness and Health: A Literature Review","title-short":"Unsheltered Homelessness and Health","volume":"2","author":[{"family":"Richards","given":"Jessica"},{"family":"Kuhn","given":"Randall"}],"issued":{"date-parts":[["2022",10,29]]}}}],"schema":"https://github.com/citation-style-language/schema/raw/master/csl-citation.json"} </w:instrText>
      </w:r>
      <w:r w:rsidRPr="006B15C8">
        <w:fldChar w:fldCharType="separate"/>
      </w:r>
      <w:r w:rsidRPr="006B15C8">
        <w:t>(Richards and Kuhn, 2022,</w:t>
      </w:r>
      <w:r w:rsidRPr="006B15C8">
        <w:fldChar w:fldCharType="end"/>
      </w:r>
      <w:r w:rsidRPr="006B15C8">
        <w:t xml:space="preserve"> </w:t>
      </w:r>
      <w:r w:rsidRPr="006B15C8">
        <w:fldChar w:fldCharType="begin"/>
      </w:r>
      <w:r w:rsidR="00911EF4" w:rsidRPr="006B15C8">
        <w:instrText xml:space="preserve"> ADDIN ZOTERO_ITEM CSL_CITATION {"citationID":"OpTfLQOE","properties":{"formattedCitation":"(USDOT, 2024)","plainCitation":"(USDOT, 2024)","dontUpdate":true,"noteIndex":0},"citationItems":[{"id":354,"uris":["http://zotero.org/groups/5885221/items/8JIWNVIX"],"itemData":{"id":354,"type":"report","title":"Promising Practices for Transportation Agencies to Address Road Safety among People Experiencing Homelessness","URL":"https://highways.dot.gov/media/56771#:~:text=People%20experiencing%20homelessness%20have%20an,address%20road%20safety%20for%20people","author":[{"literal":"USDOT"}],"issued":{"date-parts":[["2024"]]}}}],"schema":"https://github.com/citation-style-language/schema/raw/master/csl-citation.json"} </w:instrText>
      </w:r>
      <w:r w:rsidRPr="006B15C8">
        <w:fldChar w:fldCharType="separate"/>
      </w:r>
      <w:r w:rsidRPr="006B15C8">
        <w:t>USDOT, 2024</w:t>
      </w:r>
      <w:r w:rsidRPr="006B15C8">
        <w:fldChar w:fldCharType="end"/>
      </w:r>
      <w:r w:rsidRPr="006B15C8">
        <w:t xml:space="preserve">). </w:t>
      </w:r>
      <w:bookmarkEnd w:id="99"/>
      <w:r w:rsidRPr="006B15C8">
        <w:t xml:space="preserve">At </w:t>
      </w:r>
      <w:bookmarkEnd w:id="100"/>
      <w:r w:rsidRPr="006B15C8">
        <w:t xml:space="preserve">the same time, reduced driver yielding toward this group echoes findings from </w:t>
      </w:r>
      <w:bookmarkStart w:id="101" w:name="_Hlk202478375"/>
      <w:r w:rsidRPr="006B15C8">
        <w:fldChar w:fldCharType="begin"/>
      </w:r>
      <w:r w:rsidR="00911EF4" w:rsidRPr="006B15C8">
        <w:instrText xml:space="preserve"> ADDIN ZOTERO_ITEM CSL_CITATION {"citationID":"dThfYEZj","properties":{"formattedCitation":"(Domine et al., 2022)","plainCitation":"(Domine et al., 2022)","dontUpdate":true,"noteIndex":0},"citationItems":[{"id":142,"uris":["http://zotero.org/groups/5885221/items/UVKP9AKW"],"itemData":{"id":142,"type":"article-journal","container-title":"PDXScholar","language":"en","source":"Zotero","title":"Safety Interventions For Houseless Pedestrians","URL":"https://pdxscholar.library.pdx.edu/usp_murp/184/","author":[{"family":"Domine","given":"Peter"},{"family":"Doyle","given":"Sean"},{"family":"Haque","given":"Asif"},{"family":"Sulvarán","given":"Angie Martínez"},{"family":"Meusch","given":"Nick"},{"family":"Whyte","given":"Meisha"}],"issued":{"date-parts":[["2022"]]}}}],"schema":"https://github.com/citation-style-language/schema/raw/master/csl-citation.json"} </w:instrText>
      </w:r>
      <w:r w:rsidRPr="006B15C8">
        <w:fldChar w:fldCharType="separate"/>
      </w:r>
      <w:r w:rsidRPr="006B15C8">
        <w:t>Domine et al. (2022)</w:t>
      </w:r>
      <w:r w:rsidRPr="006B15C8">
        <w:fldChar w:fldCharType="end"/>
      </w:r>
      <w:r w:rsidRPr="006B15C8">
        <w:t xml:space="preserve">, </w:t>
      </w:r>
      <w:bookmarkEnd w:id="101"/>
      <w:r w:rsidRPr="006B15C8">
        <w:t>who documented complete driver non-compliance in crashes occurring along corridors with overlapping encampments and high crash rates. The compound</w:t>
      </w:r>
      <w:r w:rsidR="0098673A" w:rsidRPr="006B15C8">
        <w:t>ing</w:t>
      </w:r>
      <w:r w:rsidRPr="006B15C8">
        <w:t xml:space="preserve"> effects of increased exposure, elevated behavioral risk, and diminished driver responsiveness position individuals with VHI among the most vulnerable pedestrians and likely contribute to the disproportionately high rates of pedestrian crashes observed in areas with larger </w:t>
      </w:r>
      <w:r w:rsidR="00337ADA" w:rsidRPr="006B15C8">
        <w:t xml:space="preserve">proportions of </w:t>
      </w:r>
      <w:r w:rsidRPr="006B15C8">
        <w:t xml:space="preserve">unhoused populations </w:t>
      </w:r>
      <w:bookmarkStart w:id="102" w:name="_Hlk202478378"/>
      <w:r w:rsidRPr="006B15C8">
        <w:fldChar w:fldCharType="begin"/>
      </w:r>
      <w:r w:rsidR="00911EF4" w:rsidRPr="006B15C8">
        <w:instrText xml:space="preserve"> ADDIN ZOTERO_ITEM CSL_CITATION {"citationID":"qZn2IrRS","properties":{"formattedCitation":"(Bernhardt &amp; Kockelman, 2021)","plainCitation":"(Bernhardt &amp; Kockelman, 2021)","dontUpdate":true,"noteIndex":0},"citationItems":[{"id":26,"uris":["http://zotero.org/groups/5885221/items/JRSJ8LMD"],"itemData":{"id":26,"type":"article-journal","abstract":"Introduction &amp; research objectives\nPedestrian crash rates and deaths have risen across the United States over the past decade, in contrast to motor vehicle traffic crash counts and rates. Analysis of pedestrian crash rates per vehicle-mile traveled and walk-mile traveled (VMT and WMT) illuminates the impacts of homelessness, land development densities, income, weather, and many other variables across the State of Texas, helping to propel more effective safety policies.\nMethods\nThis study examines key factors for and countermeasures against pedestrian crashes, while predicting pedestrian crash rates per VMT and WMT, as sourced from the Texas DOT (TxDOT) and the 2017 National Household Travel Survey (NHTS) add-on sample. Crash data from TxDOT's Crash Records Information System (CRIS) database were analyzed using an ordinary least-squares (OLS) regression by controlling for a variety of socioeconomic, climate, and roadway design variables, including homelessness, which has emerged as a serious issue along freeway rights-of-way in many U.S. urban areas.\nResults\nAt the county level in Texas, there is a moderately positive relationship between job density and pedestrian crash rates, but a practically significant and negative relationship with population density. Median income and homelessness have very practically significant, positive impacts on pedestrian crash and fatality rates. For example, a 1 standard deviation increase in homelessness per 1000 residents is associated with a +14.4% of 1 standard deviation rise in the total pedestrian crash rate per WMT at the county level, all else constant. Similarly, pedestrian crashes per WMT rise in a notable way with the share of children under age 17 and rates of homelessness.\nConclusions\nThese results suggest significant positive relationships between pedestrian crash rates per VMT and per WMT with respect to household incomes and homelessness, at the county level. Pedestrian crashes and pedestrian deaths per WMT also reveal practically significant contributions by larger youth populations and poverty rates. A weaker but still practically significant relationship exists between crash rates per VMT and population growth rate, warranting further investigation on the relationship between exurban land use patterns and pedestrian crashes.","container-title":"Journal of Transport &amp; Health","DOI":"10.1016/j.jth.2021.101090","ISSN":"2214-1405","journalAbbreviation":"Journal of Transport &amp; Health","page":"101090","source":"ScienceDirect","title":"An analysis of pedestrian crash trends and contributing factors in Texas","volume":"22","author":[{"family":"Bernhardt","given":"Maxwell"},{"family":"Kockelman","given":"Kara"}],"issued":{"date-parts":[["2021",9,1]]}}}],"schema":"https://github.com/citation-style-language/schema/raw/master/csl-citation.json"} </w:instrText>
      </w:r>
      <w:r w:rsidRPr="006B15C8">
        <w:fldChar w:fldCharType="separate"/>
      </w:r>
      <w:r w:rsidRPr="006B15C8">
        <w:t>(Bernhardt and Kockelman, 2021)</w:t>
      </w:r>
      <w:r w:rsidRPr="006B15C8">
        <w:fldChar w:fldCharType="end"/>
      </w:r>
      <w:r w:rsidRPr="006B15C8">
        <w:t>.</w:t>
      </w:r>
      <w:bookmarkEnd w:id="102"/>
    </w:p>
    <w:p w14:paraId="73A1630F" w14:textId="61CE2A0D" w:rsidR="0094303D" w:rsidRPr="006B15C8" w:rsidRDefault="006963CF" w:rsidP="004A6C6E">
      <w:pPr>
        <w:spacing w:line="271" w:lineRule="auto"/>
      </w:pPr>
      <w:bookmarkStart w:id="103" w:name="_Hlk204514512"/>
      <w:bookmarkEnd w:id="97"/>
      <w:r w:rsidRPr="006B15C8">
        <w:tab/>
        <w:t xml:space="preserve">Despite growing awareness of traffic violence disproportionately affecting unhoused communities, housing status remains largely excluded from Vision Zero crash reporting systems, hindering efforts to track and address these disparities in a data-driven </w:t>
      </w:r>
      <w:bookmarkStart w:id="104" w:name="_Hlk203662693"/>
      <w:r w:rsidRPr="006B15C8">
        <w:t>manne</w:t>
      </w:r>
      <w:bookmarkStart w:id="105" w:name="_Hlk202478384"/>
      <w:r w:rsidRPr="006B15C8">
        <w:t>r</w:t>
      </w:r>
      <w:bookmarkStart w:id="106" w:name="_Hlk201843265"/>
      <w:bookmarkEnd w:id="98"/>
      <w:r w:rsidR="008D2F9A" w:rsidRPr="006B15C8">
        <w:t xml:space="preserve"> </w:t>
      </w:r>
      <w:r w:rsidR="008D2F9A" w:rsidRPr="006B15C8">
        <w:fldChar w:fldCharType="begin"/>
      </w:r>
      <w:r w:rsidR="00911EF4" w:rsidRPr="006B15C8">
        <w:instrText xml:space="preserve"> ADDIN ZOTERO_ITEM CSL_CITATION {"citationID":"LvyYBdnh","properties":{"formattedCitation":"(Zimmerman, 2023)","plainCitation":"(Zimmerman, 2023)","dontUpdate":true,"noteIndex":0},"citationItems":[{"id":427,"uris":["http://zotero.org/groups/5885221/items/25BX2AL3"],"itemData":{"id":427,"type":"report","collection-title":"Streetblog USA","title":"Living Without Refuge: How the Housing Crisis Fuels Traffic Violence","URL":"https://usa.streetsblog.org/2023/10/24/living-without-refuge-how-the-housing-crisis-fuels-traffic-violence","author":[{"family":"Zimmerman","given":"Brett"}],"issued":{"date-parts":[["2023"]]}}}],"schema":"https://github.com/citation-style-language/schema/raw/master/csl-citation.json"} </w:instrText>
      </w:r>
      <w:r w:rsidR="008D2F9A" w:rsidRPr="006B15C8">
        <w:fldChar w:fldCharType="separate"/>
      </w:r>
      <w:r w:rsidR="008275D4" w:rsidRPr="006B15C8">
        <w:t>(</w:t>
      </w:r>
      <w:r w:rsidR="008D2F9A" w:rsidRPr="006B15C8">
        <w:t>Zimmerman, 2023,</w:t>
      </w:r>
      <w:r w:rsidR="008D2F9A" w:rsidRPr="006B15C8">
        <w:fldChar w:fldCharType="end"/>
      </w:r>
      <w:r w:rsidR="008275D4" w:rsidRPr="006B15C8">
        <w:t xml:space="preserve"> </w:t>
      </w:r>
      <w:r w:rsidR="008D2F9A" w:rsidRPr="006B15C8">
        <w:fldChar w:fldCharType="begin"/>
      </w:r>
      <w:r w:rsidR="00911EF4" w:rsidRPr="006B15C8">
        <w:instrText xml:space="preserve"> ADDIN ZOTERO_ITEM CSL_CITATION {"citationID":"f9zH2eZu","properties":{"formattedCitation":"(USDOT, 2024)","plainCitation":"(USDOT, 2024)","dontUpdate":true,"noteIndex":0},"citationItems":[{"id":354,"uris":["http://zotero.org/groups/5885221/items/8JIWNVIX"],"itemData":{"id":354,"type":"report","title":"Promising Practices for Transportation Agencies to Address Road Safety among People Experiencing Homelessness","URL":"https://highways.dot.gov/media/56771#:~:text=People%20experiencing%20homelessness%20have%20an,address%20road%20safety%20for%20people","author":[{"literal":"USDOT"}],"issued":{"date-parts":[["2024"]]}}}],"schema":"https://github.com/citation-style-language/schema/raw/master/csl-citation.json"} </w:instrText>
      </w:r>
      <w:r w:rsidR="008D2F9A" w:rsidRPr="006B15C8">
        <w:fldChar w:fldCharType="separate"/>
      </w:r>
      <w:r w:rsidR="008D2F9A" w:rsidRPr="006B15C8">
        <w:t>USDOT, 2024)</w:t>
      </w:r>
      <w:r w:rsidR="008D2F9A" w:rsidRPr="006B15C8">
        <w:fldChar w:fldCharType="end"/>
      </w:r>
      <w:r w:rsidR="008D2F9A" w:rsidRPr="006B15C8">
        <w:t>.</w:t>
      </w:r>
      <w:r w:rsidRPr="006B15C8">
        <w:t xml:space="preserve"> </w:t>
      </w:r>
      <w:bookmarkEnd w:id="104"/>
      <w:bookmarkEnd w:id="105"/>
      <w:r w:rsidRPr="006B15C8">
        <w:t xml:space="preserve">Municipal responses have been inconsistent, oscillating between supportive and punitive measures. For example, the city of Austin’s </w:t>
      </w:r>
      <w:r w:rsidR="00337ADA" w:rsidRPr="006B15C8">
        <w:t>2016</w:t>
      </w:r>
      <w:r w:rsidRPr="006B15C8">
        <w:t xml:space="preserve"> Vision Zero strategy acknowledged housing as a safety determinant through a “Housing First” approach, but recent revisions have retreated toward infrastructure- and behavior-based solutions. Meanwhile, </w:t>
      </w:r>
      <w:r w:rsidR="0094303D" w:rsidRPr="006B15C8">
        <w:t xml:space="preserve">the city of </w:t>
      </w:r>
      <w:r w:rsidRPr="006B15C8">
        <w:t>Portland ha</w:t>
      </w:r>
      <w:r w:rsidR="00337ADA" w:rsidRPr="006B15C8">
        <w:t>s</w:t>
      </w:r>
      <w:r w:rsidRPr="006B15C8">
        <w:t xml:space="preserve"> enacted encampment bans along high-crash corridors, and other</w:t>
      </w:r>
      <w:r w:rsidR="0094303D" w:rsidRPr="006B15C8">
        <w:t xml:space="preserve"> cities, </w:t>
      </w:r>
      <w:r w:rsidRPr="006B15C8">
        <w:t>including San Jose and Colorado Springs</w:t>
      </w:r>
      <w:r w:rsidR="0094303D" w:rsidRPr="006B15C8">
        <w:t xml:space="preserve">, </w:t>
      </w:r>
      <w:r w:rsidRPr="006B15C8">
        <w:t xml:space="preserve">have implemented visibility-based interventions such as neon beanies and flashing headbands for unhoused individuals (Zimmerman, 2023). </w:t>
      </w:r>
      <w:r w:rsidR="008D2F9A" w:rsidRPr="006B15C8">
        <w:t xml:space="preserve">Though </w:t>
      </w:r>
      <w:r w:rsidR="0094303D" w:rsidRPr="006B15C8">
        <w:t>often well-intentioned</w:t>
      </w:r>
      <w:r w:rsidR="008D2F9A" w:rsidRPr="006B15C8">
        <w:t xml:space="preserve">, such efforts often reduce a structural safety crisis to a question of visibility or individual behavior, ignoring the broader environmental and systemic conditions that place unhoused pedestrians at elevated risk. </w:t>
      </w:r>
    </w:p>
    <w:p w14:paraId="11623588" w14:textId="77777777" w:rsidR="0094303D" w:rsidRPr="006B15C8" w:rsidRDefault="0094303D" w:rsidP="004A6C6E">
      <w:pPr>
        <w:spacing w:line="271" w:lineRule="auto"/>
        <w:ind w:firstLine="720"/>
      </w:pPr>
      <w:bookmarkStart w:id="107" w:name="_Hlk204514608"/>
      <w:bookmarkEnd w:id="103"/>
      <w:r w:rsidRPr="006B15C8">
        <w:t>Collectively, our findings call for equity-centered, cross-sector strategies that recognize housing ins</w:t>
      </w:r>
      <w:r w:rsidR="006D57B7" w:rsidRPr="006B15C8">
        <w:t>ecurity</w:t>
      </w:r>
      <w:r w:rsidRPr="006B15C8">
        <w:t xml:space="preserve"> as both a transportation and public health concern. Transportation agencies must begin by integrating housing status into crash data systems and establishing it as a standard variable within Vision Zero and other safety frameworks. Infrastructure near encampments and areas of unsheltered habitation should </w:t>
      </w:r>
      <w:r w:rsidR="00337ADA" w:rsidRPr="006B15C8">
        <w:t xml:space="preserve">also </w:t>
      </w:r>
      <w:r w:rsidRPr="006B15C8">
        <w:t>be redesigned to include pedestrian-activated signals, refuge islands, enhanced lighting, and traffic calming. Collaboration with housing and public health agencies can also be beneficial for delivering mobile outreach, navigation centers, and harm-reduction services at high-risk locations.</w:t>
      </w:r>
    </w:p>
    <w:bookmarkEnd w:id="107"/>
    <w:p w14:paraId="7FAC66AA" w14:textId="77777777" w:rsidR="002C5E08" w:rsidRPr="006B15C8" w:rsidRDefault="002C5E08" w:rsidP="004A6C6E">
      <w:pPr>
        <w:spacing w:line="271" w:lineRule="auto"/>
        <w:ind w:firstLine="720"/>
      </w:pPr>
    </w:p>
    <w:p w14:paraId="13EB73CF" w14:textId="77777777" w:rsidR="00902CF6" w:rsidRPr="006B15C8" w:rsidRDefault="00902CF6" w:rsidP="004A6C6E">
      <w:pPr>
        <w:pStyle w:val="Heading3"/>
        <w:spacing w:line="271" w:lineRule="auto"/>
      </w:pPr>
      <w:bookmarkStart w:id="108" w:name="_Hlk204514659"/>
      <w:bookmarkEnd w:id="106"/>
      <w:r w:rsidRPr="006B15C8">
        <w:t>Pedestrian Activity and Contextual Variable</w:t>
      </w:r>
      <w:r w:rsidR="00C45DC3" w:rsidRPr="006B15C8">
        <w:t xml:space="preserve"> Effects </w:t>
      </w:r>
    </w:p>
    <w:p w14:paraId="4AC67CFA" w14:textId="77777777" w:rsidR="00D078C4" w:rsidRPr="006B15C8" w:rsidRDefault="00D078C4" w:rsidP="004A6C6E">
      <w:pPr>
        <w:spacing w:line="271" w:lineRule="auto"/>
        <w:rPr>
          <w:i/>
          <w:iCs/>
          <w:u w:val="single"/>
        </w:rPr>
      </w:pPr>
      <w:bookmarkStart w:id="109" w:name="_Hlk204514679"/>
      <w:bookmarkEnd w:id="108"/>
      <w:r w:rsidRPr="006B15C8">
        <w:rPr>
          <w:i/>
          <w:iCs/>
          <w:u w:val="single"/>
        </w:rPr>
        <w:t>Social Context</w:t>
      </w:r>
    </w:p>
    <w:p w14:paraId="3BB5662D" w14:textId="568874B0" w:rsidR="00D078C4" w:rsidRPr="006B15C8" w:rsidRDefault="00BC6147" w:rsidP="004A6C6E">
      <w:pPr>
        <w:spacing w:line="271" w:lineRule="auto"/>
      </w:pPr>
      <w:bookmarkStart w:id="110" w:name="_Hlk204514695"/>
      <w:bookmarkEnd w:id="109"/>
      <w:r w:rsidRPr="006B15C8">
        <w:t>T</w:t>
      </w:r>
      <w:r w:rsidR="00D078C4" w:rsidRPr="006B15C8">
        <w:t>he presence of additional individuals at the crossing consistently exerted a protective influence across both models. Specifically, pedestrians crossing in groups are 3</w:t>
      </w:r>
      <w:r w:rsidR="00696450" w:rsidRPr="006B15C8">
        <w:t>3.4</w:t>
      </w:r>
      <w:r w:rsidR="00D078C4" w:rsidRPr="006B15C8">
        <w:t>% less likely to commit violations and experience a 2</w:t>
      </w:r>
      <w:r w:rsidR="00696450" w:rsidRPr="006B15C8">
        <w:t>0.5</w:t>
      </w:r>
      <w:r w:rsidR="00D078C4" w:rsidRPr="006B15C8">
        <w:t>% increase in the likelihood of drivers yielding compared to those crossing alone. These results align with prior finding</w:t>
      </w:r>
      <w:bookmarkStart w:id="111" w:name="_Hlk203662791"/>
      <w:r w:rsidR="00D078C4" w:rsidRPr="006B15C8">
        <w:t>s (e.g., Dileep et al., 2016</w:t>
      </w:r>
      <w:r w:rsidR="00123993" w:rsidRPr="006B15C8">
        <w:t>,</w:t>
      </w:r>
      <w:r w:rsidR="00D078C4" w:rsidRPr="006B15C8">
        <w:t xml:space="preserve"> </w:t>
      </w:r>
      <w:r w:rsidR="00D078C4" w:rsidRPr="006B15C8">
        <w:fldChar w:fldCharType="begin"/>
      </w:r>
      <w:r w:rsidR="00911EF4" w:rsidRPr="006B15C8">
        <w:instrText xml:space="preserve"> ADDIN ZOTERO_ITEM CSL_CITATION {"citationID":"8L3mgUMi","properties":{"formattedCitation":"(Zhu et al., 2021)","plainCitation":"(Zhu et al., 2021)","dontUpdate":true,"noteIndex":0},"citationItems":[{"id":155,"uris":["http://zotero.org/groups/5885221/items/9M8ML4RE"],"itemData":{"id":155,"type":"article-journal","abstract":"Pedestrian is vulnerable to mortality and severe injury in road crashes. Red light running violation of pedestrians is one of the leading causes to the crashes at signalized intersections, at which the crash involvement rates of pedestrians are high. Therefore, it is important to identify the factors that affect the propensity of red light running of pedestrian. In this study, effects of both personal factors (pedestrians’ demographics and behavior) and environmental factors (presence and behavior of other pedestrians, signal time, and traffic condition) on the individual decision of red light running violation are examined, using the video observation surveys at the signalized crossings that are prone to pedestrian-vehicle crashes and have moderate pedestrian and vehicular traffic volumes in the urban area. Crossing behaviors of 6320 pedestrians are captured. Results of a random parameter logit model indicate that pedestrian gender, age, number of lanes, presence of a companion, number of pedestrians around, presence of other violators in the same cycle, time to green, red time, traffic volume, and percentage of heavy vehicles all affect the propensity of red light running violation of pedestrians. Also, there are significant interaction effects by pedestrian’s gender and age, presence of other violators, with a companion, and traffic volume on the propensity. Findings are indicative to the development of effective engineering, enforcement and educational initiatives combating the red light running violation behavior of pedestrians. Therefore, pedestrian safety level at the signalized intersections can be enhanced.","container-title":"Transportation Research Part F: Traffic Psychology and Behaviour","DOI":"10.1016/j.trf.2020.11.001","ISSN":"1369-8478","journalAbbreviation":"Transportation Research Part F: Traffic Psychology and Behaviour","page":"47-58","source":"ScienceDirect","title":"Roles of personal and environmental factors in the red light running propensity of pedestrian: Case study at the urban crosswalks","title-short":"Roles of personal and environmental factors in the red light running propensity of pedestrian","volume":"76","author":[{"family":"Zhu","given":"Dianchen"},{"family":"Sze","given":"N. N."},{"family":"Bai","given":"Lu"}],"issued":{"date-parts":[["2021",1,1]]}}}],"schema":"https://github.com/citation-style-language/schema/raw/master/csl-citation.json"} </w:instrText>
      </w:r>
      <w:r w:rsidR="00D078C4" w:rsidRPr="006B15C8">
        <w:fldChar w:fldCharType="separate"/>
      </w:r>
      <w:r w:rsidR="00D078C4" w:rsidRPr="006B15C8">
        <w:t>Zhu et al., 2021</w:t>
      </w:r>
      <w:r w:rsidR="00D078C4" w:rsidRPr="006B15C8">
        <w:fldChar w:fldCharType="end"/>
      </w:r>
      <w:r w:rsidR="00123993" w:rsidRPr="006B15C8">
        <w:t>,</w:t>
      </w:r>
      <w:r w:rsidR="00D078C4" w:rsidRPr="006B15C8">
        <w:t xml:space="preserve"> Fu et al., 2022</w:t>
      </w:r>
      <w:r w:rsidR="00123993" w:rsidRPr="006B15C8">
        <w:t>,</w:t>
      </w:r>
      <w:r w:rsidR="00D078C4" w:rsidRPr="006B15C8">
        <w:t xml:space="preserve"> </w:t>
      </w:r>
      <w:r w:rsidR="00D078C4" w:rsidRPr="006B15C8">
        <w:fldChar w:fldCharType="begin"/>
      </w:r>
      <w:r w:rsidR="00911EF4" w:rsidRPr="006B15C8">
        <w:instrText xml:space="preserve"> ADDIN ZOTERO_ITEM CSL_CITATION {"citationID":"x7Wf2qGt","properties":{"formattedCitation":"(Zhang et al., 2023)","plainCitation":"(Zhang et al., 2023)","dontUpdate":true,"noteIndex":0},"citationItems":[{"id":330,"uris":["http://zotero.org/groups/5885221/items/Q3HG2ZXZ"],"itemData":{"id":330,"type":"article-journal","abstract":"Pedestrian violations are a major cause of pedestrian accidents. Considering that pedestrians are vulnerable to mortality and severe injury in traffic accidents, it is necessary to conduct a study of the factors influencing the occurrence of unmarked street crossing violations and to improve pedestrian safety in a targeted manner. This paper investigated pedestrian spatial violations on unmarked roadways at six high-traffic locations in Hefei and examined the effects of the road environment, pedestrian crossing behaviour, and pedestrian characteristics on pedestrian spatial violation decisions. Thirty variables with a total of 723 samples were obtained by an unmanned aerial vehicle (UAV) and a camera. The purpose of this study was to gain an understanding of pedestrian spatial crossing violations at unmarked roadways. A random parameter logit model was used to establish a pedestrian crossing decision model for roadway violations. The results indicate that males are more likely to violate than females; the probability of violation with companions is higher than that of crossing alone; when pedestrians cross with other strangers in the same direction, the rate will decrease; and shorter intersection spacing, a higher vehicle flow, and a longer pedestrian crossing length all reduce the illegal crossing propensity. The findings should be indicative to help traffic road construction departments and traffic participants take effective measures to improve road safety.","container-title":"Transportation Research Part F: Traffic Psychology and Behaviour","DOI":"10.1016/j.trf.2023.10.022","ISSN":"1369-8478","journalAbbreviation":"Transportation Research Part F: Traffic Psychology and Behaviour","page":"339-355","source":"ScienceDirect","title":"Analysis of pedestrian illegal crossing at unmarked segments: Environmental factors, pedestrian characteristics and crossing behaviours","title-short":"Analysis of pedestrian illegal crossing at unmarked segments","volume":"99","author":[{"family":"Zhang","given":"Weihua"},{"family":"Guo","given":"Haonan"},{"family":"Wang","given":"Cheng"},{"family":"Wang","given":"Kun"},{"family":"Huang","given":"Wenjuan"},{"family":"Xu","given":"Qingyang"},{"family":"Tang","given":"Hongya"},{"family":"Yang","given":"Bo"},{"family":"Yan","given":"Ran"}],"issued":{"date-parts":[["2023",11,1]]}}}],"schema":"https://github.com/citation-style-language/schema/raw/master/csl-citation.json"} </w:instrText>
      </w:r>
      <w:r w:rsidR="00D078C4" w:rsidRPr="006B15C8">
        <w:fldChar w:fldCharType="separate"/>
      </w:r>
      <w:r w:rsidR="00D078C4" w:rsidRPr="006B15C8">
        <w:t>Zhang et al., 2023</w:t>
      </w:r>
      <w:r w:rsidR="00D078C4" w:rsidRPr="006B15C8">
        <w:fldChar w:fldCharType="end"/>
      </w:r>
      <w:r w:rsidR="00123993" w:rsidRPr="006B15C8">
        <w:t>,</w:t>
      </w:r>
      <w:r w:rsidR="00D078C4" w:rsidRPr="006B15C8">
        <w:t xml:space="preserve"> Zafri et al., 2022</w:t>
      </w:r>
      <w:r w:rsidR="00123993" w:rsidRPr="006B15C8">
        <w:t>,</w:t>
      </w:r>
      <w:r w:rsidR="00D078C4" w:rsidRPr="006B15C8">
        <w:t xml:space="preserve"> </w:t>
      </w:r>
      <w:r w:rsidR="00D078C4" w:rsidRPr="006B15C8">
        <w:fldChar w:fldCharType="begin"/>
      </w:r>
      <w:r w:rsidR="00911EF4" w:rsidRPr="006B15C8">
        <w:instrText xml:space="preserve"> ADDIN ZOTERO_ITEM CSL_CITATION {"citationID":"bIsiOZeb","properties":{"formattedCitation":"(Miladi et al., 2025; Rafe et al., 2025)","plainCitation":"(Miladi et al., 2025; Rafe et al., 2025)","dontUpdate":true,"noteIndex":0},"citationItems":[{"id":345,"uris":["http://zotero.org/groups/5885221/items/ZVDCVKPE"],"itemData":{"id":345,"type":"article-journal","abstract":"Pedestrian-vehicle conflicts at intersections are considered as a major source of injuries and fatalities. Intersections are a critical part of roadway design since pedestrians are exposed to different and potentially dangerous activities due to how an intersection is designed, but also what the pedestrian is doing and where in the city they are. In this study, various influences on risky crossing behaviour are examined. At the individual level, the influence of distractions and where people are looking before crossing are tested. Further, various intersection design variables including wait time, intersection size and speed limits, and contextual variables such as the built environment nearby and traffic flow are examined. The data was gathered by observing pedestrians at 24 intersections in Montreal and Quebec City (12 each). Logistic regression models were estimated to determine the influencing variables on four dangerous behaviours: a) start on red, b) finish on red, c) finish on red having started on green, and d) cross completely on red. Results demonstrate the importance of wait time on risky crossing behaviour with short wait times (&lt; 30s) decreasing the likelihood of such behaviours considerably. For individual behaviour, having a cellphone in one's hand reduces the likelihood of starting to cross on red. In contrast, looking at traffic was over four times more associated with crossing illegally.","container-title":"IATSS Research","DOI":"10.1016/j.iatssr.2025.05.001","ISSN":"0386-1112","issue":"2","journalAbbreviation":"IATSS Research","page":"220-230","source":"ScienceDirect","title":"Distractions or long waits? Impacts on risky crossing behaviour","title-short":"Distractions or long waits?","volume":"49","author":[{"family":"Miladi","given":"Mohsen"},{"family":"Waygood","given":"E. Owen D."},{"family":"Cloutier","given":"Marie-Soleil"},{"family":"Bobin","given":"Wang"},{"family":"Ali Yas","given":"Zeinab"}],"issued":{"date-parts":[["2025",7,1]]}}},{"id":328,"uris":["http://zotero.org/groups/5885221/items/8TQZEC7Q"],"itemData":{"id":328,"type":"article-journal","abstract":"This study investigates pedestrian crossing behaviors at signalized intersections, focusing on spatial and temporal violations. Using a comprehensive dataset comprising 5,589 pedestrian crossing events at 47 crosswalks across 39 intersections in Utah, the research employs multilevel regression models to identify the factors influencing these violation behaviors. Key findings indicate that individual characteristics such as gender and mobility device use, environmental conditions including temperature and time of day, and social dynamics such as the presence of other pedestrians significantly impact violation behaviors. The study reveals that female-presenting pedestrians and those using mobility devices are generally more compliant, while higher temperatures and specific times-of-day are associated with increased violation rates. The analysis also highlights that longer waiting time is linked to a reduced likelihood of violations, and that social dynamics play a crucial role, with the presence of other pedestrians discouraging violations. Additionally, neighborhoods with larger shares of Hispanic or non-white populations have higher violation rates, and mid-block crossings see more temporal violations. These findings aim to enhance pedestrian safety and compliance at signalized intersections, ultimately reducing pedestrian fatalities and injuries.","container-title":"International Journal of Transportation Science and Technology","DOI":"10.1016/j.ijtst.2024.12.005","ISSN":"2046-0430","journalAbbreviation":"International Journal of Transportation Science and Technology","source":"ScienceDirect","title":"Pedestrian crossing behaviors at signalized intersections in Utah: Factors affecting spatial and temporal violations","title-short":"Pedestrian crossing behaviors at signalized intersections in Utah","URL":"https://www.sciencedirect.com/science/article/pii/S2046043025000024","author":[{"family":"Rafe","given":"Amir"},{"family":"Singleton","given":"Patrick A."},{"family":"Boyer","given":"Sadie"},{"family":"Mekker","given":"Michelle"}],"accessed":{"date-parts":[["2025",6,9]]},"issued":{"date-parts":[["2025",1,6]]}}}],"schema":"https://github.com/citation-style-language/schema/raw/master/csl-citation.json"} </w:instrText>
      </w:r>
      <w:r w:rsidR="00D078C4" w:rsidRPr="006B15C8">
        <w:fldChar w:fldCharType="separate"/>
      </w:r>
      <w:r w:rsidR="00D078C4" w:rsidRPr="006B15C8">
        <w:t>Miladi et al., 2025</w:t>
      </w:r>
      <w:r w:rsidR="00123993" w:rsidRPr="006B15C8">
        <w:t>,</w:t>
      </w:r>
      <w:r w:rsidR="00D078C4" w:rsidRPr="006B15C8">
        <w:t xml:space="preserve"> Rafe et al., 2025)</w:t>
      </w:r>
      <w:r w:rsidR="00D078C4" w:rsidRPr="006B15C8">
        <w:fldChar w:fldCharType="end"/>
      </w:r>
      <w:bookmarkEnd w:id="111"/>
      <w:r w:rsidR="00D078C4" w:rsidRPr="006B15C8">
        <w:t xml:space="preserve">, and may be attributed to social conformity pressures, where individuals are less inclined to violate </w:t>
      </w:r>
      <w:r w:rsidR="00D078C4" w:rsidRPr="006B15C8">
        <w:lastRenderedPageBreak/>
        <w:t xml:space="preserve">traffic rules when others are present who may implicitly discourage non-compliant behavior </w:t>
      </w:r>
      <w:bookmarkStart w:id="112" w:name="_Hlk203662800"/>
      <w:r w:rsidR="00D078C4" w:rsidRPr="006B15C8">
        <w:fldChar w:fldCharType="begin"/>
      </w:r>
      <w:r w:rsidR="00D078C4" w:rsidRPr="006B15C8">
        <w:instrText xml:space="preserve"> HYPERLINK "https://www.zotero.org/google-docs/?MVcNGO" \h </w:instrText>
      </w:r>
      <w:r w:rsidR="00D078C4" w:rsidRPr="006B15C8">
        <w:fldChar w:fldCharType="separate"/>
      </w:r>
      <w:r w:rsidR="00D078C4" w:rsidRPr="006B15C8">
        <w:t>(Zhu et al., 2021)</w:t>
      </w:r>
      <w:r w:rsidR="00D078C4" w:rsidRPr="006B15C8">
        <w:fldChar w:fldCharType="end"/>
      </w:r>
      <w:r w:rsidR="00D078C4" w:rsidRPr="006B15C8">
        <w:t xml:space="preserve">. </w:t>
      </w:r>
      <w:bookmarkEnd w:id="112"/>
      <w:r w:rsidR="00D078C4" w:rsidRPr="006B15C8">
        <w:t>In the context of yielding, drivers may be more likely to notice groups or feel a stronger obligation, whether social or practical, to yield when multiple people are present.</w:t>
      </w:r>
    </w:p>
    <w:p w14:paraId="391DA0A5" w14:textId="77777777" w:rsidR="00D078C4" w:rsidRPr="006B15C8" w:rsidRDefault="00D078C4" w:rsidP="004A6C6E">
      <w:pPr>
        <w:spacing w:line="271" w:lineRule="auto"/>
        <w:ind w:firstLine="720"/>
      </w:pPr>
      <w:r w:rsidRPr="006B15C8">
        <w:t>These observed patterns lend further empirical support to the “safety in numbers” phenomenon, whereby group crossings are associated with improved compliance among both pedestrians and drivers, suggesting that interventions that encourage group travel or simulate its social cues can significantly enhance safety. For instance, behaviorally informed public messaging campaigns can promote compliant crossing by framing safe behaviors, such as using marked crosswalks, waiting for signals, or utilizing grade-separated infrastructure, as social responsibilities. Emphasizing that such actions set a positive example for peers, family, and the broader community may motivate individuals to adopt safer behaviors not only for self-preservation but also out of concern for others. School-based educational programs and parent-focused campaigns can further reinforce these social norms, fostering intergenerational learning and long-term behavior change.</w:t>
      </w:r>
    </w:p>
    <w:bookmarkEnd w:id="110"/>
    <w:p w14:paraId="40A89AAE" w14:textId="77777777" w:rsidR="00D078C4" w:rsidRPr="006B15C8" w:rsidRDefault="00D078C4" w:rsidP="004A6C6E">
      <w:pPr>
        <w:spacing w:line="271" w:lineRule="auto"/>
        <w:rPr>
          <w:i/>
          <w:iCs/>
          <w:u w:val="single"/>
        </w:rPr>
      </w:pPr>
    </w:p>
    <w:p w14:paraId="1F42DCA8" w14:textId="77777777" w:rsidR="002D5C32" w:rsidRPr="006B15C8" w:rsidRDefault="002D5C32" w:rsidP="004A6C6E">
      <w:pPr>
        <w:spacing w:line="271" w:lineRule="auto"/>
        <w:rPr>
          <w:i/>
          <w:iCs/>
          <w:u w:val="single"/>
        </w:rPr>
      </w:pPr>
      <w:bookmarkStart w:id="113" w:name="_Hlk204514796"/>
      <w:r w:rsidRPr="006B15C8">
        <w:rPr>
          <w:i/>
          <w:iCs/>
          <w:u w:val="single"/>
        </w:rPr>
        <w:t>Pedestrian Activity Type</w:t>
      </w:r>
    </w:p>
    <w:p w14:paraId="6317CB88" w14:textId="5EB14B79" w:rsidR="00791518" w:rsidRPr="006B15C8" w:rsidRDefault="00BB3992" w:rsidP="004A6C6E">
      <w:pPr>
        <w:spacing w:line="271" w:lineRule="auto"/>
      </w:pPr>
      <w:bookmarkStart w:id="114" w:name="_Hlk201845650"/>
      <w:bookmarkEnd w:id="113"/>
      <w:r w:rsidRPr="006B15C8">
        <w:t>Pedestrian activity type significantly influence</w:t>
      </w:r>
      <w:r w:rsidR="00C5597C" w:rsidRPr="006B15C8">
        <w:t>s</w:t>
      </w:r>
      <w:r w:rsidRPr="006B15C8">
        <w:t xml:space="preserve"> crossing behavior, with runners being </w:t>
      </w:r>
      <w:r w:rsidR="00696450" w:rsidRPr="006B15C8">
        <w:t>92.7</w:t>
      </w:r>
      <w:r w:rsidR="001F394E" w:rsidRPr="006B15C8">
        <w:t xml:space="preserve">% </w:t>
      </w:r>
      <w:r w:rsidRPr="006B15C8">
        <w:t xml:space="preserve">more likely to engage in NCPC compared to walkers. </w:t>
      </w:r>
      <w:r w:rsidR="00791518" w:rsidRPr="006B15C8">
        <w:t xml:space="preserve">This elevated risk likely reflects a desire to maintain workout momentum by avoiding signal delays, as well as a lower perceived risk due to higher speeds, which can make smaller traffic gaps seem acceptable during unprotected crossings. </w:t>
      </w:r>
      <w:r w:rsidR="00337ADA" w:rsidRPr="006B15C8">
        <w:t xml:space="preserve">Addressing this issue requires </w:t>
      </w:r>
      <w:r w:rsidR="00791518" w:rsidRPr="006B15C8">
        <w:t xml:space="preserve">infrastructure and safety strategies that respond to the distinct behavioral dynamics of different pedestrian activities. For example, mid-block crossings, pedestrian overpasses, or dedicated running paths positioned away from vehicle conflict zones could </w:t>
      </w:r>
      <w:r w:rsidR="00337ADA" w:rsidRPr="006B15C8">
        <w:t>help reduce unsafe behaviors among runners, particularly in parks, along trails, and in areas popular with exercise groups and dog walkers, where conventional crossing infrastructure may fall short.</w:t>
      </w:r>
    </w:p>
    <w:bookmarkEnd w:id="114"/>
    <w:p w14:paraId="22E80A95" w14:textId="77777777" w:rsidR="000B0CBA" w:rsidRPr="006B15C8" w:rsidRDefault="000B0CBA" w:rsidP="004A6C6E">
      <w:pPr>
        <w:spacing w:line="271" w:lineRule="auto"/>
      </w:pPr>
    </w:p>
    <w:p w14:paraId="3AEAB85E" w14:textId="77777777" w:rsidR="00791518" w:rsidRPr="006B15C8" w:rsidRDefault="00791518" w:rsidP="004A6C6E">
      <w:pPr>
        <w:spacing w:line="271" w:lineRule="auto"/>
        <w:rPr>
          <w:i/>
          <w:iCs/>
          <w:u w:val="single"/>
        </w:rPr>
      </w:pPr>
      <w:bookmarkStart w:id="115" w:name="_Hlk204514837"/>
      <w:r w:rsidRPr="006B15C8">
        <w:rPr>
          <w:i/>
          <w:iCs/>
          <w:u w:val="single"/>
        </w:rPr>
        <w:t>Vehicle Interaction</w:t>
      </w:r>
    </w:p>
    <w:p w14:paraId="59AFB781" w14:textId="76EC371C" w:rsidR="00CD7387" w:rsidRPr="006B15C8" w:rsidRDefault="00CD7387" w:rsidP="004A6C6E">
      <w:pPr>
        <w:spacing w:line="271" w:lineRule="auto"/>
      </w:pPr>
      <w:r w:rsidRPr="006B15C8">
        <w:t>Direct interaction with a vehicle</w:t>
      </w:r>
      <w:r w:rsidR="00C5597C" w:rsidRPr="006B15C8">
        <w:t xml:space="preserve"> i</w:t>
      </w:r>
      <w:r w:rsidRPr="006B15C8">
        <w:t xml:space="preserve">s associated with a </w:t>
      </w:r>
      <w:r w:rsidR="00052658" w:rsidRPr="006B15C8">
        <w:rPr>
          <w:rFonts w:eastAsia="Arial"/>
          <w:sz w:val="22"/>
          <w:szCs w:val="22"/>
        </w:rPr>
        <w:t>48</w:t>
      </w:r>
      <w:r w:rsidR="00696450" w:rsidRPr="006B15C8">
        <w:rPr>
          <w:rFonts w:eastAsia="Arial"/>
          <w:sz w:val="22"/>
          <w:szCs w:val="22"/>
        </w:rPr>
        <w:t>.0</w:t>
      </w:r>
      <w:r w:rsidR="00052658" w:rsidRPr="006B15C8">
        <w:rPr>
          <w:rFonts w:eastAsia="Arial"/>
          <w:sz w:val="22"/>
          <w:szCs w:val="22"/>
        </w:rPr>
        <w:t xml:space="preserve">% </w:t>
      </w:r>
      <w:r w:rsidRPr="006B15C8">
        <w:t>reduction i</w:t>
      </w:r>
      <w:r w:rsidR="00C5597C" w:rsidRPr="006B15C8">
        <w:t>n</w:t>
      </w:r>
      <w:r w:rsidRPr="006B15C8">
        <w:t xml:space="preserve"> pedestrian violation</w:t>
      </w:r>
      <w:r w:rsidR="00254D51" w:rsidRPr="006B15C8">
        <w:t>s</w:t>
      </w:r>
      <w:r w:rsidRPr="006B15C8">
        <w:t xml:space="preserve">, suggesting that pedestrians exercise greater caution when </w:t>
      </w:r>
      <w:r w:rsidR="00C5597C" w:rsidRPr="006B15C8">
        <w:t>vehicles are in the immediate vicinity in conflict with the crossing</w:t>
      </w:r>
      <w:r w:rsidRPr="006B15C8">
        <w:t xml:space="preserve">. This may </w:t>
      </w:r>
      <w:r w:rsidR="00337ADA" w:rsidRPr="006B15C8">
        <w:t>indicate</w:t>
      </w:r>
      <w:r w:rsidRPr="006B15C8">
        <w:t xml:space="preserve"> that NCPC behaviors are calculated decisions based on perceived traffic gaps rather than purely impulsive actions. The finding also highlights the role of real-time feedback mechanisms, such as visual contact, vehicle speed, and deceleration cues, in influencing pedestrian decision-making. </w:t>
      </w:r>
    </w:p>
    <w:bookmarkEnd w:id="115"/>
    <w:p w14:paraId="451FA309" w14:textId="77777777" w:rsidR="00A3526C" w:rsidRPr="006B15C8" w:rsidRDefault="00A3526C" w:rsidP="004A6C6E">
      <w:pPr>
        <w:spacing w:line="271" w:lineRule="auto"/>
        <w:jc w:val="left"/>
      </w:pPr>
    </w:p>
    <w:p w14:paraId="69BE5B92" w14:textId="77777777" w:rsidR="00902CF6" w:rsidRPr="006B15C8" w:rsidRDefault="00C5597C" w:rsidP="004A6C6E">
      <w:pPr>
        <w:pStyle w:val="Heading3"/>
        <w:spacing w:line="271" w:lineRule="auto"/>
      </w:pPr>
      <w:bookmarkStart w:id="116" w:name="_Hlk204515640"/>
      <w:r w:rsidRPr="006B15C8">
        <w:t>Time-of-</w:t>
      </w:r>
      <w:r w:rsidR="00AB0B2C" w:rsidRPr="006B15C8">
        <w:t>Day</w:t>
      </w:r>
      <w:r w:rsidRPr="006B15C8">
        <w:t xml:space="preserve"> and its Interaction</w:t>
      </w:r>
      <w:r w:rsidR="00AB0B2C" w:rsidRPr="006B15C8">
        <w:t xml:space="preserve"> Effects</w:t>
      </w:r>
    </w:p>
    <w:p w14:paraId="46CBDEEF" w14:textId="77777777" w:rsidR="005D0510" w:rsidRPr="006B15C8" w:rsidRDefault="005D0510" w:rsidP="004A6C6E">
      <w:pPr>
        <w:spacing w:line="271" w:lineRule="auto"/>
        <w:rPr>
          <w:i/>
          <w:iCs/>
          <w:u w:val="single"/>
        </w:rPr>
      </w:pPr>
      <w:r w:rsidRPr="006B15C8">
        <w:rPr>
          <w:i/>
          <w:iCs/>
          <w:u w:val="single"/>
        </w:rPr>
        <w:t>Time</w:t>
      </w:r>
      <w:r w:rsidR="008C222F" w:rsidRPr="006B15C8">
        <w:rPr>
          <w:i/>
          <w:iCs/>
          <w:u w:val="single"/>
        </w:rPr>
        <w:t>-</w:t>
      </w:r>
      <w:r w:rsidRPr="006B15C8">
        <w:rPr>
          <w:i/>
          <w:iCs/>
          <w:u w:val="single"/>
        </w:rPr>
        <w:t>of</w:t>
      </w:r>
      <w:r w:rsidR="008C222F" w:rsidRPr="006B15C8">
        <w:rPr>
          <w:i/>
          <w:iCs/>
          <w:u w:val="single"/>
        </w:rPr>
        <w:t>-</w:t>
      </w:r>
      <w:r w:rsidRPr="006B15C8">
        <w:rPr>
          <w:i/>
          <w:iCs/>
          <w:u w:val="single"/>
        </w:rPr>
        <w:t>Day</w:t>
      </w:r>
    </w:p>
    <w:p w14:paraId="16344A13" w14:textId="1E503974" w:rsidR="00401080" w:rsidRPr="006B15C8" w:rsidRDefault="00501CE9" w:rsidP="004A6C6E">
      <w:pPr>
        <w:spacing w:line="271" w:lineRule="auto"/>
      </w:pPr>
      <w:r w:rsidRPr="006B15C8">
        <w:t>Compared to the noon-to-afternoon window (12:00-1</w:t>
      </w:r>
      <w:r w:rsidR="00222C17" w:rsidRPr="006B15C8">
        <w:t>7</w:t>
      </w:r>
      <w:r w:rsidRPr="006B15C8">
        <w:t>:</w:t>
      </w:r>
      <w:r w:rsidR="00222C17" w:rsidRPr="006B15C8">
        <w:t>59</w:t>
      </w:r>
      <w:r w:rsidRPr="006B15C8">
        <w:t xml:space="preserve">), pedestrians </w:t>
      </w:r>
      <w:r w:rsidR="00BC3D45" w:rsidRPr="006B15C8">
        <w:t>a</w:t>
      </w:r>
      <w:r w:rsidRPr="006B15C8">
        <w:t>re more likely to engage in NCPC at all other times. The morning (06:00-1</w:t>
      </w:r>
      <w:r w:rsidR="00222C17" w:rsidRPr="006B15C8">
        <w:t>1</w:t>
      </w:r>
      <w:r w:rsidRPr="006B15C8">
        <w:t>:</w:t>
      </w:r>
      <w:r w:rsidR="00222C17" w:rsidRPr="006B15C8">
        <w:t>59</w:t>
      </w:r>
      <w:r w:rsidRPr="006B15C8">
        <w:t>) and dusk (18:00-</w:t>
      </w:r>
      <w:r w:rsidR="00222C17" w:rsidRPr="006B15C8">
        <w:t>19</w:t>
      </w:r>
      <w:r w:rsidRPr="006B15C8">
        <w:t>:</w:t>
      </w:r>
      <w:r w:rsidR="00222C17" w:rsidRPr="006B15C8">
        <w:t>59</w:t>
      </w:r>
      <w:r w:rsidRPr="006B15C8">
        <w:t xml:space="preserve">) periods, both overlapping with typical commute hours, </w:t>
      </w:r>
      <w:r w:rsidR="00BC3D45" w:rsidRPr="006B15C8">
        <w:t>a</w:t>
      </w:r>
      <w:r w:rsidRPr="006B15C8">
        <w:t>re associated with moderate increases in NCPC probability (4</w:t>
      </w:r>
      <w:r w:rsidR="00696450" w:rsidRPr="006B15C8">
        <w:t>1.4</w:t>
      </w:r>
      <w:r w:rsidRPr="006B15C8">
        <w:t>% and 3</w:t>
      </w:r>
      <w:r w:rsidR="00696450" w:rsidRPr="006B15C8">
        <w:t>6.9</w:t>
      </w:r>
      <w:r w:rsidRPr="006B15C8">
        <w:t xml:space="preserve">%, respectively). </w:t>
      </w:r>
      <w:r w:rsidR="00FE02BF" w:rsidRPr="006B15C8">
        <w:t>DUY</w:t>
      </w:r>
      <w:r w:rsidR="00401080" w:rsidRPr="006B15C8">
        <w:t xml:space="preserve"> also increase</w:t>
      </w:r>
      <w:r w:rsidR="00BC3D45" w:rsidRPr="006B15C8">
        <w:t>s</w:t>
      </w:r>
      <w:r w:rsidR="00401080" w:rsidRPr="006B15C8">
        <w:t xml:space="preserve"> by 3</w:t>
      </w:r>
      <w:r w:rsidR="00696450" w:rsidRPr="006B15C8">
        <w:t>6.6</w:t>
      </w:r>
      <w:r w:rsidR="00401080" w:rsidRPr="006B15C8">
        <w:t xml:space="preserve">% during the morning </w:t>
      </w:r>
      <w:r w:rsidR="00401080" w:rsidRPr="006B15C8">
        <w:lastRenderedPageBreak/>
        <w:t xml:space="preserve">period. </w:t>
      </w:r>
      <w:r w:rsidR="00934F06" w:rsidRPr="006B15C8">
        <w:t xml:space="preserve">These trends likely reflect time pressures related to work, school, </w:t>
      </w:r>
      <w:r w:rsidR="00BC3D45" w:rsidRPr="006B15C8">
        <w:t>and</w:t>
      </w:r>
      <w:r w:rsidR="00934F06" w:rsidRPr="006B15C8">
        <w:t xml:space="preserve"> caregiving, which reduce both pedestrian patience and driver caution. Empirical studies support these findings, documenting higher rates of crossing and yielding violations during peak travel times and under time-urgent conditions </w:t>
      </w:r>
      <w:bookmarkStart w:id="117" w:name="_Hlk202478413"/>
      <w:r w:rsidR="00401080" w:rsidRPr="006B15C8">
        <w:rPr>
          <w:color w:val="000000"/>
        </w:rPr>
        <w:fldChar w:fldCharType="begin"/>
      </w:r>
      <w:r w:rsidR="00911EF4" w:rsidRPr="006B15C8">
        <w:rPr>
          <w:color w:val="000000"/>
        </w:rPr>
        <w:instrText xml:space="preserve"> ADDIN ZOTERO_ITEM CSL_CITATION {"citationID":"6L1B2hYx","properties":{"formattedCitation":"(Guo et al., 2011)","plainCitation":"(Guo et al., 2011)","dontUpdate":true,"noteIndex":0},"citationItems":[{"id":43,"uris":["http://zotero.org/groups/5885221/items/KGUTCMSP"],"itemData":{"id":43,"type":"webpage","title":"Modeling Pedestrian Violation Behavior at Signalized Crosswalks in China: A Hazards-Based Duration Approach","URL":"https://www.tandfonline.com/doi/full/10.1080/15389588.2010.518652?casa_token=MfVwVw3PdCgAAAAA%3A132ok3WwhYgv5OMeORFGW18IBLDtEfIKPvb6LYXfzNQPfoT8PFobSO2ZQTvl6GlATRt5i7P6chRL9aw","author":[{"family":"Guo","given":"Hongwei"},{"family":"Gao","given":"Ziyou"},{"family":"Yang","given":"Xiaobao"}],"accessed":{"date-parts":[["2025",2,25]]},"issued":{"date-parts":[["2011"]]}}}],"schema":"https://github.com/citation-style-language/schema/raw/master/csl-citation.json"} </w:instrText>
      </w:r>
      <w:r w:rsidR="00401080" w:rsidRPr="006B15C8">
        <w:rPr>
          <w:color w:val="000000"/>
        </w:rPr>
        <w:fldChar w:fldCharType="separate"/>
      </w:r>
      <w:r w:rsidR="00401080" w:rsidRPr="006B15C8">
        <w:t>(e.g., Guo et al., 2011</w:t>
      </w:r>
      <w:r w:rsidR="00401080" w:rsidRPr="006B15C8">
        <w:rPr>
          <w:color w:val="000000"/>
        </w:rPr>
        <w:fldChar w:fldCharType="end"/>
      </w:r>
      <w:r w:rsidR="00123993" w:rsidRPr="006B15C8">
        <w:rPr>
          <w:color w:val="000000"/>
        </w:rPr>
        <w:t>,</w:t>
      </w:r>
      <w:r w:rsidR="00401080" w:rsidRPr="006B15C8">
        <w:rPr>
          <w:color w:val="000000"/>
        </w:rPr>
        <w:t xml:space="preserve"> </w:t>
      </w:r>
      <w:r w:rsidR="00401080" w:rsidRPr="006B15C8">
        <w:fldChar w:fldCharType="begin"/>
      </w:r>
      <w:r w:rsidR="00911EF4" w:rsidRPr="006B15C8">
        <w:instrText xml:space="preserve"> ADDIN ZOTERO_ITEM CSL_CITATION {"citationID":"ZyR2u2p2","properties":{"formattedCitation":"(G. Zhang et al., 2016)","plainCitation":"(G. Zhang et al., 2016)","dontUpdate":true,"noteIndex":0},"citationItems":[{"id":139,"uris":["http://zotero.org/groups/5885221/items/2VB276QN"],"itemData":{"id":139,"type":"article-journal","abstract":"Traffic signal violation is an important factor in causing accidents involving vehicles and pedestrians. Thus, studying factors influencing traffic signal violations in China seem extremely urgent and important. Using data collected from Guangdong Province in China, this study applies the Logistic model to analyze risk factors influencing traffic signal violations for three different groups, car drivers, cyclists, and pedestrians. Results indicate that road types and lighting conditions have different effects on traffic signal violations for the three groups. In addition, different ages have different effects on traffic signal violations for car drivers and pedestrians. Finally, occupations have different effects on cyclists and pedestrians. Therefore, China might establish policies and promulgate regulations based on the different risk factors for the three groups.","container-title":"Transportation Research Part F: Traffic Psychology and Behaviour","DOI":"10.1016/j.trf.2016.08.001","ISSN":"1369-8478","journalAbbreviation":"Transportation Research Part F: Traffic Psychology and Behaviour","page":"205-216","source":"ScienceDirect","title":"Factors influencing traffic signal violations by car drivers, cyclists, and pedestrians: A case study from Guangdong, China","title-short":"Factors influencing traffic signal violations by car drivers, cyclists, and pedestrians","volume":"42","author":[{"family":"Zhang","given":"Guangnan"},{"family":"Tan","given":"Ying"},{"family":"Jou","given":"Rong-Chang"}],"issued":{"date-parts":[["2016",10,1]]}}}],"schema":"https://github.com/citation-style-language/schema/raw/master/csl-citation.json"} </w:instrText>
      </w:r>
      <w:r w:rsidR="00401080" w:rsidRPr="006B15C8">
        <w:fldChar w:fldCharType="separate"/>
      </w:r>
      <w:r w:rsidR="00401080" w:rsidRPr="006B15C8">
        <w:t>Zhang et al., 2016</w:t>
      </w:r>
      <w:r w:rsidR="00401080" w:rsidRPr="006B15C8">
        <w:fldChar w:fldCharType="end"/>
      </w:r>
      <w:r w:rsidR="00123993" w:rsidRPr="006B15C8">
        <w:t>,</w:t>
      </w:r>
      <w:r w:rsidR="00401080" w:rsidRPr="006B15C8">
        <w:rPr>
          <w:color w:val="000000"/>
        </w:rPr>
        <w:t xml:space="preserve"> </w:t>
      </w:r>
      <w:r w:rsidR="00401080" w:rsidRPr="006B15C8">
        <w:fldChar w:fldCharType="begin"/>
      </w:r>
      <w:r w:rsidR="00911EF4" w:rsidRPr="006B15C8">
        <w:instrText xml:space="preserve"> ADDIN ZOTERO_ITEM CSL_CITATION {"citationID":"VMSKl37u","properties":{"formattedCitation":"(Zhou et al., 2016)","plainCitation":"(Zhou et al., 2016)","dontUpdate":true,"noteIndex":0},"citationItems":[{"id":432,"uris":["http://zotero.org/groups/5885221/items/ZGT3JJC9"],"itemData":{"id":432,"type":"article-journal","abstract":"This paper aimed to examine pedestrians’ self-reported violating crossing behavior intentions by applying the theory of planned behavior (TPB). We studied the behavior intentions regarding instrumental attitude, subjective norm, perceived behavioral control, the three basic components of TPB, and extended the theory by adding new factors including descriptive norm, perceived risk and conformity tendency to evaluate their respective impacts on pedestrians’ behavior intentions. A questionnaire presented with a scenario that pedestrians crossed the road violating the pedestrian lights at an intersection was designed, and the survey was conducted in Dalian, China. Based on the 260 complete and valid responses, reliability and validity of the data for each question was evaluated. The data were then analyzed by using the structural equation modeling (SEM). The results showed that people had a negative attitude toward the behavior of violating road-crossing rules; they perceived social influences from their family and friends; and they believed that this kind of risky behavior would potentially harm them in a traffic accident. The results also showed that instrumental attitude and subjective norm were significant in the basic TPB model. After adding descriptive norm, subjective norm was no more significant. Other models showed that conformity tendency was a strong predictor, indicating that the presence of other pedestrians would influence behavioral intention. The findings could help to design more effective interventions and safety campaigns, such as changing people's attitude toward this violation behavior, correcting the social norms, increasing their safety awareness, etc. in order to reduce pedestrians’ road crossing violations.","collection-title":"Traffic Safety in China: Challenges and Countermeasures","container-title":"Accident Analysis &amp; Prevention","DOI":"10.1016/j.aap.2015.09.009","ISSN":"0001-4575","journalAbbreviation":"Accident Analysis &amp; Prevention","page":"417-424","source":"ScienceDirect","title":"An extension of the theory of planned behavior to predict pedestrians’ violating crossing behavior using structural equation modeling","volume":"95","author":[{"family":"Zhou","given":"Hongmei"},{"family":"Romero","given":"Stephanie Ballon"},{"family":"Qin","given":"Xiao"}],"issued":{"date-parts":[["2016",10,1]]}}}],"schema":"https://github.com/citation-style-language/schema/raw/master/csl-citation.json"} </w:instrText>
      </w:r>
      <w:r w:rsidR="00401080" w:rsidRPr="006B15C8">
        <w:fldChar w:fldCharType="separate"/>
      </w:r>
      <w:r w:rsidR="00401080" w:rsidRPr="006B15C8">
        <w:t>Zhou et al., 2016</w:t>
      </w:r>
      <w:r w:rsidR="00401080" w:rsidRPr="006B15C8">
        <w:fldChar w:fldCharType="end"/>
      </w:r>
      <w:r w:rsidR="00123993" w:rsidRPr="006B15C8">
        <w:t>,</w:t>
      </w:r>
      <w:r w:rsidR="00401080" w:rsidRPr="006B15C8">
        <w:t xml:space="preserve"> </w:t>
      </w:r>
      <w:r w:rsidR="00401080" w:rsidRPr="006B15C8">
        <w:rPr>
          <w:color w:val="000000"/>
        </w:rPr>
        <w:fldChar w:fldCharType="begin"/>
      </w:r>
      <w:r w:rsidR="00911EF4" w:rsidRPr="006B15C8">
        <w:rPr>
          <w:color w:val="000000"/>
        </w:rPr>
        <w:instrText xml:space="preserve"> ADDIN ZOTERO_ITEM CSL_CITATION {"citationID":"fGMJH4ep","properties":{"formattedCitation":"(Xiong et al., 2019)","plainCitation":"(Xiong et al., 2019)","dontUpdate":true,"noteIndex":0},"citationItems":[{"id":429,"uris":["http://zotero.org/groups/5885221/items/2TPR6UPT"],"itemData":{"id":429,"type":"article-journal","abstract":"In China, it is more common for pedestrians than vehicles to disobey traffic signals, resulting in a high risk of pedestrian-vehicle accidents. Pedestrian waiting time are the most critical indicator of the tendency to violate traffic signals. A statistical analysis based on 4027 field-collected samples showed that the length of time that pedestrians are prepared to wait depends on the type of pedestrian traffic signal. Compared to a countdown-type signal, pedestrians were more likely to violate conventional-type signals. Furthermore, pedestrians were willing to wait longer during peak hours than during off-peak hours. There were no significant differences between the waiting times of male and female travelers. To predict pedestrian waiting time, we propose a generalized Pareto distribution (GPD) model and calibrated it based on our field data. Monte Carlo simulations showed that the maximum likelihood estimation (MLE), Bayesian MLE (BMLE), and weighted nonlinear least squares (WNLS) models are the best methods for estimating the scale and shape parameters of the GPD model. Several empirical results were output from the models. For example, at countdown-type signals, the 85th quantile of the tolerable waiting time in off-peak and peak hours was 51.5 and 54.4 s, respectively; the respective values for males and females were 55.4 and 55.0 s. At conventional signals, the tolerable waiting time was approximately 42.5 s. These findings are useful for the planning, design, and operation of pedestrian facilities.","container-title":"Computers &amp; Industrial Engineering","DOI":"10.1016/j.cie.2019.106019","ISSN":"0360-8352","journalAbbreviation":"Computers &amp; Industrial Engineering","page":"106019","source":"ScienceDirect","title":"The tolerable waiting time: A generalized Pareto distribution model with empirical investigation","title-short":"The tolerable waiting time","volume":"137","author":[{"family":"Xiong","given":"Hui"},{"family":"Ma","given":"Lu"},{"family":"Ning","given":"Mengxi"},{"family":"Zhao","given":"Xu"},{"family":"Weng","given":"Jinxian"}],"issued":{"date-parts":[["2019",11,1]]}}}],"schema":"https://github.com/citation-style-language/schema/raw/master/csl-citation.json"} </w:instrText>
      </w:r>
      <w:r w:rsidR="00401080" w:rsidRPr="006B15C8">
        <w:rPr>
          <w:color w:val="000000"/>
        </w:rPr>
        <w:fldChar w:fldCharType="separate"/>
      </w:r>
      <w:r w:rsidR="00401080" w:rsidRPr="006B15C8">
        <w:t>Xiong et al., 2019</w:t>
      </w:r>
      <w:r w:rsidR="00401080" w:rsidRPr="006B15C8">
        <w:rPr>
          <w:color w:val="000000"/>
        </w:rPr>
        <w:fldChar w:fldCharType="end"/>
      </w:r>
      <w:r w:rsidR="00123993" w:rsidRPr="006B15C8">
        <w:rPr>
          <w:color w:val="000000"/>
        </w:rPr>
        <w:t>,</w:t>
      </w:r>
      <w:r w:rsidR="00401080" w:rsidRPr="006B15C8">
        <w:t xml:space="preserve"> </w:t>
      </w:r>
      <w:r w:rsidR="00401080" w:rsidRPr="006B15C8">
        <w:fldChar w:fldCharType="begin"/>
      </w:r>
      <w:r w:rsidR="00911EF4" w:rsidRPr="006B15C8">
        <w:instrText xml:space="preserve"> ADDIN ZOTERO_ITEM CSL_CITATION {"citationID":"zqmJ06V4","properties":{"formattedCitation":"(Ma et al., 2020)","plainCitation":"(Ma et al., 2020)","dontUpdate":true,"noteIndex":0},"citationItems":[{"id":431,"uris":["http://zotero.org/groups/5885221/items/X37U6KGW"],"itemData":{"id":431,"type":"article-journal","abstract":"Pedestrians do not always comply with the crossing rules of when and/or where to cross the road at signalized intersections. This risky behavior tends to undermine greatly the effectiveness of safety countermeasures at such locations. Thus, it is very important to understand illegal behavior to develop more effective and targeting measures. In order to address the problem, this paper aimed to analyze characteristics of illegal crossings and their impact on behavior choice. Firstly, illegal crossing behaviors at signalized intersections were classified into two categories, including “crossing at a red light” and “crossing outside of a crosswalk.” Secondly, two sets of data were collected to understand the behaviors. One set of data was collected from video-based observation conducted at 3 signalized intersections in Guangzhou, China, capturing 3334 valid illegal crossing cases in total. Another set of data, from a questionnaire survey conducted online, resulted in 275 valid responses. Finally, presentational characteristics of illegal crossings at signalized intersection were analyzed and two Bayesian network-based behavior models were developed to investigate the characteristics and their impacts on the two types of illegal crossing behaviors, “crossing at a red light” and “crossing outside of a crosswalk,” respectively. Findings reveal that, (i) illegal crossings occur at various types of signalized intersections, with a higher probability for “crossing outside of a crosswalk” compared to “crossing at a red light;” (ii) Arc routing crossing has the highest probability to occur at signalized intersections compared to other types of out-side-crosswalk crossings. (iii) The location of origin and destination of a pedestrian has a significant effect on crossing outside of a crosswalk, the location of origin and destination of “one is inside of a crosswalk and another is outside of a crosswalk” has a highest proportion. These findings provide better understanding of illegal crossings and their impact factors so that the effectiveness of management and control of pedestrians at signalized intersections can be improved.","container-title":"Journal of Advanced Transportation","DOI":"10.1155/2020/2675197","ISSN":"2042-3195","issue":"1","language":"en","license":"Copyright © 2020 Yingying Ma et al.","note":"_eprint: https://onlinelibrary.wiley.com/doi/pdf/10.1155/2020/2675197","page":"2675197","source":"Wiley Online Library","title":"Analysis on Illegal Crossing Behavior of Pedestrians at Signalized Intersections Based on Bayesian Network","volume":"2020","author":[{"family":"Ma","given":"Yingying"},{"family":"Lu","given":"Siyuan"},{"family":"Zhang","given":"Yuanyuan"}],"issued":{"date-parts":[["2020"]]}}}],"schema":"https://github.com/citation-style-language/schema/raw/master/csl-citation.json"} </w:instrText>
      </w:r>
      <w:r w:rsidR="00401080" w:rsidRPr="006B15C8">
        <w:fldChar w:fldCharType="separate"/>
      </w:r>
      <w:r w:rsidR="00401080" w:rsidRPr="006B15C8">
        <w:t>Ma et al., 2020</w:t>
      </w:r>
      <w:r w:rsidR="00401080" w:rsidRPr="006B15C8">
        <w:fldChar w:fldCharType="end"/>
      </w:r>
      <w:r w:rsidR="00123993" w:rsidRPr="006B15C8">
        <w:t>,</w:t>
      </w:r>
      <w:r w:rsidR="00401080" w:rsidRPr="006B15C8">
        <w:t xml:space="preserve"> </w:t>
      </w:r>
      <w:r w:rsidR="00401080" w:rsidRPr="006B15C8">
        <w:fldChar w:fldCharType="begin"/>
      </w:r>
      <w:r w:rsidR="00911EF4" w:rsidRPr="006B15C8">
        <w:instrText xml:space="preserve"> ADDIN ZOTERO_ITEM CSL_CITATION {"citationID":"zmseV36W","properties":{"formattedCitation":"(Dhoke &amp; Choudhary, 2023)","plainCitation":"(Dhoke &amp; Choudhary, 2023)","dontUpdate":true,"noteIndex":0},"citationItems":[{"id":433,"uris":["http://zotero.org/groups/5885221/items/MK2JCPRH"],"itemData":{"id":433,"type":"article-journal","abstract":"Pedestrians are usually referred to as the most vulnerable road users because they lack sound protection against crashes. The danger of collisions for pedestrians increases at intersection crosswalks due to the non-compliance behaviour of pedestrians at such multi-directional traffic locations. To acquire a greater comprehension, it is indeed imperative to understand pedestrian behaviour at such sites. Therefore, this systematic review aims to assess the risk associated with non-compliance behaviour and the primary causes of non-compliance behaviour at intersections. The study also explored the relationship between time pressure and non-compliance road crossing behaviour. The authors searched the Web of Science, Google Scholar, Scopus, and Semantic to identify the required studies. After excluding books, review papers, non-English research, proceedings, duplicates, and irrelevant studies, 73 pieces of literature were identified for the review process. The current study enlisted all the elements that influence the non-compliance behaviour of pedestrians. Many factors, such as time of day, weather conditions, land use, etc., have a substantial effect on non-compliance but have not been sufficiently studied to establish broad conclusions. Consequently, in exploring the fundamental reasons for non-compliance behaviour, it was found that time--saving or being in a hurry is one of the strong influencers for non-compliance behaviour. Hence, these findings indicate a positive correlation between time pressure and the non-compliance behaviour of pedestrians. However, even though time pressure is a primary source of non-compliance, studies illustrating the impact of time pressure on pedestrian decision-making behaviour are extremely limited. Furthermore, because all time pressure studies have been limited to midblock crossings, it is worthwhile to assess the role of time pressure in pedestrian safety in complex intersection scenarios.","container-title":"Transportation Research Part F: Traffic Psychology and Behaviour","DOI":"10.1016/j.trf.2023.01.001","ISSN":"1369-8478","journalAbbreviation":"Transportation Research Part F: Traffic Psychology and Behaviour","page":"68-89","source":"ScienceDirect","title":"Is there a relationship between time pressure and pedestrian non-compliance? A systematic review","title-short":"Is there a relationship between time pressure and pedestrian non-compliance?","volume":"93","author":[{"family":"Dhoke","given":"Apurwa"},{"family":"Choudhary","given":"Pushpa"}],"issued":{"date-parts":[["2023",2,1]]}}}],"schema":"https://github.com/citation-style-language/schema/raw/master/csl-citation.json"} </w:instrText>
      </w:r>
      <w:r w:rsidR="00401080" w:rsidRPr="006B15C8">
        <w:fldChar w:fldCharType="separate"/>
      </w:r>
      <w:r w:rsidR="00401080" w:rsidRPr="006B15C8">
        <w:t>Dhoke and Choudhary, 2023)</w:t>
      </w:r>
      <w:r w:rsidR="00401080" w:rsidRPr="006B15C8">
        <w:fldChar w:fldCharType="end"/>
      </w:r>
      <w:r w:rsidR="00401080" w:rsidRPr="006B15C8">
        <w:t>.</w:t>
      </w:r>
      <w:r w:rsidR="00934F06" w:rsidRPr="006B15C8">
        <w:t xml:space="preserve"> </w:t>
      </w:r>
      <w:bookmarkEnd w:id="117"/>
      <w:r w:rsidR="00934F06" w:rsidRPr="006B15C8">
        <w:t>This behavior is attributed to what is known in behavioral theory as instrumental attitudes, wherein individuals justify unsafe actions based on perceived efficiency gains.</w:t>
      </w:r>
      <w:r w:rsidR="00401080" w:rsidRPr="006B15C8">
        <w:t xml:space="preserve"> </w:t>
      </w:r>
      <w:bookmarkStart w:id="118" w:name="_Hlk204601881"/>
      <w:r w:rsidR="00401080" w:rsidRPr="006B15C8">
        <w:t>However, as noted by Zh</w:t>
      </w:r>
      <w:r w:rsidR="008B321A" w:rsidRPr="006B15C8">
        <w:t>ou</w:t>
      </w:r>
      <w:r w:rsidR="00401080" w:rsidRPr="006B15C8">
        <w:t xml:space="preserve"> et al. (20</w:t>
      </w:r>
      <w:r w:rsidR="008B321A" w:rsidRPr="006B15C8">
        <w:t>16</w:t>
      </w:r>
      <w:r w:rsidR="00401080" w:rsidRPr="006B15C8">
        <w:t xml:space="preserve">), such savings are often negligible and come at a disproportionately high safety </w:t>
      </w:r>
      <w:r w:rsidR="00934F06" w:rsidRPr="006B15C8">
        <w:t xml:space="preserve">risk. </w:t>
      </w:r>
      <w:bookmarkEnd w:id="118"/>
      <w:r w:rsidR="00401080" w:rsidRPr="006B15C8">
        <w:t>Educational campaigns should therefore target this misperception, emphasizing that the short-term convenience of jaywalking rarely justifies the heightened crash risk. Public messaging, particularly during peak commute hours, should communicate the dangers of NCPC, especially in contexts with fast-moving or unpredictable traffic. These efforts may be most effective when integrated into school curricula, commuter outreach, and workplace safety training.</w:t>
      </w:r>
    </w:p>
    <w:p w14:paraId="6F0A66CF" w14:textId="75539965" w:rsidR="00401080" w:rsidRPr="006B15C8" w:rsidRDefault="00934F06" w:rsidP="004A6C6E">
      <w:pPr>
        <w:spacing w:line="271" w:lineRule="auto"/>
        <w:ind w:firstLine="720"/>
        <w:rPr>
          <w:color w:val="FF0000"/>
        </w:rPr>
      </w:pPr>
      <w:bookmarkStart w:id="119" w:name="_Hlk204515742"/>
      <w:bookmarkEnd w:id="116"/>
      <w:r w:rsidRPr="006B15C8">
        <w:t>Even greater increases in the likelihood o</w:t>
      </w:r>
      <w:r w:rsidR="00FE02BF" w:rsidRPr="006B15C8">
        <w:t>f</w:t>
      </w:r>
      <w:r w:rsidRPr="006B15C8">
        <w:t xml:space="preserve"> engaging in NCPC </w:t>
      </w:r>
      <w:r w:rsidR="00BC3D45" w:rsidRPr="006B15C8">
        <w:t>a</w:t>
      </w:r>
      <w:r w:rsidRPr="006B15C8">
        <w:t>re observed during dawn</w:t>
      </w:r>
      <w:r w:rsidR="00401080" w:rsidRPr="006B15C8">
        <w:t xml:space="preserve"> (1</w:t>
      </w:r>
      <w:r w:rsidR="00696450" w:rsidRPr="006B15C8">
        <w:t>78.1</w:t>
      </w:r>
      <w:r w:rsidR="00401080" w:rsidRPr="006B15C8">
        <w:t>%), evening (119</w:t>
      </w:r>
      <w:r w:rsidR="00696450" w:rsidRPr="006B15C8">
        <w:t>.2</w:t>
      </w:r>
      <w:r w:rsidR="00401080" w:rsidRPr="006B15C8">
        <w:t>%), and especially night hours (2</w:t>
      </w:r>
      <w:r w:rsidR="00696450" w:rsidRPr="006B15C8">
        <w:t>99.6</w:t>
      </w:r>
      <w:r w:rsidR="00401080" w:rsidRPr="006B15C8">
        <w:t xml:space="preserve">%), covering the period between 20:00 and 05:59. </w:t>
      </w:r>
      <w:r w:rsidRPr="006B15C8">
        <w:t xml:space="preserve">These findings align with Rafe et al. (2025), who attribute elevated nighttime violations to lower traffic volumes and increased anxiety in poorly lit environments. </w:t>
      </w:r>
      <w:bookmarkStart w:id="120" w:name="_Hlk204601804"/>
      <w:r w:rsidRPr="006B15C8">
        <w:t xml:space="preserve">Psychological research suggests that darkness and isolation can heighten discomfort, prompting impulsive </w:t>
      </w:r>
      <w:r w:rsidR="00222C17" w:rsidRPr="006B15C8">
        <w:t>behavior</w:t>
      </w:r>
      <w:r w:rsidR="00401080" w:rsidRPr="006B15C8">
        <w:rPr>
          <w:color w:val="000000"/>
        </w:rPr>
        <w:t xml:space="preserve"> </w:t>
      </w:r>
      <w:bookmarkStart w:id="121" w:name="_Hlk203673813"/>
      <w:bookmarkStart w:id="122" w:name="_Hlk202478420"/>
      <w:r w:rsidR="00401080" w:rsidRPr="006B15C8">
        <w:rPr>
          <w:color w:val="000000"/>
        </w:rPr>
        <w:fldChar w:fldCharType="begin"/>
      </w:r>
      <w:r w:rsidR="003F5890" w:rsidRPr="006B15C8">
        <w:rPr>
          <w:color w:val="000000"/>
        </w:rPr>
        <w:instrText xml:space="preserve"> ADDIN ZOTERO_ITEM CSL_CITATION {"citationID":"CbyyGRlA","properties":{"formattedCitation":"(Steimer, 2002)","plainCitation":"(Steimer, 2002)","dontUpdate":true,"noteIndex":0},"citationItems":[{"id":"ReAbCZ5Q/J91ASsj0","uris":["http://zotero.org/groups/5098585/items/BK6R4MW9"],"itemData":{"id":2046,"type":"article-journal","abstract":"Anxiety is a psychological, physiological, and behavioral state induced in animals and humans by a threat to well-being or survival, either actual or potential. It is characterized by increased arousal, expectancy, autonomic and neuroendocrine activation, and specific behavior patterns. The function of these changes is to facilitate coping with an adverse or unexpected situation. Pathological anxiety interferes with the ability to cope successfully with life challenges. Vulnerability to psychopathology appears to be a consequence of predisposing factors (or traits), which result from numerous gene-environment interactions during development (particularly during the perinatal period) and experience (life events), in this review, the biology of fear and anxiety will be examined from systemic (brain-behavior relationships, neuronal circuitry, and functional neuroanatomy) and cellular/molecular (neurotransmitters, hormones, and other biochemical factors) points of view, with particular reference to animal models. These models have been instrumental in establishing the biological correlates of fear and anxiety, although the recent development of noninvasive investigation methods in humans, such as the various neuroimaging techniques, certainly opens new avenues of research in this field. Our current knowledge of the biological bases of fear and anxiety is already impressive, and further progress toward models or theories integrating contributions from the medical, biological, and psychological sciences can be expected.","container-title":"Dialogues in Clinical Neuroscience","ISSN":"1294-8322","issue":"3","journalAbbreviation":"Dialogues Clin Neurosci","note":"PMID: 22033741\nPMCID: PMC3181681","page":"231-249","source":"PubMed Central","title":"The biology of fear- and anxiety-related behaviors","volume":"4","author":[{"family":"Steimer","given":"Thierry"}],"issued":{"date-parts":[["2002",9]]}}}],"schema":"https://github.com/citation-style-language/schema/raw/master/csl-citation.json"} </w:instrText>
      </w:r>
      <w:r w:rsidR="00401080" w:rsidRPr="006B15C8">
        <w:rPr>
          <w:color w:val="000000"/>
        </w:rPr>
        <w:fldChar w:fldCharType="separate"/>
      </w:r>
      <w:r w:rsidR="00401080" w:rsidRPr="006B15C8">
        <w:rPr>
          <w:color w:val="000000"/>
        </w:rPr>
        <w:t>(Steimer, 2002</w:t>
      </w:r>
      <w:r w:rsidR="00401080" w:rsidRPr="006B15C8">
        <w:rPr>
          <w:color w:val="000000"/>
        </w:rPr>
        <w:fldChar w:fldCharType="end"/>
      </w:r>
      <w:r w:rsidR="00401080" w:rsidRPr="006B15C8">
        <w:rPr>
          <w:color w:val="000000"/>
        </w:rPr>
        <w:t>,</w:t>
      </w:r>
      <w:r w:rsidR="00222C17" w:rsidRPr="006B15C8">
        <w:rPr>
          <w:color w:val="000000"/>
        </w:rPr>
        <w:t xml:space="preserve"> </w:t>
      </w:r>
      <w:r w:rsidR="00401080" w:rsidRPr="006B15C8">
        <w:rPr>
          <w:color w:val="000000"/>
        </w:rPr>
        <w:fldChar w:fldCharType="begin"/>
      </w:r>
      <w:r w:rsidR="003F5890" w:rsidRPr="006B15C8">
        <w:rPr>
          <w:color w:val="000000"/>
        </w:rPr>
        <w:instrText xml:space="preserve"> ADDIN ZOTERO_ITEM CSL_CITATION {"citationID":"1KaHOxtd","properties":{"formattedCitation":"(Hengen &amp; Alpers, 2021)","plainCitation":"(Hengen &amp; Alpers, 2021)","dontUpdate":true,"noteIndex":0},"citationItems":[{"id":"ReAbCZ5Q/dQtyfpxg","uris":["http://zotero.org/groups/5098585/items/BQVK3RCW"],"itemData":{"id":2049,"type":"article-journal","abstract":"Stress and anxiety can both influence risk-taking in decision-making. While stress typically increases risk-taking, anxiety often leads to risk-averse choices. Few studies have examined both stress and anxiety in a single paradigm to assess risk-averse choices. We therefore set out to examine emotional decision-making under stress in socially anxious participants. In our study, individuals (N = 87) high or low in social anxiety completed an expanded variation of the Balloon Analogue Risk Task (BART). While inflating a balloon to a larger degree is rewarded, a possible explosion leads to (a) a loss of money and (b) it is followed by an emotional picture (i.e., a calm vs. an angry face). To induce stress before this task, participants were told that they would have to deliver a speech. We operationalized risk-taking by the number of pumps during inflation and its functionality by the amount of monetary gain. In addition, response times were recorded as an index of decisional conflict. Without the stressor, high socially anxious compared to low socially anxious participants did not differ in any of the dependent variables. However, under stress, the low socially anxious group took more risk and earned more money, while high socially anxious individuals remained more cautious and did not change their risk-taking under social stress. Overall, high socially anxious individuals made their decisions more hesitantly compared to low socially anxious individuals. Unexpectedly, there were no main effects or interactions with the valence of the emotional faces. This data shows that stress affects socially anxious individuals differently: in low socially anxious individuals stress fosters risk-taking, whereas high socially anxious individuals did not alter their behavior and remained risk-averse. The novel eBART is a promising research tool to examine the specific factors that influence decision-making.","container-title":"Frontiers in Psychology","DOI":"10.3389/fpsyg.2021.578293","ISSN":"1664-1078","journalAbbreviation":"Front Psychol","language":"eng","note":"PMID: 33692716\nPMCID: PMC7937725","page":"578293","source":"PubMed","title":"Stress Makes the Difference: Social Stress and Social Anxiety in Decision-Making Under Uncertainty","title-short":"Stress Makes the Difference","volume":"12","author":[{"family":"Hengen","given":"Kristina M."},{"family":"Alpers","given":"Georg W."}],"issued":{"date-parts":[["2021"]]}}}],"schema":"https://github.com/citation-style-language/schema/raw/master/csl-citation.json"} </w:instrText>
      </w:r>
      <w:r w:rsidR="00401080" w:rsidRPr="006B15C8">
        <w:rPr>
          <w:color w:val="000000"/>
        </w:rPr>
        <w:fldChar w:fldCharType="separate"/>
      </w:r>
      <w:r w:rsidR="00401080" w:rsidRPr="006B15C8">
        <w:rPr>
          <w:color w:val="000000"/>
        </w:rPr>
        <w:t>Hengen and Alpers, 2021)</w:t>
      </w:r>
      <w:r w:rsidR="00401080" w:rsidRPr="006B15C8">
        <w:rPr>
          <w:color w:val="000000"/>
        </w:rPr>
        <w:fldChar w:fldCharType="end"/>
      </w:r>
      <w:bookmarkEnd w:id="120"/>
      <w:bookmarkEnd w:id="121"/>
      <w:r w:rsidR="00401080" w:rsidRPr="006B15C8">
        <w:rPr>
          <w:color w:val="000000"/>
        </w:rPr>
        <w:t>.</w:t>
      </w:r>
      <w:r w:rsidR="00401080" w:rsidRPr="006B15C8">
        <w:rPr>
          <w:b/>
          <w:bCs/>
        </w:rPr>
        <w:t xml:space="preserve"> </w:t>
      </w:r>
      <w:bookmarkEnd w:id="122"/>
      <w:r w:rsidRPr="006B15C8">
        <w:t>In such contexts, lighting plays a dual role, enhancing visibility and improving perceived safety. Infrastructure upgrades such as pedestrian-scale lamps, motion-activated lighting, and illuminated signage can reduce violations by fostering a sense of security and increasing driver alertness.</w:t>
      </w:r>
    </w:p>
    <w:bookmarkEnd w:id="119"/>
    <w:p w14:paraId="7D16FDF8" w14:textId="77777777" w:rsidR="000B0CBA" w:rsidRPr="006B15C8" w:rsidRDefault="000B0CBA" w:rsidP="004A6C6E">
      <w:pPr>
        <w:spacing w:line="271" w:lineRule="auto"/>
      </w:pPr>
    </w:p>
    <w:p w14:paraId="761A0D26" w14:textId="77777777" w:rsidR="005D0510" w:rsidRPr="006B15C8" w:rsidRDefault="005D0510" w:rsidP="004A6C6E">
      <w:pPr>
        <w:spacing w:line="271" w:lineRule="auto"/>
        <w:rPr>
          <w:i/>
          <w:iCs/>
          <w:u w:val="single"/>
        </w:rPr>
      </w:pPr>
      <w:bookmarkStart w:id="123" w:name="_Hlk204515870"/>
      <w:r w:rsidRPr="006B15C8">
        <w:rPr>
          <w:i/>
          <w:iCs/>
          <w:u w:val="single"/>
        </w:rPr>
        <w:t>Pedestrian Demographics and Time</w:t>
      </w:r>
      <w:r w:rsidR="008C222F" w:rsidRPr="006B15C8">
        <w:rPr>
          <w:i/>
          <w:iCs/>
          <w:u w:val="single"/>
        </w:rPr>
        <w:t>-</w:t>
      </w:r>
      <w:r w:rsidRPr="006B15C8">
        <w:rPr>
          <w:i/>
          <w:iCs/>
          <w:u w:val="single"/>
        </w:rPr>
        <w:t>of</w:t>
      </w:r>
      <w:r w:rsidR="008C222F" w:rsidRPr="006B15C8">
        <w:rPr>
          <w:i/>
          <w:iCs/>
          <w:u w:val="single"/>
        </w:rPr>
        <w:t>-</w:t>
      </w:r>
      <w:r w:rsidRPr="006B15C8">
        <w:rPr>
          <w:i/>
          <w:iCs/>
          <w:u w:val="single"/>
        </w:rPr>
        <w:t>Day Interaction Variables</w:t>
      </w:r>
    </w:p>
    <w:p w14:paraId="607766F6" w14:textId="1BCB9882" w:rsidR="00C26905" w:rsidRPr="006B15C8" w:rsidRDefault="00934F06" w:rsidP="004A6C6E">
      <w:pPr>
        <w:spacing w:line="271" w:lineRule="auto"/>
      </w:pPr>
      <w:bookmarkStart w:id="124" w:name="_Hlk204597072"/>
      <w:r w:rsidRPr="006B15C8">
        <w:t>B</w:t>
      </w:r>
      <w:r w:rsidR="00E94153" w:rsidRPr="006B15C8">
        <w:t xml:space="preserve">esides </w:t>
      </w:r>
      <w:r w:rsidR="005C2D15" w:rsidRPr="006B15C8">
        <w:t>main</w:t>
      </w:r>
      <w:r w:rsidR="00E94153" w:rsidRPr="006B15C8">
        <w:t xml:space="preserve"> effects, time</w:t>
      </w:r>
      <w:r w:rsidR="008C222F" w:rsidRPr="006B15C8">
        <w:t>-</w:t>
      </w:r>
      <w:r w:rsidR="00E94153" w:rsidRPr="006B15C8">
        <w:t>of</w:t>
      </w:r>
      <w:r w:rsidR="008C222F" w:rsidRPr="006B15C8">
        <w:t>-</w:t>
      </w:r>
      <w:r w:rsidR="00E94153" w:rsidRPr="006B15C8">
        <w:t>day also moderate</w:t>
      </w:r>
      <w:r w:rsidR="00D33B29" w:rsidRPr="006B15C8">
        <w:t>s</w:t>
      </w:r>
      <w:r w:rsidR="00E94153" w:rsidRPr="006B15C8">
        <w:t xml:space="preserve"> </w:t>
      </w:r>
      <w:r w:rsidR="00627909" w:rsidRPr="006B15C8">
        <w:t xml:space="preserve">the influence of gender and race on both pedestrian and driver behaviors. A significant interaction between male gender and nighttime conditions indicates that the risk-taking behavior typically associated with male pedestrians diminishes under low-light environments, likely due to heightened risk perception, reduced visibility, or situational caution. </w:t>
      </w:r>
      <w:r w:rsidR="00D33B29" w:rsidRPr="006B15C8">
        <w:t xml:space="preserve">Specifically, while </w:t>
      </w:r>
      <w:r w:rsidR="00A35E99" w:rsidRPr="006B15C8">
        <w:t xml:space="preserve">across all time periods, men </w:t>
      </w:r>
      <w:r w:rsidR="00D33B29" w:rsidRPr="006B15C8">
        <w:t>a</w:t>
      </w:r>
      <w:r w:rsidR="00627909" w:rsidRPr="006B15C8">
        <w:t xml:space="preserve">re </w:t>
      </w:r>
      <w:r w:rsidR="00C85736" w:rsidRPr="006B15C8">
        <w:t>49.0</w:t>
      </w:r>
      <w:r w:rsidR="00627909" w:rsidRPr="006B15C8">
        <w:t xml:space="preserve">% more likely than </w:t>
      </w:r>
      <w:r w:rsidR="00A35E99" w:rsidRPr="006B15C8">
        <w:t xml:space="preserve">women </w:t>
      </w:r>
      <w:r w:rsidR="00627909" w:rsidRPr="006B15C8">
        <w:t>to engage in NCP</w:t>
      </w:r>
      <w:r w:rsidR="00D33B29" w:rsidRPr="006B15C8">
        <w:t xml:space="preserve">C, </w:t>
      </w:r>
      <w:r w:rsidR="00627909" w:rsidRPr="006B15C8">
        <w:t>at nighttime (2</w:t>
      </w:r>
      <w:r w:rsidR="00A35E99" w:rsidRPr="006B15C8">
        <w:t>2</w:t>
      </w:r>
      <w:r w:rsidR="00627909" w:rsidRPr="006B15C8">
        <w:t>:00</w:t>
      </w:r>
      <w:r w:rsidR="00222C17" w:rsidRPr="006B15C8">
        <w:t>-</w:t>
      </w:r>
      <w:r w:rsidR="00627909" w:rsidRPr="006B15C8">
        <w:t xml:space="preserve">05:59), the difference </w:t>
      </w:r>
      <w:r w:rsidR="000878F6" w:rsidRPr="006B15C8">
        <w:t>disappears, with men being</w:t>
      </w:r>
      <w:r w:rsidR="00627909" w:rsidRPr="006B15C8">
        <w:t xml:space="preserve"> </w:t>
      </w:r>
      <w:r w:rsidR="000878F6" w:rsidRPr="006B15C8">
        <w:t>0.2</w:t>
      </w:r>
      <w:r w:rsidR="00627909" w:rsidRPr="006B15C8">
        <w:t>%</w:t>
      </w:r>
      <w:r w:rsidR="00C33968" w:rsidRPr="006B15C8">
        <w:t xml:space="preserve"> </w:t>
      </w:r>
      <w:r w:rsidR="00C33968" w:rsidRPr="006B15C8">
        <w:rPr>
          <w:i/>
          <w:iCs/>
        </w:rPr>
        <w:t>less</w:t>
      </w:r>
      <w:r w:rsidR="00C33968" w:rsidRPr="006B15C8">
        <w:t xml:space="preserve"> likely to engage in NCPC</w:t>
      </w:r>
      <w:r w:rsidR="005D28C2" w:rsidRPr="006B15C8">
        <w:t xml:space="preserve"> than women crossing at the same time</w:t>
      </w:r>
      <w:r w:rsidR="00627909" w:rsidRPr="006B15C8">
        <w:t xml:space="preserve">. In contrast, </w:t>
      </w:r>
      <w:r w:rsidR="00FE02BF" w:rsidRPr="006B15C8">
        <w:t xml:space="preserve">DUY </w:t>
      </w:r>
      <w:r w:rsidR="00627909" w:rsidRPr="006B15C8">
        <w:t>to male pedestrians increases substantially at night</w:t>
      </w:r>
      <w:r w:rsidR="00C85736" w:rsidRPr="006B15C8">
        <w:t xml:space="preserve"> (22:00-05:59), to 62.4</w:t>
      </w:r>
      <w:r w:rsidR="00627909" w:rsidRPr="006B15C8">
        <w:t>%</w:t>
      </w:r>
      <w:r w:rsidR="00C85736" w:rsidRPr="006B15C8">
        <w:t xml:space="preserve">, </w:t>
      </w:r>
      <w:r w:rsidR="00627909" w:rsidRPr="006B15C8">
        <w:t xml:space="preserve">suggesting that gender-related disparities in driver behavior become more pronounced when visibility is limited. </w:t>
      </w:r>
      <w:r w:rsidR="00C26905" w:rsidRPr="006B15C8">
        <w:t>This pattern may reflect the amplification of implicit gender biases under low-light conditions, where drivers may underestimate male pedestrians’ vulnerability or misinterpret their crossing intentions.</w:t>
      </w:r>
    </w:p>
    <w:p w14:paraId="5FB5C475" w14:textId="6C899B4C" w:rsidR="003E2DF4" w:rsidRPr="006B15C8" w:rsidRDefault="00627909" w:rsidP="004A6C6E">
      <w:pPr>
        <w:spacing w:line="271" w:lineRule="auto"/>
        <w:ind w:firstLine="720"/>
      </w:pPr>
      <w:bookmarkStart w:id="125" w:name="_Hlk204515993"/>
      <w:bookmarkEnd w:id="123"/>
      <w:bookmarkEnd w:id="124"/>
      <w:r w:rsidRPr="006B15C8">
        <w:t>The interaction between pedestrian skin tone and time</w:t>
      </w:r>
      <w:r w:rsidR="008C222F" w:rsidRPr="006B15C8">
        <w:t>-</w:t>
      </w:r>
      <w:r w:rsidRPr="006B15C8">
        <w:t>of</w:t>
      </w:r>
      <w:r w:rsidR="008C222F" w:rsidRPr="006B15C8">
        <w:t>-</w:t>
      </w:r>
      <w:r w:rsidRPr="006B15C8">
        <w:t>day also reveals important behavioral differences. Although NCPC behavior generally increases at night</w:t>
      </w:r>
      <w:r w:rsidR="00A35E99" w:rsidRPr="006B15C8">
        <w:t>time</w:t>
      </w:r>
      <w:r w:rsidRPr="006B15C8">
        <w:t>, the effect is less pronounced among Brown (MST 3</w:t>
      </w:r>
      <w:r w:rsidR="00C26905" w:rsidRPr="006B15C8">
        <w:t>-</w:t>
      </w:r>
      <w:r w:rsidRPr="006B15C8">
        <w:t>8) and Black (MST 9</w:t>
      </w:r>
      <w:r w:rsidR="00C26905" w:rsidRPr="006B15C8">
        <w:t>-</w:t>
      </w:r>
      <w:r w:rsidRPr="006B15C8">
        <w:t xml:space="preserve">10) pedestrians. For instance, </w:t>
      </w:r>
      <w:r w:rsidR="00D33B29" w:rsidRPr="006B15C8">
        <w:t xml:space="preserve">across all time periods, </w:t>
      </w:r>
      <w:r w:rsidRPr="006B15C8">
        <w:t>Brown pedestrians are 1</w:t>
      </w:r>
      <w:r w:rsidR="00C85736" w:rsidRPr="006B15C8">
        <w:t>5.4</w:t>
      </w:r>
      <w:r w:rsidRPr="006B15C8">
        <w:t xml:space="preserve">% less likely than </w:t>
      </w:r>
      <w:r w:rsidR="00180382" w:rsidRPr="006B15C8">
        <w:t>W</w:t>
      </w:r>
      <w:r w:rsidRPr="006B15C8">
        <w:t xml:space="preserve">hite pedestrians to engage in NCPC, and this </w:t>
      </w:r>
      <w:r w:rsidR="00D33B29" w:rsidRPr="006B15C8">
        <w:t xml:space="preserve">reduced tendency for NCPC among Brown pedestrians </w:t>
      </w:r>
      <w:r w:rsidRPr="006B15C8">
        <w:t xml:space="preserve">becomes </w:t>
      </w:r>
      <w:r w:rsidR="00D33B29" w:rsidRPr="006B15C8">
        <w:t xml:space="preserve">even </w:t>
      </w:r>
      <w:r w:rsidRPr="006B15C8">
        <w:t xml:space="preserve">more </w:t>
      </w:r>
      <w:r w:rsidRPr="006B15C8">
        <w:lastRenderedPageBreak/>
        <w:t>substantial at night</w:t>
      </w:r>
      <w:r w:rsidR="00A35E99" w:rsidRPr="006B15C8">
        <w:t>time</w:t>
      </w:r>
      <w:r w:rsidRPr="006B15C8">
        <w:t xml:space="preserve">, reaching </w:t>
      </w:r>
      <w:r w:rsidR="002C1F1D" w:rsidRPr="006B15C8">
        <w:t>52.4</w:t>
      </w:r>
      <w:r w:rsidRPr="006B15C8">
        <w:t xml:space="preserve">%. Similarly, Black pedestrians are </w:t>
      </w:r>
      <w:r w:rsidR="002C1F1D" w:rsidRPr="006B15C8">
        <w:t>43.6</w:t>
      </w:r>
      <w:r w:rsidRPr="006B15C8">
        <w:t xml:space="preserve">% more likely than </w:t>
      </w:r>
      <w:r w:rsidR="00180382" w:rsidRPr="006B15C8">
        <w:t>W</w:t>
      </w:r>
      <w:r w:rsidRPr="006B15C8">
        <w:t>hite</w:t>
      </w:r>
      <w:r w:rsidR="00D33B29" w:rsidRPr="006B15C8">
        <w:t xml:space="preserve"> pedestrians</w:t>
      </w:r>
      <w:r w:rsidRPr="006B15C8">
        <w:t xml:space="preserve"> to engage in NCPC</w:t>
      </w:r>
      <w:r w:rsidR="00C26905" w:rsidRPr="006B15C8">
        <w:t xml:space="preserve"> </w:t>
      </w:r>
      <w:r w:rsidR="00D33B29" w:rsidRPr="006B15C8">
        <w:t>across all time periods</w:t>
      </w:r>
      <w:r w:rsidRPr="006B15C8">
        <w:t xml:space="preserve">, but </w:t>
      </w:r>
      <w:r w:rsidR="002C1F1D" w:rsidRPr="006B15C8">
        <w:t>5.9</w:t>
      </w:r>
      <w:r w:rsidRPr="006B15C8">
        <w:t xml:space="preserve">% </w:t>
      </w:r>
      <w:r w:rsidR="002C1F1D" w:rsidRPr="006B15C8">
        <w:t xml:space="preserve">less </w:t>
      </w:r>
      <w:r w:rsidRPr="006B15C8">
        <w:t>likely at night</w:t>
      </w:r>
      <w:r w:rsidR="00A35E99" w:rsidRPr="006B15C8">
        <w:t>time</w:t>
      </w:r>
      <w:r w:rsidRPr="006B15C8">
        <w:t>. These patterns suggest that pedestrians of color exhibit greater caution under low-light conditions, possibly due to increased risk awareness, fear of enforcement, or heightened safety concerns.</w:t>
      </w:r>
      <w:r w:rsidR="00C26905" w:rsidRPr="006B15C8">
        <w:t xml:space="preserve"> However, despite more cautious behavior among racial minorities and no observed increase in racial disparity in driver yielding at night, Black pedestrians remain disproportionately involved in nighttime crashes </w:t>
      </w:r>
      <w:bookmarkStart w:id="126" w:name="_Hlk202478429"/>
      <w:r w:rsidR="00C26905" w:rsidRPr="006B15C8">
        <w:fldChar w:fldCharType="begin"/>
      </w:r>
      <w:r w:rsidR="00911EF4" w:rsidRPr="006B15C8">
        <w:instrText xml:space="preserve"> ADDIN ZOTERO_ITEM CSL_CITATION {"citationID":"93D1r36r","properties":{"formattedCitation":"(Sanders et al., 2022)","plainCitation":"(Sanders et al., 2022)","dontUpdate":true,"noteIndex":0},"citationItems":[{"id":55,"uris":["http://zotero.org/groups/5885221/items/RJJ4FXZ9"],"itemData":{"id":55,"type":"article-journal","abstract":"An alarming, consistent increase in U.S. pedestrian fatalities since 2009 culminated in a 28-year high of 6,283 pedestrians killed in 2018. Yet these numbers obscure a second alarming trend: 75% of pedestrian fatalities occur in darkness, and nearly 90% of the increase in pedestrian fatalities from 2009 to 2018 occurred in darkness. This paper examines data on pedestrian fatalities at the national level and pedestrian fatalities and serious injuries in California from 2012 to 2017 to better understand correlates of severe pedestrian injuries in darkness. Binary and multinomial logit models reveal that variables related to roadway design and operations (e.g., speed limits, number of lanes, roadway type, and presence of traffic control) – but not speeding – are significantly associated with the likelihood of a pedestrian fatality or serious injury occurring in darkness as compared to daylight. Critically, these factors – which were consistent for fatalities regardless of lighting presence and roadway type, with few exceptions – are all worse in darkness because they are negatively affected by a lack of visibility. Alcohol usage by drivers or pedestrians and sociodemographic characteristics were also positively associated with severe injuries in darkness. Our findings urge an explicit consideration of pedestrian safety in darkness in all future design and retrofit decisions, and particularly on higher-speed, multi-lane roadways. Immediate solutions include roadway designs and policies that slow drivers, particularly at night, and that increase illumination and driver attention, such as through additional roadway lighting, high-visibility countermeasures and protected crossings, and adaptive lighting and detection technology for vehicles.","container-title":"Transport Policy","DOI":"10.1016/j.tranpol.2022.02.010","ISSN":"0967-070X","journalAbbreviation":"Transport Policy","page":"23-39","source":"ScienceDirect","title":"Pedestrian fatalities in darkness: What do we know, and what can be done?","title-short":"Pedestrian fatalities in darkness","volume":"120","author":[{"family":"Sanders","given":"Rebecca L."},{"family":"Schneider","given":"Robert J."},{"family":"Proulx","given":"Frank R."}],"issued":{"date-parts":[["2022",5,1]]}}}],"schema":"https://github.com/citation-style-language/schema/raw/master/csl-citation.json"} </w:instrText>
      </w:r>
      <w:r w:rsidR="00C26905" w:rsidRPr="006B15C8">
        <w:fldChar w:fldCharType="separate"/>
      </w:r>
      <w:r w:rsidR="00C26905" w:rsidRPr="006B15C8">
        <w:t>(Sanders et al., 2022)</w:t>
      </w:r>
      <w:r w:rsidR="00C26905" w:rsidRPr="006B15C8">
        <w:fldChar w:fldCharType="end"/>
      </w:r>
      <w:r w:rsidR="00C26905" w:rsidRPr="006B15C8">
        <w:t xml:space="preserve">. </w:t>
      </w:r>
      <w:bookmarkEnd w:id="126"/>
      <w:r w:rsidR="00C26905" w:rsidRPr="006B15C8">
        <w:t>This suggests that other factors, such as visibility differences, driver detection biases, infrastructure quality, or unequal exposure, may contribute to the persistent safety gap and warrant further investigation.</w:t>
      </w:r>
    </w:p>
    <w:bookmarkEnd w:id="125"/>
    <w:p w14:paraId="5B3E9538" w14:textId="77777777" w:rsidR="00D078C4" w:rsidRPr="006B15C8" w:rsidRDefault="00D078C4" w:rsidP="004A6C6E">
      <w:pPr>
        <w:spacing w:line="271" w:lineRule="auto"/>
      </w:pPr>
    </w:p>
    <w:p w14:paraId="0AEF6196" w14:textId="77777777" w:rsidR="00D078C4" w:rsidRPr="006B15C8" w:rsidRDefault="00D078C4" w:rsidP="004A6C6E">
      <w:pPr>
        <w:pStyle w:val="Heading3"/>
        <w:spacing w:line="271" w:lineRule="auto"/>
      </w:pPr>
      <w:bookmarkStart w:id="127" w:name="_Hlk204516060"/>
      <w:r w:rsidRPr="006B15C8">
        <w:t>Vehicle Characteristic Variable Effects</w:t>
      </w:r>
    </w:p>
    <w:p w14:paraId="1C7F5B9C" w14:textId="77777777" w:rsidR="00D078C4" w:rsidRPr="006B15C8" w:rsidRDefault="00D078C4" w:rsidP="004A6C6E">
      <w:pPr>
        <w:spacing w:line="271" w:lineRule="auto"/>
        <w:rPr>
          <w:i/>
          <w:iCs/>
          <w:u w:val="single"/>
        </w:rPr>
      </w:pPr>
      <w:r w:rsidRPr="006B15C8">
        <w:rPr>
          <w:i/>
          <w:iCs/>
          <w:u w:val="single"/>
        </w:rPr>
        <w:t>Vehicle Type</w:t>
      </w:r>
    </w:p>
    <w:p w14:paraId="5CEA3847" w14:textId="7C138C1E" w:rsidR="00D078C4" w:rsidRPr="006B15C8" w:rsidRDefault="0092021A" w:rsidP="004A6C6E">
      <w:pPr>
        <w:spacing w:line="271" w:lineRule="auto"/>
      </w:pPr>
      <w:r w:rsidRPr="006B15C8">
        <w:t>The commercial vehicle variable exhibits a negative effect on non-yielding behavior, with a %ATE of -2</w:t>
      </w:r>
      <w:r w:rsidR="00C84436" w:rsidRPr="006B15C8">
        <w:t>0.8</w:t>
      </w:r>
      <w:r w:rsidRPr="006B15C8">
        <w:t>%. This indicates that drivers of commercial vehicles, such as box-trucks, company cars or vans, garbage trucks, and city buses, are, on average, 2</w:t>
      </w:r>
      <w:r w:rsidR="00C84436" w:rsidRPr="006B15C8">
        <w:t>0.8</w:t>
      </w:r>
      <w:r w:rsidRPr="006B15C8">
        <w:t>% less likely to fail to yield to pedestrians compared to drivers of passenger vehicles (e.g., sedans, SUVs, pickup trucks, and other motorized vehicles). To assess whether this effect varies across the driver population due to unobserved heterogeneity, such as individual differences in training quality, risk tolerance, or enforcement exposure, we estimated mixed logit specifications with random parameters for vehicle type. None of the random-parameter standard deviations were statistically significant, indicating that the vehicle-type effect is relatively homogeneous across our sample and that the fixed-effects specification adequately captures the average relationship.</w:t>
      </w:r>
      <w:r w:rsidRPr="006B15C8">
        <w:rPr>
          <w:i/>
          <w:iCs/>
        </w:rPr>
        <w:t xml:space="preserve"> </w:t>
      </w:r>
      <w:r w:rsidR="00D078C4" w:rsidRPr="006B15C8">
        <w:t>While this finding contrasts with earlier studies suggesting lower compliance among commercial drivers (e.g., Dileep et al., 2016</w:t>
      </w:r>
      <w:r w:rsidR="00123993" w:rsidRPr="006B15C8">
        <w:t>,</w:t>
      </w:r>
      <w:r w:rsidR="00D078C4" w:rsidRPr="006B15C8">
        <w:t xml:space="preserve"> Figliozzi and Tipagornwong, 2016), several plausible explanations support the current result. Commercial drivers typically undergo more rigorous training and certification, including specific instruction on pedestrian safety and right-of-way laws (Gillham et al., 2023). They are also subject to greater regulatory oversight, including the use of electronic logging devices (ELDs), GPS tracking, and frequent safety inspections, which may encourage more compliant driving behavior. Moreover, the professional and financial consequences of traffic violations, including potential job loss, insurance penalties, and company-imposed sanctions, may further incentivize adherence to the rules. Nonetheless, while commercial drivers are held to higher standards and face stricter oversight, the broader literature on driver compliance yields mixed findings. There is no definitive evidence that commercial drivers are universally more compliant with traffic laws. Compliance appears to vary by context, enforcement, and operational pressures, with some studies linking tight schedules and fatigue to reduced compliance (Chen et al., 2021). Although the current study provides empirical evidence suggesting higher yielding compliance among commercial </w:t>
      </w:r>
      <w:r w:rsidR="00CF6F73" w:rsidRPr="006B15C8">
        <w:t xml:space="preserve">vehicle </w:t>
      </w:r>
      <w:r w:rsidR="00D078C4" w:rsidRPr="006B15C8">
        <w:t xml:space="preserve">drivers, </w:t>
      </w:r>
      <w:r w:rsidR="00D078C4" w:rsidRPr="006B15C8">
        <w:rPr>
          <w:rStyle w:val="Strong"/>
          <w:b w:val="0"/>
          <w:bCs w:val="0"/>
        </w:rPr>
        <w:t>further research is needed</w:t>
      </w:r>
      <w:r w:rsidR="00D078C4" w:rsidRPr="006B15C8">
        <w:t xml:space="preserve"> to explore the consistency of this pattern across different traffic contexts, geographic settings, and vehicle subtypes.</w:t>
      </w:r>
      <w:r w:rsidR="00D078C4" w:rsidRPr="006B15C8">
        <w:tab/>
      </w:r>
      <w:bookmarkEnd w:id="127"/>
      <w:r w:rsidR="00D078C4" w:rsidRPr="006B15C8">
        <w:tab/>
      </w:r>
      <w:r w:rsidR="00D078C4" w:rsidRPr="006B15C8">
        <w:tab/>
      </w:r>
      <w:r w:rsidR="00D078C4" w:rsidRPr="006B15C8">
        <w:tab/>
      </w:r>
    </w:p>
    <w:p w14:paraId="207DD602" w14:textId="77777777" w:rsidR="00D078C4" w:rsidRPr="006B15C8" w:rsidRDefault="00D078C4" w:rsidP="004A6C6E">
      <w:pPr>
        <w:spacing w:line="271" w:lineRule="auto"/>
      </w:pPr>
    </w:p>
    <w:p w14:paraId="1687D8E1" w14:textId="5D73557F" w:rsidR="00AB0B2C" w:rsidRPr="006B15C8" w:rsidRDefault="00AB0B2C" w:rsidP="004A6C6E">
      <w:pPr>
        <w:pStyle w:val="Heading3"/>
        <w:keepNext/>
        <w:keepLines/>
        <w:spacing w:line="271" w:lineRule="auto"/>
      </w:pPr>
      <w:bookmarkStart w:id="128" w:name="_Hlk204516301"/>
      <w:r w:rsidRPr="006B15C8">
        <w:lastRenderedPageBreak/>
        <w:t xml:space="preserve">NCPC Effect on </w:t>
      </w:r>
      <w:r w:rsidR="00FE02BF" w:rsidRPr="006B15C8">
        <w:t>DUY</w:t>
      </w:r>
      <w:r w:rsidRPr="006B15C8">
        <w:t xml:space="preserve"> Behavior</w:t>
      </w:r>
    </w:p>
    <w:p w14:paraId="7497F485" w14:textId="05C55DD2" w:rsidR="00CF6F73" w:rsidRPr="006B15C8" w:rsidRDefault="00BD6C0A" w:rsidP="004A6C6E">
      <w:pPr>
        <w:keepNext/>
        <w:keepLines/>
        <w:spacing w:line="271" w:lineRule="auto"/>
      </w:pPr>
      <w:r w:rsidRPr="006B15C8">
        <w:t xml:space="preserve">The results in Table 4 align with prior findings by Bella and Nobili (2020), </w:t>
      </w:r>
      <w:r w:rsidR="00255DEC" w:rsidRPr="006B15C8">
        <w:t>and indicate</w:t>
      </w:r>
      <w:r w:rsidRPr="006B15C8">
        <w:t xml:space="preserve"> that drivers are 1</w:t>
      </w:r>
      <w:r w:rsidR="00C84436" w:rsidRPr="006B15C8">
        <w:t>64.1</w:t>
      </w:r>
      <w:r w:rsidRPr="006B15C8">
        <w:t>% more likely to fail to yield when pedestrians engage in NCPC behavior. Th</w:t>
      </w:r>
      <w:r w:rsidR="00FE02BF" w:rsidRPr="006B15C8">
        <w:t>is</w:t>
      </w:r>
      <w:r w:rsidRPr="006B15C8">
        <w:t xml:space="preserve"> </w:t>
      </w:r>
      <w:r w:rsidR="00FE02BF" w:rsidRPr="006B15C8">
        <w:t xml:space="preserve">increased DUY behavior </w:t>
      </w:r>
      <w:r w:rsidRPr="006B15C8">
        <w:t xml:space="preserve">likely stems from drivers’ diminished expectation of encountering pedestrians outside designated crossing areas or signal phases. When pedestrians cross outside marked crosswalks or during </w:t>
      </w:r>
      <w:r w:rsidR="00A3526C" w:rsidRPr="006B15C8">
        <w:t xml:space="preserve">a </w:t>
      </w:r>
      <w:r w:rsidRPr="006B15C8">
        <w:t xml:space="preserve">prohibited signal phase, drivers have less time to recognize crossing intent and react appropriately, as also </w:t>
      </w:r>
      <w:r w:rsidR="00A3526C" w:rsidRPr="006B15C8">
        <w:t xml:space="preserve">suggested </w:t>
      </w:r>
      <w:r w:rsidRPr="006B15C8">
        <w:t>by Bella and Nobili (2020). This breakdown in typical visual and behavioral cues</w:t>
      </w:r>
      <w:r w:rsidR="00FF4874" w:rsidRPr="006B15C8">
        <w:t xml:space="preserve"> </w:t>
      </w:r>
      <w:r w:rsidRPr="006B15C8">
        <w:t xml:space="preserve">appears to drive the </w:t>
      </w:r>
      <w:r w:rsidR="00FE02BF" w:rsidRPr="006B15C8">
        <w:t xml:space="preserve">higher DUY </w:t>
      </w:r>
      <w:r w:rsidRPr="006B15C8">
        <w:t>rates observed with NCPC behavior.</w:t>
      </w:r>
      <w:r w:rsidR="00CF6F73" w:rsidRPr="006B15C8">
        <w:t xml:space="preserve"> Of course, it is also possible that drivers view non-compliant crossings as illegal and therefore deliberately and willfully choose not to yield to NCPC pedestrians, even though Texas traffic law still obligates motorists to exercise due care to avoid colliding with pedestrians, notwithstanding any other provision (Section 552.008).</w:t>
      </w:r>
    </w:p>
    <w:p w14:paraId="048C88C8" w14:textId="2759AA58" w:rsidR="004E754C" w:rsidRPr="006B15C8" w:rsidRDefault="004E754C" w:rsidP="004A6C6E">
      <w:pPr>
        <w:spacing w:line="271" w:lineRule="auto"/>
        <w:ind w:firstLine="720"/>
      </w:pPr>
      <w:r w:rsidRPr="006B15C8">
        <w:t>Notably, the relationship between NCPC and</w:t>
      </w:r>
      <w:r w:rsidR="00FE02BF" w:rsidRPr="006B15C8">
        <w:t xml:space="preserve"> DUY </w:t>
      </w:r>
      <w:r w:rsidRPr="006B15C8">
        <w:t>is the strongest among all variables in the model, underscoring the seriousness of this safety issue. Transportation planners and relevant agencies must prioritize systematic data collection on NCPC behavior to identify locations where additional infrastructure may be needed. In areas where NCPC behavior is frequent, formalizing common desire</w:t>
      </w:r>
      <w:r w:rsidR="00FE02BF" w:rsidRPr="006B15C8">
        <w:t>d</w:t>
      </w:r>
      <w:r w:rsidRPr="006B15C8">
        <w:t xml:space="preserve"> </w:t>
      </w:r>
      <w:r w:rsidR="00FE02BF" w:rsidRPr="006B15C8">
        <w:t xml:space="preserve">crossing </w:t>
      </w:r>
      <w:r w:rsidRPr="006B15C8">
        <w:t xml:space="preserve">paths or installing new crossings, even in unconventional locations, should be considered. Emerging tools such as video analytics, trajectory tracking, and pedestrian heat maps can help pinpoint areas where NCPC is prevalent and assess whether current infrastructure </w:t>
      </w:r>
      <w:r w:rsidR="00FE02BF" w:rsidRPr="006B15C8">
        <w:t>and/</w:t>
      </w:r>
      <w:r w:rsidRPr="006B15C8">
        <w:t>or signal timing unintentionally contribute to non-compliance. In parallel, both drivers and pedestrians should be made more aware of the safety implications of NCPC behavior. Driver education campaigns should emphasize the unpredictability of pedestrian actions and the importance of yielding regardless of pedestrian compliance. At the same time, pedestrian outreach efforts should highlight the increased risks associated with NCPC behavior and promote safer, designated crossing practices.</w:t>
      </w:r>
    </w:p>
    <w:bookmarkEnd w:id="128"/>
    <w:p w14:paraId="1E681AE1" w14:textId="77777777" w:rsidR="004E754C" w:rsidRPr="006B15C8" w:rsidRDefault="004E754C" w:rsidP="004A6C6E">
      <w:pPr>
        <w:spacing w:line="271" w:lineRule="auto"/>
      </w:pPr>
    </w:p>
    <w:p w14:paraId="1ADBE263" w14:textId="77777777" w:rsidR="00F63767" w:rsidRPr="006B15C8" w:rsidRDefault="00F63767" w:rsidP="004A6C6E">
      <w:pPr>
        <w:pStyle w:val="Heading3"/>
        <w:spacing w:line="271" w:lineRule="auto"/>
      </w:pPr>
      <w:bookmarkStart w:id="129" w:name="_Hlk204516398"/>
      <w:r w:rsidRPr="006B15C8">
        <w:t>Constants</w:t>
      </w:r>
      <w:r w:rsidR="00624FC3" w:rsidRPr="006B15C8">
        <w:t xml:space="preserve"> and Goodness-of-Fit</w:t>
      </w:r>
    </w:p>
    <w:p w14:paraId="0088AFBC" w14:textId="7639D9A1" w:rsidR="00AF2640" w:rsidRPr="006B15C8" w:rsidRDefault="00AF2640" w:rsidP="004A6C6E">
      <w:pPr>
        <w:spacing w:line="271" w:lineRule="auto"/>
      </w:pPr>
      <w:r w:rsidRPr="006B15C8">
        <w:t xml:space="preserve">The constant terms in both models represent the </w:t>
      </w:r>
      <w:r w:rsidR="00561123" w:rsidRPr="006B15C8">
        <w:t xml:space="preserve">overall effects for the base demographic group as determined by the combination of the base categories across all exogenous variables (this is so because all exogenous variables in both the binary models are in discrete categories). </w:t>
      </w:r>
      <w:r w:rsidRPr="006B15C8">
        <w:t>In the NCPC model, the reference scenario corresponds to a female pedestrian who is a minor or young adult, has a skin tone classified as MST 1-2, shows no VHI, is walking alone during noon or afternoon hours, and is not in proximity to any vehicles. In the non-yielding model, the reference pedestrian has the same characteristics but is walking</w:t>
      </w:r>
      <w:r w:rsidR="00561123" w:rsidRPr="006B15C8">
        <w:t>/running</w:t>
      </w:r>
      <w:r w:rsidRPr="006B15C8">
        <w:t xml:space="preserve"> during </w:t>
      </w:r>
      <w:r w:rsidR="00561123" w:rsidRPr="006B15C8">
        <w:t xml:space="preserve">any time period other than morning </w:t>
      </w:r>
      <w:r w:rsidR="00A3526C" w:rsidRPr="006B15C8">
        <w:t>hours (06:00-11:59), and is</w:t>
      </w:r>
      <w:r w:rsidR="00337877" w:rsidRPr="006B15C8">
        <w:t xml:space="preserve"> interacting with a non-commercial vehicle.</w:t>
      </w:r>
      <w:r w:rsidR="0015420A" w:rsidRPr="006B15C8">
        <w:t xml:space="preserve"> </w:t>
      </w:r>
      <w:r w:rsidR="00561123" w:rsidRPr="006B15C8">
        <w:t xml:space="preserve">The constant coefficients </w:t>
      </w:r>
      <w:r w:rsidR="0015420A" w:rsidRPr="006B15C8">
        <w:t xml:space="preserve">correspond to predicted probabilities of 4.4% </w:t>
      </w:r>
      <w:r w:rsidR="00561123" w:rsidRPr="006B15C8">
        <w:t xml:space="preserve">NCPC </w:t>
      </w:r>
      <w:r w:rsidR="0015420A" w:rsidRPr="006B15C8">
        <w:t>and 8.</w:t>
      </w:r>
      <w:r w:rsidR="00C84436" w:rsidRPr="006B15C8">
        <w:t>8</w:t>
      </w:r>
      <w:r w:rsidR="0015420A" w:rsidRPr="006B15C8">
        <w:t>%</w:t>
      </w:r>
      <w:r w:rsidR="00561123" w:rsidRPr="006B15C8">
        <w:t xml:space="preserve"> </w:t>
      </w:r>
      <w:r w:rsidR="00FE02BF" w:rsidRPr="006B15C8">
        <w:t xml:space="preserve">DUY </w:t>
      </w:r>
      <w:r w:rsidR="00561123" w:rsidRPr="006B15C8">
        <w:t>for these base demographic groups.</w:t>
      </w:r>
      <w:r w:rsidR="0015420A" w:rsidRPr="006B15C8">
        <w:t xml:space="preserve"> </w:t>
      </w:r>
    </w:p>
    <w:p w14:paraId="16CA6284" w14:textId="77777777" w:rsidR="001114DB" w:rsidRPr="006B15C8" w:rsidRDefault="003A5F19" w:rsidP="004A6C6E">
      <w:pPr>
        <w:spacing w:line="271" w:lineRule="auto"/>
        <w:ind w:firstLine="720"/>
      </w:pPr>
      <w:r w:rsidRPr="006B15C8">
        <w:t xml:space="preserve">The goodness-of-fit statistics, presented at the bottom of Table </w:t>
      </w:r>
      <w:r w:rsidR="00EF3DCF" w:rsidRPr="006B15C8">
        <w:t>4</w:t>
      </w:r>
      <w:r w:rsidRPr="006B15C8">
        <w:t xml:space="preserve">, indicate that both the NCPC and </w:t>
      </w:r>
      <w:r w:rsidR="000E777A" w:rsidRPr="006B15C8">
        <w:t>non-</w:t>
      </w:r>
      <w:r w:rsidRPr="006B15C8">
        <w:t xml:space="preserve">yielding models provide a substantial and statistically significant improvement in explanatory power compared to their respective null models (i.e., models </w:t>
      </w:r>
      <w:r w:rsidR="00561123" w:rsidRPr="006B15C8">
        <w:t>corresponding to predictions of equal shares and sample shares for the dependent outcomes</w:t>
      </w:r>
      <w:r w:rsidRPr="006B15C8">
        <w:t xml:space="preserve">). The nested likelihood </w:t>
      </w:r>
      <w:r w:rsidRPr="006B15C8">
        <w:lastRenderedPageBreak/>
        <w:t xml:space="preserve">ratio (LR) test </w:t>
      </w:r>
      <w:r w:rsidR="00561123" w:rsidRPr="006B15C8">
        <w:t xml:space="preserve">with respect to the constants-only (that is, sample shares) model </w:t>
      </w:r>
      <w:r w:rsidRPr="006B15C8">
        <w:t xml:space="preserve">confirms that the inclusion of explanatory variables significantly enhances model fit, with test statistics exceeding the critical Chi-squared values at the 99.99999% confidence level. This provides strong statistical evidence that the included predictors are meaningfully associated with the outcome variables, and that the observed improvement in fit is unlikely due to random chance. </w:t>
      </w:r>
    </w:p>
    <w:p w14:paraId="68D2D005" w14:textId="4EB36DAC" w:rsidR="006119D4" w:rsidRPr="006B15C8" w:rsidRDefault="006119D4" w:rsidP="004A6C6E">
      <w:pPr>
        <w:spacing w:line="271" w:lineRule="auto"/>
        <w:ind w:firstLine="360"/>
      </w:pPr>
      <w:r w:rsidRPr="006B15C8">
        <w:t>Although the sample exhibits class imbalance, this does not bias the estimated parameters in a binary logit/probit maximum likelihood framework. The imbalance is absorbed in the alternative-specific constant, and the effects of covariates remain consistently estimated (</w:t>
      </w:r>
      <w:r w:rsidR="00123993" w:rsidRPr="006B15C8">
        <w:t xml:space="preserve">Train, 2009, </w:t>
      </w:r>
      <w:r w:rsidRPr="006B15C8">
        <w:t>Greene, 2018</w:t>
      </w:r>
      <w:r w:rsidR="00334F2E" w:rsidRPr="006B15C8">
        <w:t>a</w:t>
      </w:r>
      <w:r w:rsidR="00123993" w:rsidRPr="006B15C8">
        <w:t>,</w:t>
      </w:r>
      <w:r w:rsidR="00334F2E" w:rsidRPr="006B15C8">
        <w:t xml:space="preserve"> Greene, 2018b</w:t>
      </w:r>
      <w:r w:rsidRPr="006B15C8">
        <w:t>). Class imbalance is problematic mainly for machine-learning classifiers that optimize deterministic classifications rather than the likelihood function. Since our goal is behavioral inference, class imbalance does not threaten the validity of our results.</w:t>
      </w:r>
      <w:bookmarkEnd w:id="129"/>
    </w:p>
    <w:p w14:paraId="578252BA" w14:textId="77777777" w:rsidR="006119D4" w:rsidRPr="006B15C8" w:rsidRDefault="006119D4" w:rsidP="004A6C6E">
      <w:pPr>
        <w:spacing w:line="271" w:lineRule="auto"/>
        <w:ind w:firstLine="360"/>
      </w:pPr>
    </w:p>
    <w:p w14:paraId="090769A8" w14:textId="77777777" w:rsidR="00353C52" w:rsidRPr="006B15C8" w:rsidRDefault="00A94A0E" w:rsidP="004A6C6E">
      <w:pPr>
        <w:pStyle w:val="Heading1"/>
        <w:keepNext/>
        <w:keepLines/>
        <w:spacing w:line="271" w:lineRule="auto"/>
        <w:ind w:left="360"/>
        <w:rPr>
          <w:caps/>
        </w:rPr>
      </w:pPr>
      <w:bookmarkStart w:id="130" w:name="_svizjq1scm34" w:colFirst="0" w:colLast="0"/>
      <w:bookmarkEnd w:id="130"/>
      <w:r w:rsidRPr="006B15C8">
        <w:rPr>
          <w:caps/>
        </w:rPr>
        <w:t>Conclusion</w:t>
      </w:r>
      <w:r w:rsidR="00472A8A" w:rsidRPr="006B15C8">
        <w:rPr>
          <w:caps/>
        </w:rPr>
        <w:t xml:space="preserve">s and Future </w:t>
      </w:r>
      <w:r w:rsidR="00AC3628" w:rsidRPr="006B15C8">
        <w:rPr>
          <w:caps/>
        </w:rPr>
        <w:t>Directions</w:t>
      </w:r>
    </w:p>
    <w:p w14:paraId="7C6D0B6C" w14:textId="72D82C2B" w:rsidR="00E34854" w:rsidRPr="006B15C8" w:rsidRDefault="0009761A" w:rsidP="004A6C6E">
      <w:pPr>
        <w:keepNext/>
        <w:keepLines/>
        <w:spacing w:line="271" w:lineRule="auto"/>
        <w:rPr>
          <w:color w:val="000000"/>
        </w:rPr>
      </w:pPr>
      <w:bookmarkStart w:id="131" w:name="_Hlk204516505"/>
      <w:r w:rsidRPr="006B15C8">
        <w:t>This study advances</w:t>
      </w:r>
      <w:r w:rsidR="00FE2763" w:rsidRPr="006B15C8">
        <w:t xml:space="preserve"> our</w:t>
      </w:r>
      <w:r w:rsidRPr="006B15C8">
        <w:t xml:space="preserve"> understanding of pedestrian safety disparities by examining how sociodemographic, </w:t>
      </w:r>
      <w:r w:rsidR="00D03BC5" w:rsidRPr="006B15C8">
        <w:t xml:space="preserve">activity, </w:t>
      </w:r>
      <w:r w:rsidRPr="006B15C8">
        <w:t>contextual</w:t>
      </w:r>
      <w:r w:rsidR="00FE2763" w:rsidRPr="006B15C8">
        <w:t xml:space="preserve">, and </w:t>
      </w:r>
      <w:r w:rsidR="000E6B90" w:rsidRPr="006B15C8">
        <w:t>time</w:t>
      </w:r>
      <w:r w:rsidR="008C222F" w:rsidRPr="006B15C8">
        <w:t>-</w:t>
      </w:r>
      <w:r w:rsidR="000E6B90" w:rsidRPr="006B15C8">
        <w:t>of</w:t>
      </w:r>
      <w:r w:rsidR="008C222F" w:rsidRPr="006B15C8">
        <w:t>-</w:t>
      </w:r>
      <w:r w:rsidR="000E6B90" w:rsidRPr="006B15C8">
        <w:t xml:space="preserve">day/weather </w:t>
      </w:r>
      <w:r w:rsidRPr="006B15C8">
        <w:t xml:space="preserve">factors influence pedestrian crossing compliance and driver yielding behavior in real-world settings. Through systematic analysis of </w:t>
      </w:r>
      <w:r w:rsidR="000E6B90" w:rsidRPr="006B15C8">
        <w:t>over</w:t>
      </w:r>
      <w:r w:rsidRPr="006B15C8">
        <w:t xml:space="preserve"> </w:t>
      </w:r>
      <w:r w:rsidR="000E6B90" w:rsidRPr="006B15C8">
        <w:t>1</w:t>
      </w:r>
      <w:r w:rsidR="00CF6F73" w:rsidRPr="006B15C8">
        <w:t>7,</w:t>
      </w:r>
      <w:r w:rsidR="00C84436" w:rsidRPr="006B15C8">
        <w:t>374</w:t>
      </w:r>
      <w:r w:rsidR="00CF6F73" w:rsidRPr="006B15C8">
        <w:t xml:space="preserve"> </w:t>
      </w:r>
      <w:r w:rsidRPr="006B15C8">
        <w:t xml:space="preserve">pedestrian crossings and </w:t>
      </w:r>
      <w:r w:rsidR="000E6B90" w:rsidRPr="006B15C8">
        <w:t>2</w:t>
      </w:r>
      <w:r w:rsidRPr="006B15C8">
        <w:t>,</w:t>
      </w:r>
      <w:r w:rsidR="00C84436" w:rsidRPr="006B15C8">
        <w:t>890</w:t>
      </w:r>
      <w:r w:rsidRPr="006B15C8">
        <w:t xml:space="preserve"> pedestrian-vehicle interactions, our findings reveal complex patterns of risk that extend beyond individual behavioral choices to reflect broader structural and social dynamics. Non-compliant pedestrian crossings</w:t>
      </w:r>
      <w:r w:rsidR="005554F6" w:rsidRPr="006B15C8">
        <w:t xml:space="preserve"> (NCPC)</w:t>
      </w:r>
      <w:r w:rsidRPr="006B15C8">
        <w:t xml:space="preserve"> emerged as most prevalent during low-visibility periods (night, dawn, and evening), among individuals with visible housing insecurity indicators</w:t>
      </w:r>
      <w:r w:rsidR="005554F6" w:rsidRPr="006B15C8">
        <w:t xml:space="preserve"> (VHI)</w:t>
      </w:r>
      <w:r w:rsidRPr="006B15C8">
        <w:t xml:space="preserve">, male pedestrians, runners, and Black pedestrians. Conversely, group crossings and active vehicle interactions demonstrated protective effects. </w:t>
      </w:r>
      <w:r w:rsidR="00BC6B2E" w:rsidRPr="006B15C8">
        <w:t xml:space="preserve">Driver yielding patterns revealed concerning disparities, with the lowest </w:t>
      </w:r>
      <w:r w:rsidR="005D7D7C" w:rsidRPr="006B15C8">
        <w:t xml:space="preserve">yielding </w:t>
      </w:r>
      <w:r w:rsidR="00BC6B2E" w:rsidRPr="006B15C8">
        <w:t xml:space="preserve">compliance observed toward </w:t>
      </w:r>
      <w:r w:rsidR="005D7D7C" w:rsidRPr="006B15C8">
        <w:t>those engaging in NCPC</w:t>
      </w:r>
      <w:r w:rsidR="00BC6B2E" w:rsidRPr="006B15C8">
        <w:t xml:space="preserve">, individuals exhibiting VHI, older adults, males during nighttime hours, morning crossings, pedestrians encountered by drivers of non-commercial vehicles, Black or Brown pedestrians, and individuals crossing alone. </w:t>
      </w:r>
      <w:r w:rsidR="005554F6" w:rsidRPr="006B15C8">
        <w:t>The observed trends</w:t>
      </w:r>
      <w:r w:rsidR="00D03BC5" w:rsidRPr="006B15C8">
        <w:t>, specifically the convergence of reduced driver yielding and increased NCPC among certain demographic groups,</w:t>
      </w:r>
      <w:r w:rsidR="00D76544" w:rsidRPr="006B15C8">
        <w:t xml:space="preserve"> </w:t>
      </w:r>
      <w:r w:rsidR="00D03BC5" w:rsidRPr="006B15C8">
        <w:t xml:space="preserve">suggest </w:t>
      </w:r>
      <w:r w:rsidR="00D76544" w:rsidRPr="006B15C8">
        <w:t xml:space="preserve">that disparities in pedestrian safety are shaped by </w:t>
      </w:r>
      <w:r w:rsidR="00CB75C5" w:rsidRPr="006B15C8">
        <w:t xml:space="preserve">a combination of individual behaviors and </w:t>
      </w:r>
      <w:r w:rsidR="00D76544" w:rsidRPr="006B15C8">
        <w:t xml:space="preserve">broader systemic forces, including structural disadvantage, unequal exposure, and context-specific risks. As such, there is a need to shift away from framing pedestrian risk in terms of individual blame and toward developing comprehensive solutions that recognize and respond to the full context of pedestrian vulnerability. Effective pedestrian safety </w:t>
      </w:r>
      <w:r w:rsidR="00D76544" w:rsidRPr="006B15C8">
        <w:rPr>
          <w:color w:val="000000"/>
        </w:rPr>
        <w:t xml:space="preserve">strategies must reflect the lived realities of marginalized groups, adapt to shifting risk profiles </w:t>
      </w:r>
      <w:r w:rsidRPr="006B15C8">
        <w:rPr>
          <w:color w:val="000000"/>
        </w:rPr>
        <w:t>over time and across different contexts</w:t>
      </w:r>
      <w:r w:rsidR="00D76544" w:rsidRPr="006B15C8">
        <w:rPr>
          <w:color w:val="000000"/>
        </w:rPr>
        <w:t>, and actively confront the systemic biases embedded in both infrastructure and enforcement practices.</w:t>
      </w:r>
    </w:p>
    <w:p w14:paraId="7E5C33AE" w14:textId="6A236F8B" w:rsidR="000B0CBA" w:rsidRPr="006B15C8" w:rsidRDefault="00BD2CDD" w:rsidP="004A6C6E">
      <w:pPr>
        <w:spacing w:line="271" w:lineRule="auto"/>
        <w:ind w:firstLine="720"/>
        <w:rPr>
          <w:color w:val="000000"/>
        </w:rPr>
      </w:pPr>
      <w:r w:rsidRPr="006B15C8">
        <w:rPr>
          <w:color w:val="000000"/>
        </w:rPr>
        <w:t>In this context</w:t>
      </w:r>
      <w:r w:rsidR="000B0CBA" w:rsidRPr="006B15C8">
        <w:rPr>
          <w:color w:val="000000"/>
        </w:rPr>
        <w:t xml:space="preserve">, it is </w:t>
      </w:r>
      <w:r w:rsidRPr="006B15C8">
        <w:rPr>
          <w:color w:val="000000"/>
        </w:rPr>
        <w:t xml:space="preserve">also </w:t>
      </w:r>
      <w:r w:rsidR="000B0CBA" w:rsidRPr="006B15C8">
        <w:rPr>
          <w:color w:val="000000"/>
        </w:rPr>
        <w:t xml:space="preserve">widely recognized that behaviors such as jaywalking are persistent and unlikely to be entirely eliminated </w:t>
      </w:r>
      <w:bookmarkStart w:id="132" w:name="_Hlk203675213"/>
      <w:bookmarkStart w:id="133" w:name="_Hlk202478441"/>
      <w:r w:rsidR="000B0CBA" w:rsidRPr="006B15C8">
        <w:rPr>
          <w:color w:val="000000"/>
        </w:rPr>
        <w:fldChar w:fldCharType="begin"/>
      </w:r>
      <w:r w:rsidR="00911EF4" w:rsidRPr="006B15C8">
        <w:rPr>
          <w:color w:val="000000"/>
        </w:rPr>
        <w:instrText xml:space="preserve"> ADDIN ZOTERO_ITEM CSL_CITATION {"citationID":"bIG2qUza","properties":{"formattedCitation":"(Fitzsimmons, 2024)","plainCitation":"(Fitzsimmons, 2024)","dontUpdate":true,"noteIndex":0},"citationItems":[{"id":17,"uris":["http://zotero.org/groups/5885221/items/7D2RGFCV"],"itemData":{"id":17,"type":"article-newspaper","abstract":"New Yorkers can cross the street wherever they please without fear of a summons. Some fear the new law could lead to more pedestrian deaths.","container-title":"The New York Times","ISSN":"0362-4331","language":"en-US","section":"New York","source":"NYTimes.com","title":"Jaywalking Is a New York Tradition. Now It’s Legal, Too.","URL":"https://www.nytimes.com/2024/10/29/nyregion/jaywalking-legal-law-nyc.html","author":[{"family":"Fitzsimmons","given":"Emma G."}],"accessed":{"date-parts":[["2025",2,24]]},"issued":{"date-parts":[["2024",10,29]]}}}],"schema":"https://github.com/citation-style-language/schema/raw/master/csl-citation.json"} </w:instrText>
      </w:r>
      <w:r w:rsidR="000B0CBA" w:rsidRPr="006B15C8">
        <w:rPr>
          <w:color w:val="000000"/>
        </w:rPr>
        <w:fldChar w:fldCharType="separate"/>
      </w:r>
      <w:r w:rsidR="000B0CBA" w:rsidRPr="006B15C8">
        <w:rPr>
          <w:color w:val="000000"/>
        </w:rPr>
        <w:t>(Fitzsimmons, 2024,</w:t>
      </w:r>
      <w:r w:rsidR="000B0CBA" w:rsidRPr="006B15C8">
        <w:rPr>
          <w:color w:val="000000"/>
        </w:rPr>
        <w:fldChar w:fldCharType="end"/>
      </w:r>
      <w:r w:rsidR="000B0CBA" w:rsidRPr="006B15C8">
        <w:rPr>
          <w:color w:val="000000"/>
        </w:rPr>
        <w:t xml:space="preserve"> </w:t>
      </w:r>
      <w:r w:rsidR="000B0CBA" w:rsidRPr="006B15C8">
        <w:rPr>
          <w:color w:val="000000"/>
        </w:rPr>
        <w:fldChar w:fldCharType="begin"/>
      </w:r>
      <w:r w:rsidR="00911EF4" w:rsidRPr="006B15C8">
        <w:rPr>
          <w:color w:val="000000"/>
        </w:rPr>
        <w:instrText xml:space="preserve"> ADDIN ZOTERO_ITEM CSL_CITATION {"citationID":"PpbV279N","properties":{"formattedCitation":"(Raoniar et al., 2024)","plainCitation":"(Raoniar et al., 2024)","dontUpdate":true,"noteIndex":0},"citationItems":[{"id":327,"uris":["http://zotero.org/groups/5885221/items/2MV2X6Y3"],"itemData":{"id":327,"type":"article-journal","abstract":"Increased pedestrian–vehicle interactions, especially at signalized intersection crosswalks, have resulted in more pedestrian fatalities, and this situation worsens under heterogeneous traffic conditions. Therefore, evaluating pedestrian road-crossing safety is crucial, especially at signalized intersection crosswalks. This article aims to study pedestrian crossing safety at signalized intersection crosswalks based on the safety margin. Video graphic data were collected from eight signalized intersections. Data were extracted, and significant variables influencing the pedestrian safety margin (PSM) were identified. A random-intercept multiple linear regression model for predicting the PSM was estimated. Data included site, demographic, behavioral, exposure, the state of the crossing (distraction), glance, and traffic characteristics as variables. The model results revealed that pedestrians used the largest safety margin against heavy vehicles while crossing in a group. Pedestrians’ crossing speed has a significant influence on the PSM. It was also found that pedestrians showed the highest level of caution (used the largest safety margin) against right-turning vehicles compared with through vehicles. The glance variable estimates revealed that the “during-crossing glance” is an important determinant of the PSM, while the “before-crossing glance” is insignificant. In addition, unsafe pedestrian crossing behavior concerning distractors highlighted that the use of headphones significantly influences the PSM. The results of the current PSM model could aid in the efficient design of future pedestrian infrastructure and suggest appropriate remedial measures for existing intersection crosswalks to enhance pedestrian safety.","container-title":"Transportation Research Record","DOI":"10.1177/03611981241289412","ISSN":"0361-1981","language":"EN","note":"publisher: SAGE Publications Inc","page":"03611981241289412","source":"SAGE Journals","title":"Analysis of Pedestrian–Vehicle Interaction Dynamics at Signalized Urban Intersections: A Surrogate Safety Measure Approach","title-short":"Analysis of Pedestrian–Vehicle Interaction Dynamics at Signalized Urban Intersections","author":[{"family":"Raoniar","given":"Rahul"},{"family":"Singh","given":"Shruti"},{"family":"Pathak","given":"Abhinay"},{"family":"Maurya","given":"Akhilesh Kumar"}],"issued":{"date-parts":[["2024",12,16]]}}}],"schema":"https://github.com/citation-style-language/schema/raw/master/csl-citation.json"} </w:instrText>
      </w:r>
      <w:r w:rsidR="000B0CBA" w:rsidRPr="006B15C8">
        <w:rPr>
          <w:color w:val="000000"/>
        </w:rPr>
        <w:fldChar w:fldCharType="separate"/>
      </w:r>
      <w:r w:rsidR="000B0CBA" w:rsidRPr="006B15C8">
        <w:rPr>
          <w:color w:val="000000"/>
        </w:rPr>
        <w:t>Raoniar et al., 2024)</w:t>
      </w:r>
      <w:r w:rsidR="000B0CBA" w:rsidRPr="006B15C8">
        <w:rPr>
          <w:color w:val="000000"/>
        </w:rPr>
        <w:fldChar w:fldCharType="end"/>
      </w:r>
      <w:r w:rsidR="000B0CBA" w:rsidRPr="006B15C8">
        <w:rPr>
          <w:color w:val="000000"/>
        </w:rPr>
        <w:t xml:space="preserve">. </w:t>
      </w:r>
      <w:bookmarkEnd w:id="132"/>
      <w:r w:rsidR="000B0CBA" w:rsidRPr="006B15C8">
        <w:rPr>
          <w:color w:val="000000"/>
        </w:rPr>
        <w:t xml:space="preserve">Expecting </w:t>
      </w:r>
      <w:bookmarkEnd w:id="133"/>
      <w:r w:rsidR="000B0CBA" w:rsidRPr="006B15C8">
        <w:rPr>
          <w:color w:val="000000"/>
        </w:rPr>
        <w:t>full compliance with traffic rules is unrealistic,</w:t>
      </w:r>
      <w:r w:rsidR="005554F6" w:rsidRPr="006B15C8">
        <w:rPr>
          <w:color w:val="000000"/>
        </w:rPr>
        <w:t xml:space="preserve"> especially for those navigating exclusionary or unsafe environments. </w:t>
      </w:r>
      <w:r w:rsidRPr="006B15C8">
        <w:rPr>
          <w:color w:val="000000"/>
        </w:rPr>
        <w:t>This</w:t>
      </w:r>
      <w:r w:rsidR="005554F6" w:rsidRPr="006B15C8">
        <w:rPr>
          <w:color w:val="000000"/>
        </w:rPr>
        <w:t xml:space="preserve"> reinforce</w:t>
      </w:r>
      <w:r w:rsidRPr="006B15C8">
        <w:rPr>
          <w:color w:val="000000"/>
        </w:rPr>
        <w:t>s</w:t>
      </w:r>
      <w:r w:rsidR="005554F6" w:rsidRPr="006B15C8">
        <w:rPr>
          <w:color w:val="000000"/>
        </w:rPr>
        <w:t xml:space="preserve"> the need for infrastructure that is</w:t>
      </w:r>
      <w:r w:rsidR="000B0CBA" w:rsidRPr="006B15C8">
        <w:rPr>
          <w:color w:val="000000"/>
        </w:rPr>
        <w:t xml:space="preserve"> inherently forgiving of human error. Rather than relying solely on enforcement, the focus should be on minimizing the consequences of unsafe actions through safer street design, such as reduced vehicle speeds, clearer </w:t>
      </w:r>
      <w:r w:rsidR="000B0CBA" w:rsidRPr="006B15C8">
        <w:rPr>
          <w:color w:val="000000"/>
        </w:rPr>
        <w:lastRenderedPageBreak/>
        <w:t>crossings, and protected pedestrian spaces, while also ensuring that both drivers and pedestrians are educated about the risks and consequences of their behaviors.</w:t>
      </w:r>
    </w:p>
    <w:p w14:paraId="6245A927" w14:textId="5A4B3FA4" w:rsidR="00BB60D1" w:rsidRPr="006B15C8" w:rsidRDefault="00BB60D1" w:rsidP="004A6C6E">
      <w:pPr>
        <w:spacing w:line="271" w:lineRule="auto"/>
        <w:ind w:firstLine="720"/>
      </w:pPr>
      <w:r w:rsidRPr="006B15C8">
        <w:rPr>
          <w:color w:val="222222"/>
          <w:highlight w:val="white"/>
        </w:rPr>
        <w:t>This study combines long-duration, naturalistic data collection with rigorous variable coding to assemble a large database of over 17,000 pedestrian crossings and over 2,800 pedestrian-vehicle interactions. This scale enabled us to observe a reasonable number of NCPC and D</w:t>
      </w:r>
      <w:r w:rsidR="00FE02BF" w:rsidRPr="006B15C8">
        <w:rPr>
          <w:color w:val="222222"/>
          <w:highlight w:val="white"/>
        </w:rPr>
        <w:t>U</w:t>
      </w:r>
      <w:r w:rsidRPr="006B15C8">
        <w:rPr>
          <w:color w:val="222222"/>
          <w:highlight w:val="white"/>
        </w:rPr>
        <w:t xml:space="preserve">Y events to quantify the effects of individual characteristics (including pedestrian race, perceived housing insecurity, and walking versus running), social context (solo versus group crossings), environmental conditions (darkness and weather), as well as interactions among these factors. </w:t>
      </w:r>
      <w:r w:rsidRPr="006B15C8">
        <w:t>A further contribution is the examination of NCPC and D</w:t>
      </w:r>
      <w:r w:rsidR="00FE02BF" w:rsidRPr="006B15C8">
        <w:t>U</w:t>
      </w:r>
      <w:r w:rsidRPr="006B15C8">
        <w:t>Y behaviors at intersections with channelized slip lanes, providing new insight into decision-making under ambiguous right-of-way conditions. Overall, by identifying and quantifying factors shaping pedestrian–vehicle interactions across diverse contexts, the study offers evidence-based policy and infrastructure strategies to improve pedestrian safety.</w:t>
      </w:r>
    </w:p>
    <w:p w14:paraId="1751871B" w14:textId="13D54C00" w:rsidR="00FE2763" w:rsidRPr="006B15C8" w:rsidRDefault="00FE2763" w:rsidP="004A6C6E">
      <w:pPr>
        <w:spacing w:line="271" w:lineRule="auto"/>
        <w:ind w:firstLine="720"/>
      </w:pPr>
      <w:r w:rsidRPr="006B15C8">
        <w:t>While this research presented new insights into pedestrian and driver behavior</w:t>
      </w:r>
      <w:r w:rsidR="00D03BC5" w:rsidRPr="006B15C8">
        <w:t>s</w:t>
      </w:r>
      <w:r w:rsidRPr="006B15C8">
        <w:t xml:space="preserve">, several opportunities remain for future investigation. Some aspects of data collection, such as the subjectivity in coding pedestrian age and skin tone, could benefit from refinement to reduce observational bias. The study’s geographic scope was also limited to two intersections with similar designs, including one on a </w:t>
      </w:r>
      <w:r w:rsidR="00D03BC5" w:rsidRPr="006B15C8">
        <w:t>university</w:t>
      </w:r>
      <w:r w:rsidRPr="006B15C8">
        <w:t xml:space="preserve"> campus where drivers may be more attuned to pedestrian presence. This context likely influenced both yielding behavior and the demographic composition of observed pedestrians, particularly skewing the sample toward young adults. Additionally, data were collected exclusively in late spring and early summer, when high temperatures in Texas may influence pedestrian volumes and behavior, introducing potential seasonal effects. </w:t>
      </w:r>
      <w:r w:rsidR="001D07CF" w:rsidRPr="006B15C8">
        <w:t xml:space="preserve">Rainfall events are rare during this period, and the small number of observations prevented the exploration of the impact of rainy conditions on NCPC and </w:t>
      </w:r>
      <w:r w:rsidR="00FE02BF" w:rsidRPr="006B15C8">
        <w:t xml:space="preserve">DUY </w:t>
      </w:r>
      <w:r w:rsidR="001D07CF" w:rsidRPr="006B15C8">
        <w:t>behaviors. Future research should expand the geographic and temporal scope to capture a wider range of environmental, demographic, and behavioral conditions.</w:t>
      </w:r>
      <w:r w:rsidR="001D07CF" w:rsidRPr="006B15C8">
        <w:rPr>
          <w:i/>
          <w:iCs/>
        </w:rPr>
        <w:t xml:space="preserve"> </w:t>
      </w:r>
      <w:r w:rsidRPr="006B15C8">
        <w:t>Incorporating additional variables, such as driver demographics, pedestrian gestures, walking speed, and vehicle acceleration or deceleration, would also provide a more comprehensive understanding of vehicle-pedestrian interactions. Lastly, complementary qualitative methods, including surveys, focus groups, or virtual reality simulations, could further illuminate the decision-making processes of both pedestrians and drivers.</w:t>
      </w:r>
    </w:p>
    <w:bookmarkEnd w:id="131"/>
    <w:p w14:paraId="2DB8DBBE" w14:textId="77777777" w:rsidR="00BF7009" w:rsidRPr="006B15C8" w:rsidRDefault="00BF7009" w:rsidP="004A6C6E">
      <w:pPr>
        <w:spacing w:line="271" w:lineRule="auto"/>
      </w:pPr>
    </w:p>
    <w:p w14:paraId="27D2E60F" w14:textId="77777777" w:rsidR="000E777A" w:rsidRPr="006B15C8" w:rsidRDefault="000E777A" w:rsidP="004A6C6E">
      <w:pPr>
        <w:pStyle w:val="Heading1"/>
        <w:numPr>
          <w:ilvl w:val="0"/>
          <w:numId w:val="0"/>
        </w:numPr>
        <w:spacing w:line="271" w:lineRule="auto"/>
        <w:ind w:left="360" w:hanging="360"/>
        <w:rPr>
          <w:caps/>
        </w:rPr>
      </w:pPr>
      <w:r w:rsidRPr="006B15C8">
        <w:rPr>
          <w:caps/>
        </w:rPr>
        <w:t xml:space="preserve">Acknowledgments </w:t>
      </w:r>
    </w:p>
    <w:p w14:paraId="60D0A5B7" w14:textId="5C358C50" w:rsidR="00813FBA" w:rsidRPr="006B15C8" w:rsidRDefault="008D5A7F" w:rsidP="004A6C6E">
      <w:pPr>
        <w:spacing w:line="271" w:lineRule="auto"/>
      </w:pPr>
      <w:bookmarkStart w:id="134" w:name="_Hlk204681270"/>
      <w:bookmarkStart w:id="135" w:name="_Hlk204516632"/>
      <w:r w:rsidRPr="006B15C8">
        <w:t>This research was partially supported by the UT Good Systems Grand Challenge through the Good Systems Core Research Project entitled “</w:t>
      </w:r>
      <w:r w:rsidR="00700DC6" w:rsidRPr="006B15C8">
        <w:t xml:space="preserve">Designing AI </w:t>
      </w:r>
      <w:r w:rsidR="00D676AB">
        <w:t>for Social Fairness</w:t>
      </w:r>
      <w:r w:rsidRPr="006B15C8">
        <w:t xml:space="preserve">,” and by the U.S. Department of Transportation (USDOT) under Grant </w:t>
      </w:r>
      <w:r w:rsidR="00700DC6" w:rsidRPr="006B15C8">
        <w:t>69A3552348327</w:t>
      </w:r>
      <w:r w:rsidRPr="006B15C8">
        <w:t xml:space="preserve"> for the Center for Automated Vehicle Research with Multimodal AssurEd Navigation (CARMEN</w:t>
      </w:r>
      <w:r w:rsidR="00700DC6" w:rsidRPr="006B15C8">
        <w:t>+</w:t>
      </w:r>
      <w:r w:rsidRPr="006B15C8">
        <w:t>) University Transportation Center.</w:t>
      </w:r>
      <w:bookmarkEnd w:id="134"/>
      <w:r w:rsidRPr="006B15C8">
        <w:t xml:space="preserve"> </w:t>
      </w:r>
      <w:bookmarkStart w:id="136" w:name="_Hlk204516614"/>
      <w:bookmarkEnd w:id="135"/>
      <w:r w:rsidRPr="006B15C8">
        <w:t>The authors thank Kenneth A. Perrine and Jan C. Rubio for their assistance in designing and implementing the video data collection system, and Dr. Katherine Asmussen and Carol Ann</w:t>
      </w:r>
      <w:r w:rsidR="00813FBA" w:rsidRPr="006B15C8">
        <w:t>e</w:t>
      </w:r>
      <w:r w:rsidRPr="006B15C8">
        <w:t xml:space="preserve"> Starks for their contributions to data labeling.</w:t>
      </w:r>
      <w:r w:rsidR="00CF6F73" w:rsidRPr="006B15C8">
        <w:t xml:space="preserve"> </w:t>
      </w:r>
      <w:bookmarkEnd w:id="136"/>
      <w:r w:rsidR="00825344">
        <w:t>The authors are also grateful to Lisa Macias for her help in formatting this document, and to two anonymous reviewers who provided useful comments and suggestions on an earlier version of this paper.</w:t>
      </w:r>
    </w:p>
    <w:p w14:paraId="1B98D846" w14:textId="77777777" w:rsidR="00BF7009" w:rsidRPr="006B15C8" w:rsidRDefault="000E777A" w:rsidP="00813FBA">
      <w:pPr>
        <w:spacing w:line="274" w:lineRule="auto"/>
        <w:rPr>
          <w:b/>
          <w:bCs/>
          <w:caps/>
        </w:rPr>
      </w:pPr>
      <w:r w:rsidRPr="006B15C8">
        <w:rPr>
          <w:b/>
          <w:bCs/>
          <w:caps/>
        </w:rPr>
        <w:lastRenderedPageBreak/>
        <w:t>References</w:t>
      </w:r>
    </w:p>
    <w:p w14:paraId="51ADBBC9" w14:textId="77777777" w:rsidR="008D5A7F" w:rsidRPr="006B15C8" w:rsidRDefault="008D5A7F" w:rsidP="000E5F68">
      <w:pPr>
        <w:spacing w:line="240" w:lineRule="auto"/>
        <w:ind w:left="360" w:hanging="360"/>
      </w:pPr>
      <w:r w:rsidRPr="006B15C8">
        <w:t>Aghabayk, K., Esmailpour, J., Jafari, A., and Shiwakoti, N. (2021). Observational-based study to explore pedestrian crossing behaviors at signalized and unsignalized crosswalks. Accident Analysis and Prevention, 151, 105990. https://doi.org/10.1016/j.aap.2021.105990</w:t>
      </w:r>
    </w:p>
    <w:p w14:paraId="4749AF7A" w14:textId="77777777" w:rsidR="008D5A7F" w:rsidRPr="006B15C8" w:rsidRDefault="008D5A7F" w:rsidP="000E5F68">
      <w:pPr>
        <w:spacing w:line="240" w:lineRule="auto"/>
        <w:ind w:left="360" w:hanging="360"/>
      </w:pPr>
      <w:r w:rsidRPr="006B15C8">
        <w:t>Anciaes, P., Di Guardo, G., and Jones, P. (2020). Factors explaining driver yielding behaviour towards pedestrians at courtesy crossings. Transportation Research Part F: Traffic Psychology and Behaviour, 73, 453–469. https://doi.org/10.1016/j.trf.2020.07.006</w:t>
      </w:r>
    </w:p>
    <w:p w14:paraId="70DDBB3A" w14:textId="77777777" w:rsidR="008D5A7F" w:rsidRPr="006B15C8" w:rsidRDefault="008D5A7F" w:rsidP="000E5F68">
      <w:pPr>
        <w:spacing w:line="240" w:lineRule="auto"/>
        <w:ind w:left="360" w:hanging="360"/>
      </w:pPr>
      <w:r w:rsidRPr="006B15C8">
        <w:t>Anik, M. A. H., Hossain, M., and Habib, M. A. (2021). Investigation of pedestrian jaywalking behaviour at mid-block locations using artificial neural networks. Safety Science, 144, 105448. https://doi.org/10.1016/j.ssci.2021.105448</w:t>
      </w:r>
    </w:p>
    <w:p w14:paraId="05648D18" w14:textId="77777777" w:rsidR="008D5A7F" w:rsidRPr="006B15C8" w:rsidRDefault="008D5A7F" w:rsidP="000E5F68">
      <w:pPr>
        <w:spacing w:line="240" w:lineRule="auto"/>
        <w:ind w:left="360" w:hanging="360"/>
      </w:pPr>
      <w:r w:rsidRPr="006B15C8">
        <w:t>Avineri, E., Shinar, D., and Susilo, Y. O. (2012). Pedestrians’ behaviour in cross walks: The effects of fear of falling and age. Accident Analysis and Prevention, 44(1), 30–34. https://doi.org/10.1016/j.aap.2010.11.028</w:t>
      </w:r>
    </w:p>
    <w:p w14:paraId="7D859048" w14:textId="77777777" w:rsidR="008D5A7F" w:rsidRPr="006B15C8" w:rsidRDefault="008D5A7F" w:rsidP="000E5F68">
      <w:pPr>
        <w:spacing w:line="240" w:lineRule="auto"/>
        <w:ind w:left="360" w:hanging="360"/>
      </w:pPr>
      <w:r w:rsidRPr="006B15C8">
        <w:t>Baker, M. D., Owens,</w:t>
      </w:r>
      <w:r w:rsidR="003157CB" w:rsidRPr="006B15C8">
        <w:t xml:space="preserve"> </w:t>
      </w:r>
      <w:bookmarkStart w:id="137" w:name="_Hlk204682006"/>
      <w:r w:rsidRPr="006B15C8">
        <w:t>B</w:t>
      </w:r>
      <w:r w:rsidR="003157CB" w:rsidRPr="006B15C8">
        <w:t>.</w:t>
      </w:r>
      <w:r w:rsidRPr="006B15C8">
        <w:t xml:space="preserve"> T.</w:t>
      </w:r>
      <w:bookmarkEnd w:id="137"/>
      <w:r w:rsidRPr="006B15C8">
        <w:t>, Utter,</w:t>
      </w:r>
      <w:r w:rsidR="003157CB" w:rsidRPr="006B15C8">
        <w:t xml:space="preserve"> </w:t>
      </w:r>
      <w:bookmarkStart w:id="138" w:name="_Hlk204682015"/>
      <w:r w:rsidRPr="006B15C8">
        <w:t>R</w:t>
      </w:r>
      <w:r w:rsidR="003157CB" w:rsidRPr="006B15C8">
        <w:t>.</w:t>
      </w:r>
      <w:r w:rsidRPr="006B15C8">
        <w:t xml:space="preserve"> L.</w:t>
      </w:r>
      <w:bookmarkEnd w:id="138"/>
      <w:r w:rsidRPr="006B15C8">
        <w:t>, Boachi</w:t>
      </w:r>
      <w:r w:rsidR="003157CB" w:rsidRPr="006B15C8">
        <w:t>e</w:t>
      </w:r>
      <w:r w:rsidRPr="006B15C8">
        <w:t>,</w:t>
      </w:r>
      <w:r w:rsidR="003157CB" w:rsidRPr="006B15C8">
        <w:t xml:space="preserve"> </w:t>
      </w:r>
      <w:bookmarkStart w:id="139" w:name="_Hlk204682024"/>
      <w:r w:rsidRPr="006B15C8">
        <w:t>R</w:t>
      </w:r>
      <w:r w:rsidR="003157CB" w:rsidRPr="006B15C8">
        <w:t>.</w:t>
      </w:r>
      <w:r w:rsidRPr="006B15C8">
        <w:t xml:space="preserve"> J.</w:t>
      </w:r>
      <w:bookmarkEnd w:id="139"/>
      <w:r w:rsidRPr="006B15C8">
        <w:t xml:space="preserve">, and Keith, D. R. (2022). Boundary conditions for gender differences in risk taking. Journal of Risk Research, </w:t>
      </w:r>
      <w:bookmarkStart w:id="140" w:name="_Hlk204682062"/>
      <w:r w:rsidRPr="006B15C8">
        <w:t>25(4), 536–545</w:t>
      </w:r>
      <w:bookmarkEnd w:id="140"/>
      <w:r w:rsidRPr="006B15C8">
        <w:t>. https://doi.org/10.1080/13669877.2021.1962953</w:t>
      </w:r>
    </w:p>
    <w:p w14:paraId="07FD0DB3" w14:textId="77777777" w:rsidR="008D5A7F" w:rsidRPr="006B15C8" w:rsidRDefault="008D5A7F" w:rsidP="000E5F68">
      <w:pPr>
        <w:spacing w:line="240" w:lineRule="auto"/>
        <w:ind w:left="360" w:hanging="360"/>
      </w:pPr>
      <w:r w:rsidRPr="006B15C8">
        <w:t>Bella, F., and Nobili, F. (2020). Driver-pedestrian interaction under legal and illegal pedestrian crossings. Transportation Research Procedia, 45, 451–458. https://doi.org/10.1016/j.trpro.2020.03.038</w:t>
      </w:r>
    </w:p>
    <w:p w14:paraId="1203431A" w14:textId="77777777" w:rsidR="008D5A7F" w:rsidRPr="006B15C8" w:rsidRDefault="008D5A7F" w:rsidP="000E5F68">
      <w:pPr>
        <w:spacing w:line="240" w:lineRule="auto"/>
        <w:ind w:left="360" w:hanging="360"/>
      </w:pPr>
      <w:r w:rsidRPr="006B15C8">
        <w:t>Bendak, S., Alnaqbi, A. M., Alzarooni, M. Y., Aljanaahi, S. M., and Alsuwaidi, S. J. (2021). Factors affecting pedestrian behaviors at signalized crosswalks: An empirical study. Journal of Safety Research, 76, 269–275. https://doi.org/10.1016/j.jsr.2020.12.019</w:t>
      </w:r>
    </w:p>
    <w:p w14:paraId="22320354" w14:textId="430C4E69" w:rsidR="008D5A7F" w:rsidRPr="006B15C8" w:rsidRDefault="008D5A7F" w:rsidP="000E5F68">
      <w:pPr>
        <w:spacing w:line="240" w:lineRule="auto"/>
        <w:ind w:left="360" w:hanging="360"/>
      </w:pPr>
      <w:r w:rsidRPr="006B15C8">
        <w:t xml:space="preserve">Bernhardt, M., and Kockelman, K. (2021). An analysis of pedestrian crash trends and contributing factors in Texas. Journal of Transport and Health, 22, 101090. </w:t>
      </w:r>
      <w:r w:rsidR="009B1F45" w:rsidRPr="006B15C8">
        <w:t>https://doi.org/10.1016/j.jth.2021.101090</w:t>
      </w:r>
    </w:p>
    <w:p w14:paraId="23EA5F25" w14:textId="5A0CFE26" w:rsidR="009B1F45" w:rsidRPr="006B15C8" w:rsidRDefault="009B1F45" w:rsidP="000E5F68">
      <w:pPr>
        <w:pStyle w:val="ListParagraph"/>
        <w:spacing w:line="240" w:lineRule="auto"/>
        <w:ind w:left="450" w:hanging="450"/>
      </w:pPr>
      <w:r w:rsidRPr="006B15C8">
        <w:t xml:space="preserve">Bharate, G. R., Pinjari, A. P., </w:t>
      </w:r>
      <w:r w:rsidR="00891966" w:rsidRPr="006B15C8">
        <w:t>and</w:t>
      </w:r>
      <w:r w:rsidRPr="006B15C8">
        <w:t xml:space="preserve"> Bhat, C. R. (2025). Identification of random parameters on categorical attributes in mixed logit models of crash outcomes and travel choices [Conference presentation]. 8th Conference of the Transportation Research Group of India, Guwahati, India.</w:t>
      </w:r>
    </w:p>
    <w:p w14:paraId="569FB9B6" w14:textId="64972FE1" w:rsidR="00237085" w:rsidRPr="006B15C8" w:rsidRDefault="00237085" w:rsidP="000E5F68">
      <w:pPr>
        <w:spacing w:line="240" w:lineRule="auto"/>
        <w:ind w:left="360" w:hanging="360"/>
      </w:pPr>
      <w:r w:rsidRPr="006B15C8">
        <w:t>Bhat, C. R. (2001). Quasi-random maximum simulated likelihood estimation of the mixed multinomial logit model. Transportation Research Part B: Methodological, 35(7), 677–693. https://doi.org/10.1016/S0191-2615(00)00014-X</w:t>
      </w:r>
    </w:p>
    <w:p w14:paraId="32AA19E7" w14:textId="43F4B9B1" w:rsidR="00237085" w:rsidRPr="006B15C8" w:rsidRDefault="00237085" w:rsidP="000E5F68">
      <w:pPr>
        <w:spacing w:line="240" w:lineRule="auto"/>
        <w:ind w:left="360" w:hanging="360"/>
      </w:pPr>
      <w:r w:rsidRPr="006B15C8">
        <w:t>Bhat, C. R. (2003). Simulation estimation of mixed discrete choice models using randomized and scrambled Halton sequences. Transportation Research Part B: Methodological, 37(9), 837–855. https://doi.org/10.1016/S0191-2615(02)00090-5</w:t>
      </w:r>
    </w:p>
    <w:p w14:paraId="53A446C5" w14:textId="4E4A7072" w:rsidR="005936F0" w:rsidRPr="006B15C8" w:rsidRDefault="00A854B1" w:rsidP="000E5F68">
      <w:pPr>
        <w:spacing w:line="240" w:lineRule="auto"/>
        <w:ind w:left="360" w:hanging="360"/>
      </w:pPr>
      <w:r w:rsidRPr="006B15C8">
        <w:t xml:space="preserve">Bhat, C. R., </w:t>
      </w:r>
      <w:r w:rsidR="001619FC" w:rsidRPr="006B15C8">
        <w:t>and</w:t>
      </w:r>
      <w:r w:rsidRPr="006B15C8">
        <w:t xml:space="preserve"> Eluru, N. (2009). A copula-based approach to accommodate residential self-selection effects in travel behavior modeling. Transportation Research Part B: Methodological, 43(7), 749–765. </w:t>
      </w:r>
      <w:r w:rsidR="000577D0" w:rsidRPr="006B15C8">
        <w:t>https://doi.org/10.1016/j.trb.2009.02.001</w:t>
      </w:r>
    </w:p>
    <w:p w14:paraId="21387B23" w14:textId="2A3586A1" w:rsidR="00C8354C" w:rsidRPr="006B15C8" w:rsidRDefault="00C8354C" w:rsidP="000E5F68">
      <w:pPr>
        <w:spacing w:line="240" w:lineRule="auto"/>
        <w:ind w:left="360" w:hanging="360"/>
      </w:pPr>
      <w:r w:rsidRPr="006B15C8">
        <w:t>Bhat, C. R. (2024). Transformation-based flexible error structures for choice modeling. Journal of Choice Modelling, 53, 100522.</w:t>
      </w:r>
    </w:p>
    <w:p w14:paraId="73B680E8" w14:textId="7D86B636" w:rsidR="008D5A7F" w:rsidRPr="006B15C8" w:rsidRDefault="008D5A7F" w:rsidP="000E5F68">
      <w:pPr>
        <w:spacing w:line="240" w:lineRule="auto"/>
        <w:ind w:left="360" w:hanging="360"/>
      </w:pPr>
      <w:r w:rsidRPr="006B15C8">
        <w:t xml:space="preserve">Blanch, A., and Martínez, A. (2025). Risk Taking and Accidents in Adventure Sports Across Males and Females. International Journal of Psychology, 60(2), e70023. </w:t>
      </w:r>
      <w:r w:rsidR="005270EE" w:rsidRPr="006B15C8">
        <w:t>https://doi.org/10.1002/ijop.70023</w:t>
      </w:r>
    </w:p>
    <w:p w14:paraId="6A9EA85B" w14:textId="456CD79D" w:rsidR="005270EE" w:rsidRPr="006B15C8" w:rsidRDefault="005270EE" w:rsidP="000E5F68">
      <w:pPr>
        <w:spacing w:line="240" w:lineRule="auto"/>
        <w:ind w:left="360" w:hanging="360"/>
      </w:pPr>
      <w:r w:rsidRPr="006B15C8">
        <w:t>Bowen, E. A., and Capozziello, N. (2024). Faceless, nameless, invisible: A visual content analysis of photographs in U.S. media coverage about homelessness. Housing Studies, 39(3), 746–765. https://doi.org/10.1080/02673037.2022.2084044</w:t>
      </w:r>
    </w:p>
    <w:p w14:paraId="3B7C4ADA" w14:textId="77777777" w:rsidR="008D5A7F" w:rsidRPr="006B15C8" w:rsidRDefault="008D5A7F" w:rsidP="000E5F68">
      <w:pPr>
        <w:spacing w:line="240" w:lineRule="auto"/>
        <w:ind w:left="360" w:hanging="360"/>
      </w:pPr>
      <w:r w:rsidRPr="006B15C8">
        <w:lastRenderedPageBreak/>
        <w:t>Brosseau, M., Zangenehpour, S., Saunier, N., and Miranda-Moreno, L. (2013). The impact of waiting time and other factors on dangerous pedestrian crossings and violations at signalized intersections: A case study in Montreal. Transportation Research Part F: Traffic Psychology and Behaviour, 21, 159–172. https://doi.org/10.1016/j.trf.2013.09.010</w:t>
      </w:r>
    </w:p>
    <w:p w14:paraId="2A506FBA" w14:textId="77777777" w:rsidR="008D5A7F" w:rsidRPr="006B15C8" w:rsidRDefault="008D5A7F" w:rsidP="000E5F68">
      <w:pPr>
        <w:spacing w:line="240" w:lineRule="auto"/>
        <w:ind w:left="360" w:hanging="360"/>
      </w:pPr>
      <w:r w:rsidRPr="006B15C8">
        <w:t>Chavis, C., Nyarko, K., and Cirillo, C. (2023). A Comparative Study of Pedestrian Crossing Behavior and Saftey in Baltimore, MD and Washington, DU Using Video Surveillance. Urban Mobility and Equity Center.</w:t>
      </w:r>
    </w:p>
    <w:p w14:paraId="6ADB06F0" w14:textId="581FB7AE" w:rsidR="00CE0D6B" w:rsidRPr="006B15C8" w:rsidRDefault="00CE0D6B" w:rsidP="000E5F68">
      <w:pPr>
        <w:spacing w:line="240" w:lineRule="auto"/>
        <w:ind w:left="360" w:hanging="360"/>
      </w:pPr>
      <w:r w:rsidRPr="006B15C8">
        <w:t xml:space="preserve">Chen, G. X., Karl Sieber, W., Collins, J. W., Hitchcock, E. M., Lincoln, J. E., Pratt, S. G., </w:t>
      </w:r>
      <w:r w:rsidR="003157CB" w:rsidRPr="006B15C8">
        <w:t>and</w:t>
      </w:r>
      <w:r w:rsidRPr="006B15C8">
        <w:t xml:space="preserve"> Sweeney, M. H. (2021). Truck driver reported unrealistically tight delivery schedules linked to their opinions of maximum speed limits and hours-of-service rules and their compliance with these safety laws and regulations. Safety Science, 133, 105003. </w:t>
      </w:r>
      <w:r w:rsidR="0026737C" w:rsidRPr="006B15C8">
        <w:t>https://doi.org/10.1016/j.ssci.2020.105003</w:t>
      </w:r>
    </w:p>
    <w:p w14:paraId="2ADD1F61" w14:textId="2EF5EE86" w:rsidR="0026737C" w:rsidRPr="006B15C8" w:rsidRDefault="0026737C" w:rsidP="000E5F68">
      <w:pPr>
        <w:spacing w:line="240" w:lineRule="auto"/>
        <w:ind w:left="360" w:hanging="360"/>
      </w:pPr>
      <w:r w:rsidRPr="006B15C8">
        <w:t>Coughenour, C., Clark, S., Singh, A., Claw, E., Abelar, J., and Huebner, J. (2017). Examining racial bias as a potential factor in pedestrian crashes. Accident Analysis and Prevention, 98, 96–100.</w:t>
      </w:r>
    </w:p>
    <w:p w14:paraId="6FA61341" w14:textId="77777777" w:rsidR="008D5A7F" w:rsidRPr="006B15C8" w:rsidRDefault="008D5A7F" w:rsidP="000E5F68">
      <w:pPr>
        <w:spacing w:line="240" w:lineRule="auto"/>
        <w:ind w:left="360" w:hanging="360"/>
      </w:pPr>
      <w:r w:rsidRPr="006B15C8">
        <w:t>Coughenour, C., Abelar, J., Pharr, J., Chien, L.-C., and Singh, A. (2020). Estimated car cost as a predictor of driver yielding behaviors for pedestrians. Journal of Transport and Health, 16, 100831. https://doi.org/10.1016/j.jth.2020.100831</w:t>
      </w:r>
    </w:p>
    <w:p w14:paraId="43F182CB" w14:textId="77777777" w:rsidR="008D5A7F" w:rsidRPr="006B15C8" w:rsidRDefault="008D5A7F" w:rsidP="000E5F68">
      <w:pPr>
        <w:spacing w:line="240" w:lineRule="auto"/>
        <w:ind w:left="360" w:hanging="360"/>
      </w:pPr>
      <w:r w:rsidRPr="006B15C8">
        <w:t>Dadashova, B., Boutros, A., Reyes, D., Schoner, J., Sanders, R., Chiovenda, M., Lee, C., Zhu, C., Wang, O., Elgart, Z., Eisert, J., and Thompson Panik, R. (2024). Exploring Risk Factors to Disparities in Pedestrian and Bicyclist Fatalities and Serious Injuries.</w:t>
      </w:r>
      <w:r w:rsidR="00AF34FF" w:rsidRPr="006B15C8">
        <w:t xml:space="preserve"> </w:t>
      </w:r>
      <w:r w:rsidRPr="006B15C8">
        <w:t>Federal Highway Administration. https://doi.org/10.21949/1521546</w:t>
      </w:r>
    </w:p>
    <w:p w14:paraId="23338F3F" w14:textId="77777777" w:rsidR="008D5A7F" w:rsidRPr="006B15C8" w:rsidRDefault="008D5A7F" w:rsidP="000E5F68">
      <w:pPr>
        <w:spacing w:line="240" w:lineRule="auto"/>
        <w:ind w:left="360" w:hanging="360"/>
      </w:pPr>
      <w:r w:rsidRPr="006B15C8">
        <w:t>Das, T., Samandar, M. S., Autry, M. K., and Rouphail, N. M. (2023). Surrogate Safety Measures: Review and Assessment in Real-World Mixed Traditional and Autonomous Vehicle Platoons. IEEE Access, 11, 32682–32696. https://doi.org/10.1109/ACCESS.2023.3248628</w:t>
      </w:r>
    </w:p>
    <w:p w14:paraId="0C0B3423" w14:textId="77777777" w:rsidR="008D5A7F" w:rsidRPr="006B15C8" w:rsidRDefault="008D5A7F" w:rsidP="000E5F68">
      <w:pPr>
        <w:spacing w:line="240" w:lineRule="auto"/>
        <w:ind w:left="360" w:hanging="360"/>
      </w:pPr>
      <w:r w:rsidRPr="006B15C8">
        <w:t>Deb, S., Strawderman, L., DuBien, J., Smith, B., Carruth, D. W., and Garrison, T. M. (2017). Evaluating pedestrian behavior at crosswalks: Validation of a pedestrian behavior questionnaire for the U.S. population. Accident Analysis and Prevention, 106, 191–201. https://doi.org/10.1016/j.aap.2017.05.020</w:t>
      </w:r>
    </w:p>
    <w:p w14:paraId="24DBEACC" w14:textId="77777777" w:rsidR="008D5A7F" w:rsidRPr="006B15C8" w:rsidRDefault="008D5A7F" w:rsidP="000E5F68">
      <w:pPr>
        <w:spacing w:line="240" w:lineRule="auto"/>
        <w:ind w:left="360" w:hanging="360"/>
      </w:pPr>
      <w:r w:rsidRPr="006B15C8">
        <w:t>Dellosa, G., and Browne, M. (2024). The influence of age on gambling problems worldwide: A systematic review and meta-analysis of risk among younger, middle-aged, and older adults.</w:t>
      </w:r>
      <w:r w:rsidR="002F091B" w:rsidRPr="006B15C8">
        <w:t xml:space="preserve"> </w:t>
      </w:r>
      <w:bookmarkStart w:id="141" w:name="_Hlk204689984"/>
      <w:r w:rsidR="002F091B" w:rsidRPr="006B15C8">
        <w:t>Journal of Behavioral Addictions, 13(3), 702-715.</w:t>
      </w:r>
      <w:r w:rsidRPr="006B15C8">
        <w:t xml:space="preserve"> </w:t>
      </w:r>
      <w:bookmarkEnd w:id="141"/>
      <w:r w:rsidRPr="006B15C8">
        <w:t>https://doi.org/10.1556/2006.2024.00051</w:t>
      </w:r>
    </w:p>
    <w:p w14:paraId="23CB63E9" w14:textId="77777777" w:rsidR="008D5A7F" w:rsidRPr="006B15C8" w:rsidRDefault="008D5A7F" w:rsidP="000E5F68">
      <w:pPr>
        <w:spacing w:line="240" w:lineRule="auto"/>
        <w:ind w:left="360" w:hanging="360"/>
      </w:pPr>
      <w:r w:rsidRPr="006B15C8">
        <w:t>Demir, E. N., Dönmez, H. B., Özden, M., Ünver, N., Fındık, G., and Öz, B. (2020). Yielding the Right of The Way: A Mixed Design Study for Understanding Drivers’ Yielding Behavior. Trafik ve Ulaşım Araştırmaları Dergisi, 3(1), Article 1. https://doi.org/10.38002/tuad.690423</w:t>
      </w:r>
    </w:p>
    <w:p w14:paraId="4CC4A647" w14:textId="77777777" w:rsidR="008D5A7F" w:rsidRPr="006B15C8" w:rsidRDefault="008D5A7F" w:rsidP="000E5F68">
      <w:pPr>
        <w:spacing w:line="240" w:lineRule="auto"/>
        <w:ind w:left="360" w:hanging="360"/>
      </w:pPr>
      <w:r w:rsidRPr="006B15C8">
        <w:t>Dhoke, A., and Choudhary, P. (2023). Is there a relationship between time pressure and pedestrian non-compliance? A systematic review. Transportation Research Part F: Traffic Psychology and Behaviour, 93, 68–89. https://doi.org/10.1016/j.trf.2023.01.001</w:t>
      </w:r>
    </w:p>
    <w:p w14:paraId="2F2BDA52" w14:textId="77777777" w:rsidR="008D5A7F" w:rsidRPr="006B15C8" w:rsidRDefault="008D5A7F" w:rsidP="000E5F68">
      <w:pPr>
        <w:spacing w:line="240" w:lineRule="auto"/>
        <w:ind w:left="360" w:hanging="360"/>
      </w:pPr>
      <w:r w:rsidRPr="006B15C8">
        <w:t xml:space="preserve">Dileep, R., Koshy, D. B. I., and Sam, E. (2016). Study on Driver Yielding to Pedestrians at Unsignalized Crosswalks. International Journal of Scientific </w:t>
      </w:r>
      <w:r w:rsidR="001114DB" w:rsidRPr="006B15C8">
        <w:t>and</w:t>
      </w:r>
      <w:r w:rsidRPr="006B15C8">
        <w:t xml:space="preserve"> Engineering Research, 7(9)</w:t>
      </w:r>
      <w:r w:rsidR="003157CB" w:rsidRPr="006B15C8">
        <w:t>, 306–311</w:t>
      </w:r>
      <w:r w:rsidRPr="006B15C8">
        <w:t xml:space="preserve">. </w:t>
      </w:r>
    </w:p>
    <w:p w14:paraId="40633E2D" w14:textId="77777777" w:rsidR="008D5A7F" w:rsidRPr="006B15C8" w:rsidRDefault="008D5A7F" w:rsidP="000E5F68">
      <w:pPr>
        <w:spacing w:line="240" w:lineRule="auto"/>
        <w:ind w:left="360" w:hanging="360"/>
      </w:pPr>
      <w:r w:rsidRPr="006B15C8">
        <w:t xml:space="preserve">Domine, P., Doyle, S., Haque, A., Sulvarán, A. M., Meusch, N., and Whyte, M. (2022). </w:t>
      </w:r>
      <w:bookmarkStart w:id="142" w:name="_Hlk204691153"/>
      <w:r w:rsidRPr="006B15C8">
        <w:t xml:space="preserve">Safety Interventions For Houseless Pedestrians. </w:t>
      </w:r>
      <w:r w:rsidR="003157CB" w:rsidRPr="006B15C8">
        <w:t>Master of Urban and Regional Planning Workshop Projects, 184. https://archives.pdx.edu/ds/psu/38439</w:t>
      </w:r>
      <w:r w:rsidRPr="006B15C8">
        <w:t>.</w:t>
      </w:r>
      <w:bookmarkEnd w:id="142"/>
      <w:r w:rsidRPr="006B15C8">
        <w:t xml:space="preserve"> </w:t>
      </w:r>
    </w:p>
    <w:p w14:paraId="3A551BA4" w14:textId="77777777" w:rsidR="008D5A7F" w:rsidRPr="006B15C8" w:rsidRDefault="008D5A7F" w:rsidP="000E5F68">
      <w:pPr>
        <w:keepLines/>
        <w:spacing w:line="240" w:lineRule="auto"/>
        <w:ind w:left="360" w:hanging="360"/>
      </w:pPr>
      <w:r w:rsidRPr="006B15C8">
        <w:lastRenderedPageBreak/>
        <w:t>Dommes, A., Granié, M.-A., Cloutier, M.-S., Coquelet, C., and Huguenin-Richard, F. (2015). Red light violations by adult pedestrians and other safety-related behaviors at signalized crosswalks. Accident Analysis and Prevention, 80, 67–75. https://doi.org/10.1016/j.aap.2015.04.002</w:t>
      </w:r>
    </w:p>
    <w:p w14:paraId="6E122D81" w14:textId="77777777" w:rsidR="008D5A7F" w:rsidRPr="006B15C8" w:rsidRDefault="008D5A7F" w:rsidP="000E5F68">
      <w:pPr>
        <w:spacing w:line="240" w:lineRule="auto"/>
        <w:ind w:left="360" w:hanging="360"/>
      </w:pPr>
      <w:r w:rsidRPr="006B15C8">
        <w:t xml:space="preserve">Dumbaugh, E., Stiles, J., Mitsova, D., and Saha, D. (2023). The Most Vulnerable User: Examining the Role of Income, Race, and the Built Environment on Pedestrian Injuries and Deaths. Transportation Research Record, </w:t>
      </w:r>
      <w:r w:rsidR="00921EA7" w:rsidRPr="006B15C8">
        <w:t>2678(2), 743–752</w:t>
      </w:r>
      <w:r w:rsidRPr="006B15C8">
        <w:t xml:space="preserve">. </w:t>
      </w:r>
      <w:r w:rsidR="00210636" w:rsidRPr="006B15C8">
        <w:t>https://doi.org/10.1177/03611981231175888</w:t>
      </w:r>
    </w:p>
    <w:p w14:paraId="2AD9ABB8" w14:textId="40EF6236" w:rsidR="008D5A7F" w:rsidRPr="006B15C8" w:rsidRDefault="008D5A7F" w:rsidP="000E5F68">
      <w:pPr>
        <w:spacing w:line="240" w:lineRule="auto"/>
        <w:ind w:left="360" w:hanging="360"/>
      </w:pPr>
      <w:r w:rsidRPr="006B15C8">
        <w:t>Factor, R., Williams, D. R., and Kawachi, I. (2013). Social resistance framework for understanding high-risk behavior among nondominant minorities: Preliminary evidence. American Journal of Public Health, 103(12), 2245–2251.</w:t>
      </w:r>
    </w:p>
    <w:p w14:paraId="65A5AE83" w14:textId="77777777" w:rsidR="008D5A7F" w:rsidRPr="006B15C8" w:rsidRDefault="008D5A7F" w:rsidP="000E5F68">
      <w:pPr>
        <w:spacing w:line="240" w:lineRule="auto"/>
        <w:ind w:left="360" w:hanging="360"/>
      </w:pPr>
      <w:r w:rsidRPr="006B15C8">
        <w:t xml:space="preserve">Ferenchak, N. N. (2016). Pedestrian age and gender in relation to crossing behavior at midblock crossings in India. Journal of Traffic and Transportation Engineering (English Edition), 3(4), 345–351. </w:t>
      </w:r>
      <w:r w:rsidR="00D17B6B" w:rsidRPr="006B15C8">
        <w:t>https://doi.org/10.1016/j.jtte.2015.12.001</w:t>
      </w:r>
    </w:p>
    <w:p w14:paraId="2024C5F6" w14:textId="77777777" w:rsidR="00D17B6B" w:rsidRPr="006B15C8" w:rsidRDefault="00D17B6B" w:rsidP="000E5F68">
      <w:pPr>
        <w:spacing w:line="240" w:lineRule="auto"/>
        <w:ind w:left="360" w:hanging="360"/>
      </w:pPr>
      <w:r w:rsidRPr="006B15C8">
        <w:t xml:space="preserve">Fernández Llorca, D., Frau, P., Parra, I., Izquierdo, R., </w:t>
      </w:r>
      <w:r w:rsidR="001114DB" w:rsidRPr="006B15C8">
        <w:t>and</w:t>
      </w:r>
      <w:r w:rsidRPr="006B15C8">
        <w:t xml:space="preserve"> Gomez, E. (2024). Attribute annotation and bias evaluation in visual datasets for autonomous driving | Journal of Big Data. https://link.springer.com/article/10.1186/s40537-024-00976-9</w:t>
      </w:r>
    </w:p>
    <w:p w14:paraId="3DCB3733" w14:textId="77777777" w:rsidR="008D5A7F" w:rsidRPr="006B15C8" w:rsidRDefault="008D5A7F" w:rsidP="000E5F68">
      <w:pPr>
        <w:spacing w:line="240" w:lineRule="auto"/>
        <w:ind w:left="360" w:hanging="360"/>
      </w:pPr>
      <w:r w:rsidRPr="006B15C8">
        <w:t>Figliozzi, M. A., and Tipagornwong, C. (2016). Pedestrian Crosswalk Law: A study of traffic and trajectory factors that affect non-compliance and stopping distance. Accident Analysis and Prevention, 96, 169–179. https://doi.org/10.1016/j.aap.2016.08.011</w:t>
      </w:r>
    </w:p>
    <w:p w14:paraId="38116849" w14:textId="77777777" w:rsidR="008D5A7F" w:rsidRPr="006B15C8" w:rsidRDefault="008D5A7F" w:rsidP="000E5F68">
      <w:pPr>
        <w:spacing w:line="240" w:lineRule="auto"/>
        <w:ind w:left="360" w:hanging="360"/>
      </w:pPr>
      <w:r w:rsidRPr="006B15C8">
        <w:t>Fitzsimmons, E. G. (2024, October 29). Jaywalking Is a New York Tradition. Now It’s Legal, Too. The New York Times. https://www.nytimes.com/2024/10/29/nyregion/jaywalking-legal-law-nyc.html</w:t>
      </w:r>
    </w:p>
    <w:p w14:paraId="0EDA7A4F" w14:textId="77777777" w:rsidR="008D5A7F" w:rsidRPr="006B15C8" w:rsidRDefault="008D5A7F" w:rsidP="000E5F68">
      <w:pPr>
        <w:spacing w:line="240" w:lineRule="auto"/>
        <w:ind w:left="360" w:hanging="360"/>
      </w:pPr>
      <w:r w:rsidRPr="006B15C8">
        <w:t>Fu, T., Yu, X., Xiong, B., Jiang, C., Wang, J., Shangguan, Q., and Xu, W. (2022). A method in modeling interactive pedestrian crossing and driver yielding decisions during their interactions at intersections. Transportation Research Part F: Traffic Psychology and Behaviour, 88, 37–53. https://doi.org/10.1016/j.trf.2022.05.005</w:t>
      </w:r>
    </w:p>
    <w:p w14:paraId="6E92EE9B" w14:textId="77777777" w:rsidR="008D5A7F" w:rsidRPr="006B15C8" w:rsidRDefault="008D5A7F" w:rsidP="000E5F68">
      <w:pPr>
        <w:spacing w:line="240" w:lineRule="auto"/>
        <w:ind w:left="360" w:hanging="360"/>
      </w:pPr>
      <w:r w:rsidRPr="006B15C8">
        <w:t>Gerogiannis, A., and Bode, N. W. F. (2024). Analysis of long-term observational data on pedestrian road crossings at unmarked locations. Safety Science, 172, 106420. https://doi.org/10.1016/j.ssci.2024.106420</w:t>
      </w:r>
    </w:p>
    <w:p w14:paraId="15D89C35" w14:textId="77777777" w:rsidR="008D5A7F" w:rsidRPr="006B15C8" w:rsidRDefault="008D5A7F" w:rsidP="000E5F68">
      <w:pPr>
        <w:spacing w:line="240" w:lineRule="auto"/>
        <w:ind w:left="360" w:hanging="360"/>
      </w:pPr>
      <w:r w:rsidRPr="006B15C8">
        <w:t>Ghomi, H., and Hussein, M. (2022). An integrated text mining, literature review, and meta-analysis approach to investigate pedestrian violation behaviours. Accident Analysis and Prevention, 173, 106712. https://doi.org/10.1016/j.aap.2022.106712</w:t>
      </w:r>
    </w:p>
    <w:p w14:paraId="31ED664F" w14:textId="77777777" w:rsidR="00CE0D6B" w:rsidRPr="006B15C8" w:rsidRDefault="00CE0D6B" w:rsidP="000E5F68">
      <w:pPr>
        <w:spacing w:line="240" w:lineRule="auto"/>
        <w:ind w:left="360" w:hanging="360"/>
      </w:pPr>
      <w:r w:rsidRPr="006B15C8">
        <w:t xml:space="preserve">Gillham, O., Madsen, D., Nguyen, K., </w:t>
      </w:r>
      <w:r w:rsidR="001114DB" w:rsidRPr="006B15C8">
        <w:t>and</w:t>
      </w:r>
      <w:r w:rsidRPr="006B15C8">
        <w:t xml:space="preserve"> Jingsi, S. (2023). Assessment of Commercial Driver’s License (CDL) Holders’ Traffic Violations, Convictions, and Disqualifications. U.S. Department of Transportation. https://rosap.ntl.bts.gov/view/dot/72942</w:t>
      </w:r>
    </w:p>
    <w:p w14:paraId="7B7AC25B" w14:textId="77777777" w:rsidR="008D5A7F" w:rsidRPr="006B15C8" w:rsidRDefault="008D5A7F" w:rsidP="000E5F68">
      <w:pPr>
        <w:spacing w:line="240" w:lineRule="auto"/>
        <w:ind w:left="360" w:hanging="360"/>
      </w:pPr>
      <w:r w:rsidRPr="006B15C8">
        <w:t>Goddard, T., Kahn, K. B., and Adkins, A. (2015). Racial bias in driver yielding behavior at crosswalks. Transportation Research Part F: Traffic Psychology and Behaviour, 33, 1–6. https://doi.org/10.1016/j.trf.2015.06.002</w:t>
      </w:r>
    </w:p>
    <w:p w14:paraId="2F7F1F36" w14:textId="574ED8F6" w:rsidR="008D5A7F" w:rsidRPr="006B15C8" w:rsidRDefault="008D5A7F" w:rsidP="000E5F68">
      <w:pPr>
        <w:spacing w:line="240" w:lineRule="auto"/>
        <w:ind w:left="360" w:hanging="360"/>
      </w:pPr>
      <w:r w:rsidRPr="006B15C8">
        <w:t xml:space="preserve">Goldfischer, E. (2018). “Peek-A-Boo, We See You Too”: Homelessness and visuality in New York City. Environment and Planning D, 36(5), 831–848. </w:t>
      </w:r>
      <w:r w:rsidR="009401FC" w:rsidRPr="006B15C8">
        <w:t>https://doi.org/10.1177/0263775818768546</w:t>
      </w:r>
    </w:p>
    <w:p w14:paraId="77DF006C" w14:textId="2FF786D5" w:rsidR="00334F2E" w:rsidRPr="006B15C8" w:rsidRDefault="00334F2E" w:rsidP="000E5F68">
      <w:pPr>
        <w:pStyle w:val="ListParagraph"/>
        <w:spacing w:line="240" w:lineRule="auto"/>
        <w:ind w:left="360" w:hanging="360"/>
      </w:pPr>
      <w:r w:rsidRPr="006B15C8">
        <w:t xml:space="preserve">Greene, W. H. (2018a). </w:t>
      </w:r>
      <w:r w:rsidRPr="006B15C8">
        <w:rPr>
          <w:rStyle w:val="Strong"/>
          <w:b w:val="0"/>
          <w:bCs w:val="0"/>
        </w:rPr>
        <w:t>Maximum Likelihood Estimation</w:t>
      </w:r>
      <w:r w:rsidRPr="006B15C8">
        <w:t xml:space="preserve">. In </w:t>
      </w:r>
      <w:r w:rsidRPr="006B15C8">
        <w:rPr>
          <w:rStyle w:val="Emphasis"/>
          <w:i w:val="0"/>
          <w:iCs w:val="0"/>
        </w:rPr>
        <w:t>Econometric analysis</w:t>
      </w:r>
      <w:r w:rsidRPr="006B15C8">
        <w:t xml:space="preserve"> (8th ed., pp. 537-640). Pearson Education.</w:t>
      </w:r>
    </w:p>
    <w:p w14:paraId="1DC0A6B3" w14:textId="05A55B11" w:rsidR="00334F2E" w:rsidRPr="006B15C8" w:rsidRDefault="00334F2E" w:rsidP="000E5F68">
      <w:pPr>
        <w:pStyle w:val="ListParagraph"/>
        <w:spacing w:line="240" w:lineRule="auto"/>
        <w:ind w:left="450" w:hanging="450"/>
      </w:pPr>
      <w:r w:rsidRPr="006B15C8">
        <w:t xml:space="preserve">Greene, W. H. (2018b). </w:t>
      </w:r>
      <w:r w:rsidRPr="006B15C8">
        <w:rPr>
          <w:rStyle w:val="Strong"/>
          <w:b w:val="0"/>
          <w:bCs w:val="0"/>
        </w:rPr>
        <w:t>Binary Outcomes and Discrete Choices</w:t>
      </w:r>
      <w:r w:rsidRPr="006B15C8">
        <w:t xml:space="preserve">. In </w:t>
      </w:r>
      <w:r w:rsidRPr="006B15C8">
        <w:rPr>
          <w:rStyle w:val="Emphasis"/>
          <w:i w:val="0"/>
          <w:iCs w:val="0"/>
        </w:rPr>
        <w:t>Econometric analysis</w:t>
      </w:r>
      <w:r w:rsidRPr="006B15C8">
        <w:t xml:space="preserve"> (8th ed., pp. 728-756). Pearson Education.</w:t>
      </w:r>
    </w:p>
    <w:p w14:paraId="3ADD21BA" w14:textId="77777777" w:rsidR="00172E73" w:rsidRPr="006B15C8" w:rsidRDefault="00172E73" w:rsidP="000E5F68">
      <w:pPr>
        <w:spacing w:line="240" w:lineRule="auto"/>
        <w:ind w:left="360" w:hanging="360"/>
      </w:pPr>
      <w:r w:rsidRPr="006B15C8">
        <w:lastRenderedPageBreak/>
        <w:t>Greitemeyer, T. (2023). The relationship between social class and unethical and prosocial (traffic) behavior: Two naturalistic replication studies. Social Influence, 18(1), 2203947. https://doi.org/10.1080/15534510.2023.2203947</w:t>
      </w:r>
    </w:p>
    <w:p w14:paraId="50639E82" w14:textId="77777777" w:rsidR="008D5A7F" w:rsidRPr="006B15C8" w:rsidRDefault="008D5A7F" w:rsidP="000E5F68">
      <w:pPr>
        <w:spacing w:line="240" w:lineRule="auto"/>
        <w:ind w:left="360" w:hanging="360"/>
      </w:pPr>
      <w:r w:rsidRPr="006B15C8">
        <w:t xml:space="preserve">Guo, H., Gao, Z., and Yang, X. (2011). Modeling Pedestrian Violation Behavior at Signalized Crosswalks in China: A Hazards-Based Duration Approach. </w:t>
      </w:r>
      <w:r w:rsidR="00921EA7" w:rsidRPr="006B15C8">
        <w:t>Traffic Injury Prevention, 12(1), 96–103. https://doi.org/10.1080/15389588.2010.518652</w:t>
      </w:r>
    </w:p>
    <w:p w14:paraId="18C4B513" w14:textId="77777777" w:rsidR="008D5A7F" w:rsidRPr="006B15C8" w:rsidRDefault="008D5A7F" w:rsidP="000E5F68">
      <w:pPr>
        <w:spacing w:line="240" w:lineRule="auto"/>
        <w:ind w:left="360" w:hanging="360"/>
      </w:pPr>
      <w:r w:rsidRPr="006B15C8">
        <w:t xml:space="preserve">Haddad, A. J., Mondal, A., Bhat, C. R., Zhang, A., Liao, M. C., Macias, L. J., Lee, M. K., and Watkins, S. C. (2023). Pedestrian crash frequency: Unpacking the effects of contributing factors and racial disparities. Accident Analysis and Prevention, 182, 106954. </w:t>
      </w:r>
      <w:r w:rsidR="00B41F57" w:rsidRPr="006B15C8">
        <w:t>https://doi.org/10.1016/j.aap.2023.106954</w:t>
      </w:r>
    </w:p>
    <w:p w14:paraId="549AA4D7" w14:textId="77777777" w:rsidR="005749D1" w:rsidRPr="006B15C8" w:rsidRDefault="00B41F57" w:rsidP="000E5F68">
      <w:pPr>
        <w:spacing w:line="240" w:lineRule="auto"/>
        <w:ind w:left="360" w:hanging="360"/>
      </w:pPr>
      <w:r w:rsidRPr="006B15C8">
        <w:t xml:space="preserve">Hall, D., </w:t>
      </w:r>
      <w:r w:rsidR="001114DB" w:rsidRPr="006B15C8">
        <w:t>and</w:t>
      </w:r>
      <w:r w:rsidRPr="006B15C8">
        <w:t xml:space="preserve"> Perona, P. (2015). Fine-Grained Classification of Pedestrians in Video: Benchmark and State of the Art.</w:t>
      </w:r>
      <w:r w:rsidR="005749D1" w:rsidRPr="006B15C8">
        <w:t xml:space="preserve"> Proceedings of the IEEE Conference on Computer Vision and Pattern Recognition (CVPR),</w:t>
      </w:r>
      <w:r w:rsidRPr="006B15C8">
        <w:t xml:space="preserve"> 5482–5491.</w:t>
      </w:r>
      <w:r w:rsidR="005749D1" w:rsidRPr="006B15C8">
        <w:t xml:space="preserve"> </w:t>
      </w:r>
    </w:p>
    <w:p w14:paraId="4D635731" w14:textId="109F916C" w:rsidR="00B41F57" w:rsidRPr="006B15C8" w:rsidRDefault="00B41F57" w:rsidP="000E5F68">
      <w:pPr>
        <w:spacing w:line="240" w:lineRule="auto"/>
        <w:ind w:left="360"/>
      </w:pPr>
      <w:r w:rsidRPr="006B15C8">
        <w:t>https://openaccess.thecvf.com/content_cvpr_2015/html/Hall_Fine-Grained_Classification_of_2015_CVPR_paper.html</w:t>
      </w:r>
    </w:p>
    <w:p w14:paraId="7714E2F7" w14:textId="3FB06956" w:rsidR="008D5A7F" w:rsidRPr="006B15C8" w:rsidRDefault="008D5A7F" w:rsidP="000E5F68">
      <w:pPr>
        <w:spacing w:line="240" w:lineRule="auto"/>
        <w:ind w:left="360" w:hanging="360"/>
      </w:pPr>
      <w:r w:rsidRPr="006B15C8">
        <w:t xml:space="preserve">Hamann, C., Peek-Asa, C., and Butcher, B. (2020). Racial disparities in pedestrian-related injury hospitalizations in the United States. BMC Public Health, 20(1), 1459. </w:t>
      </w:r>
      <w:r w:rsidR="00C8354C" w:rsidRPr="006B15C8">
        <w:t>https://doi.org/10.1186/s12889-020-09513-8</w:t>
      </w:r>
    </w:p>
    <w:p w14:paraId="6B8161C5" w14:textId="0D2473A1" w:rsidR="00C8354C" w:rsidRPr="006B15C8" w:rsidRDefault="00C8354C" w:rsidP="000E5F68">
      <w:pPr>
        <w:spacing w:line="240" w:lineRule="auto"/>
        <w:ind w:left="360" w:hanging="360"/>
      </w:pPr>
      <w:r w:rsidRPr="006B15C8">
        <w:t xml:space="preserve">Han, S., and Lee, S. (2019). Estimation in a generalization of bivariate probit models with dummy endogenous regressors. Journal of Applied Econometrics, 34(6), 994-1015. </w:t>
      </w:r>
    </w:p>
    <w:p w14:paraId="77541AB5" w14:textId="77777777" w:rsidR="008D5A7F" w:rsidRPr="006B15C8" w:rsidRDefault="008D5A7F" w:rsidP="000E5F68">
      <w:pPr>
        <w:spacing w:line="240" w:lineRule="auto"/>
        <w:ind w:left="360" w:hanging="360"/>
      </w:pPr>
      <w:r w:rsidRPr="006B15C8">
        <w:t>Hengen, K. M., and Alpers, G. W. (2021). Stress Makes the Difference: Social Stress and Social Anxiety in Decision-Making Under Uncertainty. Frontiers in Psychology, 12, 578293. https://doi.org/10.3389/fpsyg.2021.578293</w:t>
      </w:r>
    </w:p>
    <w:p w14:paraId="7091910E" w14:textId="77777777" w:rsidR="00172E73" w:rsidRPr="006B15C8" w:rsidRDefault="00172E73" w:rsidP="000E5F68">
      <w:pPr>
        <w:spacing w:line="240" w:lineRule="auto"/>
        <w:ind w:left="360" w:hanging="360"/>
      </w:pPr>
      <w:r w:rsidRPr="006B15C8">
        <w:t>Hirun, W. (2016). Factors affecting driver yielding behavior at a mid-block zebra crossing. International Journal of Engineering and Technology, 8(2), 906–912.</w:t>
      </w:r>
    </w:p>
    <w:p w14:paraId="1B76B74E" w14:textId="77777777" w:rsidR="008D5A7F" w:rsidRPr="006B15C8" w:rsidRDefault="008D5A7F" w:rsidP="000E5F68">
      <w:pPr>
        <w:spacing w:line="240" w:lineRule="auto"/>
        <w:ind w:left="360" w:hanging="360"/>
      </w:pPr>
      <w:r w:rsidRPr="006B15C8">
        <w:t>Hübner, M., Stockmann, J.-N. B., and Bengler, K. (2025). Crossing the line: Impact of pedestrian group behavior on individual crossing decisions in AV interactions. Transportation Research Part F: Traffic Psychology and Behaviour, 109, 921–937. https://doi.org/10.1016/j.trf.2025.01.020</w:t>
      </w:r>
    </w:p>
    <w:p w14:paraId="3462F07F" w14:textId="77777777" w:rsidR="008D5A7F" w:rsidRPr="006B15C8" w:rsidRDefault="008D5A7F" w:rsidP="000E5F68">
      <w:pPr>
        <w:spacing w:line="240" w:lineRule="auto"/>
        <w:ind w:left="360" w:hanging="360"/>
      </w:pPr>
      <w:r w:rsidRPr="006B15C8">
        <w:t>Ivan, J. N., McKernan, K., Zhang, Y., Ravishanker, N., and Mamun, S. A. (2017). A study of pedestrian compliance with traffic signals for exclusive and concurrent phasing. Accident Analysis and Prevention, 98, 157–166. https://doi.org/10.1016/j.aap.2016.10.003</w:t>
      </w:r>
    </w:p>
    <w:p w14:paraId="52B104B6" w14:textId="77777777" w:rsidR="008D5A7F" w:rsidRPr="006B15C8" w:rsidRDefault="008D5A7F" w:rsidP="000E5F68">
      <w:pPr>
        <w:spacing w:line="240" w:lineRule="auto"/>
        <w:ind w:left="360" w:hanging="360"/>
      </w:pPr>
      <w:r w:rsidRPr="006B15C8">
        <w:t xml:space="preserve">Jamieson, J. P., Koslov, K., Nock, M. K., and Mendes, W. B. (2013). Experiencing Discrimination Increases Risk Taking. Psychological Science, 24(2), 131–139. </w:t>
      </w:r>
      <w:r w:rsidR="00B41F57" w:rsidRPr="006B15C8">
        <w:t>https://doi.org/10.1177/0956797612448194</w:t>
      </w:r>
    </w:p>
    <w:p w14:paraId="6C0EAC61" w14:textId="4DB4453D" w:rsidR="00B41F57" w:rsidRPr="006B15C8" w:rsidRDefault="00B41F57" w:rsidP="000E5F68">
      <w:pPr>
        <w:spacing w:line="240" w:lineRule="auto"/>
        <w:ind w:left="360" w:hanging="360"/>
      </w:pPr>
      <w:r w:rsidRPr="006B15C8">
        <w:t xml:space="preserve">Junejo, I. N., </w:t>
      </w:r>
      <w:r w:rsidR="001114DB" w:rsidRPr="006B15C8">
        <w:t>and</w:t>
      </w:r>
      <w:r w:rsidRPr="006B15C8">
        <w:t xml:space="preserve"> Ahmed, N. (2020). A multi-branch separable convolution neural network for pedestrian attribute recognition. Heliyon, 6(3). </w:t>
      </w:r>
      <w:r w:rsidR="00645B66" w:rsidRPr="006B15C8">
        <w:t>https://doi.org/10.1016/j.heliyon.2020.e03563</w:t>
      </w:r>
    </w:p>
    <w:p w14:paraId="09F80585" w14:textId="77777777" w:rsidR="008D5A7F" w:rsidRPr="006B15C8" w:rsidRDefault="008D5A7F" w:rsidP="000E5F68">
      <w:pPr>
        <w:spacing w:line="240" w:lineRule="auto"/>
        <w:ind w:left="360" w:hanging="360"/>
      </w:pPr>
      <w:r w:rsidRPr="006B15C8">
        <w:t>Kumar, P., Tiwari, G., and Paul, S. B. (2025). Road safety studies at micro, meso, and macroscopic levels: A systematic review. IATSS Research, 49(1), 10–26. https://doi.org/10.1016/j.iatssr.2024.12.001</w:t>
      </w:r>
    </w:p>
    <w:p w14:paraId="0AF87199" w14:textId="77777777" w:rsidR="008D5A7F" w:rsidRPr="006B15C8" w:rsidRDefault="008D5A7F" w:rsidP="000E5F68">
      <w:pPr>
        <w:keepLines/>
        <w:spacing w:line="240" w:lineRule="auto"/>
        <w:ind w:left="360" w:hanging="360"/>
      </w:pPr>
      <w:r w:rsidRPr="006B15C8">
        <w:t>Lee, J., Abdel-Aty, M., Huang, H., and Cai, Q. (2019). Transportation Safety Planning Approach for Pedestrians: An Integrated Framework of Modeling Walking Duration and Pedestrian Fatalities. Transportation Research Record, 2673(4), 898–906. https://doi.org/10.1177/0361198119837962</w:t>
      </w:r>
    </w:p>
    <w:p w14:paraId="782AA97C" w14:textId="77777777" w:rsidR="008D5A7F" w:rsidRPr="006B15C8" w:rsidRDefault="008D5A7F" w:rsidP="000E5F68">
      <w:pPr>
        <w:spacing w:line="240" w:lineRule="auto"/>
        <w:ind w:left="360" w:hanging="360"/>
      </w:pPr>
      <w:r w:rsidRPr="006B15C8">
        <w:lastRenderedPageBreak/>
        <w:t>Liu, X., Qu, W., and Ge, Y. (2022). The nudging effect of social norms on drivers’ yielding behaviour when turning corners. Transportation Research Part F: Traffic Psychology and Behaviour, 89, 53–63. https://doi.org/10.1016/j.trf.2022.06.011</w:t>
      </w:r>
    </w:p>
    <w:p w14:paraId="17B4EF03" w14:textId="77777777" w:rsidR="008D5A7F" w:rsidRPr="006B15C8" w:rsidRDefault="008D5A7F" w:rsidP="000E5F68">
      <w:pPr>
        <w:spacing w:line="240" w:lineRule="auto"/>
        <w:ind w:left="360" w:hanging="360"/>
      </w:pPr>
      <w:r w:rsidRPr="006B15C8">
        <w:t>Liu, Y.-C., and Tung, Y.-C. (2014). Risk analysis of pedestrians’ road-crossing decisions: Effects of age, time gap, time of day, and vehicle speed. Safety Science, 63, 77–82. https://doi.org/10.1016/j.ssci.2013.11.002</w:t>
      </w:r>
    </w:p>
    <w:p w14:paraId="13420E66" w14:textId="77777777" w:rsidR="008D5A7F" w:rsidRPr="006B15C8" w:rsidRDefault="008D5A7F" w:rsidP="000E5F68">
      <w:pPr>
        <w:spacing w:line="240" w:lineRule="auto"/>
        <w:ind w:left="360" w:hanging="360"/>
      </w:pPr>
      <w:r w:rsidRPr="006B15C8">
        <w:t>Long, F. C. (2024). Drawing out perceptions: Using drawing as a method to understand public perceptions of homelessness and crime. International Review of Victimology, 30(2), 336–357. https://doi.org/10.1177/02697580231215439</w:t>
      </w:r>
    </w:p>
    <w:p w14:paraId="682F1D65" w14:textId="77777777" w:rsidR="008D5A7F" w:rsidRPr="006B15C8" w:rsidRDefault="008D5A7F" w:rsidP="000E5F68">
      <w:pPr>
        <w:spacing w:line="240" w:lineRule="auto"/>
        <w:ind w:left="360" w:hanging="360"/>
      </w:pPr>
      <w:r w:rsidRPr="006B15C8">
        <w:t>Ma, Y., Lu, S., and Zhang, Y. (2020). Analysis on Illegal Crossing Behavior of Pedestrians at Signalized Intersections Based on Bayesian Network. Journal of Advanced Transportation, 2020(1), 2675197. https://doi.org/10.1155/2020/2675197</w:t>
      </w:r>
    </w:p>
    <w:p w14:paraId="72878A53" w14:textId="77777777" w:rsidR="008D5A7F" w:rsidRPr="006B15C8" w:rsidRDefault="008D5A7F" w:rsidP="000E5F68">
      <w:pPr>
        <w:spacing w:line="240" w:lineRule="auto"/>
        <w:ind w:left="360" w:hanging="360"/>
      </w:pPr>
      <w:r w:rsidRPr="006B15C8">
        <w:t>McGuckin, N., Fucci, A., and Westat, Inc. (2018). Summary of Travel Trends: 2017 National Household Travel Survey (FHWA-PL-18-019). https://rosap.ntl.bts.gov/view/dot/68751</w:t>
      </w:r>
    </w:p>
    <w:p w14:paraId="54D27BCD" w14:textId="77777777" w:rsidR="008D5A7F" w:rsidRPr="006B15C8" w:rsidRDefault="008D5A7F" w:rsidP="000E5F68">
      <w:pPr>
        <w:spacing w:line="240" w:lineRule="auto"/>
        <w:ind w:left="360" w:hanging="360"/>
      </w:pPr>
      <w:r w:rsidRPr="006B15C8">
        <w:t>Miladi, M., Waygood, E. O. D., Cloutier, M.-S., Bobin, W., and Ali Yas, Z. (2025). Distractions or long waits? Impacts on risky crossing behaviour. IATSS Research, 49(2), 220–230. https://doi.org/10.1016/j.iatssr.2025.05.001</w:t>
      </w:r>
    </w:p>
    <w:p w14:paraId="29E445CF" w14:textId="77777777" w:rsidR="008D5A7F" w:rsidRPr="006B15C8" w:rsidRDefault="008D5A7F" w:rsidP="000E5F68">
      <w:pPr>
        <w:spacing w:line="240" w:lineRule="auto"/>
        <w:ind w:left="360" w:hanging="360"/>
      </w:pPr>
      <w:r w:rsidRPr="006B15C8">
        <w:t>Mirhashemi, A., Amirifar, S., Kashani, A. T., and Zou, X. (2022). Macro-level literature analysis on pedestrian safety: Bibliometric overview, conceptual frames, and trends. Accident Analysis and Prevention, 174, 106720.</w:t>
      </w:r>
    </w:p>
    <w:p w14:paraId="3556E3FA" w14:textId="77777777" w:rsidR="008D5A7F" w:rsidRPr="006B15C8" w:rsidRDefault="008D5A7F" w:rsidP="000E5F68">
      <w:pPr>
        <w:spacing w:line="240" w:lineRule="auto"/>
        <w:ind w:left="360" w:hanging="360"/>
      </w:pPr>
      <w:r w:rsidRPr="006B15C8">
        <w:t>Monk, E. (2022). Monk skin tone scale. Skin Tone Research @ Google AI. https://skintone.google/</w:t>
      </w:r>
    </w:p>
    <w:p w14:paraId="6174B620" w14:textId="77777777" w:rsidR="008D5A7F" w:rsidRPr="006B15C8" w:rsidRDefault="008D5A7F" w:rsidP="000E5F68">
      <w:pPr>
        <w:spacing w:line="240" w:lineRule="auto"/>
        <w:ind w:left="360" w:hanging="360"/>
      </w:pPr>
      <w:r w:rsidRPr="006B15C8">
        <w:t>Morency, P., Gauvin, L., Plante, C., Fournier, M., and Morency, C. (2012). Neighborhood Social Inequalities in Road Traffic Injuries: The Influence of Traffic Volume and Road Design. American Journal of Public Health, 102(6), 1112–1119. https://doi.org/10.2105/AJPH.2011.300528</w:t>
      </w:r>
    </w:p>
    <w:p w14:paraId="557BCE54" w14:textId="77777777" w:rsidR="008D5A7F" w:rsidRPr="006B15C8" w:rsidRDefault="008D5A7F" w:rsidP="000E5F68">
      <w:pPr>
        <w:spacing w:line="240" w:lineRule="auto"/>
        <w:ind w:left="360" w:hanging="360"/>
      </w:pPr>
      <w:r w:rsidRPr="006B15C8">
        <w:t>Morgenroth, T., Fine, C., Ryan, M. K., and Genat, A. E. (2018). Sex, Drugs, and Reckless Driving: Are Measures Biased Toward Identifying Risk-Taking in Men? Social Psychological and Personality Science, 9(6), 744–753. https://doi.org/10.1177/1948550617722833</w:t>
      </w:r>
    </w:p>
    <w:p w14:paraId="09A74B27" w14:textId="77777777" w:rsidR="008D5A7F" w:rsidRPr="006B15C8" w:rsidRDefault="008D5A7F" w:rsidP="000E5F68">
      <w:pPr>
        <w:spacing w:line="240" w:lineRule="auto"/>
        <w:ind w:left="360" w:hanging="360"/>
      </w:pPr>
      <w:r w:rsidRPr="006B15C8">
        <w:t>Mukherjee, D., and Mitra, S. (2020). A comprehensive study on factors influencing pedestrian signal violation behaviour: Experience from Kolkata City, India. Safety Science, 124, 104610. https://doi.org/10.1016/j.ssci.2020.104610</w:t>
      </w:r>
    </w:p>
    <w:p w14:paraId="71FADA73" w14:textId="77777777" w:rsidR="008D5A7F" w:rsidRPr="006B15C8" w:rsidRDefault="008D5A7F" w:rsidP="000E5F68">
      <w:pPr>
        <w:spacing w:line="240" w:lineRule="auto"/>
        <w:ind w:left="360" w:hanging="360"/>
      </w:pPr>
      <w:r w:rsidRPr="006B15C8">
        <w:t>Naumann, R., West, B., Barry, V., Matthews, S., and Lee, R. (2025). Pedestrian and Overall Road Traffic Crash Deaths—United States and 27 Other High-Income Countries (Morbidity and Mortality Weekly Report (MMWR)). CDC. https://www.cdc.gov/mmwr/volumes/74/wr/mm7408a2.htm</w:t>
      </w:r>
    </w:p>
    <w:p w14:paraId="3F9B7253" w14:textId="77777777" w:rsidR="008D5A7F" w:rsidRPr="006B15C8" w:rsidRDefault="008D5A7F" w:rsidP="000E5F68">
      <w:pPr>
        <w:spacing w:line="240" w:lineRule="auto"/>
        <w:ind w:left="360" w:hanging="360"/>
      </w:pPr>
      <w:r w:rsidRPr="006B15C8">
        <w:t>Nazemi, M., Rababah, B., Ramos, D., Zhao, T., and Farooq, B. (2025). Decoding pedestrian stress on urban streets using electrodermal activity monitoring in virtual immersive reality. Transportation Research Part C: Emerging Technologies, 171, 104952. https://doi.org/10.1016/j.trc.2024.104952</w:t>
      </w:r>
    </w:p>
    <w:p w14:paraId="497DC06E" w14:textId="77777777" w:rsidR="008D5A7F" w:rsidRPr="006B15C8" w:rsidRDefault="008D5A7F" w:rsidP="000E5F68">
      <w:pPr>
        <w:spacing w:line="240" w:lineRule="auto"/>
        <w:ind w:left="360" w:hanging="360"/>
      </w:pPr>
      <w:r w:rsidRPr="006B15C8">
        <w:t>NHTSA. (2024a). Traffic Saftey Facts 2022 Data. U.S. Department of Transportation. https://crashstats.nhtsa.dot.gov/Api/Public/ViewPublication/813590</w:t>
      </w:r>
    </w:p>
    <w:p w14:paraId="784C1379" w14:textId="77777777" w:rsidR="008D5A7F" w:rsidRPr="006B15C8" w:rsidRDefault="008D5A7F" w:rsidP="000E5F68">
      <w:pPr>
        <w:spacing w:line="240" w:lineRule="auto"/>
        <w:ind w:left="360" w:hanging="360"/>
      </w:pPr>
      <w:r w:rsidRPr="006B15C8">
        <w:t>NHTSA. (2024b). FARS Web-Based Encyclopedia. U.S. Department of Transportation. https://www-fars.nhtsa.dot.gov/Main/index.aspx</w:t>
      </w:r>
    </w:p>
    <w:p w14:paraId="19940F28" w14:textId="77777777" w:rsidR="008D5A7F" w:rsidRPr="006B15C8" w:rsidRDefault="008D5A7F" w:rsidP="000E5F68">
      <w:pPr>
        <w:spacing w:line="240" w:lineRule="auto"/>
        <w:ind w:left="360" w:hanging="360"/>
      </w:pPr>
      <w:r w:rsidRPr="006B15C8">
        <w:t>Payne, B. K., and Hannay, J. W. (2021). Implicit bias reflects systemic racism. Trends in Cognitive Sciences, 25(11), 927–936. https://doi.org/10.1016/j.tics.2021.08.001</w:t>
      </w:r>
    </w:p>
    <w:p w14:paraId="6016314B" w14:textId="77777777" w:rsidR="008D5A7F" w:rsidRPr="006B15C8" w:rsidRDefault="008D5A7F" w:rsidP="000E5F68">
      <w:pPr>
        <w:spacing w:line="240" w:lineRule="auto"/>
        <w:ind w:left="360" w:hanging="360"/>
      </w:pPr>
      <w:r w:rsidRPr="006B15C8">
        <w:lastRenderedPageBreak/>
        <w:t xml:space="preserve">Pechteep, P., Luathep, P., Jaensirisak, S., and Kronprasert, N. (2024). Analysis of Factors Influencing Driver Yielding Behavior at Midblock Crosswalks on Urban Arterial Roads in Thailand. Sustainability, 16(10), Article 10. </w:t>
      </w:r>
      <w:r w:rsidR="00187BA9" w:rsidRPr="006B15C8">
        <w:t>https://doi.org/10.3390/su16104118</w:t>
      </w:r>
    </w:p>
    <w:p w14:paraId="6C23EB83" w14:textId="3A978B92" w:rsidR="008D5A7F" w:rsidRPr="006B15C8" w:rsidRDefault="008D5A7F" w:rsidP="000E5F68">
      <w:pPr>
        <w:spacing w:line="240" w:lineRule="auto"/>
        <w:ind w:left="360" w:hanging="360"/>
      </w:pPr>
      <w:r w:rsidRPr="006B15C8">
        <w:t>Piazza, A. J., Knowlden, A. P., Hibberd, E., Leeper, J., Paschal, A. M., and Usdan, S. (2022). Distracted mobile device use among street-crossing college student pedestrians: An observational approach. Journal of American College Health : J of ACH, 70(7), 2135–2142. https://doi.org/10.1080/07448481.2020.1845182</w:t>
      </w:r>
    </w:p>
    <w:p w14:paraId="390EE5E5" w14:textId="77777777" w:rsidR="008D5A7F" w:rsidRPr="006B15C8" w:rsidRDefault="008D5A7F" w:rsidP="000E5F68">
      <w:pPr>
        <w:keepLines/>
        <w:spacing w:line="240" w:lineRule="auto"/>
        <w:ind w:left="360" w:hanging="360"/>
      </w:pPr>
      <w:r w:rsidRPr="006B15C8">
        <w:t>Pinnow, J., Masoud, M., Elhenawy, M., and Glaser, S. (2021). A review of naturalistic driving study surrogates and surrogate indicator viability within the context of different road geometries. Accident Analysis and Prevention, 157, 106185. https://doi.org/10.1016/j.aap.2021.106185</w:t>
      </w:r>
    </w:p>
    <w:p w14:paraId="0B964BD9" w14:textId="77777777" w:rsidR="008D5A7F" w:rsidRPr="006B15C8" w:rsidRDefault="008D5A7F" w:rsidP="000E5F68">
      <w:pPr>
        <w:spacing w:line="240" w:lineRule="auto"/>
        <w:ind w:left="360" w:hanging="360"/>
      </w:pPr>
      <w:r w:rsidRPr="006B15C8">
        <w:t>Rafe, A., Singleton, P. A., Boyer, S., and Mekker, M. (2025). Pedestrian crossing behaviors at signalized intersections in Utah: Factors affecting spatial and temporal violations. International Journal of Transportation Science and Technology. https://doi.org/10.1016/j.ijtst.2024.12.005</w:t>
      </w:r>
    </w:p>
    <w:p w14:paraId="1FE88C84" w14:textId="77777777" w:rsidR="008D5A7F" w:rsidRPr="006B15C8" w:rsidRDefault="008D5A7F" w:rsidP="000E5F68">
      <w:pPr>
        <w:spacing w:line="240" w:lineRule="auto"/>
        <w:ind w:left="360" w:hanging="360"/>
      </w:pPr>
      <w:r w:rsidRPr="006B15C8">
        <w:t>Raoniar, R., Singh, S., Pathak, A., and Maurya, A. K. (2024). Analysis of Pedestrian–Vehicle Interaction Dynamics at Signalized Urban Intersections: A Surrogate Safety Measure Approach. Transportation Research Record, 03611981241289412. https://doi.org/10.1177/03611981241289412</w:t>
      </w:r>
    </w:p>
    <w:p w14:paraId="37635EC6" w14:textId="77777777" w:rsidR="008D5A7F" w:rsidRPr="006B15C8" w:rsidRDefault="008D5A7F" w:rsidP="000E5F68">
      <w:pPr>
        <w:spacing w:line="240" w:lineRule="auto"/>
        <w:ind w:left="360" w:hanging="360"/>
      </w:pPr>
      <w:r w:rsidRPr="006B15C8">
        <w:t>Reniers, R. L. E. P., Murphy, L., Lin, A., Bartolomé, S. P., and Wood, S. J. (2016). Risk Perception and Risk-Taking Behaviour during Adolescence: The Influence of Personality and Gender. PLOS ONE, 11(4), e0153842. https://doi.org/10.1371/journal.pone.0153842</w:t>
      </w:r>
    </w:p>
    <w:p w14:paraId="7A379BF5" w14:textId="63557A4F" w:rsidR="008D5A7F" w:rsidRPr="006B15C8" w:rsidRDefault="008D5A7F" w:rsidP="000E5F68">
      <w:pPr>
        <w:spacing w:line="240" w:lineRule="auto"/>
        <w:ind w:left="360" w:hanging="360"/>
      </w:pPr>
      <w:r w:rsidRPr="006B15C8">
        <w:t xml:space="preserve">Richards, J., and Kuhn, R. (2022). Unsheltered Homelessness and Health: A Literature Review. AJPM Focus, 2(1), 100043. </w:t>
      </w:r>
      <w:r w:rsidR="00E77789" w:rsidRPr="006B15C8">
        <w:t>https://doi.org/10.1016/j.focus.2022.100043</w:t>
      </w:r>
    </w:p>
    <w:p w14:paraId="0D08DC85" w14:textId="69635B10" w:rsidR="00E77789" w:rsidRPr="006B15C8" w:rsidRDefault="00E77789" w:rsidP="000E5F68">
      <w:pPr>
        <w:spacing w:line="240" w:lineRule="auto"/>
        <w:ind w:left="360" w:hanging="360"/>
      </w:pPr>
      <w:r w:rsidRPr="006B15C8">
        <w:t>Robbennolt, D., Hardman, S., Firestone, J., and Bhat, C. R. (2025). A model of electric vehicle adoption and motivating reasons for adoption. Transportation Research Part D: Transport and Environment, 146, 104906. https://doi.org/10.1016/j.trd.2025.104906</w:t>
      </w:r>
    </w:p>
    <w:p w14:paraId="4266F187" w14:textId="77777777" w:rsidR="008D5A7F" w:rsidRPr="006B15C8" w:rsidRDefault="008D5A7F" w:rsidP="000E5F68">
      <w:pPr>
        <w:spacing w:line="240" w:lineRule="auto"/>
        <w:ind w:left="360" w:hanging="360"/>
      </w:pPr>
      <w:r w:rsidRPr="006B15C8">
        <w:t>Roll, J., and McNeil, N. (2022). Race and income disparities in pedestrian injuries: Factors influencing pedestrian safety inequity. Transportation Research Part D: Transport and Environment, 107, 103294. https://doi.org/10.1016/j.trd.2022.103294</w:t>
      </w:r>
    </w:p>
    <w:p w14:paraId="024C94B3" w14:textId="77777777" w:rsidR="008D5A7F" w:rsidRPr="006B15C8" w:rsidRDefault="008D5A7F" w:rsidP="000E5F68">
      <w:pPr>
        <w:keepLines/>
        <w:spacing w:line="240" w:lineRule="auto"/>
        <w:ind w:left="360" w:hanging="360"/>
      </w:pPr>
      <w:r w:rsidRPr="006B15C8">
        <w:t xml:space="preserve">Russo, B. J., James, E., Aguilar, C. Y., and Smaglik, E. J. (2018). Pedestrian Behavior at Signalized Intersection Crosswalks: Observational Study of Factors Associated with Distracted Walking, Pedestrian Violations, and Walking Speed. Transportation Research Record, 2672(35), 1–12. </w:t>
      </w:r>
      <w:r w:rsidR="00C13E2D" w:rsidRPr="006B15C8">
        <w:t>https://doi.org/10.1177/0361198118759949</w:t>
      </w:r>
    </w:p>
    <w:p w14:paraId="4EF14389" w14:textId="77777777" w:rsidR="00C13E2D" w:rsidRPr="006B15C8" w:rsidRDefault="00C13E2D" w:rsidP="000E5F68">
      <w:pPr>
        <w:keepLines/>
        <w:spacing w:line="240" w:lineRule="auto"/>
        <w:ind w:left="360" w:hanging="360"/>
      </w:pPr>
      <w:r w:rsidRPr="006B15C8">
        <w:t xml:space="preserve">Sakib, S., Deb, K., Kumar Dhar, P., </w:t>
      </w:r>
      <w:r w:rsidR="001114DB" w:rsidRPr="006B15C8">
        <w:t>and</w:t>
      </w:r>
      <w:r w:rsidRPr="006B15C8">
        <w:t xml:space="preserve"> Kwon, O.-J. (2022). A Framework for Pedestrian Attribute Recognition Using Deep Learning. https://www.mdpi.com/2076-3417/12/2/622</w:t>
      </w:r>
    </w:p>
    <w:p w14:paraId="18B8B491" w14:textId="77777777" w:rsidR="008D5A7F" w:rsidRPr="006B15C8" w:rsidRDefault="008D5A7F" w:rsidP="000E5F68">
      <w:pPr>
        <w:spacing w:line="240" w:lineRule="auto"/>
        <w:ind w:left="360" w:hanging="360"/>
      </w:pPr>
      <w:r w:rsidRPr="006B15C8">
        <w:t>Sanders, R. L., and Schneider, R. J. (2022). An exploration of pedestrian fatalities by race in the United States. Transportation Research Part D: Transport and Environment, 107, 103298. https://doi.org/10.1016/j.trd.2022.103298</w:t>
      </w:r>
    </w:p>
    <w:p w14:paraId="00F3E856" w14:textId="77777777" w:rsidR="008D5A7F" w:rsidRPr="006B15C8" w:rsidRDefault="008D5A7F" w:rsidP="000E5F68">
      <w:pPr>
        <w:spacing w:line="240" w:lineRule="auto"/>
        <w:ind w:left="360" w:hanging="360"/>
      </w:pPr>
      <w:r w:rsidRPr="006B15C8">
        <w:t>Sanders, R. L., Schneider, R. J., and Proulx, F. R. (2022). Pedestrian fatalities in darkness: What do we know, and what can be done? Transport Policy, 120, 23–39. https://doi.org/10.1016/j.tranpol.2022.02.010</w:t>
      </w:r>
    </w:p>
    <w:p w14:paraId="2824CD90" w14:textId="77777777" w:rsidR="008D5A7F" w:rsidRPr="006B15C8" w:rsidRDefault="008D5A7F" w:rsidP="000E5F68">
      <w:pPr>
        <w:spacing w:line="240" w:lineRule="auto"/>
        <w:ind w:left="360" w:hanging="360"/>
      </w:pPr>
      <w:r w:rsidRPr="006B15C8">
        <w:t>Schneider, R. J., Sanatizadeh, A., Shaon, M. R. R., He, Z., and Qin, X. (2018). Exploratory analysis of driver yielding at low-speed, uncontrolled crosswalks in Milwaukee, Wisconsin. Transportation Research Record, 2672(35), 21–32.</w:t>
      </w:r>
    </w:p>
    <w:p w14:paraId="26EEC822" w14:textId="77777777" w:rsidR="008D5A7F" w:rsidRPr="006B15C8" w:rsidRDefault="008D5A7F" w:rsidP="000E5F68">
      <w:pPr>
        <w:spacing w:line="240" w:lineRule="auto"/>
        <w:ind w:left="360" w:hanging="360"/>
      </w:pPr>
      <w:r w:rsidRPr="006B15C8">
        <w:lastRenderedPageBreak/>
        <w:t>Schwebel, D. C., Canter, M. F., Hasan, R., Griffin, R., White, T. R., and Johnston, A. (2022). Distracted pedestrian behavior: An observational study of risk by situational environments. Traffic Injury Prevention, 23(6), 346–351. https://doi.org/10.1080/15389588.2022.2076282</w:t>
      </w:r>
    </w:p>
    <w:p w14:paraId="318095E2" w14:textId="77777777" w:rsidR="008D5A7F" w:rsidRPr="006B15C8" w:rsidRDefault="008D5A7F" w:rsidP="000E5F68">
      <w:pPr>
        <w:spacing w:line="240" w:lineRule="auto"/>
        <w:ind w:left="360" w:hanging="360"/>
      </w:pPr>
      <w:r w:rsidRPr="006B15C8">
        <w:t>Shinobi Systems. (2025). ShinobiDocs. https://docs.shinobi.video/</w:t>
      </w:r>
    </w:p>
    <w:p w14:paraId="2D02D2E9" w14:textId="77777777" w:rsidR="008D5A7F" w:rsidRPr="006B15C8" w:rsidRDefault="008D5A7F" w:rsidP="000E5F68">
      <w:pPr>
        <w:spacing w:line="240" w:lineRule="auto"/>
        <w:ind w:left="360" w:hanging="360"/>
      </w:pPr>
      <w:r w:rsidRPr="006B15C8">
        <w:t>Shrinivas, V., Bastien, C., Davies, H., Daneshkhah, A., and Hardwicke, J. (2023). Parameters influencing pedestrian injury and severity – A systematic review and meta-analysis. Transportation Engineering, 11, 100158. https://doi.org/10.1016/j.treng.2022.100158</w:t>
      </w:r>
    </w:p>
    <w:p w14:paraId="606201A2" w14:textId="77777777" w:rsidR="008D5A7F" w:rsidRPr="006B15C8" w:rsidRDefault="008D5A7F" w:rsidP="000E5F68">
      <w:pPr>
        <w:spacing w:line="240" w:lineRule="auto"/>
        <w:ind w:left="360" w:hanging="360"/>
      </w:pPr>
      <w:r w:rsidRPr="006B15C8">
        <w:t>Skinner-Dorkenoo, A. L., George, M., Wages, J. E., Sánchez, S., and Perry, S. P. (2023). A systemic approach to the psychology of racial bias within individuals and society. Nature Reviews Psychology, 2(7), 392–406. https://doi.org/10.1038/s44159-023-00190-z</w:t>
      </w:r>
    </w:p>
    <w:p w14:paraId="2AE582E6" w14:textId="77777777" w:rsidR="008D5A7F" w:rsidRPr="006B15C8" w:rsidRDefault="008D5A7F" w:rsidP="000E5F68">
      <w:pPr>
        <w:spacing w:line="240" w:lineRule="auto"/>
        <w:ind w:left="360" w:hanging="360"/>
      </w:pPr>
      <w:r w:rsidRPr="006B15C8">
        <w:t>Smart Growth America. (2024). Dangerous by Design 2024. https://smartgrowthamerica.org/resources/dangerous-by-design-2024/</w:t>
      </w:r>
    </w:p>
    <w:p w14:paraId="1DFE192F" w14:textId="77777777" w:rsidR="008D5A7F" w:rsidRPr="006B15C8" w:rsidRDefault="008D5A7F" w:rsidP="000E5F68">
      <w:pPr>
        <w:spacing w:line="240" w:lineRule="auto"/>
        <w:ind w:left="360" w:hanging="360"/>
      </w:pPr>
      <w:r w:rsidRPr="006B15C8">
        <w:t>Speer, J. (2019). Urban makeovers, homeless encampments, and the aesthetics of displacement. Social and Cultural Geography, 20(4), 575–595. https://doi.org/10.1080/14649365.2018.1509115</w:t>
      </w:r>
    </w:p>
    <w:p w14:paraId="3818F318" w14:textId="77777777" w:rsidR="008D5A7F" w:rsidRPr="006B15C8" w:rsidRDefault="008D5A7F" w:rsidP="000E5F68">
      <w:pPr>
        <w:spacing w:line="240" w:lineRule="auto"/>
        <w:ind w:left="360" w:hanging="360"/>
      </w:pPr>
      <w:r w:rsidRPr="006B15C8">
        <w:t>Steimer, T. (2002). The biology of fear- and anxiety-related behaviors. Dialogues in Clinical Neuroscience, 4(3), 231–249.</w:t>
      </w:r>
    </w:p>
    <w:p w14:paraId="3032C373" w14:textId="77777777" w:rsidR="008D5A7F" w:rsidRPr="006B15C8" w:rsidRDefault="008D5A7F" w:rsidP="000E5F68">
      <w:pPr>
        <w:spacing w:line="240" w:lineRule="auto"/>
        <w:ind w:left="360" w:hanging="360"/>
      </w:pPr>
      <w:r w:rsidRPr="006B15C8">
        <w:t>Texas Transportation Code, Tex. Transp. Code § 552 (2023). https://statutes.capitol.texas.gov/docs/tn/htm/tn.552.htm</w:t>
      </w:r>
    </w:p>
    <w:p w14:paraId="2680E38D" w14:textId="77777777" w:rsidR="008D5A7F" w:rsidRPr="006B15C8" w:rsidRDefault="008D5A7F" w:rsidP="000E5F68">
      <w:pPr>
        <w:spacing w:line="240" w:lineRule="auto"/>
        <w:ind w:left="360" w:hanging="360"/>
      </w:pPr>
      <w:r w:rsidRPr="006B15C8">
        <w:t>The White House. (2024, July 3). Racial Discrimination in Contemporary America. https://bidenwhitehouse.archives.gov/cea/written-materials/2024/07/03/racial-discrimination-in-contemporary-america/</w:t>
      </w:r>
    </w:p>
    <w:p w14:paraId="39A66AB8" w14:textId="77777777" w:rsidR="008D5A7F" w:rsidRPr="006B15C8" w:rsidRDefault="008D5A7F" w:rsidP="000E5F68">
      <w:pPr>
        <w:spacing w:line="240" w:lineRule="auto"/>
        <w:ind w:left="360" w:hanging="360"/>
      </w:pPr>
      <w:r w:rsidRPr="006B15C8">
        <w:t>Theofilatos, A., Ziakopoulos, A., Oviedo-Trespalacios, O., and Timmis, A. (2021). To cross or not to cross? Review and meta-analysis of pedestrian gap acceptance decisions at midblock street crossings. Journal of Transport and Health, 22, 101108. https://doi.org/10.1016/j.jth.2021.101108</w:t>
      </w:r>
    </w:p>
    <w:p w14:paraId="42093712" w14:textId="77777777" w:rsidR="00334F2E" w:rsidRPr="006B15C8" w:rsidRDefault="00334F2E" w:rsidP="000E5F68">
      <w:pPr>
        <w:pStyle w:val="ListParagraph"/>
        <w:spacing w:line="240" w:lineRule="auto"/>
        <w:ind w:left="450" w:hanging="450"/>
      </w:pPr>
      <w:r w:rsidRPr="006B15C8">
        <w:t>Train, K. E. (2009). Logit. In Discrete Choice Methods with Simulation (2nd ed., pp 34-75). Cambridge University Press.</w:t>
      </w:r>
    </w:p>
    <w:p w14:paraId="53762A0A" w14:textId="62D22904" w:rsidR="00A40197" w:rsidRPr="006B15C8" w:rsidRDefault="00A40197" w:rsidP="000E5F68">
      <w:pPr>
        <w:spacing w:line="240" w:lineRule="auto"/>
        <w:ind w:left="360" w:hanging="360"/>
      </w:pPr>
      <w:r w:rsidRPr="006B15C8">
        <w:t>U.S. Census Bureau. (2023). American Community Survey 2019–2023 5-year estimates (ACS2023_5yr) [Data set]. Social Explorer.</w:t>
      </w:r>
    </w:p>
    <w:p w14:paraId="7F83420A" w14:textId="77777777" w:rsidR="008D5A7F" w:rsidRPr="006B15C8" w:rsidRDefault="008D5A7F" w:rsidP="000E5F68">
      <w:pPr>
        <w:spacing w:line="240" w:lineRule="auto"/>
        <w:ind w:left="360" w:hanging="360"/>
      </w:pPr>
      <w:r w:rsidRPr="006B15C8">
        <w:t xml:space="preserve">U.S. Department of Transportation. (2024). National Highway Traffic Safety Administration (NHTSA) [Dataset]. </w:t>
      </w:r>
      <w:r w:rsidR="00E925B1" w:rsidRPr="006B15C8">
        <w:t xml:space="preserve">https://www.nhtsa.gov/crash-data-systems/fatality-analysis-reporting-system </w:t>
      </w:r>
    </w:p>
    <w:p w14:paraId="69896B99" w14:textId="77777777" w:rsidR="008D5A7F" w:rsidRPr="006B15C8" w:rsidRDefault="008D5A7F" w:rsidP="000E5F68">
      <w:pPr>
        <w:spacing w:line="240" w:lineRule="auto"/>
        <w:ind w:left="360" w:hanging="360"/>
      </w:pPr>
      <w:r w:rsidRPr="006B15C8">
        <w:t>USDOT. (2024). Promising Practices for Transportation Agencies to Address Road Safety among People Experiencing Homelessness.</w:t>
      </w:r>
      <w:r w:rsidR="000F12F0" w:rsidRPr="006B15C8">
        <w:t xml:space="preserve"> </w:t>
      </w:r>
      <w:r w:rsidR="000F12F0" w:rsidRPr="006B15C8">
        <w:rPr>
          <w:rFonts w:eastAsia="Calibri"/>
          <w:color w:val="000000"/>
          <w:kern w:val="1"/>
        </w:rPr>
        <w:t>Federal Highway Administration.</w:t>
      </w:r>
      <w:r w:rsidRPr="006B15C8">
        <w:t xml:space="preserve"> </w:t>
      </w:r>
      <w:r w:rsidR="000F12F0" w:rsidRPr="006B15C8">
        <w:t xml:space="preserve">https://highways.dot.gov/sites/fhwa.dot.gov/files/Promising_Practices_to_Address_Road_Safety_among_People_Experiencing_Homelessness_FHWA.pdf </w:t>
      </w:r>
    </w:p>
    <w:p w14:paraId="6E227C8A" w14:textId="337C7B82" w:rsidR="008D5A7F" w:rsidRPr="006B15C8" w:rsidRDefault="008D5A7F" w:rsidP="000E5F68">
      <w:pPr>
        <w:spacing w:line="240" w:lineRule="auto"/>
        <w:ind w:left="360" w:hanging="360"/>
      </w:pPr>
      <w:r w:rsidRPr="006B15C8">
        <w:t>Wages III, J. E., Perry, S. P., Skinner-Dorkenoo, A. L., and Bodenhausen, G. V. (2022). Reckless gambles and responsible ventures: Racialized prototypes of risk-taking. Journal of Personality and Social Psychology, 122(2), 202–221. https://doi.org/10.1037/pspa0000287</w:t>
      </w:r>
    </w:p>
    <w:p w14:paraId="3C10B025" w14:textId="77777777" w:rsidR="008D5A7F" w:rsidRPr="006B15C8" w:rsidRDefault="008D5A7F" w:rsidP="000E5F68">
      <w:pPr>
        <w:spacing w:line="240" w:lineRule="auto"/>
        <w:ind w:left="360" w:hanging="360"/>
      </w:pPr>
      <w:r w:rsidRPr="006B15C8">
        <w:t xml:space="preserve">Wan, Y., Xu, Y., Xu, Y., Wang, H., Wang, J., and Liu, M. (2023). A Computer Vision-Based Algorithm for Detecting Vehicle Yielding to Pedestrians. Sustainability, 15(22), Article 22. </w:t>
      </w:r>
      <w:r w:rsidR="00E925B1" w:rsidRPr="006B15C8">
        <w:t xml:space="preserve">https://doi.org/10.3390/su152215714 </w:t>
      </w:r>
    </w:p>
    <w:p w14:paraId="67425893" w14:textId="77777777" w:rsidR="00DF7490" w:rsidRPr="006B15C8" w:rsidRDefault="00DF7490" w:rsidP="000E5F68">
      <w:pPr>
        <w:spacing w:line="240" w:lineRule="auto"/>
        <w:ind w:left="360" w:hanging="360"/>
      </w:pPr>
      <w:r w:rsidRPr="006B15C8">
        <w:t xml:space="preserve">Wasserstein, R.L., Lazar, N.A., 2016. The ASA Statement on P-Values: Context, Process, and Purpose. The American Statistician 70, 129–133. https://doi.org/10.1080/00031305.2016.1154108 </w:t>
      </w:r>
    </w:p>
    <w:p w14:paraId="774CF722" w14:textId="77777777" w:rsidR="00DF7490" w:rsidRPr="006B15C8" w:rsidRDefault="00DF7490" w:rsidP="000E5F68">
      <w:pPr>
        <w:spacing w:line="240" w:lineRule="auto"/>
        <w:ind w:left="360" w:hanging="360"/>
      </w:pPr>
      <w:r w:rsidRPr="006B15C8">
        <w:lastRenderedPageBreak/>
        <w:t>Wasserstein, R.L., Schirm, A.L., Lazar, N.A., 2019. Moving to a World Beyond “p &lt; 0.05.” The American Statistician 73, 1–19. https://doi.org/10.1080/00031305.2019.1583913</w:t>
      </w:r>
    </w:p>
    <w:p w14:paraId="5EB1DD98" w14:textId="77777777" w:rsidR="00DF7490" w:rsidRPr="006B15C8" w:rsidRDefault="008D5A7F" w:rsidP="000E5F68">
      <w:pPr>
        <w:spacing w:line="240" w:lineRule="auto"/>
        <w:ind w:left="360" w:hanging="360"/>
      </w:pPr>
      <w:r w:rsidRPr="006B15C8">
        <w:t xml:space="preserve">Wells, H. L., McClure, L. A., Porter, B. E., and Schwebel, D. C. (2018). Distracted pedestrian behavior on two urban college campuses. Journal of Community Health, 43(1), 96–102. </w:t>
      </w:r>
      <w:r w:rsidR="00E925B1" w:rsidRPr="006B15C8">
        <w:t xml:space="preserve">https://doi.org/10.1007/s10900-017-0392-x </w:t>
      </w:r>
    </w:p>
    <w:p w14:paraId="688EEF00" w14:textId="77777777" w:rsidR="008D5A7F" w:rsidRPr="006B15C8" w:rsidRDefault="008D5A7F" w:rsidP="000E5F68">
      <w:pPr>
        <w:spacing w:line="240" w:lineRule="auto"/>
        <w:ind w:left="360" w:hanging="360"/>
      </w:pPr>
      <w:r w:rsidRPr="006B15C8">
        <w:t>Widera, J. (202</w:t>
      </w:r>
      <w:r w:rsidR="00DD5ADD" w:rsidRPr="006B15C8">
        <w:t>4</w:t>
      </w:r>
      <w:r w:rsidRPr="006B15C8">
        <w:t xml:space="preserve">). Pedestrian Mobilities at the Crossroads: The Contestation and Regulation of Jaywalking. International Journal of Communication, 18, </w:t>
      </w:r>
      <w:r w:rsidR="003157CB" w:rsidRPr="006B15C8">
        <w:t>Forum 815–821</w:t>
      </w:r>
      <w:r w:rsidRPr="006B15C8">
        <w:t>.</w:t>
      </w:r>
    </w:p>
    <w:p w14:paraId="19614311" w14:textId="6E1D3C79" w:rsidR="005270EE" w:rsidRPr="006B15C8" w:rsidRDefault="005270EE" w:rsidP="000E5F68">
      <w:pPr>
        <w:spacing w:line="240" w:lineRule="auto"/>
        <w:ind w:left="360" w:hanging="360"/>
      </w:pPr>
      <w:r w:rsidRPr="006B15C8">
        <w:t>Wooldridge, J. M. (1995). Selection corrections for panel data models under conditional mean independence assumptions. Journal of Econometrics, 68(1), 115–132. https://doi.org/10.1016/0304-4076(94)01645-G</w:t>
      </w:r>
    </w:p>
    <w:p w14:paraId="4E73CA96" w14:textId="6BFE8BA4" w:rsidR="008D5A7F" w:rsidRPr="006B15C8" w:rsidRDefault="008D5A7F" w:rsidP="000E5F68">
      <w:pPr>
        <w:keepLines/>
        <w:spacing w:line="240" w:lineRule="auto"/>
        <w:ind w:left="360" w:hanging="360"/>
      </w:pPr>
      <w:r w:rsidRPr="006B15C8">
        <w:t xml:space="preserve">Xie, M., Cheng, W., Gill, G. S., Zhou, J., Jia, X., and Choi, S. (2018). Investigation of hit-and-run crash occurrence and severity using real-time loop detector data and hierarchical Bayesian binary logit model with random effects. Traffic Injury Prevention, 19(2), 207–213. </w:t>
      </w:r>
      <w:r w:rsidR="0017115E" w:rsidRPr="006B15C8">
        <w:t>https://doi.org/10.1080/15389588.2017.1371302</w:t>
      </w:r>
    </w:p>
    <w:p w14:paraId="4B2FB26F" w14:textId="77777777" w:rsidR="008D5A7F" w:rsidRPr="006B15C8" w:rsidRDefault="008D5A7F" w:rsidP="000E5F68">
      <w:pPr>
        <w:spacing w:line="240" w:lineRule="auto"/>
        <w:ind w:left="360" w:hanging="360"/>
      </w:pPr>
      <w:r w:rsidRPr="006B15C8">
        <w:t>Xie, T. H., Ahuja, M., McCutcheon, V. V., and Bucholz, K. K. (2020). Associations between Racial and Socioeconomic Discrimination and Risk Behaviors among African-American Adolescents and Young Adults: A Latent Class Analysis. Social Psychiatry and Psychiatric Epidemiology, 55(11), 1479–1489. https://doi.org/10.1007/s00127-020-01884-y</w:t>
      </w:r>
    </w:p>
    <w:p w14:paraId="7FDD3346" w14:textId="77777777" w:rsidR="008D5A7F" w:rsidRPr="006B15C8" w:rsidRDefault="008D5A7F" w:rsidP="000E5F68">
      <w:pPr>
        <w:spacing w:line="240" w:lineRule="auto"/>
        <w:ind w:left="360" w:hanging="360"/>
      </w:pPr>
      <w:r w:rsidRPr="006B15C8">
        <w:t>Xiong, H., Ma, L., Ning, M., Zhao, X., and Weng, J. (2019). The tolerable waiting time: A generalized Pareto distribution model with empirical investigation. Computers and Industrial Engineering, 137, 106019. https://doi.org/10.1016/j.cie.2019.106019</w:t>
      </w:r>
    </w:p>
    <w:p w14:paraId="6404F44C" w14:textId="77777777" w:rsidR="008D5A7F" w:rsidRPr="006B15C8" w:rsidRDefault="008D5A7F" w:rsidP="000E5F68">
      <w:pPr>
        <w:spacing w:line="240" w:lineRule="auto"/>
        <w:ind w:left="360" w:hanging="360"/>
      </w:pPr>
      <w:r w:rsidRPr="006B15C8">
        <w:t xml:space="preserve">Yu, C.-Y., Zhu, X., and Lee, C. (2022). Income and Racial Disparity and the Role of the Built Environment in Pedestrian Injuries. Journal of Planning Education and Research, 42(2), 136–149. </w:t>
      </w:r>
      <w:r w:rsidR="00EB50CD" w:rsidRPr="006B15C8">
        <w:t>https://doi.org/10.1177/0739456X18807759</w:t>
      </w:r>
    </w:p>
    <w:p w14:paraId="2D1CE8CB" w14:textId="77777777" w:rsidR="008D5A7F" w:rsidRPr="006B15C8" w:rsidRDefault="008D5A7F" w:rsidP="000E5F68">
      <w:pPr>
        <w:spacing w:line="240" w:lineRule="auto"/>
        <w:ind w:left="360" w:hanging="360"/>
      </w:pPr>
      <w:r w:rsidRPr="006B15C8">
        <w:t xml:space="preserve">Zafri, N. M., Tabassum, T., Himal, Md. R. H., Sultana, R., and Debnath, A. K. (2022). Effect of pedestrian characteristics and their road crossing behaviors on driver yielding behavior at controlled intersections. Journal of Safety Research, 81, 1–8. </w:t>
      </w:r>
      <w:r w:rsidR="00627D69" w:rsidRPr="006B15C8">
        <w:t>https://doi.org/10.1016/j.jsr.2022.01.001</w:t>
      </w:r>
    </w:p>
    <w:p w14:paraId="491B7DC6" w14:textId="77777777" w:rsidR="00627D69" w:rsidRPr="006B15C8" w:rsidRDefault="00627D69" w:rsidP="000E5F68">
      <w:pPr>
        <w:spacing w:line="240" w:lineRule="auto"/>
        <w:ind w:left="360" w:hanging="360"/>
      </w:pPr>
      <w:r w:rsidRPr="006B15C8">
        <w:t xml:space="preserve">Zafri, N. M. (2023). Walk or run? An observational study to explore pedestrian crossing decision-making at intersections in Dhaka, Bangladesh applying rules mining technique. Transportation Research Part F: Traffic Psychology and Behaviour, 94, 83–98. https://doi.org/10.1016/j.trf.2023.02.003 </w:t>
      </w:r>
    </w:p>
    <w:p w14:paraId="3EB50074" w14:textId="77777777" w:rsidR="008D5A7F" w:rsidRPr="006B15C8" w:rsidRDefault="008D5A7F" w:rsidP="000E5F68">
      <w:pPr>
        <w:spacing w:line="240" w:lineRule="auto"/>
        <w:ind w:left="360" w:hanging="360"/>
      </w:pPr>
      <w:r w:rsidRPr="006B15C8">
        <w:t>Zhang, G., Tan, Y., and Jou, R.-C. (2016). Factors influencing traffic signal violations by car drivers, cyclists, and pedestrians: A case study from Guangdong, China. Transportation Research Part F: Traffic Psychology and Behaviour, 42, 205–216. https://doi.org/10.1016/j.trf.2016.08.001</w:t>
      </w:r>
    </w:p>
    <w:p w14:paraId="40DF2EB8" w14:textId="77777777" w:rsidR="008D5A7F" w:rsidRPr="006B15C8" w:rsidRDefault="008D5A7F" w:rsidP="000E5F68">
      <w:pPr>
        <w:spacing w:line="240" w:lineRule="auto"/>
        <w:ind w:left="360" w:hanging="360"/>
      </w:pPr>
      <w:r w:rsidRPr="006B15C8">
        <w:t>Zhang, W., Guo, H., Wang, C., Wang, K., Huang, W., Xu, Q., Tang, H., Yang, B., and Yan, R. (2023). Analysis of pedestrian illegal crossing at unmarked segments: Environmental factors, pedestrian characteristics and crossing behaviours. Transportation Research Part F: Traffic Psychology and Behaviour, 99, 339–355. https://doi.org/10.1016/j.trf.2023.10.022</w:t>
      </w:r>
    </w:p>
    <w:p w14:paraId="4D1014BF" w14:textId="77777777" w:rsidR="008D5A7F" w:rsidRPr="006B15C8" w:rsidRDefault="008D5A7F" w:rsidP="003157CB">
      <w:pPr>
        <w:spacing w:line="240" w:lineRule="auto"/>
        <w:ind w:left="360" w:hanging="360"/>
      </w:pPr>
      <w:r w:rsidRPr="006B15C8">
        <w:t>Zhou, H., Romero, S. B., and Qin, X. (2016). An extension of the theory of planned behavior to predict pedestrians’ violating crossing behavior using structural equation modeling. Accident Analysis and Prevention, 95, 417–424. https://doi.org/10.1016/j.aap.2015.09.009</w:t>
      </w:r>
    </w:p>
    <w:p w14:paraId="7CF8BD4C" w14:textId="77777777" w:rsidR="008D5A7F" w:rsidRPr="006B15C8" w:rsidRDefault="008D5A7F" w:rsidP="000E5F68">
      <w:pPr>
        <w:keepLines/>
        <w:spacing w:line="240" w:lineRule="auto"/>
        <w:ind w:left="360" w:hanging="360"/>
      </w:pPr>
      <w:r w:rsidRPr="006B15C8">
        <w:lastRenderedPageBreak/>
        <w:t>Zhu, D., Sze, N. N., and Bai, L. (2021). Roles of personal and environmental factors in the red light running propensity of pedestrian: Case study at the urban crosswalks. Transportation Research Part F: Traffic Psychology and Behaviour, 76, 47–58. https://doi.org/10.1016/j.trf.2020.11.001</w:t>
      </w:r>
    </w:p>
    <w:p w14:paraId="6D830B9C" w14:textId="77777777" w:rsidR="008D3457" w:rsidRPr="006B15C8" w:rsidRDefault="008D5A7F" w:rsidP="003157CB">
      <w:pPr>
        <w:spacing w:line="240" w:lineRule="auto"/>
        <w:ind w:left="360" w:hanging="360"/>
      </w:pPr>
      <w:r w:rsidRPr="006B15C8">
        <w:t>Zimmerman, B. (2023). Living Without Refuge: How the Housing Crisis Fuels Traffic Violence (Streetblog USA). https://usa.streetsblog.org/2023/10/24/living-without-refuge-how-the-housing-crisis-fuels-traffic-violence</w:t>
      </w:r>
    </w:p>
    <w:p w14:paraId="57615B61" w14:textId="77777777" w:rsidR="00A849D8" w:rsidRPr="006B15C8" w:rsidRDefault="00A849D8" w:rsidP="003157CB">
      <w:pPr>
        <w:spacing w:line="240" w:lineRule="auto"/>
      </w:pPr>
      <w:r w:rsidRPr="006B15C8">
        <w:t xml:space="preserve"> </w:t>
      </w:r>
    </w:p>
    <w:sectPr w:rsidR="00A849D8" w:rsidRPr="006B15C8" w:rsidSect="00033896">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338AA" w14:textId="77777777" w:rsidR="005020E0" w:rsidRDefault="005020E0" w:rsidP="0070195F">
      <w:r>
        <w:separator/>
      </w:r>
    </w:p>
  </w:endnote>
  <w:endnote w:type="continuationSeparator" w:id="0">
    <w:p w14:paraId="5B1DD2DF" w14:textId="77777777" w:rsidR="005020E0" w:rsidRDefault="005020E0" w:rsidP="0070195F">
      <w:r>
        <w:continuationSeparator/>
      </w:r>
    </w:p>
  </w:endnote>
  <w:endnote w:type="continuationNotice" w:id="1">
    <w:p w14:paraId="189BAF6F" w14:textId="77777777" w:rsidR="005020E0" w:rsidRDefault="005020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GGEP M+ Adv Gulliv">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1B5ED" w14:textId="77777777" w:rsidR="00353C52" w:rsidRPr="00BC6147" w:rsidRDefault="00476C9D" w:rsidP="00BC614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F341" w14:textId="77777777" w:rsidR="00BC6147" w:rsidRDefault="00BC6147" w:rsidP="00BC614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AF79" w14:textId="77777777" w:rsidR="00D1470D" w:rsidRPr="00BC6147" w:rsidRDefault="00D1470D" w:rsidP="00BC614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6043" w14:textId="77777777" w:rsidR="007014DD" w:rsidRPr="00BC6147" w:rsidRDefault="007014DD" w:rsidP="00BC614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86F2" w14:textId="77777777" w:rsidR="00476C9D" w:rsidRPr="00476C9D" w:rsidRDefault="008C222F" w:rsidP="008C222F">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D06A0" w14:textId="77777777" w:rsidR="005020E0" w:rsidRDefault="005020E0" w:rsidP="0070195F">
      <w:r>
        <w:separator/>
      </w:r>
    </w:p>
  </w:footnote>
  <w:footnote w:type="continuationSeparator" w:id="0">
    <w:p w14:paraId="27BFC491" w14:textId="77777777" w:rsidR="005020E0" w:rsidRDefault="005020E0" w:rsidP="0070195F">
      <w:r>
        <w:continuationSeparator/>
      </w:r>
    </w:p>
  </w:footnote>
  <w:footnote w:type="continuationNotice" w:id="1">
    <w:p w14:paraId="1B04C31F" w14:textId="77777777" w:rsidR="005020E0" w:rsidRDefault="005020E0">
      <w:pPr>
        <w:spacing w:line="240" w:lineRule="auto"/>
      </w:pPr>
    </w:p>
  </w:footnote>
  <w:footnote w:id="2">
    <w:p w14:paraId="3DE8AFF4" w14:textId="33A349B5" w:rsidR="00BB60D1" w:rsidRDefault="00BB60D1">
      <w:pPr>
        <w:pStyle w:val="FootnoteText"/>
      </w:pPr>
      <w:r>
        <w:rPr>
          <w:rStyle w:val="FootnoteReference"/>
        </w:rPr>
        <w:footnoteRef/>
      </w:r>
      <w:r w:rsidR="000F7B20">
        <w:t xml:space="preserve"> </w:t>
      </w:r>
      <w:r>
        <w:t xml:space="preserve">The observed differences in </w:t>
      </w:r>
      <w:r w:rsidR="00D87404">
        <w:t xml:space="preserve">DUY </w:t>
      </w:r>
      <w:r>
        <w:t>based on pedestrian race may operate unconsciously or in a situation-dependent manner, particularly in discretionary, time-pressured interactions. However, as with any naturalistic outcome-based observation study, these studies are unable to distinguish implicit from explicit cognitive mechanisms underlying differential yielding outcomes.</w:t>
      </w:r>
    </w:p>
  </w:footnote>
  <w:footnote w:id="3">
    <w:p w14:paraId="05B24574" w14:textId="1A4F76E1" w:rsidR="000F7B20" w:rsidRPr="0079130E" w:rsidRDefault="000F7B20" w:rsidP="000F7B20">
      <w:pPr>
        <w:spacing w:line="240" w:lineRule="auto"/>
      </w:pPr>
      <w:r w:rsidRPr="000F18B7">
        <w:rPr>
          <w:rStyle w:val="FootnoteReference"/>
          <w:sz w:val="20"/>
          <w:szCs w:val="20"/>
        </w:rPr>
        <w:footnoteRef/>
      </w:r>
      <w:r w:rsidRPr="000F18B7">
        <w:rPr>
          <w:sz w:val="20"/>
          <w:szCs w:val="20"/>
        </w:rPr>
        <w:t xml:space="preserve"> </w:t>
      </w:r>
      <w:r w:rsidRPr="00BB001B">
        <w:rPr>
          <w:sz w:val="20"/>
          <w:szCs w:val="20"/>
        </w:rPr>
        <w:t xml:space="preserve">In particular, from an econometric standpoint, our convenience sample of pedestrian-vehicle observations at the two intersections constitutes the case of exogenous sampling, not endogenous sampling. That is, the two intersections were not selected on the basis of the number of NCPC </w:t>
      </w:r>
      <w:r w:rsidR="00107AC0">
        <w:rPr>
          <w:sz w:val="20"/>
          <w:szCs w:val="20"/>
        </w:rPr>
        <w:t xml:space="preserve">or DUY </w:t>
      </w:r>
      <w:r w:rsidRPr="00BB001B">
        <w:rPr>
          <w:sz w:val="20"/>
          <w:szCs w:val="20"/>
        </w:rPr>
        <w:t>instances. In addition, our sample displays adequate variation across the range of values of each exogenous covariate. Overall, the combination of our exogenous sampling approach, the testing and control for a host of exogenous covariates, as well as the adequate variation in the exogenous covariates implies that there is no reason to believe that the relationships developed in this paper are not applicable to the larger population of urban signalized intersections (please see Wooldridge, 1995 and Robbennolt et al., 2025 for more discussions pertaining to exogenous sampling).</w:t>
      </w:r>
      <w:r w:rsidRPr="00FB4291">
        <w:t xml:space="preserve"> </w:t>
      </w:r>
    </w:p>
  </w:footnote>
  <w:footnote w:id="4">
    <w:p w14:paraId="742942F5" w14:textId="4D87E183" w:rsidR="006119D4" w:rsidRPr="0079130E" w:rsidRDefault="006119D4" w:rsidP="006119D4">
      <w:pPr>
        <w:pStyle w:val="FootnoteText"/>
      </w:pPr>
      <w:r>
        <w:rPr>
          <w:rStyle w:val="FootnoteReference"/>
        </w:rPr>
        <w:footnoteRef/>
      </w:r>
      <w:r w:rsidR="000F7B20">
        <w:t xml:space="preserve"> </w:t>
      </w:r>
      <w:r>
        <w:t>Some of these earlier studies have also used indicators of audio-based distraction of pedestrians, relying on the visual identification of whether or not the pedestrian was wearing headphones (</w:t>
      </w:r>
      <w:r w:rsidR="00554E97">
        <w:t xml:space="preserve">Russo et al., 2018, </w:t>
      </w:r>
      <w:r>
        <w:t>Aghabayk et al., 2021</w:t>
      </w:r>
      <w:r w:rsidR="00554E97">
        <w:t>,</w:t>
      </w:r>
      <w:r>
        <w:t xml:space="preserve"> Schwebel et al., 2022). We steered clear of doing so in our study because in-ear devices are now common, and the use of such devices could not be reliably identified from video footage.</w:t>
      </w:r>
    </w:p>
  </w:footnote>
  <w:footnote w:id="5">
    <w:p w14:paraId="73FBFB13" w14:textId="1A8FBDA2" w:rsidR="00663636" w:rsidRPr="0079130E" w:rsidRDefault="00663636" w:rsidP="00663636">
      <w:pPr>
        <w:pStyle w:val="FootnoteText"/>
      </w:pPr>
      <w:r>
        <w:rPr>
          <w:rStyle w:val="FootnoteReference"/>
        </w:rPr>
        <w:footnoteRef/>
      </w:r>
      <w:r w:rsidR="000F7B20">
        <w:t xml:space="preserve"> </w:t>
      </w:r>
      <w:r>
        <w:t>These structured training and consensus-based procedures are similar to those adopted in earlier observational pedestrian safety studies employing subjective morphological classifications (</w:t>
      </w:r>
      <w:r w:rsidR="00461F7F">
        <w:t>Ivan et al., 2017,</w:t>
      </w:r>
      <w:r w:rsidR="00461F7F" w:rsidRPr="00461F7F">
        <w:t xml:space="preserve"> </w:t>
      </w:r>
      <w:r w:rsidR="00461F7F">
        <w:t xml:space="preserve">Schneider et al., 2018,  </w:t>
      </w:r>
      <w:r>
        <w:t>Aghabayk et al., 2021</w:t>
      </w:r>
      <w:r w:rsidR="00461F7F">
        <w:t>,</w:t>
      </w:r>
      <w:r>
        <w:t xml:space="preserve"> Zafri et al., 2022</w:t>
      </w:r>
      <w:r w:rsidR="00461F7F">
        <w:t>,</w:t>
      </w:r>
      <w:r w:rsidR="00461F7F" w:rsidRPr="00461F7F">
        <w:t xml:space="preserve"> </w:t>
      </w:r>
      <w:r w:rsidR="00461F7F">
        <w:t>Rafe et al., 2025</w:t>
      </w:r>
      <w:r>
        <w:t>).</w:t>
      </w:r>
    </w:p>
  </w:footnote>
  <w:footnote w:id="6">
    <w:p w14:paraId="0A845D3B" w14:textId="1749AB58" w:rsidR="00DB2C2E" w:rsidRDefault="00DB2C2E" w:rsidP="00181C88">
      <w:pPr>
        <w:pStyle w:val="FootnoteText"/>
        <w:spacing w:after="60"/>
      </w:pPr>
      <w:r w:rsidRPr="00F470EB">
        <w:rPr>
          <w:rStyle w:val="FootnoteReference"/>
        </w:rPr>
        <w:footnoteRef/>
      </w:r>
      <w:r w:rsidR="00F710CD">
        <w:t xml:space="preserve"> </w:t>
      </w:r>
      <w:r>
        <w:t xml:space="preserve">Instead of the Gaussian copula-based bivariate logit model, one could also use a bivariate probit model in which the error terms </w:t>
      </w:r>
      <w:r w:rsidR="004A6C6E" w:rsidRPr="00331B59">
        <w:rPr>
          <w:position w:val="-12"/>
        </w:rPr>
        <w:object w:dxaOrig="834" w:dyaOrig="300" w14:anchorId="770E8B4A">
          <v:shape id="_x0000_i1070" type="#_x0000_t75" style="width:43.1pt;height:15.65pt" o:ole="" o:preferrelative="f">
            <v:imagedata r:id="rId1" o:title=""/>
            <o:lock v:ext="edit" aspectratio="f"/>
          </v:shape>
          <o:OLEObject Type="Embed" ProgID="Equation.DSMT4" ShapeID="_x0000_i1070" DrawAspect="Content" ObjectID="_1832934313" r:id="rId2"/>
        </w:object>
      </w:r>
      <w:r>
        <w:t>are assumed to be normally distributed. This would obviate the need for the use of a copula structure. In terms of computation ease and substantive results, both these approaches are comparable and it then becomes more of a preference for one structure relative to the other. Here, we adopt the copula-based approach because, in the univariate case (which is the situation for a large number of observations with no pedestrian-vehicle interactions)</w:t>
      </w:r>
      <w:r w:rsidR="001F706C">
        <w:t>,</w:t>
      </w:r>
      <w:r>
        <w:t xml:space="preserve"> the </w:t>
      </w:r>
      <w:r w:rsidR="001F706C">
        <w:t xml:space="preserve">copula approach allows us to preserve the univariate </w:t>
      </w:r>
      <w:r>
        <w:t xml:space="preserve">logistic model </w:t>
      </w:r>
      <w:r w:rsidR="001F706C">
        <w:t xml:space="preserve">with which we started our analysis for each of the NCPC and DFY equations. </w:t>
      </w:r>
    </w:p>
  </w:footnote>
  <w:footnote w:id="7">
    <w:p w14:paraId="12F96200" w14:textId="7C119C38" w:rsidR="00C31804" w:rsidRDefault="00C31804">
      <w:pPr>
        <w:pStyle w:val="FootnoteText"/>
      </w:pPr>
      <w:r w:rsidRPr="00F470EB">
        <w:rPr>
          <w:rStyle w:val="FootnoteReference"/>
        </w:rPr>
        <w:footnoteRef/>
      </w:r>
      <w:r w:rsidR="00F710CD">
        <w:t xml:space="preserve"> </w:t>
      </w:r>
      <w:r>
        <w:t xml:space="preserve">Random coefficients may be introduced in the usual way by assuming that some of the elements of </w:t>
      </w:r>
      <w:r w:rsidR="004A6C6E" w:rsidRPr="00331B59">
        <w:rPr>
          <w:position w:val="-10"/>
        </w:rPr>
        <w:object w:dxaOrig="756" w:dyaOrig="300" w14:anchorId="040287ED">
          <v:shape id="_x0000_i1072" type="#_x0000_t75" style="width:38.85pt;height:15.15pt" o:ole="" o:preferrelative="f">
            <v:imagedata r:id="rId3" o:title=""/>
            <o:lock v:ext="edit" aspectratio="f"/>
          </v:shape>
          <o:OLEObject Type="Embed" ProgID="Equation.DSMT4" ShapeID="_x0000_i1072" DrawAspect="Content" ObjectID="_1832934314" r:id="rId4"/>
        </w:object>
      </w:r>
      <w:r>
        <w:t xml:space="preserve">are realizations from specific distributions (in our study, we assumed normal distributions), and integrating the probabilities over the assumed density functions. Halton draws are used, as suggested by Bhat (2001, 2003). This is a straightforward extension that we do not discuss here. However, we should also note that estimating random coefficients on discrete exogenous variables, especially those that do not vary across the alternatives characterizing choice models, </w:t>
      </w:r>
      <w:r w:rsidR="000A7990">
        <w:t>can be</w:t>
      </w:r>
      <w:r>
        <w:t xml:space="preserve"> fraught with estimation and identification challenges, an issue that has only recently started receiving some attention (</w:t>
      </w:r>
      <w:r w:rsidR="0029672F">
        <w:t>Bharate</w:t>
      </w:r>
      <w:r>
        <w:t xml:space="preserve"> et al., 2025). In the current paper, all variables are </w:t>
      </w:r>
      <w:r w:rsidR="006C7BE1">
        <w:t>observation-specific and do not vary across alternatives, which led to estimation instability when we attempted random coefficients on several exogenous variables. And in cases where we were able to estimate random coefficients on some discrete exogenous variables, none of these came out to be statistically significant at even the 68% confidence level (t-statistic of 1.0).</w:t>
      </w:r>
    </w:p>
  </w:footnote>
  <w:footnote w:id="8">
    <w:p w14:paraId="04314B02" w14:textId="4E0F4C2E" w:rsidR="00EE0617" w:rsidRDefault="00EE0617" w:rsidP="00EE0617">
      <w:pPr>
        <w:pStyle w:val="FootnoteText"/>
      </w:pPr>
      <w:r w:rsidRPr="00F470EB">
        <w:rPr>
          <w:rStyle w:val="FootnoteReference"/>
        </w:rPr>
        <w:footnoteRef/>
      </w:r>
      <w:r w:rsidR="00F710CD">
        <w:t xml:space="preserve"> </w:t>
      </w:r>
      <w:r w:rsidRPr="006C6A50">
        <w:t>As</w:t>
      </w:r>
      <w:r>
        <w:t xml:space="preserve"> discussed at length </w:t>
      </w:r>
      <w:r w:rsidRPr="006C6A50">
        <w:t>by the American Statistical Associati</w:t>
      </w:r>
      <w:r w:rsidRPr="008D3457">
        <w:t xml:space="preserve">on (ASA) </w:t>
      </w:r>
      <w:r w:rsidRPr="008D3457">
        <w:fldChar w:fldCharType="begin"/>
      </w:r>
      <w:r w:rsidR="008632FD">
        <w:instrText xml:space="preserve"> ADDIN ZOTERO_ITEM CSL_CITATION {"citationID":"5jbhHFcg","properties":{"unsorted":true,"formattedCitation":"(Wasserstein and Lazar, 2016; Wasserstein et al., 2019)","plainCitation":"(Wasserstein and Lazar, 2016; Wasserstein et al., 2019)","dontUpdate":true,"noteIndex":7},"citationItems":[{"id":"QK522opz/4XZjZjYy","uris":["http://zotero.org/users/12832277/items/L2MBY4UM"],"itemData":{"id":4411,"type":"article-journal","container-title":"The American Statistician","DOI":"10.1080/00031305.2016.1154108","ISSN":"0003-1305","issue":"2","note":"publisher: ASA Website\n_eprint: https://doi.org/10.1080/00031305.2016.1154108","page":"129-133","source":"Taylor and Francis+NEJM","title":"The ASA Statement on P-Values: Context, Process, and Purpose","volume":"70","author":[{"family":"Wasserstein","given":"Ronald L."},{"family":"Lazar","given":"Nicole A."}],"issued":{"date-parts":[["2016",4,2]]}}},{"id":"QK522opz/tbqZ6G14","uris":["http://zotero.org/users/12832277/items/LUYFYVPA"],"itemData":{"id":4413,"type":"article-journal","container-title":"The American Statistician","DOI":"10.1080/00031305.2019.1583913","ISSN":"0003-1305","issue":"sup1","note":"publisher: ASA Website\n_eprint: https://doi.org/10.1080/00031305.2019.1583913","page":"1-19","source":"Taylor and Francis+NEJM","title":"Moving to a World Beyond “p &lt; 0.05”","volume":"73","author":[{"family":"Wasserstein","given":"Ronald L."},{"family":"Schirm","given":"Allen L."},{"family":"Lazar","given":"Nicole A."}],"issued":{"date-parts":[["2019",3,29]]}}}],"schema":"https://github.com/citation-style-language/schema/raw/master/csl-citation.json"} </w:instrText>
      </w:r>
      <w:r w:rsidRPr="008D3457">
        <w:fldChar w:fldCharType="separate"/>
      </w:r>
      <w:r w:rsidRPr="008D3457">
        <w:t>(Wasserstein and Lazar, 2016</w:t>
      </w:r>
      <w:r w:rsidR="00123993">
        <w:t>,</w:t>
      </w:r>
      <w:r w:rsidRPr="008D3457">
        <w:t xml:space="preserve"> Wasserstein et al., 2019)</w:t>
      </w:r>
      <w:r w:rsidRPr="008D3457">
        <w:fldChar w:fldCharType="end"/>
      </w:r>
      <w:r w:rsidRPr="008D3457">
        <w:t>, analysts need to exercise context-specific judgements related to confidence levels rather than adhering strictly to a 95% confidence level as some kind of an absolute gold standard</w:t>
      </w:r>
      <w:r>
        <w:t xml:space="preserve">. </w:t>
      </w:r>
      <w:r w:rsidRPr="006C6A50">
        <w:t xml:space="preserve">In </w:t>
      </w:r>
      <w:r>
        <w:t xml:space="preserve">the </w:t>
      </w:r>
      <w:r w:rsidRPr="006C6A50">
        <w:t xml:space="preserve">current application, </w:t>
      </w:r>
      <w:r>
        <w:t xml:space="preserve">our focus in the </w:t>
      </w:r>
      <w:r w:rsidR="00285BE5">
        <w:t xml:space="preserve">DUY </w:t>
      </w:r>
      <w:r>
        <w:t xml:space="preserve">model was on reducing the probability of Type II errors (that is, incorrectly rejecting variable effects) even if allowing for a slightly higher probability of Type 1 error (that is, using an </w:t>
      </w:r>
      <w:r w:rsidR="00D26B67">
        <w:t>68</w:t>
      </w:r>
      <w:r>
        <w:t xml:space="preserve">% confidence level to retain variables). </w:t>
      </w:r>
      <w:r w:rsidRPr="006C6A50">
        <w:t xml:space="preserve">This </w:t>
      </w:r>
      <w:r>
        <w:t xml:space="preserve">can </w:t>
      </w:r>
      <w:r w:rsidRPr="006C6A50">
        <w:t xml:space="preserve">inform future specifications using larger </w:t>
      </w:r>
      <w:r>
        <w:t xml:space="preserve">and possibly more balanced </w:t>
      </w:r>
      <w:r w:rsidRPr="006C6A50">
        <w:t>samples</w:t>
      </w:r>
      <w:r>
        <w:t xml:space="preserve">. </w:t>
      </w:r>
      <w:r w:rsidRPr="006C6A5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00BC"/>
    <w:multiLevelType w:val="multilevel"/>
    <w:tmpl w:val="D3366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DF655D"/>
    <w:multiLevelType w:val="multilevel"/>
    <w:tmpl w:val="F1F00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243998"/>
    <w:multiLevelType w:val="hybridMultilevel"/>
    <w:tmpl w:val="9634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27A1A"/>
    <w:multiLevelType w:val="multilevel"/>
    <w:tmpl w:val="1436B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C9572C"/>
    <w:multiLevelType w:val="multilevel"/>
    <w:tmpl w:val="0EEA9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6849E5"/>
    <w:multiLevelType w:val="multilevel"/>
    <w:tmpl w:val="3DC0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70176"/>
    <w:multiLevelType w:val="hybridMultilevel"/>
    <w:tmpl w:val="7BC0F5BE"/>
    <w:lvl w:ilvl="0" w:tplc="A2703F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A368F"/>
    <w:multiLevelType w:val="hybridMultilevel"/>
    <w:tmpl w:val="7C9879F0"/>
    <w:lvl w:ilvl="0" w:tplc="C58C18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858B8"/>
    <w:multiLevelType w:val="multilevel"/>
    <w:tmpl w:val="90D25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B14C00"/>
    <w:multiLevelType w:val="multilevel"/>
    <w:tmpl w:val="E69225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103AF6"/>
    <w:multiLevelType w:val="multilevel"/>
    <w:tmpl w:val="3CBA04D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4CD0D62"/>
    <w:multiLevelType w:val="multilevel"/>
    <w:tmpl w:val="2828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811F5"/>
    <w:multiLevelType w:val="multilevel"/>
    <w:tmpl w:val="33EC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F42A64"/>
    <w:multiLevelType w:val="hybridMultilevel"/>
    <w:tmpl w:val="DF7294DC"/>
    <w:lvl w:ilvl="0" w:tplc="A2703F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F6711"/>
    <w:multiLevelType w:val="multilevel"/>
    <w:tmpl w:val="979CC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036F66"/>
    <w:multiLevelType w:val="multilevel"/>
    <w:tmpl w:val="DB60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C61827"/>
    <w:multiLevelType w:val="multilevel"/>
    <w:tmpl w:val="91782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144D52"/>
    <w:multiLevelType w:val="multilevel"/>
    <w:tmpl w:val="0E90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6D1B9C"/>
    <w:multiLevelType w:val="multilevel"/>
    <w:tmpl w:val="D9203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B53E14"/>
    <w:multiLevelType w:val="multilevel"/>
    <w:tmpl w:val="7E90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A67664"/>
    <w:multiLevelType w:val="multilevel"/>
    <w:tmpl w:val="435A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A60DF2"/>
    <w:multiLevelType w:val="hybridMultilevel"/>
    <w:tmpl w:val="A51825A6"/>
    <w:lvl w:ilvl="0" w:tplc="B51EAC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303442"/>
    <w:multiLevelType w:val="multilevel"/>
    <w:tmpl w:val="E568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6767FC"/>
    <w:multiLevelType w:val="multilevel"/>
    <w:tmpl w:val="FC76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7E5C97"/>
    <w:multiLevelType w:val="hybridMultilevel"/>
    <w:tmpl w:val="0AE43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F11BE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B08078C"/>
    <w:multiLevelType w:val="multilevel"/>
    <w:tmpl w:val="86444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6B43E8"/>
    <w:multiLevelType w:val="multilevel"/>
    <w:tmpl w:val="9620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CF48CB"/>
    <w:multiLevelType w:val="multilevel"/>
    <w:tmpl w:val="AD948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721187"/>
    <w:multiLevelType w:val="multilevel"/>
    <w:tmpl w:val="4CAA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054068"/>
    <w:multiLevelType w:val="hybridMultilevel"/>
    <w:tmpl w:val="DEB66BA0"/>
    <w:lvl w:ilvl="0" w:tplc="3FFAB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5E20D3"/>
    <w:multiLevelType w:val="hybridMultilevel"/>
    <w:tmpl w:val="18C6B7CA"/>
    <w:lvl w:ilvl="0" w:tplc="A078836A">
      <w:start w:val="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F62EB"/>
    <w:multiLevelType w:val="multilevel"/>
    <w:tmpl w:val="BD224612"/>
    <w:lvl w:ilvl="0">
      <w:start w:val="1"/>
      <w:numFmt w:val="decimal"/>
      <w:pStyle w:val="Heading1"/>
      <w:lvlText w:val="%1."/>
      <w:lvlJc w:val="left"/>
      <w:pPr>
        <w:ind w:left="2250" w:hanging="360"/>
      </w:pPr>
    </w:lvl>
    <w:lvl w:ilvl="1">
      <w:start w:val="1"/>
      <w:numFmt w:val="decimal"/>
      <w:pStyle w:val="Heading2"/>
      <w:lvlText w:val="%1.%2."/>
      <w:lvlJc w:val="left"/>
      <w:pPr>
        <w:ind w:left="2862" w:hanging="432"/>
      </w:pPr>
      <w:rPr>
        <w:color w:val="00000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DA4794"/>
    <w:multiLevelType w:val="multilevel"/>
    <w:tmpl w:val="70FE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8"/>
  </w:num>
  <w:num w:numId="4">
    <w:abstractNumId w:val="16"/>
  </w:num>
  <w:num w:numId="5">
    <w:abstractNumId w:val="1"/>
  </w:num>
  <w:num w:numId="6">
    <w:abstractNumId w:val="3"/>
  </w:num>
  <w:num w:numId="7">
    <w:abstractNumId w:val="9"/>
  </w:num>
  <w:num w:numId="8">
    <w:abstractNumId w:val="4"/>
  </w:num>
  <w:num w:numId="9">
    <w:abstractNumId w:val="26"/>
  </w:num>
  <w:num w:numId="10">
    <w:abstractNumId w:val="28"/>
  </w:num>
  <w:num w:numId="11">
    <w:abstractNumId w:val="0"/>
  </w:num>
  <w:num w:numId="12">
    <w:abstractNumId w:val="21"/>
  </w:num>
  <w:num w:numId="13">
    <w:abstractNumId w:val="25"/>
  </w:num>
  <w:num w:numId="14">
    <w:abstractNumId w:val="32"/>
  </w:num>
  <w:num w:numId="15">
    <w:abstractNumId w:val="30"/>
  </w:num>
  <w:num w:numId="16">
    <w:abstractNumId w:val="7"/>
  </w:num>
  <w:num w:numId="17">
    <w:abstractNumId w:val="6"/>
  </w:num>
  <w:num w:numId="18">
    <w:abstractNumId w:val="13"/>
  </w:num>
  <w:num w:numId="19">
    <w:abstractNumId w:val="29"/>
  </w:num>
  <w:num w:numId="20">
    <w:abstractNumId w:val="17"/>
  </w:num>
  <w:num w:numId="21">
    <w:abstractNumId w:val="33"/>
  </w:num>
  <w:num w:numId="22">
    <w:abstractNumId w:val="14"/>
  </w:num>
  <w:num w:numId="23">
    <w:abstractNumId w:val="5"/>
  </w:num>
  <w:num w:numId="24">
    <w:abstractNumId w:val="2"/>
  </w:num>
  <w:num w:numId="25">
    <w:abstractNumId w:val="24"/>
  </w:num>
  <w:num w:numId="26">
    <w:abstractNumId w:val="32"/>
    <w:lvlOverride w:ilvl="0">
      <w:startOverride w:val="2"/>
    </w:lvlOverride>
    <w:lvlOverride w:ilvl="1">
      <w:startOverride w:val="2"/>
    </w:lvlOverride>
    <w:lvlOverride w:ilvl="2">
      <w:startOverride w:val="5"/>
    </w:lvlOverride>
  </w:num>
  <w:num w:numId="27">
    <w:abstractNumId w:val="27"/>
  </w:num>
  <w:num w:numId="28">
    <w:abstractNumId w:val="12"/>
  </w:num>
  <w:num w:numId="29">
    <w:abstractNumId w:val="22"/>
  </w:num>
  <w:num w:numId="30">
    <w:abstractNumId w:val="20"/>
  </w:num>
  <w:num w:numId="31">
    <w:abstractNumId w:val="24"/>
  </w:num>
  <w:num w:numId="32">
    <w:abstractNumId w:val="31"/>
  </w:num>
  <w:num w:numId="33">
    <w:abstractNumId w:val="23"/>
  </w:num>
  <w:num w:numId="34">
    <w:abstractNumId w:val="11"/>
  </w:num>
  <w:num w:numId="35">
    <w:abstractNumId w:val="1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Y2NzIyNza0NDWzMLVQ0lEKTi0uzszPAykwMqwFAJ89n7QtAAAA"/>
  </w:docVars>
  <w:rsids>
    <w:rsidRoot w:val="00353C52"/>
    <w:rsid w:val="0000029B"/>
    <w:rsid w:val="00000F9D"/>
    <w:rsid w:val="00001543"/>
    <w:rsid w:val="00001F9F"/>
    <w:rsid w:val="000106B7"/>
    <w:rsid w:val="000118A3"/>
    <w:rsid w:val="00016863"/>
    <w:rsid w:val="00016FF6"/>
    <w:rsid w:val="00022BCB"/>
    <w:rsid w:val="00023811"/>
    <w:rsid w:val="00024EEA"/>
    <w:rsid w:val="0002605B"/>
    <w:rsid w:val="00026B3C"/>
    <w:rsid w:val="00030EC1"/>
    <w:rsid w:val="000323FA"/>
    <w:rsid w:val="0003269E"/>
    <w:rsid w:val="0003278C"/>
    <w:rsid w:val="0003284E"/>
    <w:rsid w:val="00032C01"/>
    <w:rsid w:val="000332C5"/>
    <w:rsid w:val="00033896"/>
    <w:rsid w:val="0003500E"/>
    <w:rsid w:val="00035816"/>
    <w:rsid w:val="00036231"/>
    <w:rsid w:val="000404B6"/>
    <w:rsid w:val="00041AE7"/>
    <w:rsid w:val="000449CC"/>
    <w:rsid w:val="00045DF9"/>
    <w:rsid w:val="00046AC5"/>
    <w:rsid w:val="000473EA"/>
    <w:rsid w:val="00051F79"/>
    <w:rsid w:val="00052658"/>
    <w:rsid w:val="00053DE5"/>
    <w:rsid w:val="00055725"/>
    <w:rsid w:val="00056FB2"/>
    <w:rsid w:val="000576B6"/>
    <w:rsid w:val="000577D0"/>
    <w:rsid w:val="00060E2A"/>
    <w:rsid w:val="0006146F"/>
    <w:rsid w:val="00061512"/>
    <w:rsid w:val="0006480A"/>
    <w:rsid w:val="00065A75"/>
    <w:rsid w:val="00066F5A"/>
    <w:rsid w:val="00073B7C"/>
    <w:rsid w:val="00073C72"/>
    <w:rsid w:val="00074D06"/>
    <w:rsid w:val="0007506D"/>
    <w:rsid w:val="0007579B"/>
    <w:rsid w:val="00076507"/>
    <w:rsid w:val="000771F2"/>
    <w:rsid w:val="00080BD5"/>
    <w:rsid w:val="00080E03"/>
    <w:rsid w:val="00082CCA"/>
    <w:rsid w:val="00082D20"/>
    <w:rsid w:val="00085891"/>
    <w:rsid w:val="00086777"/>
    <w:rsid w:val="00086B49"/>
    <w:rsid w:val="00086F9A"/>
    <w:rsid w:val="000878F6"/>
    <w:rsid w:val="00090576"/>
    <w:rsid w:val="00091B51"/>
    <w:rsid w:val="00092C01"/>
    <w:rsid w:val="000971A5"/>
    <w:rsid w:val="0009761A"/>
    <w:rsid w:val="000A335B"/>
    <w:rsid w:val="000A51C5"/>
    <w:rsid w:val="000A6169"/>
    <w:rsid w:val="000A7990"/>
    <w:rsid w:val="000B0CBA"/>
    <w:rsid w:val="000B59A1"/>
    <w:rsid w:val="000B7392"/>
    <w:rsid w:val="000C041E"/>
    <w:rsid w:val="000C0AD9"/>
    <w:rsid w:val="000C5D0B"/>
    <w:rsid w:val="000C68E9"/>
    <w:rsid w:val="000D163B"/>
    <w:rsid w:val="000D16A5"/>
    <w:rsid w:val="000D20F4"/>
    <w:rsid w:val="000D25C5"/>
    <w:rsid w:val="000D3FA7"/>
    <w:rsid w:val="000D601C"/>
    <w:rsid w:val="000D6D0A"/>
    <w:rsid w:val="000D77F4"/>
    <w:rsid w:val="000E1DC2"/>
    <w:rsid w:val="000E26EA"/>
    <w:rsid w:val="000E5F68"/>
    <w:rsid w:val="000E6B90"/>
    <w:rsid w:val="000E777A"/>
    <w:rsid w:val="000F064D"/>
    <w:rsid w:val="000F0850"/>
    <w:rsid w:val="000F12F0"/>
    <w:rsid w:val="000F18B7"/>
    <w:rsid w:val="000F27B9"/>
    <w:rsid w:val="000F552B"/>
    <w:rsid w:val="000F7B20"/>
    <w:rsid w:val="00101BCB"/>
    <w:rsid w:val="00102339"/>
    <w:rsid w:val="00105D96"/>
    <w:rsid w:val="00107AC0"/>
    <w:rsid w:val="001114DB"/>
    <w:rsid w:val="0011610F"/>
    <w:rsid w:val="0011640F"/>
    <w:rsid w:val="00117823"/>
    <w:rsid w:val="00120F14"/>
    <w:rsid w:val="00123993"/>
    <w:rsid w:val="00123CF5"/>
    <w:rsid w:val="001258C2"/>
    <w:rsid w:val="00126924"/>
    <w:rsid w:val="00126CA1"/>
    <w:rsid w:val="00130F19"/>
    <w:rsid w:val="00131421"/>
    <w:rsid w:val="0013343E"/>
    <w:rsid w:val="001359B0"/>
    <w:rsid w:val="00136105"/>
    <w:rsid w:val="00140C17"/>
    <w:rsid w:val="00140ED2"/>
    <w:rsid w:val="0014459C"/>
    <w:rsid w:val="00144B16"/>
    <w:rsid w:val="00146BB8"/>
    <w:rsid w:val="00146F42"/>
    <w:rsid w:val="001479BE"/>
    <w:rsid w:val="001503C7"/>
    <w:rsid w:val="00151620"/>
    <w:rsid w:val="00152634"/>
    <w:rsid w:val="00152823"/>
    <w:rsid w:val="001541C4"/>
    <w:rsid w:val="0015420A"/>
    <w:rsid w:val="001553BD"/>
    <w:rsid w:val="0015603E"/>
    <w:rsid w:val="00156CCA"/>
    <w:rsid w:val="00157889"/>
    <w:rsid w:val="0016074C"/>
    <w:rsid w:val="0016156A"/>
    <w:rsid w:val="001619FC"/>
    <w:rsid w:val="00161D2B"/>
    <w:rsid w:val="00161E21"/>
    <w:rsid w:val="00162F83"/>
    <w:rsid w:val="0016345D"/>
    <w:rsid w:val="00163807"/>
    <w:rsid w:val="00165204"/>
    <w:rsid w:val="0016574C"/>
    <w:rsid w:val="00165B7E"/>
    <w:rsid w:val="00166FE3"/>
    <w:rsid w:val="00167117"/>
    <w:rsid w:val="001677B8"/>
    <w:rsid w:val="0017115E"/>
    <w:rsid w:val="00172970"/>
    <w:rsid w:val="00172B4E"/>
    <w:rsid w:val="00172E73"/>
    <w:rsid w:val="00174D75"/>
    <w:rsid w:val="0017770E"/>
    <w:rsid w:val="00180382"/>
    <w:rsid w:val="00181BE5"/>
    <w:rsid w:val="00181C88"/>
    <w:rsid w:val="00182C33"/>
    <w:rsid w:val="001832A2"/>
    <w:rsid w:val="0018497D"/>
    <w:rsid w:val="001870F6"/>
    <w:rsid w:val="00187236"/>
    <w:rsid w:val="00187B13"/>
    <w:rsid w:val="00187BA9"/>
    <w:rsid w:val="001903EC"/>
    <w:rsid w:val="00195FBA"/>
    <w:rsid w:val="0019636C"/>
    <w:rsid w:val="00196600"/>
    <w:rsid w:val="001A3A58"/>
    <w:rsid w:val="001A426E"/>
    <w:rsid w:val="001A7590"/>
    <w:rsid w:val="001B07A0"/>
    <w:rsid w:val="001B1D3A"/>
    <w:rsid w:val="001B40DC"/>
    <w:rsid w:val="001B5D2C"/>
    <w:rsid w:val="001B6367"/>
    <w:rsid w:val="001B63F7"/>
    <w:rsid w:val="001C087F"/>
    <w:rsid w:val="001C2455"/>
    <w:rsid w:val="001C2EE6"/>
    <w:rsid w:val="001C4BD2"/>
    <w:rsid w:val="001C563D"/>
    <w:rsid w:val="001C5E67"/>
    <w:rsid w:val="001C611F"/>
    <w:rsid w:val="001C6D2C"/>
    <w:rsid w:val="001C7266"/>
    <w:rsid w:val="001D07CF"/>
    <w:rsid w:val="001D1C70"/>
    <w:rsid w:val="001D3FD7"/>
    <w:rsid w:val="001D426C"/>
    <w:rsid w:val="001D6571"/>
    <w:rsid w:val="001D6C5F"/>
    <w:rsid w:val="001D757B"/>
    <w:rsid w:val="001E3C06"/>
    <w:rsid w:val="001E52D4"/>
    <w:rsid w:val="001E55BA"/>
    <w:rsid w:val="001E57BF"/>
    <w:rsid w:val="001E5C5E"/>
    <w:rsid w:val="001E6EC4"/>
    <w:rsid w:val="001E74BD"/>
    <w:rsid w:val="001E7BA6"/>
    <w:rsid w:val="001F11E2"/>
    <w:rsid w:val="001F394E"/>
    <w:rsid w:val="001F6E4E"/>
    <w:rsid w:val="001F706C"/>
    <w:rsid w:val="00202034"/>
    <w:rsid w:val="00202A77"/>
    <w:rsid w:val="00203969"/>
    <w:rsid w:val="002041CC"/>
    <w:rsid w:val="002047A6"/>
    <w:rsid w:val="00206318"/>
    <w:rsid w:val="0020665C"/>
    <w:rsid w:val="002104F7"/>
    <w:rsid w:val="00210636"/>
    <w:rsid w:val="00212523"/>
    <w:rsid w:val="00212ACE"/>
    <w:rsid w:val="0021364A"/>
    <w:rsid w:val="00213B0D"/>
    <w:rsid w:val="002142FA"/>
    <w:rsid w:val="00214ACD"/>
    <w:rsid w:val="00216B4A"/>
    <w:rsid w:val="00222629"/>
    <w:rsid w:val="00222C17"/>
    <w:rsid w:val="0022304A"/>
    <w:rsid w:val="0022307E"/>
    <w:rsid w:val="002231B7"/>
    <w:rsid w:val="002232A4"/>
    <w:rsid w:val="00224784"/>
    <w:rsid w:val="002266F5"/>
    <w:rsid w:val="00230C81"/>
    <w:rsid w:val="00231596"/>
    <w:rsid w:val="002316CC"/>
    <w:rsid w:val="00231D3E"/>
    <w:rsid w:val="00232963"/>
    <w:rsid w:val="00232D25"/>
    <w:rsid w:val="00232EDB"/>
    <w:rsid w:val="00237085"/>
    <w:rsid w:val="0024097A"/>
    <w:rsid w:val="00240F0A"/>
    <w:rsid w:val="0024174E"/>
    <w:rsid w:val="00242EAF"/>
    <w:rsid w:val="00243041"/>
    <w:rsid w:val="0024624E"/>
    <w:rsid w:val="00251CB3"/>
    <w:rsid w:val="00251D25"/>
    <w:rsid w:val="002523D6"/>
    <w:rsid w:val="002526B9"/>
    <w:rsid w:val="00252F4B"/>
    <w:rsid w:val="00254D51"/>
    <w:rsid w:val="00255DEC"/>
    <w:rsid w:val="002566BA"/>
    <w:rsid w:val="0025687E"/>
    <w:rsid w:val="002568C5"/>
    <w:rsid w:val="00256F67"/>
    <w:rsid w:val="002601B2"/>
    <w:rsid w:val="00260AD1"/>
    <w:rsid w:val="00261EB5"/>
    <w:rsid w:val="00262BDE"/>
    <w:rsid w:val="00264215"/>
    <w:rsid w:val="002650B3"/>
    <w:rsid w:val="0026737C"/>
    <w:rsid w:val="002714C1"/>
    <w:rsid w:val="0027186F"/>
    <w:rsid w:val="00273F5B"/>
    <w:rsid w:val="002753E4"/>
    <w:rsid w:val="0027685D"/>
    <w:rsid w:val="0027699B"/>
    <w:rsid w:val="00277713"/>
    <w:rsid w:val="00282D68"/>
    <w:rsid w:val="002840B7"/>
    <w:rsid w:val="00285958"/>
    <w:rsid w:val="00285BE5"/>
    <w:rsid w:val="00285E0B"/>
    <w:rsid w:val="0029296A"/>
    <w:rsid w:val="0029672F"/>
    <w:rsid w:val="002970F1"/>
    <w:rsid w:val="00297E0D"/>
    <w:rsid w:val="002A03CF"/>
    <w:rsid w:val="002A3971"/>
    <w:rsid w:val="002A5D46"/>
    <w:rsid w:val="002B07F7"/>
    <w:rsid w:val="002B15CB"/>
    <w:rsid w:val="002B37E6"/>
    <w:rsid w:val="002B53CE"/>
    <w:rsid w:val="002B54A4"/>
    <w:rsid w:val="002B7D57"/>
    <w:rsid w:val="002C09DF"/>
    <w:rsid w:val="002C10BD"/>
    <w:rsid w:val="002C1F1D"/>
    <w:rsid w:val="002C23EB"/>
    <w:rsid w:val="002C5480"/>
    <w:rsid w:val="002C589C"/>
    <w:rsid w:val="002C5E08"/>
    <w:rsid w:val="002C66A9"/>
    <w:rsid w:val="002D0CE3"/>
    <w:rsid w:val="002D1E5F"/>
    <w:rsid w:val="002D1FD4"/>
    <w:rsid w:val="002D5C32"/>
    <w:rsid w:val="002D67FD"/>
    <w:rsid w:val="002D7F84"/>
    <w:rsid w:val="002E0B35"/>
    <w:rsid w:val="002E0E96"/>
    <w:rsid w:val="002E2A99"/>
    <w:rsid w:val="002E557F"/>
    <w:rsid w:val="002E6C19"/>
    <w:rsid w:val="002E7B0D"/>
    <w:rsid w:val="002F091B"/>
    <w:rsid w:val="002F2770"/>
    <w:rsid w:val="002F3567"/>
    <w:rsid w:val="002F3D42"/>
    <w:rsid w:val="002F551A"/>
    <w:rsid w:val="002F7B9D"/>
    <w:rsid w:val="00302A3D"/>
    <w:rsid w:val="00302C59"/>
    <w:rsid w:val="003051C1"/>
    <w:rsid w:val="00305576"/>
    <w:rsid w:val="00306AA2"/>
    <w:rsid w:val="003108C6"/>
    <w:rsid w:val="00311095"/>
    <w:rsid w:val="00311F5D"/>
    <w:rsid w:val="00312FDE"/>
    <w:rsid w:val="003157CB"/>
    <w:rsid w:val="0031702F"/>
    <w:rsid w:val="00317043"/>
    <w:rsid w:val="00320389"/>
    <w:rsid w:val="00320D8F"/>
    <w:rsid w:val="00321895"/>
    <w:rsid w:val="0032227A"/>
    <w:rsid w:val="003222F6"/>
    <w:rsid w:val="003235EA"/>
    <w:rsid w:val="00324595"/>
    <w:rsid w:val="00324DAF"/>
    <w:rsid w:val="00331B59"/>
    <w:rsid w:val="00334583"/>
    <w:rsid w:val="00334F2E"/>
    <w:rsid w:val="00335086"/>
    <w:rsid w:val="00336FA1"/>
    <w:rsid w:val="0033704B"/>
    <w:rsid w:val="00337877"/>
    <w:rsid w:val="00337ADA"/>
    <w:rsid w:val="00343071"/>
    <w:rsid w:val="0034345F"/>
    <w:rsid w:val="003454C8"/>
    <w:rsid w:val="00351276"/>
    <w:rsid w:val="00352CD0"/>
    <w:rsid w:val="00353968"/>
    <w:rsid w:val="00353C52"/>
    <w:rsid w:val="00353D29"/>
    <w:rsid w:val="00355593"/>
    <w:rsid w:val="00356660"/>
    <w:rsid w:val="00357165"/>
    <w:rsid w:val="00361761"/>
    <w:rsid w:val="00363519"/>
    <w:rsid w:val="00365785"/>
    <w:rsid w:val="00365E9B"/>
    <w:rsid w:val="0036728A"/>
    <w:rsid w:val="00370129"/>
    <w:rsid w:val="003733CE"/>
    <w:rsid w:val="003767FC"/>
    <w:rsid w:val="00380BBF"/>
    <w:rsid w:val="00380C1B"/>
    <w:rsid w:val="00383D68"/>
    <w:rsid w:val="003844FC"/>
    <w:rsid w:val="00387AF1"/>
    <w:rsid w:val="00390BE8"/>
    <w:rsid w:val="003927DD"/>
    <w:rsid w:val="0039433D"/>
    <w:rsid w:val="003949A6"/>
    <w:rsid w:val="003957BB"/>
    <w:rsid w:val="003967FE"/>
    <w:rsid w:val="003A1C41"/>
    <w:rsid w:val="003A33B9"/>
    <w:rsid w:val="003A35D0"/>
    <w:rsid w:val="003A3EA2"/>
    <w:rsid w:val="003A5A8D"/>
    <w:rsid w:val="003A5F19"/>
    <w:rsid w:val="003A686B"/>
    <w:rsid w:val="003B16D1"/>
    <w:rsid w:val="003B2ACA"/>
    <w:rsid w:val="003B3FB1"/>
    <w:rsid w:val="003B6837"/>
    <w:rsid w:val="003B6FAE"/>
    <w:rsid w:val="003B76C7"/>
    <w:rsid w:val="003B78AA"/>
    <w:rsid w:val="003C1D43"/>
    <w:rsid w:val="003C2538"/>
    <w:rsid w:val="003C4964"/>
    <w:rsid w:val="003C4EF8"/>
    <w:rsid w:val="003C5050"/>
    <w:rsid w:val="003C73CF"/>
    <w:rsid w:val="003D23CA"/>
    <w:rsid w:val="003D28FF"/>
    <w:rsid w:val="003D3999"/>
    <w:rsid w:val="003D4782"/>
    <w:rsid w:val="003D4958"/>
    <w:rsid w:val="003D6C93"/>
    <w:rsid w:val="003E06AA"/>
    <w:rsid w:val="003E2DF4"/>
    <w:rsid w:val="003E55E0"/>
    <w:rsid w:val="003E5E9F"/>
    <w:rsid w:val="003E60A3"/>
    <w:rsid w:val="003E69EB"/>
    <w:rsid w:val="003E6CF6"/>
    <w:rsid w:val="003F049D"/>
    <w:rsid w:val="003F0C7A"/>
    <w:rsid w:val="003F1C19"/>
    <w:rsid w:val="003F41C2"/>
    <w:rsid w:val="003F569B"/>
    <w:rsid w:val="003F5890"/>
    <w:rsid w:val="003F72B2"/>
    <w:rsid w:val="00401080"/>
    <w:rsid w:val="00401E2E"/>
    <w:rsid w:val="00403203"/>
    <w:rsid w:val="00403385"/>
    <w:rsid w:val="00404FE1"/>
    <w:rsid w:val="00405408"/>
    <w:rsid w:val="004056C5"/>
    <w:rsid w:val="00406519"/>
    <w:rsid w:val="00407136"/>
    <w:rsid w:val="0041228B"/>
    <w:rsid w:val="0041576D"/>
    <w:rsid w:val="004168E0"/>
    <w:rsid w:val="00417976"/>
    <w:rsid w:val="00420194"/>
    <w:rsid w:val="00421F5F"/>
    <w:rsid w:val="00421F8A"/>
    <w:rsid w:val="00423B52"/>
    <w:rsid w:val="00424C7F"/>
    <w:rsid w:val="00425039"/>
    <w:rsid w:val="004268D6"/>
    <w:rsid w:val="004302DE"/>
    <w:rsid w:val="00430FEE"/>
    <w:rsid w:val="00432706"/>
    <w:rsid w:val="004331D5"/>
    <w:rsid w:val="00440DCD"/>
    <w:rsid w:val="0044174D"/>
    <w:rsid w:val="00441B4F"/>
    <w:rsid w:val="00443E8E"/>
    <w:rsid w:val="0044563F"/>
    <w:rsid w:val="00445E7C"/>
    <w:rsid w:val="00446275"/>
    <w:rsid w:val="00447898"/>
    <w:rsid w:val="004507EC"/>
    <w:rsid w:val="004524A0"/>
    <w:rsid w:val="00453970"/>
    <w:rsid w:val="00455341"/>
    <w:rsid w:val="00455468"/>
    <w:rsid w:val="00456D47"/>
    <w:rsid w:val="00457EB7"/>
    <w:rsid w:val="00461945"/>
    <w:rsid w:val="00461F7F"/>
    <w:rsid w:val="004621AE"/>
    <w:rsid w:val="0046479E"/>
    <w:rsid w:val="00464D81"/>
    <w:rsid w:val="004718A2"/>
    <w:rsid w:val="0047206B"/>
    <w:rsid w:val="004727AB"/>
    <w:rsid w:val="00472A8A"/>
    <w:rsid w:val="00474741"/>
    <w:rsid w:val="00475642"/>
    <w:rsid w:val="0047614F"/>
    <w:rsid w:val="00476457"/>
    <w:rsid w:val="00476C9D"/>
    <w:rsid w:val="00476CF6"/>
    <w:rsid w:val="00476F3F"/>
    <w:rsid w:val="00481264"/>
    <w:rsid w:val="00482A0A"/>
    <w:rsid w:val="004831FB"/>
    <w:rsid w:val="00490F58"/>
    <w:rsid w:val="00490FBC"/>
    <w:rsid w:val="00492BFD"/>
    <w:rsid w:val="00492DBE"/>
    <w:rsid w:val="004944A9"/>
    <w:rsid w:val="004944D3"/>
    <w:rsid w:val="00495CED"/>
    <w:rsid w:val="004964BE"/>
    <w:rsid w:val="00496DB9"/>
    <w:rsid w:val="004A0E1C"/>
    <w:rsid w:val="004A5986"/>
    <w:rsid w:val="004A5D0F"/>
    <w:rsid w:val="004A5E26"/>
    <w:rsid w:val="004A6BC2"/>
    <w:rsid w:val="004A6C6E"/>
    <w:rsid w:val="004A7AD2"/>
    <w:rsid w:val="004B3D2B"/>
    <w:rsid w:val="004B3E08"/>
    <w:rsid w:val="004B4B1D"/>
    <w:rsid w:val="004B5143"/>
    <w:rsid w:val="004B5567"/>
    <w:rsid w:val="004B5693"/>
    <w:rsid w:val="004B790B"/>
    <w:rsid w:val="004C1FFD"/>
    <w:rsid w:val="004C3E2E"/>
    <w:rsid w:val="004C41BE"/>
    <w:rsid w:val="004C5A4D"/>
    <w:rsid w:val="004D22D8"/>
    <w:rsid w:val="004D467B"/>
    <w:rsid w:val="004D553B"/>
    <w:rsid w:val="004D73A3"/>
    <w:rsid w:val="004D7D19"/>
    <w:rsid w:val="004E0AC1"/>
    <w:rsid w:val="004E11A2"/>
    <w:rsid w:val="004E2B04"/>
    <w:rsid w:val="004E384F"/>
    <w:rsid w:val="004E550C"/>
    <w:rsid w:val="004E5E1A"/>
    <w:rsid w:val="004E5EEB"/>
    <w:rsid w:val="004E66F3"/>
    <w:rsid w:val="004E754C"/>
    <w:rsid w:val="004E7E0D"/>
    <w:rsid w:val="004F312E"/>
    <w:rsid w:val="004F3FB0"/>
    <w:rsid w:val="004F5559"/>
    <w:rsid w:val="004F5F15"/>
    <w:rsid w:val="004F6E3D"/>
    <w:rsid w:val="005006BE"/>
    <w:rsid w:val="00501CE9"/>
    <w:rsid w:val="005020E0"/>
    <w:rsid w:val="00503F44"/>
    <w:rsid w:val="0050467F"/>
    <w:rsid w:val="0050533C"/>
    <w:rsid w:val="00505644"/>
    <w:rsid w:val="005062D0"/>
    <w:rsid w:val="00507669"/>
    <w:rsid w:val="005107F2"/>
    <w:rsid w:val="0051166B"/>
    <w:rsid w:val="00511F20"/>
    <w:rsid w:val="00513126"/>
    <w:rsid w:val="00514639"/>
    <w:rsid w:val="00515149"/>
    <w:rsid w:val="00521FB3"/>
    <w:rsid w:val="00523078"/>
    <w:rsid w:val="00523DEF"/>
    <w:rsid w:val="00526BD1"/>
    <w:rsid w:val="00526C28"/>
    <w:rsid w:val="005270EE"/>
    <w:rsid w:val="005274D3"/>
    <w:rsid w:val="00530BE9"/>
    <w:rsid w:val="0053468C"/>
    <w:rsid w:val="00534A5E"/>
    <w:rsid w:val="00534B71"/>
    <w:rsid w:val="00534CEB"/>
    <w:rsid w:val="005354FE"/>
    <w:rsid w:val="005359EB"/>
    <w:rsid w:val="00535EB8"/>
    <w:rsid w:val="005400FB"/>
    <w:rsid w:val="00540E8F"/>
    <w:rsid w:val="00542BF2"/>
    <w:rsid w:val="00543217"/>
    <w:rsid w:val="005432A2"/>
    <w:rsid w:val="00547938"/>
    <w:rsid w:val="005513C7"/>
    <w:rsid w:val="00552173"/>
    <w:rsid w:val="005541E3"/>
    <w:rsid w:val="00554930"/>
    <w:rsid w:val="00554E97"/>
    <w:rsid w:val="005554F6"/>
    <w:rsid w:val="00555BE9"/>
    <w:rsid w:val="0055773E"/>
    <w:rsid w:val="00557805"/>
    <w:rsid w:val="00560174"/>
    <w:rsid w:val="00561123"/>
    <w:rsid w:val="005612E6"/>
    <w:rsid w:val="00561376"/>
    <w:rsid w:val="00561D10"/>
    <w:rsid w:val="005647B2"/>
    <w:rsid w:val="0056510F"/>
    <w:rsid w:val="005661E0"/>
    <w:rsid w:val="00570237"/>
    <w:rsid w:val="0057088D"/>
    <w:rsid w:val="005712A8"/>
    <w:rsid w:val="005717EC"/>
    <w:rsid w:val="00571894"/>
    <w:rsid w:val="00574502"/>
    <w:rsid w:val="005749D1"/>
    <w:rsid w:val="00581145"/>
    <w:rsid w:val="00581B04"/>
    <w:rsid w:val="00583389"/>
    <w:rsid w:val="00583F04"/>
    <w:rsid w:val="00585498"/>
    <w:rsid w:val="00586F2D"/>
    <w:rsid w:val="00587303"/>
    <w:rsid w:val="00587BB7"/>
    <w:rsid w:val="00592231"/>
    <w:rsid w:val="00592278"/>
    <w:rsid w:val="005936F0"/>
    <w:rsid w:val="0059432B"/>
    <w:rsid w:val="005976DD"/>
    <w:rsid w:val="005A3A65"/>
    <w:rsid w:val="005A3E45"/>
    <w:rsid w:val="005A3F16"/>
    <w:rsid w:val="005A4750"/>
    <w:rsid w:val="005A6A35"/>
    <w:rsid w:val="005B127E"/>
    <w:rsid w:val="005B39FE"/>
    <w:rsid w:val="005B3CCC"/>
    <w:rsid w:val="005B462A"/>
    <w:rsid w:val="005B68F5"/>
    <w:rsid w:val="005B7062"/>
    <w:rsid w:val="005B7912"/>
    <w:rsid w:val="005C04A3"/>
    <w:rsid w:val="005C0B57"/>
    <w:rsid w:val="005C1263"/>
    <w:rsid w:val="005C1398"/>
    <w:rsid w:val="005C1593"/>
    <w:rsid w:val="005C2490"/>
    <w:rsid w:val="005C2D15"/>
    <w:rsid w:val="005C3FE4"/>
    <w:rsid w:val="005C43BC"/>
    <w:rsid w:val="005C5A86"/>
    <w:rsid w:val="005C76C6"/>
    <w:rsid w:val="005D0510"/>
    <w:rsid w:val="005D05E6"/>
    <w:rsid w:val="005D0D19"/>
    <w:rsid w:val="005D1513"/>
    <w:rsid w:val="005D28C2"/>
    <w:rsid w:val="005D3A6C"/>
    <w:rsid w:val="005D3E86"/>
    <w:rsid w:val="005D7D7C"/>
    <w:rsid w:val="005D7EDB"/>
    <w:rsid w:val="005E10E2"/>
    <w:rsid w:val="005E1D13"/>
    <w:rsid w:val="005E4032"/>
    <w:rsid w:val="005E62DD"/>
    <w:rsid w:val="005E67F9"/>
    <w:rsid w:val="005F169F"/>
    <w:rsid w:val="005F5C35"/>
    <w:rsid w:val="005F5D31"/>
    <w:rsid w:val="00600870"/>
    <w:rsid w:val="00601E3F"/>
    <w:rsid w:val="00601F75"/>
    <w:rsid w:val="006028B3"/>
    <w:rsid w:val="00605A82"/>
    <w:rsid w:val="00606727"/>
    <w:rsid w:val="00606B1D"/>
    <w:rsid w:val="0060723A"/>
    <w:rsid w:val="0060759F"/>
    <w:rsid w:val="00607AF0"/>
    <w:rsid w:val="00607C15"/>
    <w:rsid w:val="006119D4"/>
    <w:rsid w:val="006136E4"/>
    <w:rsid w:val="00613C1E"/>
    <w:rsid w:val="006151FF"/>
    <w:rsid w:val="006162E7"/>
    <w:rsid w:val="00617749"/>
    <w:rsid w:val="0062119A"/>
    <w:rsid w:val="0062165E"/>
    <w:rsid w:val="00621767"/>
    <w:rsid w:val="00622FD5"/>
    <w:rsid w:val="006238FE"/>
    <w:rsid w:val="0062492C"/>
    <w:rsid w:val="00624A5C"/>
    <w:rsid w:val="00624C9C"/>
    <w:rsid w:val="00624FC3"/>
    <w:rsid w:val="00626521"/>
    <w:rsid w:val="006268BF"/>
    <w:rsid w:val="006269C2"/>
    <w:rsid w:val="00627825"/>
    <w:rsid w:val="00627909"/>
    <w:rsid w:val="00627D69"/>
    <w:rsid w:val="00630D8C"/>
    <w:rsid w:val="006319DE"/>
    <w:rsid w:val="006343DA"/>
    <w:rsid w:val="00635405"/>
    <w:rsid w:val="00636661"/>
    <w:rsid w:val="00636740"/>
    <w:rsid w:val="00637036"/>
    <w:rsid w:val="006400B0"/>
    <w:rsid w:val="00640614"/>
    <w:rsid w:val="00643820"/>
    <w:rsid w:val="0064446E"/>
    <w:rsid w:val="006449A0"/>
    <w:rsid w:val="00645B66"/>
    <w:rsid w:val="00645FAD"/>
    <w:rsid w:val="0064668B"/>
    <w:rsid w:val="006521A9"/>
    <w:rsid w:val="00652BE5"/>
    <w:rsid w:val="0065566A"/>
    <w:rsid w:val="00655771"/>
    <w:rsid w:val="0065618E"/>
    <w:rsid w:val="00656F79"/>
    <w:rsid w:val="006620CF"/>
    <w:rsid w:val="00662C4A"/>
    <w:rsid w:val="00663636"/>
    <w:rsid w:val="00666C6D"/>
    <w:rsid w:val="00667D72"/>
    <w:rsid w:val="00667D7D"/>
    <w:rsid w:val="0067180E"/>
    <w:rsid w:val="00673F21"/>
    <w:rsid w:val="00680773"/>
    <w:rsid w:val="006811B9"/>
    <w:rsid w:val="00682970"/>
    <w:rsid w:val="00684C0D"/>
    <w:rsid w:val="00684F54"/>
    <w:rsid w:val="00686791"/>
    <w:rsid w:val="00686A5E"/>
    <w:rsid w:val="00686DEF"/>
    <w:rsid w:val="00687374"/>
    <w:rsid w:val="00687CB3"/>
    <w:rsid w:val="00687EF4"/>
    <w:rsid w:val="006963CF"/>
    <w:rsid w:val="00696450"/>
    <w:rsid w:val="00697672"/>
    <w:rsid w:val="00697732"/>
    <w:rsid w:val="006A0AA5"/>
    <w:rsid w:val="006A2617"/>
    <w:rsid w:val="006A51EC"/>
    <w:rsid w:val="006A6587"/>
    <w:rsid w:val="006A72B1"/>
    <w:rsid w:val="006A7E56"/>
    <w:rsid w:val="006B0523"/>
    <w:rsid w:val="006B15C8"/>
    <w:rsid w:val="006B3EC9"/>
    <w:rsid w:val="006B404F"/>
    <w:rsid w:val="006B5A86"/>
    <w:rsid w:val="006B79A8"/>
    <w:rsid w:val="006B7E2B"/>
    <w:rsid w:val="006C1A72"/>
    <w:rsid w:val="006C1C37"/>
    <w:rsid w:val="006C2052"/>
    <w:rsid w:val="006C4C3B"/>
    <w:rsid w:val="006C5C1A"/>
    <w:rsid w:val="006C6A30"/>
    <w:rsid w:val="006C7462"/>
    <w:rsid w:val="006C7723"/>
    <w:rsid w:val="006C7BE1"/>
    <w:rsid w:val="006D1BC7"/>
    <w:rsid w:val="006D2279"/>
    <w:rsid w:val="006D26F0"/>
    <w:rsid w:val="006D33A7"/>
    <w:rsid w:val="006D3FBD"/>
    <w:rsid w:val="006D4C53"/>
    <w:rsid w:val="006D533E"/>
    <w:rsid w:val="006D57B7"/>
    <w:rsid w:val="006D6A10"/>
    <w:rsid w:val="006D72EA"/>
    <w:rsid w:val="006D773C"/>
    <w:rsid w:val="006E143B"/>
    <w:rsid w:val="006E1BB2"/>
    <w:rsid w:val="006E39CA"/>
    <w:rsid w:val="006E66BE"/>
    <w:rsid w:val="006E6A0F"/>
    <w:rsid w:val="006F06F0"/>
    <w:rsid w:val="006F1782"/>
    <w:rsid w:val="006F1BFD"/>
    <w:rsid w:val="006F25B5"/>
    <w:rsid w:val="006F36E5"/>
    <w:rsid w:val="006F4278"/>
    <w:rsid w:val="006F45CA"/>
    <w:rsid w:val="006F4D01"/>
    <w:rsid w:val="006F4D0B"/>
    <w:rsid w:val="006F7AF5"/>
    <w:rsid w:val="00700DC6"/>
    <w:rsid w:val="007014DD"/>
    <w:rsid w:val="0070195F"/>
    <w:rsid w:val="00702571"/>
    <w:rsid w:val="00703D58"/>
    <w:rsid w:val="0070468C"/>
    <w:rsid w:val="00704A6B"/>
    <w:rsid w:val="0070568B"/>
    <w:rsid w:val="00705884"/>
    <w:rsid w:val="00707419"/>
    <w:rsid w:val="0071542C"/>
    <w:rsid w:val="0071562A"/>
    <w:rsid w:val="00717345"/>
    <w:rsid w:val="0071799F"/>
    <w:rsid w:val="00720188"/>
    <w:rsid w:val="0072101F"/>
    <w:rsid w:val="0072275B"/>
    <w:rsid w:val="00723F4E"/>
    <w:rsid w:val="00724956"/>
    <w:rsid w:val="00726FC6"/>
    <w:rsid w:val="00731FA2"/>
    <w:rsid w:val="00733ED3"/>
    <w:rsid w:val="00737236"/>
    <w:rsid w:val="007400CF"/>
    <w:rsid w:val="00741732"/>
    <w:rsid w:val="007420D7"/>
    <w:rsid w:val="007423A8"/>
    <w:rsid w:val="00742758"/>
    <w:rsid w:val="0074294B"/>
    <w:rsid w:val="00744635"/>
    <w:rsid w:val="00753D83"/>
    <w:rsid w:val="00754150"/>
    <w:rsid w:val="0075491A"/>
    <w:rsid w:val="00754AB9"/>
    <w:rsid w:val="00755E6E"/>
    <w:rsid w:val="0075704C"/>
    <w:rsid w:val="00757312"/>
    <w:rsid w:val="00765615"/>
    <w:rsid w:val="00766CD6"/>
    <w:rsid w:val="00766FC4"/>
    <w:rsid w:val="00770C53"/>
    <w:rsid w:val="007749A1"/>
    <w:rsid w:val="007759BA"/>
    <w:rsid w:val="00775A29"/>
    <w:rsid w:val="007764D4"/>
    <w:rsid w:val="0078072E"/>
    <w:rsid w:val="00782B2F"/>
    <w:rsid w:val="00785641"/>
    <w:rsid w:val="00786629"/>
    <w:rsid w:val="00786CA2"/>
    <w:rsid w:val="0078781B"/>
    <w:rsid w:val="00791518"/>
    <w:rsid w:val="00792FD0"/>
    <w:rsid w:val="007931EC"/>
    <w:rsid w:val="007942D0"/>
    <w:rsid w:val="00794879"/>
    <w:rsid w:val="00794A5C"/>
    <w:rsid w:val="00795754"/>
    <w:rsid w:val="00796912"/>
    <w:rsid w:val="007A113B"/>
    <w:rsid w:val="007A3416"/>
    <w:rsid w:val="007A47BA"/>
    <w:rsid w:val="007A4A1B"/>
    <w:rsid w:val="007A77BA"/>
    <w:rsid w:val="007B1E4E"/>
    <w:rsid w:val="007B22C3"/>
    <w:rsid w:val="007B3BFB"/>
    <w:rsid w:val="007B57DB"/>
    <w:rsid w:val="007B5B8C"/>
    <w:rsid w:val="007B6DB9"/>
    <w:rsid w:val="007C02CA"/>
    <w:rsid w:val="007C11C4"/>
    <w:rsid w:val="007C211E"/>
    <w:rsid w:val="007C24FF"/>
    <w:rsid w:val="007C26A6"/>
    <w:rsid w:val="007C5540"/>
    <w:rsid w:val="007C5EE6"/>
    <w:rsid w:val="007C6E53"/>
    <w:rsid w:val="007D0DF1"/>
    <w:rsid w:val="007D0E79"/>
    <w:rsid w:val="007D4342"/>
    <w:rsid w:val="007D45B7"/>
    <w:rsid w:val="007D76F5"/>
    <w:rsid w:val="007E06E1"/>
    <w:rsid w:val="007E080B"/>
    <w:rsid w:val="007E10A9"/>
    <w:rsid w:val="007E2121"/>
    <w:rsid w:val="007E2A75"/>
    <w:rsid w:val="007E5985"/>
    <w:rsid w:val="007F4787"/>
    <w:rsid w:val="007F5834"/>
    <w:rsid w:val="007F5AFC"/>
    <w:rsid w:val="007F6BC9"/>
    <w:rsid w:val="007F6F3E"/>
    <w:rsid w:val="007F7BE4"/>
    <w:rsid w:val="00800069"/>
    <w:rsid w:val="00800773"/>
    <w:rsid w:val="0080747C"/>
    <w:rsid w:val="00811EB6"/>
    <w:rsid w:val="0081302A"/>
    <w:rsid w:val="00813FBA"/>
    <w:rsid w:val="00820DC5"/>
    <w:rsid w:val="00822778"/>
    <w:rsid w:val="00822E38"/>
    <w:rsid w:val="00822FC3"/>
    <w:rsid w:val="00824BD1"/>
    <w:rsid w:val="00825344"/>
    <w:rsid w:val="00825E77"/>
    <w:rsid w:val="008275D4"/>
    <w:rsid w:val="008325C8"/>
    <w:rsid w:val="0083335F"/>
    <w:rsid w:val="00836F7A"/>
    <w:rsid w:val="00842700"/>
    <w:rsid w:val="008432A0"/>
    <w:rsid w:val="008442F9"/>
    <w:rsid w:val="00844D02"/>
    <w:rsid w:val="00846781"/>
    <w:rsid w:val="00847A05"/>
    <w:rsid w:val="00851674"/>
    <w:rsid w:val="008516DF"/>
    <w:rsid w:val="0085363C"/>
    <w:rsid w:val="00857303"/>
    <w:rsid w:val="0086047A"/>
    <w:rsid w:val="00860FF8"/>
    <w:rsid w:val="00862632"/>
    <w:rsid w:val="00862D72"/>
    <w:rsid w:val="00862DDA"/>
    <w:rsid w:val="008632FD"/>
    <w:rsid w:val="00863624"/>
    <w:rsid w:val="00864308"/>
    <w:rsid w:val="00864794"/>
    <w:rsid w:val="008649DE"/>
    <w:rsid w:val="00865865"/>
    <w:rsid w:val="008667E1"/>
    <w:rsid w:val="00870AFC"/>
    <w:rsid w:val="00870AFD"/>
    <w:rsid w:val="00874D33"/>
    <w:rsid w:val="008770A5"/>
    <w:rsid w:val="00882008"/>
    <w:rsid w:val="00882D76"/>
    <w:rsid w:val="00887ED2"/>
    <w:rsid w:val="00890A4A"/>
    <w:rsid w:val="00891966"/>
    <w:rsid w:val="00893397"/>
    <w:rsid w:val="00893DFE"/>
    <w:rsid w:val="008A16EB"/>
    <w:rsid w:val="008A1EB9"/>
    <w:rsid w:val="008A4710"/>
    <w:rsid w:val="008A4DE0"/>
    <w:rsid w:val="008A4F1C"/>
    <w:rsid w:val="008B2D97"/>
    <w:rsid w:val="008B321A"/>
    <w:rsid w:val="008B4BA0"/>
    <w:rsid w:val="008B631B"/>
    <w:rsid w:val="008C0424"/>
    <w:rsid w:val="008C222F"/>
    <w:rsid w:val="008C4E95"/>
    <w:rsid w:val="008C580D"/>
    <w:rsid w:val="008C683B"/>
    <w:rsid w:val="008C6E2C"/>
    <w:rsid w:val="008D1C0F"/>
    <w:rsid w:val="008D1D0F"/>
    <w:rsid w:val="008D1D1E"/>
    <w:rsid w:val="008D2BDC"/>
    <w:rsid w:val="008D2F9A"/>
    <w:rsid w:val="008D3457"/>
    <w:rsid w:val="008D4096"/>
    <w:rsid w:val="008D48B2"/>
    <w:rsid w:val="008D5A7F"/>
    <w:rsid w:val="008D5FDC"/>
    <w:rsid w:val="008D7CC8"/>
    <w:rsid w:val="008E09CB"/>
    <w:rsid w:val="008E0E4A"/>
    <w:rsid w:val="008E1B08"/>
    <w:rsid w:val="008E634E"/>
    <w:rsid w:val="008F1F6D"/>
    <w:rsid w:val="008F22C9"/>
    <w:rsid w:val="008F43DC"/>
    <w:rsid w:val="008F47A0"/>
    <w:rsid w:val="008F6855"/>
    <w:rsid w:val="009005FB"/>
    <w:rsid w:val="0090087B"/>
    <w:rsid w:val="00901803"/>
    <w:rsid w:val="00902CF6"/>
    <w:rsid w:val="00905A7B"/>
    <w:rsid w:val="00906741"/>
    <w:rsid w:val="00906BDF"/>
    <w:rsid w:val="00911EF4"/>
    <w:rsid w:val="009164BA"/>
    <w:rsid w:val="00916D3A"/>
    <w:rsid w:val="00917353"/>
    <w:rsid w:val="0091794D"/>
    <w:rsid w:val="0092004E"/>
    <w:rsid w:val="0092021A"/>
    <w:rsid w:val="0092116A"/>
    <w:rsid w:val="009212D0"/>
    <w:rsid w:val="00921EA7"/>
    <w:rsid w:val="00926D85"/>
    <w:rsid w:val="00930BA9"/>
    <w:rsid w:val="00931DBF"/>
    <w:rsid w:val="00934A31"/>
    <w:rsid w:val="00934F06"/>
    <w:rsid w:val="00936787"/>
    <w:rsid w:val="009378AA"/>
    <w:rsid w:val="00937C49"/>
    <w:rsid w:val="0094013B"/>
    <w:rsid w:val="009401FC"/>
    <w:rsid w:val="0094303D"/>
    <w:rsid w:val="00943327"/>
    <w:rsid w:val="00943610"/>
    <w:rsid w:val="00944F88"/>
    <w:rsid w:val="00945ECA"/>
    <w:rsid w:val="009462AC"/>
    <w:rsid w:val="00947977"/>
    <w:rsid w:val="009509F2"/>
    <w:rsid w:val="00950CFE"/>
    <w:rsid w:val="00951664"/>
    <w:rsid w:val="0095180B"/>
    <w:rsid w:val="009579D6"/>
    <w:rsid w:val="00957A96"/>
    <w:rsid w:val="00960943"/>
    <w:rsid w:val="00960A5D"/>
    <w:rsid w:val="00963206"/>
    <w:rsid w:val="0096345A"/>
    <w:rsid w:val="00963B10"/>
    <w:rsid w:val="00965A5D"/>
    <w:rsid w:val="009665C6"/>
    <w:rsid w:val="00970BCB"/>
    <w:rsid w:val="00971EE4"/>
    <w:rsid w:val="00972563"/>
    <w:rsid w:val="00973649"/>
    <w:rsid w:val="009737CC"/>
    <w:rsid w:val="00974CBD"/>
    <w:rsid w:val="0097535F"/>
    <w:rsid w:val="0097556A"/>
    <w:rsid w:val="00975829"/>
    <w:rsid w:val="0097675F"/>
    <w:rsid w:val="00977F06"/>
    <w:rsid w:val="00983210"/>
    <w:rsid w:val="009849FC"/>
    <w:rsid w:val="009861DA"/>
    <w:rsid w:val="00986652"/>
    <w:rsid w:val="0098673A"/>
    <w:rsid w:val="00986774"/>
    <w:rsid w:val="00990D22"/>
    <w:rsid w:val="00991192"/>
    <w:rsid w:val="00993FB4"/>
    <w:rsid w:val="009A0912"/>
    <w:rsid w:val="009A2CB6"/>
    <w:rsid w:val="009A4C71"/>
    <w:rsid w:val="009A4FCF"/>
    <w:rsid w:val="009A76A3"/>
    <w:rsid w:val="009B1F45"/>
    <w:rsid w:val="009B3B3F"/>
    <w:rsid w:val="009B3BC8"/>
    <w:rsid w:val="009B419E"/>
    <w:rsid w:val="009B5521"/>
    <w:rsid w:val="009C06DF"/>
    <w:rsid w:val="009C2DEC"/>
    <w:rsid w:val="009C4167"/>
    <w:rsid w:val="009C7783"/>
    <w:rsid w:val="009C78D0"/>
    <w:rsid w:val="009C7A3E"/>
    <w:rsid w:val="009D0E80"/>
    <w:rsid w:val="009D1BEF"/>
    <w:rsid w:val="009D26F4"/>
    <w:rsid w:val="009D2DEF"/>
    <w:rsid w:val="009D56E9"/>
    <w:rsid w:val="009D6FC0"/>
    <w:rsid w:val="009D7F9F"/>
    <w:rsid w:val="009E12D8"/>
    <w:rsid w:val="009E1912"/>
    <w:rsid w:val="009E1DA2"/>
    <w:rsid w:val="009E474C"/>
    <w:rsid w:val="009E77E8"/>
    <w:rsid w:val="009E7CF3"/>
    <w:rsid w:val="009F18FC"/>
    <w:rsid w:val="009F2668"/>
    <w:rsid w:val="009F3C8B"/>
    <w:rsid w:val="009F53FA"/>
    <w:rsid w:val="009F6234"/>
    <w:rsid w:val="009F7610"/>
    <w:rsid w:val="009F7CD4"/>
    <w:rsid w:val="00A00C2E"/>
    <w:rsid w:val="00A026D1"/>
    <w:rsid w:val="00A02A80"/>
    <w:rsid w:val="00A02EC1"/>
    <w:rsid w:val="00A07340"/>
    <w:rsid w:val="00A07BEF"/>
    <w:rsid w:val="00A10629"/>
    <w:rsid w:val="00A114E2"/>
    <w:rsid w:val="00A13896"/>
    <w:rsid w:val="00A139D5"/>
    <w:rsid w:val="00A13DEE"/>
    <w:rsid w:val="00A14627"/>
    <w:rsid w:val="00A1496E"/>
    <w:rsid w:val="00A15278"/>
    <w:rsid w:val="00A160E6"/>
    <w:rsid w:val="00A2091E"/>
    <w:rsid w:val="00A24068"/>
    <w:rsid w:val="00A25168"/>
    <w:rsid w:val="00A26226"/>
    <w:rsid w:val="00A3056E"/>
    <w:rsid w:val="00A31414"/>
    <w:rsid w:val="00A3510A"/>
    <w:rsid w:val="00A3526C"/>
    <w:rsid w:val="00A355C3"/>
    <w:rsid w:val="00A35E99"/>
    <w:rsid w:val="00A40197"/>
    <w:rsid w:val="00A42394"/>
    <w:rsid w:val="00A424DE"/>
    <w:rsid w:val="00A43834"/>
    <w:rsid w:val="00A43FEA"/>
    <w:rsid w:val="00A45734"/>
    <w:rsid w:val="00A4647A"/>
    <w:rsid w:val="00A46F40"/>
    <w:rsid w:val="00A46FFE"/>
    <w:rsid w:val="00A5422A"/>
    <w:rsid w:val="00A544DC"/>
    <w:rsid w:val="00A54620"/>
    <w:rsid w:val="00A55248"/>
    <w:rsid w:val="00A557DB"/>
    <w:rsid w:val="00A55A78"/>
    <w:rsid w:val="00A60654"/>
    <w:rsid w:val="00A620DB"/>
    <w:rsid w:val="00A6529F"/>
    <w:rsid w:val="00A66AB0"/>
    <w:rsid w:val="00A67F42"/>
    <w:rsid w:val="00A70E39"/>
    <w:rsid w:val="00A73B7A"/>
    <w:rsid w:val="00A775F0"/>
    <w:rsid w:val="00A809C8"/>
    <w:rsid w:val="00A80AAC"/>
    <w:rsid w:val="00A83A04"/>
    <w:rsid w:val="00A849D8"/>
    <w:rsid w:val="00A852EF"/>
    <w:rsid w:val="00A854B1"/>
    <w:rsid w:val="00A8687F"/>
    <w:rsid w:val="00A91A72"/>
    <w:rsid w:val="00A92A94"/>
    <w:rsid w:val="00A92F20"/>
    <w:rsid w:val="00A94A0E"/>
    <w:rsid w:val="00A94AB1"/>
    <w:rsid w:val="00A954C0"/>
    <w:rsid w:val="00AA20AE"/>
    <w:rsid w:val="00AA4F91"/>
    <w:rsid w:val="00AA6322"/>
    <w:rsid w:val="00AA64A6"/>
    <w:rsid w:val="00AA7BB8"/>
    <w:rsid w:val="00AB0B2C"/>
    <w:rsid w:val="00AB4FCA"/>
    <w:rsid w:val="00AC034D"/>
    <w:rsid w:val="00AC0A8D"/>
    <w:rsid w:val="00AC2B3E"/>
    <w:rsid w:val="00AC34E2"/>
    <w:rsid w:val="00AC3628"/>
    <w:rsid w:val="00AC4F5B"/>
    <w:rsid w:val="00AC7020"/>
    <w:rsid w:val="00AD17D5"/>
    <w:rsid w:val="00AD2B25"/>
    <w:rsid w:val="00AE11EB"/>
    <w:rsid w:val="00AE38D0"/>
    <w:rsid w:val="00AE55A5"/>
    <w:rsid w:val="00AE58BE"/>
    <w:rsid w:val="00AF083F"/>
    <w:rsid w:val="00AF2640"/>
    <w:rsid w:val="00AF3300"/>
    <w:rsid w:val="00AF34FF"/>
    <w:rsid w:val="00AF44FB"/>
    <w:rsid w:val="00AF6E2A"/>
    <w:rsid w:val="00B02FAC"/>
    <w:rsid w:val="00B030D5"/>
    <w:rsid w:val="00B04884"/>
    <w:rsid w:val="00B04955"/>
    <w:rsid w:val="00B05F13"/>
    <w:rsid w:val="00B079AD"/>
    <w:rsid w:val="00B1195A"/>
    <w:rsid w:val="00B11AE9"/>
    <w:rsid w:val="00B125A8"/>
    <w:rsid w:val="00B15C84"/>
    <w:rsid w:val="00B23786"/>
    <w:rsid w:val="00B244E1"/>
    <w:rsid w:val="00B24797"/>
    <w:rsid w:val="00B26DC6"/>
    <w:rsid w:val="00B30589"/>
    <w:rsid w:val="00B31488"/>
    <w:rsid w:val="00B32801"/>
    <w:rsid w:val="00B4064A"/>
    <w:rsid w:val="00B4098C"/>
    <w:rsid w:val="00B41A06"/>
    <w:rsid w:val="00B41A39"/>
    <w:rsid w:val="00B41F57"/>
    <w:rsid w:val="00B421BC"/>
    <w:rsid w:val="00B43337"/>
    <w:rsid w:val="00B43574"/>
    <w:rsid w:val="00B4396D"/>
    <w:rsid w:val="00B45DC5"/>
    <w:rsid w:val="00B45FFA"/>
    <w:rsid w:val="00B52422"/>
    <w:rsid w:val="00B52D53"/>
    <w:rsid w:val="00B52FA5"/>
    <w:rsid w:val="00B552D4"/>
    <w:rsid w:val="00B55313"/>
    <w:rsid w:val="00B57AD0"/>
    <w:rsid w:val="00B60315"/>
    <w:rsid w:val="00B61638"/>
    <w:rsid w:val="00B62EBF"/>
    <w:rsid w:val="00B631FC"/>
    <w:rsid w:val="00B63ABC"/>
    <w:rsid w:val="00B644BD"/>
    <w:rsid w:val="00B64552"/>
    <w:rsid w:val="00B677F7"/>
    <w:rsid w:val="00B7146A"/>
    <w:rsid w:val="00B71DBD"/>
    <w:rsid w:val="00B7212A"/>
    <w:rsid w:val="00B7218E"/>
    <w:rsid w:val="00B73DB2"/>
    <w:rsid w:val="00B74DA0"/>
    <w:rsid w:val="00B75BDE"/>
    <w:rsid w:val="00B77868"/>
    <w:rsid w:val="00B8142D"/>
    <w:rsid w:val="00B823EB"/>
    <w:rsid w:val="00B82738"/>
    <w:rsid w:val="00B82DAC"/>
    <w:rsid w:val="00B8593F"/>
    <w:rsid w:val="00B86361"/>
    <w:rsid w:val="00B87D38"/>
    <w:rsid w:val="00B900FA"/>
    <w:rsid w:val="00B90951"/>
    <w:rsid w:val="00B9193B"/>
    <w:rsid w:val="00B93663"/>
    <w:rsid w:val="00B95601"/>
    <w:rsid w:val="00B95B1E"/>
    <w:rsid w:val="00B971EB"/>
    <w:rsid w:val="00B9780A"/>
    <w:rsid w:val="00B97D83"/>
    <w:rsid w:val="00BA1E0F"/>
    <w:rsid w:val="00BA33A3"/>
    <w:rsid w:val="00BA4890"/>
    <w:rsid w:val="00BA7FAC"/>
    <w:rsid w:val="00BB001B"/>
    <w:rsid w:val="00BB0DA0"/>
    <w:rsid w:val="00BB1767"/>
    <w:rsid w:val="00BB2BAF"/>
    <w:rsid w:val="00BB3992"/>
    <w:rsid w:val="00BB521A"/>
    <w:rsid w:val="00BB60D1"/>
    <w:rsid w:val="00BC2F66"/>
    <w:rsid w:val="00BC353C"/>
    <w:rsid w:val="00BC354E"/>
    <w:rsid w:val="00BC3CA4"/>
    <w:rsid w:val="00BC3D45"/>
    <w:rsid w:val="00BC4296"/>
    <w:rsid w:val="00BC6147"/>
    <w:rsid w:val="00BC6B2E"/>
    <w:rsid w:val="00BC783F"/>
    <w:rsid w:val="00BD2CDD"/>
    <w:rsid w:val="00BD6C0A"/>
    <w:rsid w:val="00BD7A82"/>
    <w:rsid w:val="00BD7BE7"/>
    <w:rsid w:val="00BE02A1"/>
    <w:rsid w:val="00BE19EC"/>
    <w:rsid w:val="00BE4192"/>
    <w:rsid w:val="00BE7073"/>
    <w:rsid w:val="00BE7713"/>
    <w:rsid w:val="00BF1335"/>
    <w:rsid w:val="00BF154B"/>
    <w:rsid w:val="00BF58B7"/>
    <w:rsid w:val="00BF7009"/>
    <w:rsid w:val="00C010D6"/>
    <w:rsid w:val="00C02AA1"/>
    <w:rsid w:val="00C02EA6"/>
    <w:rsid w:val="00C03076"/>
    <w:rsid w:val="00C03792"/>
    <w:rsid w:val="00C03AEA"/>
    <w:rsid w:val="00C05A15"/>
    <w:rsid w:val="00C070A6"/>
    <w:rsid w:val="00C10515"/>
    <w:rsid w:val="00C1120C"/>
    <w:rsid w:val="00C122F6"/>
    <w:rsid w:val="00C13E2D"/>
    <w:rsid w:val="00C22601"/>
    <w:rsid w:val="00C236E7"/>
    <w:rsid w:val="00C2559C"/>
    <w:rsid w:val="00C26905"/>
    <w:rsid w:val="00C279C1"/>
    <w:rsid w:val="00C27FA1"/>
    <w:rsid w:val="00C30114"/>
    <w:rsid w:val="00C31804"/>
    <w:rsid w:val="00C3189F"/>
    <w:rsid w:val="00C32720"/>
    <w:rsid w:val="00C33968"/>
    <w:rsid w:val="00C34741"/>
    <w:rsid w:val="00C371B0"/>
    <w:rsid w:val="00C373DC"/>
    <w:rsid w:val="00C379DB"/>
    <w:rsid w:val="00C42C04"/>
    <w:rsid w:val="00C456F6"/>
    <w:rsid w:val="00C45DC3"/>
    <w:rsid w:val="00C461A6"/>
    <w:rsid w:val="00C4783C"/>
    <w:rsid w:val="00C50063"/>
    <w:rsid w:val="00C50F12"/>
    <w:rsid w:val="00C50FDF"/>
    <w:rsid w:val="00C52832"/>
    <w:rsid w:val="00C548C6"/>
    <w:rsid w:val="00C55228"/>
    <w:rsid w:val="00C5597C"/>
    <w:rsid w:val="00C56909"/>
    <w:rsid w:val="00C56C13"/>
    <w:rsid w:val="00C573A0"/>
    <w:rsid w:val="00C57D4E"/>
    <w:rsid w:val="00C61D57"/>
    <w:rsid w:val="00C62274"/>
    <w:rsid w:val="00C62442"/>
    <w:rsid w:val="00C64C5A"/>
    <w:rsid w:val="00C677EE"/>
    <w:rsid w:val="00C67A82"/>
    <w:rsid w:val="00C67BCA"/>
    <w:rsid w:val="00C70254"/>
    <w:rsid w:val="00C70C22"/>
    <w:rsid w:val="00C72E58"/>
    <w:rsid w:val="00C765FC"/>
    <w:rsid w:val="00C8201B"/>
    <w:rsid w:val="00C82E4C"/>
    <w:rsid w:val="00C8354C"/>
    <w:rsid w:val="00C83D09"/>
    <w:rsid w:val="00C84436"/>
    <w:rsid w:val="00C85736"/>
    <w:rsid w:val="00C86111"/>
    <w:rsid w:val="00C87177"/>
    <w:rsid w:val="00C8777B"/>
    <w:rsid w:val="00C90D8E"/>
    <w:rsid w:val="00C914D7"/>
    <w:rsid w:val="00C92B0E"/>
    <w:rsid w:val="00C936B1"/>
    <w:rsid w:val="00C93A66"/>
    <w:rsid w:val="00C94FD6"/>
    <w:rsid w:val="00C9788E"/>
    <w:rsid w:val="00CA26F7"/>
    <w:rsid w:val="00CA2830"/>
    <w:rsid w:val="00CA496C"/>
    <w:rsid w:val="00CA5295"/>
    <w:rsid w:val="00CA75FB"/>
    <w:rsid w:val="00CB1781"/>
    <w:rsid w:val="00CB1E6A"/>
    <w:rsid w:val="00CB2C17"/>
    <w:rsid w:val="00CB2CF6"/>
    <w:rsid w:val="00CB30C6"/>
    <w:rsid w:val="00CB75C5"/>
    <w:rsid w:val="00CB768B"/>
    <w:rsid w:val="00CC1281"/>
    <w:rsid w:val="00CC6668"/>
    <w:rsid w:val="00CD063B"/>
    <w:rsid w:val="00CD381B"/>
    <w:rsid w:val="00CD4AF4"/>
    <w:rsid w:val="00CD7387"/>
    <w:rsid w:val="00CE0D6B"/>
    <w:rsid w:val="00CE205E"/>
    <w:rsid w:val="00CE37C1"/>
    <w:rsid w:val="00CE4DA6"/>
    <w:rsid w:val="00CE589A"/>
    <w:rsid w:val="00CE7257"/>
    <w:rsid w:val="00CF0D2E"/>
    <w:rsid w:val="00CF194E"/>
    <w:rsid w:val="00CF474E"/>
    <w:rsid w:val="00CF6F73"/>
    <w:rsid w:val="00CF79F1"/>
    <w:rsid w:val="00D00B7C"/>
    <w:rsid w:val="00D01A1C"/>
    <w:rsid w:val="00D03BC5"/>
    <w:rsid w:val="00D0557B"/>
    <w:rsid w:val="00D078C4"/>
    <w:rsid w:val="00D125B9"/>
    <w:rsid w:val="00D1470D"/>
    <w:rsid w:val="00D16401"/>
    <w:rsid w:val="00D16FF2"/>
    <w:rsid w:val="00D17B6B"/>
    <w:rsid w:val="00D228C6"/>
    <w:rsid w:val="00D25A03"/>
    <w:rsid w:val="00D25DCB"/>
    <w:rsid w:val="00D26B67"/>
    <w:rsid w:val="00D30995"/>
    <w:rsid w:val="00D323F2"/>
    <w:rsid w:val="00D332D1"/>
    <w:rsid w:val="00D33B29"/>
    <w:rsid w:val="00D341CA"/>
    <w:rsid w:val="00D3649C"/>
    <w:rsid w:val="00D42848"/>
    <w:rsid w:val="00D43FA3"/>
    <w:rsid w:val="00D4754E"/>
    <w:rsid w:val="00D47910"/>
    <w:rsid w:val="00D47DFB"/>
    <w:rsid w:val="00D50065"/>
    <w:rsid w:val="00D504AF"/>
    <w:rsid w:val="00D50B58"/>
    <w:rsid w:val="00D52FE4"/>
    <w:rsid w:val="00D530FB"/>
    <w:rsid w:val="00D5444C"/>
    <w:rsid w:val="00D54A6D"/>
    <w:rsid w:val="00D554F9"/>
    <w:rsid w:val="00D5612F"/>
    <w:rsid w:val="00D641E8"/>
    <w:rsid w:val="00D65ECE"/>
    <w:rsid w:val="00D660F7"/>
    <w:rsid w:val="00D676AB"/>
    <w:rsid w:val="00D67D0D"/>
    <w:rsid w:val="00D67DA0"/>
    <w:rsid w:val="00D70FCA"/>
    <w:rsid w:val="00D71EAB"/>
    <w:rsid w:val="00D72D60"/>
    <w:rsid w:val="00D73F13"/>
    <w:rsid w:val="00D758B4"/>
    <w:rsid w:val="00D76544"/>
    <w:rsid w:val="00D80D6F"/>
    <w:rsid w:val="00D817CB"/>
    <w:rsid w:val="00D819F4"/>
    <w:rsid w:val="00D81F23"/>
    <w:rsid w:val="00D866E2"/>
    <w:rsid w:val="00D8709E"/>
    <w:rsid w:val="00D87404"/>
    <w:rsid w:val="00D900A6"/>
    <w:rsid w:val="00D90D78"/>
    <w:rsid w:val="00D90EB4"/>
    <w:rsid w:val="00D90F32"/>
    <w:rsid w:val="00D969D2"/>
    <w:rsid w:val="00DA0491"/>
    <w:rsid w:val="00DA0E06"/>
    <w:rsid w:val="00DA5EAA"/>
    <w:rsid w:val="00DA67F1"/>
    <w:rsid w:val="00DA7E85"/>
    <w:rsid w:val="00DA7FE7"/>
    <w:rsid w:val="00DB00F2"/>
    <w:rsid w:val="00DB24FD"/>
    <w:rsid w:val="00DB2966"/>
    <w:rsid w:val="00DB2986"/>
    <w:rsid w:val="00DB2C2E"/>
    <w:rsid w:val="00DB3B13"/>
    <w:rsid w:val="00DB4259"/>
    <w:rsid w:val="00DB5140"/>
    <w:rsid w:val="00DB556D"/>
    <w:rsid w:val="00DB5A96"/>
    <w:rsid w:val="00DB6581"/>
    <w:rsid w:val="00DB7C61"/>
    <w:rsid w:val="00DC1985"/>
    <w:rsid w:val="00DC3A4E"/>
    <w:rsid w:val="00DC3D61"/>
    <w:rsid w:val="00DC4811"/>
    <w:rsid w:val="00DC4877"/>
    <w:rsid w:val="00DC5116"/>
    <w:rsid w:val="00DC623E"/>
    <w:rsid w:val="00DC6A85"/>
    <w:rsid w:val="00DD34D1"/>
    <w:rsid w:val="00DD3817"/>
    <w:rsid w:val="00DD4C3F"/>
    <w:rsid w:val="00DD5902"/>
    <w:rsid w:val="00DD5ADD"/>
    <w:rsid w:val="00DE07A5"/>
    <w:rsid w:val="00DE15AE"/>
    <w:rsid w:val="00DE2E45"/>
    <w:rsid w:val="00DE33EC"/>
    <w:rsid w:val="00DE48F8"/>
    <w:rsid w:val="00DE7884"/>
    <w:rsid w:val="00DF0861"/>
    <w:rsid w:val="00DF0903"/>
    <w:rsid w:val="00DF0A9E"/>
    <w:rsid w:val="00DF1320"/>
    <w:rsid w:val="00DF20EF"/>
    <w:rsid w:val="00DF520A"/>
    <w:rsid w:val="00DF5560"/>
    <w:rsid w:val="00DF5952"/>
    <w:rsid w:val="00DF5D0C"/>
    <w:rsid w:val="00DF5F99"/>
    <w:rsid w:val="00DF7490"/>
    <w:rsid w:val="00E000D8"/>
    <w:rsid w:val="00E009FB"/>
    <w:rsid w:val="00E00E8D"/>
    <w:rsid w:val="00E019D9"/>
    <w:rsid w:val="00E02F40"/>
    <w:rsid w:val="00E05B69"/>
    <w:rsid w:val="00E05B8C"/>
    <w:rsid w:val="00E05C62"/>
    <w:rsid w:val="00E05DE5"/>
    <w:rsid w:val="00E06675"/>
    <w:rsid w:val="00E06CE1"/>
    <w:rsid w:val="00E07B3A"/>
    <w:rsid w:val="00E100D2"/>
    <w:rsid w:val="00E122B8"/>
    <w:rsid w:val="00E13FD3"/>
    <w:rsid w:val="00E17C72"/>
    <w:rsid w:val="00E202C8"/>
    <w:rsid w:val="00E20C88"/>
    <w:rsid w:val="00E328FD"/>
    <w:rsid w:val="00E34163"/>
    <w:rsid w:val="00E34854"/>
    <w:rsid w:val="00E35482"/>
    <w:rsid w:val="00E3654E"/>
    <w:rsid w:val="00E40FC9"/>
    <w:rsid w:val="00E41204"/>
    <w:rsid w:val="00E41A89"/>
    <w:rsid w:val="00E4218D"/>
    <w:rsid w:val="00E42629"/>
    <w:rsid w:val="00E435B1"/>
    <w:rsid w:val="00E43F67"/>
    <w:rsid w:val="00E4436D"/>
    <w:rsid w:val="00E45245"/>
    <w:rsid w:val="00E461F1"/>
    <w:rsid w:val="00E46260"/>
    <w:rsid w:val="00E470E3"/>
    <w:rsid w:val="00E471D0"/>
    <w:rsid w:val="00E4757A"/>
    <w:rsid w:val="00E47669"/>
    <w:rsid w:val="00E476F7"/>
    <w:rsid w:val="00E518FE"/>
    <w:rsid w:val="00E52EE1"/>
    <w:rsid w:val="00E535F2"/>
    <w:rsid w:val="00E6132E"/>
    <w:rsid w:val="00E61647"/>
    <w:rsid w:val="00E62A41"/>
    <w:rsid w:val="00E63F38"/>
    <w:rsid w:val="00E668B9"/>
    <w:rsid w:val="00E67FA5"/>
    <w:rsid w:val="00E7041F"/>
    <w:rsid w:val="00E72A56"/>
    <w:rsid w:val="00E75CD0"/>
    <w:rsid w:val="00E772EC"/>
    <w:rsid w:val="00E77789"/>
    <w:rsid w:val="00E80215"/>
    <w:rsid w:val="00E814F5"/>
    <w:rsid w:val="00E84D55"/>
    <w:rsid w:val="00E84E87"/>
    <w:rsid w:val="00E8541D"/>
    <w:rsid w:val="00E85CED"/>
    <w:rsid w:val="00E91530"/>
    <w:rsid w:val="00E91A54"/>
    <w:rsid w:val="00E925B1"/>
    <w:rsid w:val="00E94153"/>
    <w:rsid w:val="00E942A1"/>
    <w:rsid w:val="00E957D9"/>
    <w:rsid w:val="00E96C41"/>
    <w:rsid w:val="00EA15AF"/>
    <w:rsid w:val="00EA7446"/>
    <w:rsid w:val="00EB17ED"/>
    <w:rsid w:val="00EB2056"/>
    <w:rsid w:val="00EB255D"/>
    <w:rsid w:val="00EB3149"/>
    <w:rsid w:val="00EB50CD"/>
    <w:rsid w:val="00EB5C4A"/>
    <w:rsid w:val="00EB66AA"/>
    <w:rsid w:val="00EB68D9"/>
    <w:rsid w:val="00EB6F16"/>
    <w:rsid w:val="00EC1F44"/>
    <w:rsid w:val="00EC232F"/>
    <w:rsid w:val="00EC26CE"/>
    <w:rsid w:val="00EC615E"/>
    <w:rsid w:val="00EC637B"/>
    <w:rsid w:val="00EC69C1"/>
    <w:rsid w:val="00EC71F8"/>
    <w:rsid w:val="00EC7300"/>
    <w:rsid w:val="00EC76BC"/>
    <w:rsid w:val="00EC79B4"/>
    <w:rsid w:val="00ED1E9B"/>
    <w:rsid w:val="00ED2C12"/>
    <w:rsid w:val="00ED359F"/>
    <w:rsid w:val="00ED5C08"/>
    <w:rsid w:val="00ED71DA"/>
    <w:rsid w:val="00ED75F9"/>
    <w:rsid w:val="00EE02EB"/>
    <w:rsid w:val="00EE0617"/>
    <w:rsid w:val="00EE09A6"/>
    <w:rsid w:val="00EE1D57"/>
    <w:rsid w:val="00EE2B2C"/>
    <w:rsid w:val="00EE56EC"/>
    <w:rsid w:val="00EE5D91"/>
    <w:rsid w:val="00EE6AD8"/>
    <w:rsid w:val="00EF0B29"/>
    <w:rsid w:val="00EF0DB4"/>
    <w:rsid w:val="00EF0F32"/>
    <w:rsid w:val="00EF15A5"/>
    <w:rsid w:val="00EF2700"/>
    <w:rsid w:val="00EF3274"/>
    <w:rsid w:val="00EF3DCF"/>
    <w:rsid w:val="00EF434F"/>
    <w:rsid w:val="00EF4D1E"/>
    <w:rsid w:val="00EF6DAF"/>
    <w:rsid w:val="00EF7B68"/>
    <w:rsid w:val="00F0240F"/>
    <w:rsid w:val="00F02E46"/>
    <w:rsid w:val="00F03FA6"/>
    <w:rsid w:val="00F04639"/>
    <w:rsid w:val="00F04A04"/>
    <w:rsid w:val="00F04FC4"/>
    <w:rsid w:val="00F0509A"/>
    <w:rsid w:val="00F06707"/>
    <w:rsid w:val="00F101DD"/>
    <w:rsid w:val="00F1243A"/>
    <w:rsid w:val="00F1483C"/>
    <w:rsid w:val="00F14950"/>
    <w:rsid w:val="00F14A0E"/>
    <w:rsid w:val="00F169E2"/>
    <w:rsid w:val="00F20875"/>
    <w:rsid w:val="00F20A88"/>
    <w:rsid w:val="00F23EA3"/>
    <w:rsid w:val="00F2451E"/>
    <w:rsid w:val="00F26C3B"/>
    <w:rsid w:val="00F26E60"/>
    <w:rsid w:val="00F3092D"/>
    <w:rsid w:val="00F30CB0"/>
    <w:rsid w:val="00F3239D"/>
    <w:rsid w:val="00F33750"/>
    <w:rsid w:val="00F34015"/>
    <w:rsid w:val="00F35B31"/>
    <w:rsid w:val="00F37B05"/>
    <w:rsid w:val="00F40815"/>
    <w:rsid w:val="00F43561"/>
    <w:rsid w:val="00F44CB0"/>
    <w:rsid w:val="00F45208"/>
    <w:rsid w:val="00F45A40"/>
    <w:rsid w:val="00F466B4"/>
    <w:rsid w:val="00F470EB"/>
    <w:rsid w:val="00F47F53"/>
    <w:rsid w:val="00F516E6"/>
    <w:rsid w:val="00F545D3"/>
    <w:rsid w:val="00F54ACD"/>
    <w:rsid w:val="00F55D6C"/>
    <w:rsid w:val="00F56B8C"/>
    <w:rsid w:val="00F627B8"/>
    <w:rsid w:val="00F6362D"/>
    <w:rsid w:val="00F63767"/>
    <w:rsid w:val="00F64A33"/>
    <w:rsid w:val="00F64ADE"/>
    <w:rsid w:val="00F65616"/>
    <w:rsid w:val="00F6739E"/>
    <w:rsid w:val="00F673F0"/>
    <w:rsid w:val="00F710CD"/>
    <w:rsid w:val="00F742B6"/>
    <w:rsid w:val="00F754B1"/>
    <w:rsid w:val="00F75789"/>
    <w:rsid w:val="00F76E7F"/>
    <w:rsid w:val="00F77494"/>
    <w:rsid w:val="00F775BC"/>
    <w:rsid w:val="00F777F3"/>
    <w:rsid w:val="00F7780E"/>
    <w:rsid w:val="00F778FC"/>
    <w:rsid w:val="00F80B34"/>
    <w:rsid w:val="00F8186B"/>
    <w:rsid w:val="00F818CC"/>
    <w:rsid w:val="00F818EE"/>
    <w:rsid w:val="00F828B7"/>
    <w:rsid w:val="00F82CA8"/>
    <w:rsid w:val="00F8309D"/>
    <w:rsid w:val="00F843CE"/>
    <w:rsid w:val="00F84415"/>
    <w:rsid w:val="00F872AE"/>
    <w:rsid w:val="00F91E32"/>
    <w:rsid w:val="00F96781"/>
    <w:rsid w:val="00F973E5"/>
    <w:rsid w:val="00FA0CB7"/>
    <w:rsid w:val="00FA2252"/>
    <w:rsid w:val="00FA242E"/>
    <w:rsid w:val="00FA5572"/>
    <w:rsid w:val="00FB042E"/>
    <w:rsid w:val="00FB217B"/>
    <w:rsid w:val="00FB44DD"/>
    <w:rsid w:val="00FB794B"/>
    <w:rsid w:val="00FB7E23"/>
    <w:rsid w:val="00FC0FF7"/>
    <w:rsid w:val="00FC2E22"/>
    <w:rsid w:val="00FC4563"/>
    <w:rsid w:val="00FC6BE0"/>
    <w:rsid w:val="00FC7707"/>
    <w:rsid w:val="00FC7F3C"/>
    <w:rsid w:val="00FD1174"/>
    <w:rsid w:val="00FD17C3"/>
    <w:rsid w:val="00FD3E04"/>
    <w:rsid w:val="00FD729D"/>
    <w:rsid w:val="00FE02BF"/>
    <w:rsid w:val="00FE0F61"/>
    <w:rsid w:val="00FE186D"/>
    <w:rsid w:val="00FE18D6"/>
    <w:rsid w:val="00FE1F98"/>
    <w:rsid w:val="00FE2763"/>
    <w:rsid w:val="00FE4AA4"/>
    <w:rsid w:val="00FE59DD"/>
    <w:rsid w:val="00FE6603"/>
    <w:rsid w:val="00FF0F8F"/>
    <w:rsid w:val="00FF1773"/>
    <w:rsid w:val="00FF1BF5"/>
    <w:rsid w:val="00FF4874"/>
    <w:rsid w:val="00FF5E0A"/>
    <w:rsid w:val="00FF66F3"/>
    <w:rsid w:val="00FF7E02"/>
    <w:rsid w:val="010867AD"/>
    <w:rsid w:val="06D1D9AE"/>
    <w:rsid w:val="08EDA187"/>
    <w:rsid w:val="114AA737"/>
    <w:rsid w:val="11986993"/>
    <w:rsid w:val="14BD34DA"/>
    <w:rsid w:val="155B3746"/>
    <w:rsid w:val="158BFE5E"/>
    <w:rsid w:val="15F911A1"/>
    <w:rsid w:val="1914F3BE"/>
    <w:rsid w:val="1A3EA8C0"/>
    <w:rsid w:val="1B011F8D"/>
    <w:rsid w:val="1B469D71"/>
    <w:rsid w:val="2127F36E"/>
    <w:rsid w:val="221C7C42"/>
    <w:rsid w:val="22347B5C"/>
    <w:rsid w:val="291CF226"/>
    <w:rsid w:val="3022764B"/>
    <w:rsid w:val="30E6E59E"/>
    <w:rsid w:val="3C4A6A01"/>
    <w:rsid w:val="4045B49B"/>
    <w:rsid w:val="43EC6686"/>
    <w:rsid w:val="453C70B5"/>
    <w:rsid w:val="45F3C183"/>
    <w:rsid w:val="47222158"/>
    <w:rsid w:val="5D3B8D7C"/>
    <w:rsid w:val="60ED585C"/>
    <w:rsid w:val="65C94AF4"/>
    <w:rsid w:val="739CD9D1"/>
    <w:rsid w:val="76444F85"/>
    <w:rsid w:val="7AB55496"/>
    <w:rsid w:val="7DEF3735"/>
    <w:rsid w:val="7F70B97E"/>
    <w:rsid w:val="7F7ED4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3CF57E"/>
  <w15:docId w15:val="{50D15473-0ACC-466E-A1D0-F05FDE9BA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95F"/>
    <w:pPr>
      <w:spacing w:line="276" w:lineRule="auto"/>
      <w:jc w:val="both"/>
    </w:pPr>
    <w:rPr>
      <w:sz w:val="24"/>
      <w:szCs w:val="24"/>
    </w:rPr>
  </w:style>
  <w:style w:type="paragraph" w:styleId="Heading1">
    <w:name w:val="heading 1"/>
    <w:basedOn w:val="ListParagraph"/>
    <w:next w:val="Normal"/>
    <w:uiPriority w:val="9"/>
    <w:qFormat/>
    <w:rsid w:val="00102339"/>
    <w:pPr>
      <w:numPr>
        <w:numId w:val="14"/>
      </w:numPr>
      <w:outlineLvl w:val="0"/>
    </w:pPr>
    <w:rPr>
      <w:b/>
      <w:bCs/>
    </w:rPr>
  </w:style>
  <w:style w:type="paragraph" w:styleId="Heading2">
    <w:name w:val="heading 2"/>
    <w:basedOn w:val="ListParagraph"/>
    <w:next w:val="Normal"/>
    <w:uiPriority w:val="9"/>
    <w:unhideWhenUsed/>
    <w:qFormat/>
    <w:rsid w:val="00102339"/>
    <w:pPr>
      <w:numPr>
        <w:ilvl w:val="1"/>
        <w:numId w:val="14"/>
      </w:numPr>
      <w:ind w:left="360" w:hanging="360"/>
      <w:outlineLvl w:val="1"/>
    </w:pPr>
    <w:rPr>
      <w:b/>
      <w:bCs/>
    </w:rPr>
  </w:style>
  <w:style w:type="paragraph" w:styleId="Heading3">
    <w:name w:val="heading 3"/>
    <w:basedOn w:val="Heading2"/>
    <w:next w:val="Normal"/>
    <w:link w:val="Heading3Char"/>
    <w:uiPriority w:val="9"/>
    <w:unhideWhenUsed/>
    <w:qFormat/>
    <w:rsid w:val="00102339"/>
    <w:pPr>
      <w:numPr>
        <w:ilvl w:val="2"/>
      </w:numPr>
      <w:ind w:left="450" w:hanging="450"/>
      <w:outlineLvl w:val="2"/>
    </w:pPr>
    <w:rPr>
      <w:i/>
      <w:iC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link w:val="CommentText"/>
    <w:uiPriority w:val="99"/>
    <w:rPr>
      <w:sz w:val="20"/>
      <w:szCs w:val="20"/>
    </w:rPr>
  </w:style>
  <w:style w:type="character" w:styleId="CommentReference">
    <w:name w:val="annotation reference"/>
    <w:uiPriority w:val="99"/>
    <w:semiHidden/>
    <w:unhideWhenUsed/>
    <w:rPr>
      <w:sz w:val="16"/>
      <w:szCs w:val="16"/>
    </w:rPr>
  </w:style>
  <w:style w:type="paragraph" w:styleId="ListParagraph">
    <w:name w:val="List Paragraph"/>
    <w:basedOn w:val="Normal"/>
    <w:uiPriority w:val="34"/>
    <w:qFormat/>
    <w:rsid w:val="0064446E"/>
    <w:pPr>
      <w:ind w:left="720"/>
      <w:contextualSpacing/>
    </w:pPr>
  </w:style>
  <w:style w:type="character" w:styleId="Hyperlink">
    <w:name w:val="Hyperlink"/>
    <w:uiPriority w:val="99"/>
    <w:unhideWhenUsed/>
    <w:rsid w:val="00476CF6"/>
    <w:rPr>
      <w:color w:val="0000FF"/>
      <w:u w:val="single"/>
    </w:rPr>
  </w:style>
  <w:style w:type="character" w:styleId="UnresolvedMention">
    <w:name w:val="Unresolved Mention"/>
    <w:uiPriority w:val="99"/>
    <w:semiHidden/>
    <w:unhideWhenUsed/>
    <w:rsid w:val="00476CF6"/>
    <w:rPr>
      <w:color w:val="605E5C"/>
      <w:shd w:val="clear" w:color="auto" w:fill="E1DFDD"/>
    </w:rPr>
  </w:style>
  <w:style w:type="character" w:styleId="Strong">
    <w:name w:val="Strong"/>
    <w:uiPriority w:val="22"/>
    <w:qFormat/>
    <w:rsid w:val="00C57D4E"/>
    <w:rPr>
      <w:b/>
      <w:bCs/>
    </w:rPr>
  </w:style>
  <w:style w:type="paragraph" w:styleId="Header">
    <w:name w:val="header"/>
    <w:basedOn w:val="Normal"/>
    <w:link w:val="HeaderChar"/>
    <w:uiPriority w:val="99"/>
    <w:unhideWhenUsed/>
    <w:rsid w:val="006269C2"/>
    <w:pPr>
      <w:tabs>
        <w:tab w:val="center" w:pos="4680"/>
        <w:tab w:val="right" w:pos="9360"/>
      </w:tabs>
      <w:spacing w:line="240" w:lineRule="auto"/>
    </w:pPr>
  </w:style>
  <w:style w:type="character" w:customStyle="1" w:styleId="HeaderChar">
    <w:name w:val="Header Char"/>
    <w:link w:val="Header"/>
    <w:uiPriority w:val="99"/>
    <w:rsid w:val="006269C2"/>
    <w:rPr>
      <w:sz w:val="24"/>
      <w:szCs w:val="24"/>
    </w:rPr>
  </w:style>
  <w:style w:type="paragraph" w:styleId="Footer">
    <w:name w:val="footer"/>
    <w:basedOn w:val="Normal"/>
    <w:link w:val="FooterChar"/>
    <w:uiPriority w:val="99"/>
    <w:unhideWhenUsed/>
    <w:rsid w:val="006269C2"/>
    <w:pPr>
      <w:tabs>
        <w:tab w:val="center" w:pos="4680"/>
        <w:tab w:val="right" w:pos="9360"/>
      </w:tabs>
      <w:spacing w:line="240" w:lineRule="auto"/>
    </w:pPr>
  </w:style>
  <w:style w:type="character" w:customStyle="1" w:styleId="FooterChar">
    <w:name w:val="Footer Char"/>
    <w:link w:val="Footer"/>
    <w:uiPriority w:val="99"/>
    <w:rsid w:val="006269C2"/>
    <w:rPr>
      <w:sz w:val="24"/>
      <w:szCs w:val="24"/>
    </w:rPr>
  </w:style>
  <w:style w:type="paragraph" w:styleId="NormalWeb">
    <w:name w:val="Normal (Web)"/>
    <w:basedOn w:val="Normal"/>
    <w:uiPriority w:val="99"/>
    <w:unhideWhenUsed/>
    <w:rsid w:val="00086777"/>
    <w:pPr>
      <w:spacing w:before="100" w:beforeAutospacing="1" w:after="100" w:afterAutospacing="1" w:line="240" w:lineRule="auto"/>
      <w:jc w:val="left"/>
    </w:pPr>
  </w:style>
  <w:style w:type="paragraph" w:styleId="CommentSubject">
    <w:name w:val="annotation subject"/>
    <w:basedOn w:val="CommentText"/>
    <w:next w:val="CommentText"/>
    <w:link w:val="CommentSubjectChar"/>
    <w:uiPriority w:val="99"/>
    <w:semiHidden/>
    <w:unhideWhenUsed/>
    <w:rsid w:val="00311095"/>
    <w:rPr>
      <w:b/>
      <w:bCs/>
    </w:rPr>
  </w:style>
  <w:style w:type="character" w:customStyle="1" w:styleId="CommentSubjectChar">
    <w:name w:val="Comment Subject Char"/>
    <w:link w:val="CommentSubject"/>
    <w:uiPriority w:val="99"/>
    <w:semiHidden/>
    <w:rsid w:val="00311095"/>
    <w:rPr>
      <w:b/>
      <w:bCs/>
      <w:sz w:val="20"/>
      <w:szCs w:val="20"/>
    </w:rPr>
  </w:style>
  <w:style w:type="character" w:customStyle="1" w:styleId="il">
    <w:name w:val="il"/>
    <w:basedOn w:val="DefaultParagraphFont"/>
    <w:rsid w:val="009C7A3E"/>
  </w:style>
  <w:style w:type="paragraph" w:styleId="Caption">
    <w:name w:val="caption"/>
    <w:basedOn w:val="Normal"/>
    <w:next w:val="Normal"/>
    <w:uiPriority w:val="35"/>
    <w:unhideWhenUsed/>
    <w:qFormat/>
    <w:rsid w:val="006C4C3B"/>
    <w:pPr>
      <w:spacing w:after="200" w:line="240" w:lineRule="auto"/>
      <w:jc w:val="center"/>
    </w:pPr>
    <w:rPr>
      <w:b/>
      <w:bCs/>
      <w:color w:val="000000"/>
      <w:sz w:val="22"/>
      <w:szCs w:val="22"/>
    </w:rPr>
  </w:style>
  <w:style w:type="table" w:styleId="TableGrid">
    <w:name w:val="Table Grid"/>
    <w:basedOn w:val="TableNormal"/>
    <w:uiPriority w:val="39"/>
    <w:rsid w:val="00521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normal">
    <w:name w:val="whitespace-normal"/>
    <w:basedOn w:val="Normal"/>
    <w:rsid w:val="00BC783F"/>
    <w:pPr>
      <w:spacing w:before="100" w:beforeAutospacing="1" w:after="100" w:afterAutospacing="1" w:line="240" w:lineRule="auto"/>
      <w:jc w:val="left"/>
    </w:pPr>
  </w:style>
  <w:style w:type="character" w:styleId="Emphasis">
    <w:name w:val="Emphasis"/>
    <w:uiPriority w:val="20"/>
    <w:qFormat/>
    <w:rsid w:val="0055773E"/>
    <w:rPr>
      <w:i/>
      <w:iCs/>
    </w:rPr>
  </w:style>
  <w:style w:type="character" w:customStyle="1" w:styleId="katex-mathml">
    <w:name w:val="katex-mathml"/>
    <w:basedOn w:val="DefaultParagraphFont"/>
    <w:rsid w:val="0055773E"/>
  </w:style>
  <w:style w:type="character" w:customStyle="1" w:styleId="mord">
    <w:name w:val="mord"/>
    <w:basedOn w:val="DefaultParagraphFont"/>
    <w:rsid w:val="0055773E"/>
  </w:style>
  <w:style w:type="character" w:customStyle="1" w:styleId="ref-lnk">
    <w:name w:val="ref-lnk"/>
    <w:basedOn w:val="DefaultParagraphFont"/>
    <w:rsid w:val="00B45DC5"/>
  </w:style>
  <w:style w:type="character" w:customStyle="1" w:styleId="off-screen">
    <w:name w:val="off-screen"/>
    <w:basedOn w:val="DefaultParagraphFont"/>
    <w:rsid w:val="00B45DC5"/>
  </w:style>
  <w:style w:type="paragraph" w:styleId="Bibliography">
    <w:name w:val="Bibliography"/>
    <w:basedOn w:val="Normal"/>
    <w:next w:val="Normal"/>
    <w:uiPriority w:val="37"/>
    <w:unhideWhenUsed/>
    <w:rsid w:val="00FB44DD"/>
  </w:style>
  <w:style w:type="character" w:customStyle="1" w:styleId="anchor-text">
    <w:name w:val="anchor-text"/>
    <w:basedOn w:val="DefaultParagraphFont"/>
    <w:rsid w:val="002C589C"/>
  </w:style>
  <w:style w:type="character" w:customStyle="1" w:styleId="Heading3Char">
    <w:name w:val="Heading 3 Char"/>
    <w:link w:val="Heading3"/>
    <w:uiPriority w:val="9"/>
    <w:rsid w:val="006C7462"/>
    <w:rPr>
      <w:b/>
      <w:bCs/>
      <w:i/>
      <w:iCs/>
      <w:sz w:val="24"/>
      <w:szCs w:val="24"/>
    </w:rPr>
  </w:style>
  <w:style w:type="character" w:customStyle="1" w:styleId="label">
    <w:name w:val="label"/>
    <w:basedOn w:val="DefaultParagraphFont"/>
    <w:rsid w:val="004D467B"/>
  </w:style>
  <w:style w:type="paragraph" w:customStyle="1" w:styleId="last">
    <w:name w:val="last"/>
    <w:basedOn w:val="Normal"/>
    <w:rsid w:val="004D467B"/>
    <w:pPr>
      <w:spacing w:before="100" w:beforeAutospacing="1" w:after="100" w:afterAutospacing="1" w:line="240" w:lineRule="auto"/>
      <w:jc w:val="left"/>
    </w:pPr>
  </w:style>
  <w:style w:type="paragraph" w:customStyle="1" w:styleId="Default">
    <w:name w:val="Default"/>
    <w:rsid w:val="00822E38"/>
    <w:pPr>
      <w:autoSpaceDE w:val="0"/>
      <w:autoSpaceDN w:val="0"/>
      <w:adjustRightInd w:val="0"/>
    </w:pPr>
    <w:rPr>
      <w:rFonts w:ascii="BGGEP M+ Adv Gulliv" w:hAnsi="BGGEP M+ Adv Gulliv" w:cs="BGGEP M+ Adv Gulliv"/>
      <w:color w:val="000000"/>
      <w:sz w:val="24"/>
      <w:szCs w:val="24"/>
    </w:rPr>
  </w:style>
  <w:style w:type="paragraph" w:customStyle="1" w:styleId="left">
    <w:name w:val="left"/>
    <w:basedOn w:val="Normal"/>
    <w:rsid w:val="00687374"/>
    <w:pPr>
      <w:spacing w:before="100" w:beforeAutospacing="1" w:after="100" w:afterAutospacing="1" w:line="240" w:lineRule="auto"/>
      <w:jc w:val="left"/>
    </w:pPr>
  </w:style>
  <w:style w:type="character" w:customStyle="1" w:styleId="mrel">
    <w:name w:val="mrel"/>
    <w:basedOn w:val="DefaultParagraphFont"/>
    <w:rsid w:val="00DE15AE"/>
  </w:style>
  <w:style w:type="paragraph" w:styleId="FootnoteText">
    <w:name w:val="footnote text"/>
    <w:basedOn w:val="Normal"/>
    <w:link w:val="FootnoteTextChar"/>
    <w:uiPriority w:val="99"/>
    <w:unhideWhenUsed/>
    <w:rsid w:val="0015420A"/>
    <w:pPr>
      <w:spacing w:line="240" w:lineRule="auto"/>
    </w:pPr>
    <w:rPr>
      <w:sz w:val="20"/>
      <w:szCs w:val="20"/>
    </w:rPr>
  </w:style>
  <w:style w:type="character" w:customStyle="1" w:styleId="FootnoteTextChar">
    <w:name w:val="Footnote Text Char"/>
    <w:link w:val="FootnoteText"/>
    <w:uiPriority w:val="99"/>
    <w:qFormat/>
    <w:rsid w:val="0015420A"/>
    <w:rPr>
      <w:sz w:val="20"/>
      <w:szCs w:val="20"/>
    </w:rPr>
  </w:style>
  <w:style w:type="character" w:styleId="FootnoteReference">
    <w:name w:val="footnote reference"/>
    <w:semiHidden/>
    <w:unhideWhenUsed/>
    <w:rsid w:val="0015420A"/>
    <w:rPr>
      <w:vertAlign w:val="superscript"/>
    </w:rPr>
  </w:style>
  <w:style w:type="paragraph" w:styleId="NoSpacing">
    <w:name w:val="No Spacing"/>
    <w:uiPriority w:val="1"/>
    <w:qFormat/>
    <w:rsid w:val="003B6837"/>
    <w:pPr>
      <w:jc w:val="both"/>
    </w:pPr>
    <w:rPr>
      <w:sz w:val="24"/>
      <w:szCs w:val="24"/>
    </w:rPr>
  </w:style>
  <w:style w:type="character" w:customStyle="1" w:styleId="mopen">
    <w:name w:val="mopen"/>
    <w:basedOn w:val="DefaultParagraphFont"/>
    <w:rsid w:val="003D23CA"/>
  </w:style>
  <w:style w:type="character" w:customStyle="1" w:styleId="mbin">
    <w:name w:val="mbin"/>
    <w:basedOn w:val="DefaultParagraphFont"/>
    <w:rsid w:val="003D23CA"/>
  </w:style>
  <w:style w:type="character" w:customStyle="1" w:styleId="mclose">
    <w:name w:val="mclose"/>
    <w:basedOn w:val="DefaultParagraphFont"/>
    <w:rsid w:val="003D23CA"/>
  </w:style>
  <w:style w:type="character" w:customStyle="1" w:styleId="t286pc">
    <w:name w:val="t286pc"/>
    <w:basedOn w:val="DefaultParagraphFont"/>
    <w:rsid w:val="00F35B31"/>
  </w:style>
  <w:style w:type="character" w:customStyle="1" w:styleId="vkekvd">
    <w:name w:val="vkekvd"/>
    <w:basedOn w:val="DefaultParagraphFont"/>
    <w:rsid w:val="00F35B31"/>
  </w:style>
  <w:style w:type="paragraph" w:styleId="Revision">
    <w:name w:val="Revision"/>
    <w:hidden/>
    <w:uiPriority w:val="99"/>
    <w:semiHidden/>
    <w:rsid w:val="00844D02"/>
    <w:rPr>
      <w:sz w:val="24"/>
      <w:szCs w:val="24"/>
    </w:rPr>
  </w:style>
  <w:style w:type="character" w:styleId="PlaceholderText">
    <w:name w:val="Placeholder Text"/>
    <w:uiPriority w:val="99"/>
    <w:semiHidden/>
    <w:rsid w:val="00B43574"/>
    <w:rPr>
      <w:color w:val="666666"/>
    </w:rPr>
  </w:style>
  <w:style w:type="character" w:styleId="EndnoteReference">
    <w:name w:val="endnote reference"/>
    <w:uiPriority w:val="99"/>
    <w:semiHidden/>
    <w:unhideWhenUsed/>
    <w:rsid w:val="00F470EB"/>
    <w:rPr>
      <w:vertAlign w:val="superscript"/>
    </w:rPr>
  </w:style>
  <w:style w:type="paragraph" w:customStyle="1" w:styleId="font-claude-response-body">
    <w:name w:val="font-claude-response-body"/>
    <w:basedOn w:val="Normal"/>
    <w:rsid w:val="001D6571"/>
    <w:pPr>
      <w:spacing w:before="100" w:beforeAutospacing="1" w:after="100" w:afterAutospacing="1"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535">
      <w:bodyDiv w:val="1"/>
      <w:marLeft w:val="0"/>
      <w:marRight w:val="0"/>
      <w:marTop w:val="0"/>
      <w:marBottom w:val="0"/>
      <w:divBdr>
        <w:top w:val="none" w:sz="0" w:space="0" w:color="auto"/>
        <w:left w:val="none" w:sz="0" w:space="0" w:color="auto"/>
        <w:bottom w:val="none" w:sz="0" w:space="0" w:color="auto"/>
        <w:right w:val="none" w:sz="0" w:space="0" w:color="auto"/>
      </w:divBdr>
    </w:div>
    <w:div w:id="6638537">
      <w:bodyDiv w:val="1"/>
      <w:marLeft w:val="0"/>
      <w:marRight w:val="0"/>
      <w:marTop w:val="0"/>
      <w:marBottom w:val="0"/>
      <w:divBdr>
        <w:top w:val="none" w:sz="0" w:space="0" w:color="auto"/>
        <w:left w:val="none" w:sz="0" w:space="0" w:color="auto"/>
        <w:bottom w:val="none" w:sz="0" w:space="0" w:color="auto"/>
        <w:right w:val="none" w:sz="0" w:space="0" w:color="auto"/>
      </w:divBdr>
    </w:div>
    <w:div w:id="16279659">
      <w:bodyDiv w:val="1"/>
      <w:marLeft w:val="0"/>
      <w:marRight w:val="0"/>
      <w:marTop w:val="0"/>
      <w:marBottom w:val="0"/>
      <w:divBdr>
        <w:top w:val="none" w:sz="0" w:space="0" w:color="auto"/>
        <w:left w:val="none" w:sz="0" w:space="0" w:color="auto"/>
        <w:bottom w:val="none" w:sz="0" w:space="0" w:color="auto"/>
        <w:right w:val="none" w:sz="0" w:space="0" w:color="auto"/>
      </w:divBdr>
    </w:div>
    <w:div w:id="29261710">
      <w:bodyDiv w:val="1"/>
      <w:marLeft w:val="0"/>
      <w:marRight w:val="0"/>
      <w:marTop w:val="0"/>
      <w:marBottom w:val="0"/>
      <w:divBdr>
        <w:top w:val="none" w:sz="0" w:space="0" w:color="auto"/>
        <w:left w:val="none" w:sz="0" w:space="0" w:color="auto"/>
        <w:bottom w:val="none" w:sz="0" w:space="0" w:color="auto"/>
        <w:right w:val="none" w:sz="0" w:space="0" w:color="auto"/>
      </w:divBdr>
    </w:div>
    <w:div w:id="29576508">
      <w:bodyDiv w:val="1"/>
      <w:marLeft w:val="0"/>
      <w:marRight w:val="0"/>
      <w:marTop w:val="0"/>
      <w:marBottom w:val="0"/>
      <w:divBdr>
        <w:top w:val="none" w:sz="0" w:space="0" w:color="auto"/>
        <w:left w:val="none" w:sz="0" w:space="0" w:color="auto"/>
        <w:bottom w:val="none" w:sz="0" w:space="0" w:color="auto"/>
        <w:right w:val="none" w:sz="0" w:space="0" w:color="auto"/>
      </w:divBdr>
    </w:div>
    <w:div w:id="34349889">
      <w:bodyDiv w:val="1"/>
      <w:marLeft w:val="0"/>
      <w:marRight w:val="0"/>
      <w:marTop w:val="0"/>
      <w:marBottom w:val="0"/>
      <w:divBdr>
        <w:top w:val="none" w:sz="0" w:space="0" w:color="auto"/>
        <w:left w:val="none" w:sz="0" w:space="0" w:color="auto"/>
        <w:bottom w:val="none" w:sz="0" w:space="0" w:color="auto"/>
        <w:right w:val="none" w:sz="0" w:space="0" w:color="auto"/>
      </w:divBdr>
    </w:div>
    <w:div w:id="56511277">
      <w:bodyDiv w:val="1"/>
      <w:marLeft w:val="0"/>
      <w:marRight w:val="0"/>
      <w:marTop w:val="0"/>
      <w:marBottom w:val="0"/>
      <w:divBdr>
        <w:top w:val="none" w:sz="0" w:space="0" w:color="auto"/>
        <w:left w:val="none" w:sz="0" w:space="0" w:color="auto"/>
        <w:bottom w:val="none" w:sz="0" w:space="0" w:color="auto"/>
        <w:right w:val="none" w:sz="0" w:space="0" w:color="auto"/>
      </w:divBdr>
    </w:div>
    <w:div w:id="66609021">
      <w:bodyDiv w:val="1"/>
      <w:marLeft w:val="0"/>
      <w:marRight w:val="0"/>
      <w:marTop w:val="0"/>
      <w:marBottom w:val="0"/>
      <w:divBdr>
        <w:top w:val="none" w:sz="0" w:space="0" w:color="auto"/>
        <w:left w:val="none" w:sz="0" w:space="0" w:color="auto"/>
        <w:bottom w:val="none" w:sz="0" w:space="0" w:color="auto"/>
        <w:right w:val="none" w:sz="0" w:space="0" w:color="auto"/>
      </w:divBdr>
      <w:divsChild>
        <w:div w:id="1119957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6130">
      <w:bodyDiv w:val="1"/>
      <w:marLeft w:val="0"/>
      <w:marRight w:val="0"/>
      <w:marTop w:val="0"/>
      <w:marBottom w:val="0"/>
      <w:divBdr>
        <w:top w:val="none" w:sz="0" w:space="0" w:color="auto"/>
        <w:left w:val="none" w:sz="0" w:space="0" w:color="auto"/>
        <w:bottom w:val="none" w:sz="0" w:space="0" w:color="auto"/>
        <w:right w:val="none" w:sz="0" w:space="0" w:color="auto"/>
      </w:divBdr>
    </w:div>
    <w:div w:id="95487904">
      <w:bodyDiv w:val="1"/>
      <w:marLeft w:val="0"/>
      <w:marRight w:val="0"/>
      <w:marTop w:val="0"/>
      <w:marBottom w:val="0"/>
      <w:divBdr>
        <w:top w:val="none" w:sz="0" w:space="0" w:color="auto"/>
        <w:left w:val="none" w:sz="0" w:space="0" w:color="auto"/>
        <w:bottom w:val="none" w:sz="0" w:space="0" w:color="auto"/>
        <w:right w:val="none" w:sz="0" w:space="0" w:color="auto"/>
      </w:divBdr>
      <w:divsChild>
        <w:div w:id="829296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38353">
      <w:bodyDiv w:val="1"/>
      <w:marLeft w:val="0"/>
      <w:marRight w:val="0"/>
      <w:marTop w:val="0"/>
      <w:marBottom w:val="0"/>
      <w:divBdr>
        <w:top w:val="none" w:sz="0" w:space="0" w:color="auto"/>
        <w:left w:val="none" w:sz="0" w:space="0" w:color="auto"/>
        <w:bottom w:val="none" w:sz="0" w:space="0" w:color="auto"/>
        <w:right w:val="none" w:sz="0" w:space="0" w:color="auto"/>
      </w:divBdr>
      <w:divsChild>
        <w:div w:id="720711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943463">
      <w:bodyDiv w:val="1"/>
      <w:marLeft w:val="0"/>
      <w:marRight w:val="0"/>
      <w:marTop w:val="0"/>
      <w:marBottom w:val="0"/>
      <w:divBdr>
        <w:top w:val="none" w:sz="0" w:space="0" w:color="auto"/>
        <w:left w:val="none" w:sz="0" w:space="0" w:color="auto"/>
        <w:bottom w:val="none" w:sz="0" w:space="0" w:color="auto"/>
        <w:right w:val="none" w:sz="0" w:space="0" w:color="auto"/>
      </w:divBdr>
    </w:div>
    <w:div w:id="101343057">
      <w:bodyDiv w:val="1"/>
      <w:marLeft w:val="0"/>
      <w:marRight w:val="0"/>
      <w:marTop w:val="0"/>
      <w:marBottom w:val="0"/>
      <w:divBdr>
        <w:top w:val="none" w:sz="0" w:space="0" w:color="auto"/>
        <w:left w:val="none" w:sz="0" w:space="0" w:color="auto"/>
        <w:bottom w:val="none" w:sz="0" w:space="0" w:color="auto"/>
        <w:right w:val="none" w:sz="0" w:space="0" w:color="auto"/>
      </w:divBdr>
    </w:div>
    <w:div w:id="104932585">
      <w:bodyDiv w:val="1"/>
      <w:marLeft w:val="0"/>
      <w:marRight w:val="0"/>
      <w:marTop w:val="0"/>
      <w:marBottom w:val="0"/>
      <w:divBdr>
        <w:top w:val="none" w:sz="0" w:space="0" w:color="auto"/>
        <w:left w:val="none" w:sz="0" w:space="0" w:color="auto"/>
        <w:bottom w:val="none" w:sz="0" w:space="0" w:color="auto"/>
        <w:right w:val="none" w:sz="0" w:space="0" w:color="auto"/>
      </w:divBdr>
    </w:div>
    <w:div w:id="116923113">
      <w:bodyDiv w:val="1"/>
      <w:marLeft w:val="0"/>
      <w:marRight w:val="0"/>
      <w:marTop w:val="0"/>
      <w:marBottom w:val="0"/>
      <w:divBdr>
        <w:top w:val="none" w:sz="0" w:space="0" w:color="auto"/>
        <w:left w:val="none" w:sz="0" w:space="0" w:color="auto"/>
        <w:bottom w:val="none" w:sz="0" w:space="0" w:color="auto"/>
        <w:right w:val="none" w:sz="0" w:space="0" w:color="auto"/>
      </w:divBdr>
    </w:div>
    <w:div w:id="132142617">
      <w:bodyDiv w:val="1"/>
      <w:marLeft w:val="0"/>
      <w:marRight w:val="0"/>
      <w:marTop w:val="0"/>
      <w:marBottom w:val="0"/>
      <w:divBdr>
        <w:top w:val="none" w:sz="0" w:space="0" w:color="auto"/>
        <w:left w:val="none" w:sz="0" w:space="0" w:color="auto"/>
        <w:bottom w:val="none" w:sz="0" w:space="0" w:color="auto"/>
        <w:right w:val="none" w:sz="0" w:space="0" w:color="auto"/>
      </w:divBdr>
    </w:div>
    <w:div w:id="135800353">
      <w:bodyDiv w:val="1"/>
      <w:marLeft w:val="0"/>
      <w:marRight w:val="0"/>
      <w:marTop w:val="0"/>
      <w:marBottom w:val="0"/>
      <w:divBdr>
        <w:top w:val="none" w:sz="0" w:space="0" w:color="auto"/>
        <w:left w:val="none" w:sz="0" w:space="0" w:color="auto"/>
        <w:bottom w:val="none" w:sz="0" w:space="0" w:color="auto"/>
        <w:right w:val="none" w:sz="0" w:space="0" w:color="auto"/>
      </w:divBdr>
    </w:div>
    <w:div w:id="153648931">
      <w:bodyDiv w:val="1"/>
      <w:marLeft w:val="0"/>
      <w:marRight w:val="0"/>
      <w:marTop w:val="0"/>
      <w:marBottom w:val="0"/>
      <w:divBdr>
        <w:top w:val="none" w:sz="0" w:space="0" w:color="auto"/>
        <w:left w:val="none" w:sz="0" w:space="0" w:color="auto"/>
        <w:bottom w:val="none" w:sz="0" w:space="0" w:color="auto"/>
        <w:right w:val="none" w:sz="0" w:space="0" w:color="auto"/>
      </w:divBdr>
    </w:div>
    <w:div w:id="159395301">
      <w:bodyDiv w:val="1"/>
      <w:marLeft w:val="0"/>
      <w:marRight w:val="0"/>
      <w:marTop w:val="0"/>
      <w:marBottom w:val="0"/>
      <w:divBdr>
        <w:top w:val="none" w:sz="0" w:space="0" w:color="auto"/>
        <w:left w:val="none" w:sz="0" w:space="0" w:color="auto"/>
        <w:bottom w:val="none" w:sz="0" w:space="0" w:color="auto"/>
        <w:right w:val="none" w:sz="0" w:space="0" w:color="auto"/>
      </w:divBdr>
      <w:divsChild>
        <w:div w:id="1234386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980910">
      <w:bodyDiv w:val="1"/>
      <w:marLeft w:val="0"/>
      <w:marRight w:val="0"/>
      <w:marTop w:val="0"/>
      <w:marBottom w:val="0"/>
      <w:divBdr>
        <w:top w:val="none" w:sz="0" w:space="0" w:color="auto"/>
        <w:left w:val="none" w:sz="0" w:space="0" w:color="auto"/>
        <w:bottom w:val="none" w:sz="0" w:space="0" w:color="auto"/>
        <w:right w:val="none" w:sz="0" w:space="0" w:color="auto"/>
      </w:divBdr>
    </w:div>
    <w:div w:id="205064539">
      <w:bodyDiv w:val="1"/>
      <w:marLeft w:val="0"/>
      <w:marRight w:val="0"/>
      <w:marTop w:val="0"/>
      <w:marBottom w:val="0"/>
      <w:divBdr>
        <w:top w:val="none" w:sz="0" w:space="0" w:color="auto"/>
        <w:left w:val="none" w:sz="0" w:space="0" w:color="auto"/>
        <w:bottom w:val="none" w:sz="0" w:space="0" w:color="auto"/>
        <w:right w:val="none" w:sz="0" w:space="0" w:color="auto"/>
      </w:divBdr>
    </w:div>
    <w:div w:id="222645572">
      <w:bodyDiv w:val="1"/>
      <w:marLeft w:val="0"/>
      <w:marRight w:val="0"/>
      <w:marTop w:val="0"/>
      <w:marBottom w:val="0"/>
      <w:divBdr>
        <w:top w:val="none" w:sz="0" w:space="0" w:color="auto"/>
        <w:left w:val="none" w:sz="0" w:space="0" w:color="auto"/>
        <w:bottom w:val="none" w:sz="0" w:space="0" w:color="auto"/>
        <w:right w:val="none" w:sz="0" w:space="0" w:color="auto"/>
      </w:divBdr>
    </w:div>
    <w:div w:id="244462002">
      <w:bodyDiv w:val="1"/>
      <w:marLeft w:val="0"/>
      <w:marRight w:val="0"/>
      <w:marTop w:val="0"/>
      <w:marBottom w:val="0"/>
      <w:divBdr>
        <w:top w:val="none" w:sz="0" w:space="0" w:color="auto"/>
        <w:left w:val="none" w:sz="0" w:space="0" w:color="auto"/>
        <w:bottom w:val="none" w:sz="0" w:space="0" w:color="auto"/>
        <w:right w:val="none" w:sz="0" w:space="0" w:color="auto"/>
      </w:divBdr>
    </w:div>
    <w:div w:id="245001207">
      <w:bodyDiv w:val="1"/>
      <w:marLeft w:val="0"/>
      <w:marRight w:val="0"/>
      <w:marTop w:val="0"/>
      <w:marBottom w:val="0"/>
      <w:divBdr>
        <w:top w:val="none" w:sz="0" w:space="0" w:color="auto"/>
        <w:left w:val="none" w:sz="0" w:space="0" w:color="auto"/>
        <w:bottom w:val="none" w:sz="0" w:space="0" w:color="auto"/>
        <w:right w:val="none" w:sz="0" w:space="0" w:color="auto"/>
      </w:divBdr>
    </w:div>
    <w:div w:id="272247998">
      <w:bodyDiv w:val="1"/>
      <w:marLeft w:val="0"/>
      <w:marRight w:val="0"/>
      <w:marTop w:val="0"/>
      <w:marBottom w:val="0"/>
      <w:divBdr>
        <w:top w:val="none" w:sz="0" w:space="0" w:color="auto"/>
        <w:left w:val="none" w:sz="0" w:space="0" w:color="auto"/>
        <w:bottom w:val="none" w:sz="0" w:space="0" w:color="auto"/>
        <w:right w:val="none" w:sz="0" w:space="0" w:color="auto"/>
      </w:divBdr>
    </w:div>
    <w:div w:id="278950133">
      <w:bodyDiv w:val="1"/>
      <w:marLeft w:val="0"/>
      <w:marRight w:val="0"/>
      <w:marTop w:val="0"/>
      <w:marBottom w:val="0"/>
      <w:divBdr>
        <w:top w:val="none" w:sz="0" w:space="0" w:color="auto"/>
        <w:left w:val="none" w:sz="0" w:space="0" w:color="auto"/>
        <w:bottom w:val="none" w:sz="0" w:space="0" w:color="auto"/>
        <w:right w:val="none" w:sz="0" w:space="0" w:color="auto"/>
      </w:divBdr>
    </w:div>
    <w:div w:id="280260661">
      <w:bodyDiv w:val="1"/>
      <w:marLeft w:val="0"/>
      <w:marRight w:val="0"/>
      <w:marTop w:val="0"/>
      <w:marBottom w:val="0"/>
      <w:divBdr>
        <w:top w:val="none" w:sz="0" w:space="0" w:color="auto"/>
        <w:left w:val="none" w:sz="0" w:space="0" w:color="auto"/>
        <w:bottom w:val="none" w:sz="0" w:space="0" w:color="auto"/>
        <w:right w:val="none" w:sz="0" w:space="0" w:color="auto"/>
      </w:divBdr>
    </w:div>
    <w:div w:id="283661775">
      <w:bodyDiv w:val="1"/>
      <w:marLeft w:val="0"/>
      <w:marRight w:val="0"/>
      <w:marTop w:val="0"/>
      <w:marBottom w:val="0"/>
      <w:divBdr>
        <w:top w:val="none" w:sz="0" w:space="0" w:color="auto"/>
        <w:left w:val="none" w:sz="0" w:space="0" w:color="auto"/>
        <w:bottom w:val="none" w:sz="0" w:space="0" w:color="auto"/>
        <w:right w:val="none" w:sz="0" w:space="0" w:color="auto"/>
      </w:divBdr>
      <w:divsChild>
        <w:div w:id="637340770">
          <w:marLeft w:val="0"/>
          <w:marRight w:val="0"/>
          <w:marTop w:val="0"/>
          <w:marBottom w:val="0"/>
          <w:divBdr>
            <w:top w:val="none" w:sz="0" w:space="0" w:color="auto"/>
            <w:left w:val="none" w:sz="0" w:space="0" w:color="auto"/>
            <w:bottom w:val="none" w:sz="0" w:space="0" w:color="auto"/>
            <w:right w:val="none" w:sz="0" w:space="0" w:color="auto"/>
          </w:divBdr>
          <w:divsChild>
            <w:div w:id="797457900">
              <w:marLeft w:val="0"/>
              <w:marRight w:val="0"/>
              <w:marTop w:val="0"/>
              <w:marBottom w:val="0"/>
              <w:divBdr>
                <w:top w:val="none" w:sz="0" w:space="0" w:color="auto"/>
                <w:left w:val="none" w:sz="0" w:space="0" w:color="auto"/>
                <w:bottom w:val="none" w:sz="0" w:space="0" w:color="auto"/>
                <w:right w:val="none" w:sz="0" w:space="0" w:color="auto"/>
              </w:divBdr>
              <w:divsChild>
                <w:div w:id="1050764303">
                  <w:marLeft w:val="0"/>
                  <w:marRight w:val="0"/>
                  <w:marTop w:val="0"/>
                  <w:marBottom w:val="0"/>
                  <w:divBdr>
                    <w:top w:val="none" w:sz="0" w:space="0" w:color="auto"/>
                    <w:left w:val="none" w:sz="0" w:space="0" w:color="auto"/>
                    <w:bottom w:val="none" w:sz="0" w:space="0" w:color="auto"/>
                    <w:right w:val="none" w:sz="0" w:space="0" w:color="auto"/>
                  </w:divBdr>
                  <w:divsChild>
                    <w:div w:id="55708504">
                      <w:marLeft w:val="0"/>
                      <w:marRight w:val="0"/>
                      <w:marTop w:val="0"/>
                      <w:marBottom w:val="0"/>
                      <w:divBdr>
                        <w:top w:val="none" w:sz="0" w:space="0" w:color="auto"/>
                        <w:left w:val="none" w:sz="0" w:space="0" w:color="auto"/>
                        <w:bottom w:val="none" w:sz="0" w:space="0" w:color="auto"/>
                        <w:right w:val="none" w:sz="0" w:space="0" w:color="auto"/>
                      </w:divBdr>
                      <w:divsChild>
                        <w:div w:id="485823276">
                          <w:marLeft w:val="0"/>
                          <w:marRight w:val="0"/>
                          <w:marTop w:val="0"/>
                          <w:marBottom w:val="0"/>
                          <w:divBdr>
                            <w:top w:val="none" w:sz="0" w:space="0" w:color="auto"/>
                            <w:left w:val="none" w:sz="0" w:space="0" w:color="auto"/>
                            <w:bottom w:val="none" w:sz="0" w:space="0" w:color="auto"/>
                            <w:right w:val="none" w:sz="0" w:space="0" w:color="auto"/>
                          </w:divBdr>
                        </w:div>
                      </w:divsChild>
                    </w:div>
                    <w:div w:id="200288620">
                      <w:marLeft w:val="0"/>
                      <w:marRight w:val="0"/>
                      <w:marTop w:val="0"/>
                      <w:marBottom w:val="0"/>
                      <w:divBdr>
                        <w:top w:val="none" w:sz="0" w:space="0" w:color="auto"/>
                        <w:left w:val="none" w:sz="0" w:space="0" w:color="auto"/>
                        <w:bottom w:val="none" w:sz="0" w:space="0" w:color="auto"/>
                        <w:right w:val="none" w:sz="0" w:space="0" w:color="auto"/>
                      </w:divBdr>
                      <w:divsChild>
                        <w:div w:id="831528145">
                          <w:marLeft w:val="0"/>
                          <w:marRight w:val="0"/>
                          <w:marTop w:val="0"/>
                          <w:marBottom w:val="0"/>
                          <w:divBdr>
                            <w:top w:val="none" w:sz="0" w:space="0" w:color="auto"/>
                            <w:left w:val="none" w:sz="0" w:space="0" w:color="auto"/>
                            <w:bottom w:val="none" w:sz="0" w:space="0" w:color="auto"/>
                            <w:right w:val="none" w:sz="0" w:space="0" w:color="auto"/>
                          </w:divBdr>
                          <w:divsChild>
                            <w:div w:id="1204975529">
                              <w:marLeft w:val="0"/>
                              <w:marRight w:val="0"/>
                              <w:marTop w:val="0"/>
                              <w:marBottom w:val="0"/>
                              <w:divBdr>
                                <w:top w:val="none" w:sz="0" w:space="0" w:color="auto"/>
                                <w:left w:val="none" w:sz="0" w:space="0" w:color="auto"/>
                                <w:bottom w:val="none" w:sz="0" w:space="0" w:color="auto"/>
                                <w:right w:val="none" w:sz="0" w:space="0" w:color="auto"/>
                              </w:divBdr>
                              <w:divsChild>
                                <w:div w:id="621497698">
                                  <w:marLeft w:val="0"/>
                                  <w:marRight w:val="0"/>
                                  <w:marTop w:val="0"/>
                                  <w:marBottom w:val="0"/>
                                  <w:divBdr>
                                    <w:top w:val="none" w:sz="0" w:space="0" w:color="auto"/>
                                    <w:left w:val="none" w:sz="0" w:space="0" w:color="auto"/>
                                    <w:bottom w:val="none" w:sz="0" w:space="0" w:color="auto"/>
                                    <w:right w:val="none" w:sz="0" w:space="0" w:color="auto"/>
                                  </w:divBdr>
                                  <w:divsChild>
                                    <w:div w:id="9587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021689">
      <w:bodyDiv w:val="1"/>
      <w:marLeft w:val="0"/>
      <w:marRight w:val="0"/>
      <w:marTop w:val="0"/>
      <w:marBottom w:val="0"/>
      <w:divBdr>
        <w:top w:val="none" w:sz="0" w:space="0" w:color="auto"/>
        <w:left w:val="none" w:sz="0" w:space="0" w:color="auto"/>
        <w:bottom w:val="none" w:sz="0" w:space="0" w:color="auto"/>
        <w:right w:val="none" w:sz="0" w:space="0" w:color="auto"/>
      </w:divBdr>
    </w:div>
    <w:div w:id="303892548">
      <w:bodyDiv w:val="1"/>
      <w:marLeft w:val="0"/>
      <w:marRight w:val="0"/>
      <w:marTop w:val="0"/>
      <w:marBottom w:val="0"/>
      <w:divBdr>
        <w:top w:val="none" w:sz="0" w:space="0" w:color="auto"/>
        <w:left w:val="none" w:sz="0" w:space="0" w:color="auto"/>
        <w:bottom w:val="none" w:sz="0" w:space="0" w:color="auto"/>
        <w:right w:val="none" w:sz="0" w:space="0" w:color="auto"/>
      </w:divBdr>
    </w:div>
    <w:div w:id="304236492">
      <w:bodyDiv w:val="1"/>
      <w:marLeft w:val="0"/>
      <w:marRight w:val="0"/>
      <w:marTop w:val="0"/>
      <w:marBottom w:val="0"/>
      <w:divBdr>
        <w:top w:val="none" w:sz="0" w:space="0" w:color="auto"/>
        <w:left w:val="none" w:sz="0" w:space="0" w:color="auto"/>
        <w:bottom w:val="none" w:sz="0" w:space="0" w:color="auto"/>
        <w:right w:val="none" w:sz="0" w:space="0" w:color="auto"/>
      </w:divBdr>
    </w:div>
    <w:div w:id="310058097">
      <w:bodyDiv w:val="1"/>
      <w:marLeft w:val="0"/>
      <w:marRight w:val="0"/>
      <w:marTop w:val="0"/>
      <w:marBottom w:val="0"/>
      <w:divBdr>
        <w:top w:val="none" w:sz="0" w:space="0" w:color="auto"/>
        <w:left w:val="none" w:sz="0" w:space="0" w:color="auto"/>
        <w:bottom w:val="none" w:sz="0" w:space="0" w:color="auto"/>
        <w:right w:val="none" w:sz="0" w:space="0" w:color="auto"/>
      </w:divBdr>
    </w:div>
    <w:div w:id="321393662">
      <w:bodyDiv w:val="1"/>
      <w:marLeft w:val="0"/>
      <w:marRight w:val="0"/>
      <w:marTop w:val="0"/>
      <w:marBottom w:val="0"/>
      <w:divBdr>
        <w:top w:val="none" w:sz="0" w:space="0" w:color="auto"/>
        <w:left w:val="none" w:sz="0" w:space="0" w:color="auto"/>
        <w:bottom w:val="none" w:sz="0" w:space="0" w:color="auto"/>
        <w:right w:val="none" w:sz="0" w:space="0" w:color="auto"/>
      </w:divBdr>
    </w:div>
    <w:div w:id="324551387">
      <w:bodyDiv w:val="1"/>
      <w:marLeft w:val="0"/>
      <w:marRight w:val="0"/>
      <w:marTop w:val="0"/>
      <w:marBottom w:val="0"/>
      <w:divBdr>
        <w:top w:val="none" w:sz="0" w:space="0" w:color="auto"/>
        <w:left w:val="none" w:sz="0" w:space="0" w:color="auto"/>
        <w:bottom w:val="none" w:sz="0" w:space="0" w:color="auto"/>
        <w:right w:val="none" w:sz="0" w:space="0" w:color="auto"/>
      </w:divBdr>
    </w:div>
    <w:div w:id="326396767">
      <w:bodyDiv w:val="1"/>
      <w:marLeft w:val="0"/>
      <w:marRight w:val="0"/>
      <w:marTop w:val="0"/>
      <w:marBottom w:val="0"/>
      <w:divBdr>
        <w:top w:val="none" w:sz="0" w:space="0" w:color="auto"/>
        <w:left w:val="none" w:sz="0" w:space="0" w:color="auto"/>
        <w:bottom w:val="none" w:sz="0" w:space="0" w:color="auto"/>
        <w:right w:val="none" w:sz="0" w:space="0" w:color="auto"/>
      </w:divBdr>
    </w:div>
    <w:div w:id="341981339">
      <w:bodyDiv w:val="1"/>
      <w:marLeft w:val="0"/>
      <w:marRight w:val="0"/>
      <w:marTop w:val="0"/>
      <w:marBottom w:val="0"/>
      <w:divBdr>
        <w:top w:val="none" w:sz="0" w:space="0" w:color="auto"/>
        <w:left w:val="none" w:sz="0" w:space="0" w:color="auto"/>
        <w:bottom w:val="none" w:sz="0" w:space="0" w:color="auto"/>
        <w:right w:val="none" w:sz="0" w:space="0" w:color="auto"/>
      </w:divBdr>
      <w:divsChild>
        <w:div w:id="531844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634525">
      <w:bodyDiv w:val="1"/>
      <w:marLeft w:val="0"/>
      <w:marRight w:val="0"/>
      <w:marTop w:val="0"/>
      <w:marBottom w:val="0"/>
      <w:divBdr>
        <w:top w:val="none" w:sz="0" w:space="0" w:color="auto"/>
        <w:left w:val="none" w:sz="0" w:space="0" w:color="auto"/>
        <w:bottom w:val="none" w:sz="0" w:space="0" w:color="auto"/>
        <w:right w:val="none" w:sz="0" w:space="0" w:color="auto"/>
      </w:divBdr>
    </w:div>
    <w:div w:id="352846086">
      <w:bodyDiv w:val="1"/>
      <w:marLeft w:val="0"/>
      <w:marRight w:val="0"/>
      <w:marTop w:val="0"/>
      <w:marBottom w:val="0"/>
      <w:divBdr>
        <w:top w:val="none" w:sz="0" w:space="0" w:color="auto"/>
        <w:left w:val="none" w:sz="0" w:space="0" w:color="auto"/>
        <w:bottom w:val="none" w:sz="0" w:space="0" w:color="auto"/>
        <w:right w:val="none" w:sz="0" w:space="0" w:color="auto"/>
      </w:divBdr>
      <w:divsChild>
        <w:div w:id="791754483">
          <w:marLeft w:val="0"/>
          <w:marRight w:val="0"/>
          <w:marTop w:val="0"/>
          <w:marBottom w:val="0"/>
          <w:divBdr>
            <w:top w:val="none" w:sz="0" w:space="0" w:color="auto"/>
            <w:left w:val="none" w:sz="0" w:space="0" w:color="auto"/>
            <w:bottom w:val="none" w:sz="0" w:space="0" w:color="auto"/>
            <w:right w:val="none" w:sz="0" w:space="0" w:color="auto"/>
          </w:divBdr>
        </w:div>
      </w:divsChild>
    </w:div>
    <w:div w:id="359554863">
      <w:bodyDiv w:val="1"/>
      <w:marLeft w:val="0"/>
      <w:marRight w:val="0"/>
      <w:marTop w:val="0"/>
      <w:marBottom w:val="0"/>
      <w:divBdr>
        <w:top w:val="none" w:sz="0" w:space="0" w:color="auto"/>
        <w:left w:val="none" w:sz="0" w:space="0" w:color="auto"/>
        <w:bottom w:val="none" w:sz="0" w:space="0" w:color="auto"/>
        <w:right w:val="none" w:sz="0" w:space="0" w:color="auto"/>
      </w:divBdr>
    </w:div>
    <w:div w:id="371996887">
      <w:bodyDiv w:val="1"/>
      <w:marLeft w:val="0"/>
      <w:marRight w:val="0"/>
      <w:marTop w:val="0"/>
      <w:marBottom w:val="0"/>
      <w:divBdr>
        <w:top w:val="none" w:sz="0" w:space="0" w:color="auto"/>
        <w:left w:val="none" w:sz="0" w:space="0" w:color="auto"/>
        <w:bottom w:val="none" w:sz="0" w:space="0" w:color="auto"/>
        <w:right w:val="none" w:sz="0" w:space="0" w:color="auto"/>
      </w:divBdr>
    </w:div>
    <w:div w:id="383606747">
      <w:bodyDiv w:val="1"/>
      <w:marLeft w:val="0"/>
      <w:marRight w:val="0"/>
      <w:marTop w:val="0"/>
      <w:marBottom w:val="0"/>
      <w:divBdr>
        <w:top w:val="none" w:sz="0" w:space="0" w:color="auto"/>
        <w:left w:val="none" w:sz="0" w:space="0" w:color="auto"/>
        <w:bottom w:val="none" w:sz="0" w:space="0" w:color="auto"/>
        <w:right w:val="none" w:sz="0" w:space="0" w:color="auto"/>
      </w:divBdr>
    </w:div>
    <w:div w:id="387073275">
      <w:bodyDiv w:val="1"/>
      <w:marLeft w:val="0"/>
      <w:marRight w:val="0"/>
      <w:marTop w:val="0"/>
      <w:marBottom w:val="0"/>
      <w:divBdr>
        <w:top w:val="none" w:sz="0" w:space="0" w:color="auto"/>
        <w:left w:val="none" w:sz="0" w:space="0" w:color="auto"/>
        <w:bottom w:val="none" w:sz="0" w:space="0" w:color="auto"/>
        <w:right w:val="none" w:sz="0" w:space="0" w:color="auto"/>
      </w:divBdr>
    </w:div>
    <w:div w:id="387653796">
      <w:bodyDiv w:val="1"/>
      <w:marLeft w:val="0"/>
      <w:marRight w:val="0"/>
      <w:marTop w:val="0"/>
      <w:marBottom w:val="0"/>
      <w:divBdr>
        <w:top w:val="none" w:sz="0" w:space="0" w:color="auto"/>
        <w:left w:val="none" w:sz="0" w:space="0" w:color="auto"/>
        <w:bottom w:val="none" w:sz="0" w:space="0" w:color="auto"/>
        <w:right w:val="none" w:sz="0" w:space="0" w:color="auto"/>
      </w:divBdr>
    </w:div>
    <w:div w:id="399982950">
      <w:bodyDiv w:val="1"/>
      <w:marLeft w:val="0"/>
      <w:marRight w:val="0"/>
      <w:marTop w:val="0"/>
      <w:marBottom w:val="0"/>
      <w:divBdr>
        <w:top w:val="none" w:sz="0" w:space="0" w:color="auto"/>
        <w:left w:val="none" w:sz="0" w:space="0" w:color="auto"/>
        <w:bottom w:val="none" w:sz="0" w:space="0" w:color="auto"/>
        <w:right w:val="none" w:sz="0" w:space="0" w:color="auto"/>
      </w:divBdr>
    </w:div>
    <w:div w:id="406418374">
      <w:bodyDiv w:val="1"/>
      <w:marLeft w:val="0"/>
      <w:marRight w:val="0"/>
      <w:marTop w:val="0"/>
      <w:marBottom w:val="0"/>
      <w:divBdr>
        <w:top w:val="none" w:sz="0" w:space="0" w:color="auto"/>
        <w:left w:val="none" w:sz="0" w:space="0" w:color="auto"/>
        <w:bottom w:val="none" w:sz="0" w:space="0" w:color="auto"/>
        <w:right w:val="none" w:sz="0" w:space="0" w:color="auto"/>
      </w:divBdr>
    </w:div>
    <w:div w:id="426586309">
      <w:bodyDiv w:val="1"/>
      <w:marLeft w:val="0"/>
      <w:marRight w:val="0"/>
      <w:marTop w:val="0"/>
      <w:marBottom w:val="0"/>
      <w:divBdr>
        <w:top w:val="none" w:sz="0" w:space="0" w:color="auto"/>
        <w:left w:val="none" w:sz="0" w:space="0" w:color="auto"/>
        <w:bottom w:val="none" w:sz="0" w:space="0" w:color="auto"/>
        <w:right w:val="none" w:sz="0" w:space="0" w:color="auto"/>
      </w:divBdr>
    </w:div>
    <w:div w:id="444888499">
      <w:bodyDiv w:val="1"/>
      <w:marLeft w:val="0"/>
      <w:marRight w:val="0"/>
      <w:marTop w:val="0"/>
      <w:marBottom w:val="0"/>
      <w:divBdr>
        <w:top w:val="none" w:sz="0" w:space="0" w:color="auto"/>
        <w:left w:val="none" w:sz="0" w:space="0" w:color="auto"/>
        <w:bottom w:val="none" w:sz="0" w:space="0" w:color="auto"/>
        <w:right w:val="none" w:sz="0" w:space="0" w:color="auto"/>
      </w:divBdr>
      <w:divsChild>
        <w:div w:id="666204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8939838">
      <w:bodyDiv w:val="1"/>
      <w:marLeft w:val="0"/>
      <w:marRight w:val="0"/>
      <w:marTop w:val="0"/>
      <w:marBottom w:val="0"/>
      <w:divBdr>
        <w:top w:val="none" w:sz="0" w:space="0" w:color="auto"/>
        <w:left w:val="none" w:sz="0" w:space="0" w:color="auto"/>
        <w:bottom w:val="none" w:sz="0" w:space="0" w:color="auto"/>
        <w:right w:val="none" w:sz="0" w:space="0" w:color="auto"/>
      </w:divBdr>
    </w:div>
    <w:div w:id="458843012">
      <w:bodyDiv w:val="1"/>
      <w:marLeft w:val="0"/>
      <w:marRight w:val="0"/>
      <w:marTop w:val="0"/>
      <w:marBottom w:val="0"/>
      <w:divBdr>
        <w:top w:val="none" w:sz="0" w:space="0" w:color="auto"/>
        <w:left w:val="none" w:sz="0" w:space="0" w:color="auto"/>
        <w:bottom w:val="none" w:sz="0" w:space="0" w:color="auto"/>
        <w:right w:val="none" w:sz="0" w:space="0" w:color="auto"/>
      </w:divBdr>
    </w:div>
    <w:div w:id="467016326">
      <w:bodyDiv w:val="1"/>
      <w:marLeft w:val="0"/>
      <w:marRight w:val="0"/>
      <w:marTop w:val="0"/>
      <w:marBottom w:val="0"/>
      <w:divBdr>
        <w:top w:val="none" w:sz="0" w:space="0" w:color="auto"/>
        <w:left w:val="none" w:sz="0" w:space="0" w:color="auto"/>
        <w:bottom w:val="none" w:sz="0" w:space="0" w:color="auto"/>
        <w:right w:val="none" w:sz="0" w:space="0" w:color="auto"/>
      </w:divBdr>
    </w:div>
    <w:div w:id="485056560">
      <w:bodyDiv w:val="1"/>
      <w:marLeft w:val="0"/>
      <w:marRight w:val="0"/>
      <w:marTop w:val="0"/>
      <w:marBottom w:val="0"/>
      <w:divBdr>
        <w:top w:val="none" w:sz="0" w:space="0" w:color="auto"/>
        <w:left w:val="none" w:sz="0" w:space="0" w:color="auto"/>
        <w:bottom w:val="none" w:sz="0" w:space="0" w:color="auto"/>
        <w:right w:val="none" w:sz="0" w:space="0" w:color="auto"/>
      </w:divBdr>
    </w:div>
    <w:div w:id="486434052">
      <w:bodyDiv w:val="1"/>
      <w:marLeft w:val="0"/>
      <w:marRight w:val="0"/>
      <w:marTop w:val="0"/>
      <w:marBottom w:val="0"/>
      <w:divBdr>
        <w:top w:val="none" w:sz="0" w:space="0" w:color="auto"/>
        <w:left w:val="none" w:sz="0" w:space="0" w:color="auto"/>
        <w:bottom w:val="none" w:sz="0" w:space="0" w:color="auto"/>
        <w:right w:val="none" w:sz="0" w:space="0" w:color="auto"/>
      </w:divBdr>
      <w:divsChild>
        <w:div w:id="2109499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7550931">
      <w:bodyDiv w:val="1"/>
      <w:marLeft w:val="0"/>
      <w:marRight w:val="0"/>
      <w:marTop w:val="0"/>
      <w:marBottom w:val="0"/>
      <w:divBdr>
        <w:top w:val="none" w:sz="0" w:space="0" w:color="auto"/>
        <w:left w:val="none" w:sz="0" w:space="0" w:color="auto"/>
        <w:bottom w:val="none" w:sz="0" w:space="0" w:color="auto"/>
        <w:right w:val="none" w:sz="0" w:space="0" w:color="auto"/>
      </w:divBdr>
      <w:divsChild>
        <w:div w:id="219752748">
          <w:marLeft w:val="0"/>
          <w:marRight w:val="0"/>
          <w:marTop w:val="0"/>
          <w:marBottom w:val="0"/>
          <w:divBdr>
            <w:top w:val="none" w:sz="0" w:space="0" w:color="auto"/>
            <w:left w:val="none" w:sz="0" w:space="0" w:color="auto"/>
            <w:bottom w:val="none" w:sz="0" w:space="0" w:color="auto"/>
            <w:right w:val="none" w:sz="0" w:space="0" w:color="auto"/>
          </w:divBdr>
          <w:divsChild>
            <w:div w:id="876357048">
              <w:marLeft w:val="0"/>
              <w:marRight w:val="0"/>
              <w:marTop w:val="0"/>
              <w:marBottom w:val="0"/>
              <w:divBdr>
                <w:top w:val="none" w:sz="0" w:space="0" w:color="auto"/>
                <w:left w:val="none" w:sz="0" w:space="0" w:color="auto"/>
                <w:bottom w:val="none" w:sz="0" w:space="0" w:color="auto"/>
                <w:right w:val="none" w:sz="0" w:space="0" w:color="auto"/>
              </w:divBdr>
              <w:divsChild>
                <w:div w:id="1721123729">
                  <w:marLeft w:val="0"/>
                  <w:marRight w:val="0"/>
                  <w:marTop w:val="0"/>
                  <w:marBottom w:val="0"/>
                  <w:divBdr>
                    <w:top w:val="none" w:sz="0" w:space="0" w:color="auto"/>
                    <w:left w:val="none" w:sz="0" w:space="0" w:color="auto"/>
                    <w:bottom w:val="none" w:sz="0" w:space="0" w:color="auto"/>
                    <w:right w:val="none" w:sz="0" w:space="0" w:color="auto"/>
                  </w:divBdr>
                  <w:divsChild>
                    <w:div w:id="964651732">
                      <w:marLeft w:val="0"/>
                      <w:marRight w:val="0"/>
                      <w:marTop w:val="0"/>
                      <w:marBottom w:val="0"/>
                      <w:divBdr>
                        <w:top w:val="none" w:sz="0" w:space="0" w:color="auto"/>
                        <w:left w:val="none" w:sz="0" w:space="0" w:color="auto"/>
                        <w:bottom w:val="none" w:sz="0" w:space="0" w:color="auto"/>
                        <w:right w:val="none" w:sz="0" w:space="0" w:color="auto"/>
                      </w:divBdr>
                      <w:divsChild>
                        <w:div w:id="868494861">
                          <w:marLeft w:val="0"/>
                          <w:marRight w:val="0"/>
                          <w:marTop w:val="0"/>
                          <w:marBottom w:val="0"/>
                          <w:divBdr>
                            <w:top w:val="none" w:sz="0" w:space="0" w:color="auto"/>
                            <w:left w:val="none" w:sz="0" w:space="0" w:color="auto"/>
                            <w:bottom w:val="none" w:sz="0" w:space="0" w:color="auto"/>
                            <w:right w:val="none" w:sz="0" w:space="0" w:color="auto"/>
                          </w:divBdr>
                          <w:divsChild>
                            <w:div w:id="465440440">
                              <w:marLeft w:val="0"/>
                              <w:marRight w:val="0"/>
                              <w:marTop w:val="0"/>
                              <w:marBottom w:val="0"/>
                              <w:divBdr>
                                <w:top w:val="none" w:sz="0" w:space="0" w:color="auto"/>
                                <w:left w:val="none" w:sz="0" w:space="0" w:color="auto"/>
                                <w:bottom w:val="none" w:sz="0" w:space="0" w:color="auto"/>
                                <w:right w:val="none" w:sz="0" w:space="0" w:color="auto"/>
                              </w:divBdr>
                              <w:divsChild>
                                <w:div w:id="839737658">
                                  <w:marLeft w:val="0"/>
                                  <w:marRight w:val="0"/>
                                  <w:marTop w:val="0"/>
                                  <w:marBottom w:val="0"/>
                                  <w:divBdr>
                                    <w:top w:val="none" w:sz="0" w:space="0" w:color="auto"/>
                                    <w:left w:val="none" w:sz="0" w:space="0" w:color="auto"/>
                                    <w:bottom w:val="none" w:sz="0" w:space="0" w:color="auto"/>
                                    <w:right w:val="none" w:sz="0" w:space="0" w:color="auto"/>
                                  </w:divBdr>
                                  <w:divsChild>
                                    <w:div w:id="212758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064556">
      <w:bodyDiv w:val="1"/>
      <w:marLeft w:val="0"/>
      <w:marRight w:val="0"/>
      <w:marTop w:val="0"/>
      <w:marBottom w:val="0"/>
      <w:divBdr>
        <w:top w:val="none" w:sz="0" w:space="0" w:color="auto"/>
        <w:left w:val="none" w:sz="0" w:space="0" w:color="auto"/>
        <w:bottom w:val="none" w:sz="0" w:space="0" w:color="auto"/>
        <w:right w:val="none" w:sz="0" w:space="0" w:color="auto"/>
      </w:divBdr>
    </w:div>
    <w:div w:id="499731772">
      <w:bodyDiv w:val="1"/>
      <w:marLeft w:val="0"/>
      <w:marRight w:val="0"/>
      <w:marTop w:val="0"/>
      <w:marBottom w:val="0"/>
      <w:divBdr>
        <w:top w:val="none" w:sz="0" w:space="0" w:color="auto"/>
        <w:left w:val="none" w:sz="0" w:space="0" w:color="auto"/>
        <w:bottom w:val="none" w:sz="0" w:space="0" w:color="auto"/>
        <w:right w:val="none" w:sz="0" w:space="0" w:color="auto"/>
      </w:divBdr>
    </w:div>
    <w:div w:id="508063379">
      <w:bodyDiv w:val="1"/>
      <w:marLeft w:val="0"/>
      <w:marRight w:val="0"/>
      <w:marTop w:val="0"/>
      <w:marBottom w:val="0"/>
      <w:divBdr>
        <w:top w:val="none" w:sz="0" w:space="0" w:color="auto"/>
        <w:left w:val="none" w:sz="0" w:space="0" w:color="auto"/>
        <w:bottom w:val="none" w:sz="0" w:space="0" w:color="auto"/>
        <w:right w:val="none" w:sz="0" w:space="0" w:color="auto"/>
      </w:divBdr>
    </w:div>
    <w:div w:id="522715419">
      <w:bodyDiv w:val="1"/>
      <w:marLeft w:val="0"/>
      <w:marRight w:val="0"/>
      <w:marTop w:val="0"/>
      <w:marBottom w:val="0"/>
      <w:divBdr>
        <w:top w:val="none" w:sz="0" w:space="0" w:color="auto"/>
        <w:left w:val="none" w:sz="0" w:space="0" w:color="auto"/>
        <w:bottom w:val="none" w:sz="0" w:space="0" w:color="auto"/>
        <w:right w:val="none" w:sz="0" w:space="0" w:color="auto"/>
      </w:divBdr>
    </w:div>
    <w:div w:id="528495432">
      <w:bodyDiv w:val="1"/>
      <w:marLeft w:val="0"/>
      <w:marRight w:val="0"/>
      <w:marTop w:val="0"/>
      <w:marBottom w:val="0"/>
      <w:divBdr>
        <w:top w:val="none" w:sz="0" w:space="0" w:color="auto"/>
        <w:left w:val="none" w:sz="0" w:space="0" w:color="auto"/>
        <w:bottom w:val="none" w:sz="0" w:space="0" w:color="auto"/>
        <w:right w:val="none" w:sz="0" w:space="0" w:color="auto"/>
      </w:divBdr>
    </w:div>
    <w:div w:id="550002931">
      <w:bodyDiv w:val="1"/>
      <w:marLeft w:val="0"/>
      <w:marRight w:val="0"/>
      <w:marTop w:val="0"/>
      <w:marBottom w:val="0"/>
      <w:divBdr>
        <w:top w:val="none" w:sz="0" w:space="0" w:color="auto"/>
        <w:left w:val="none" w:sz="0" w:space="0" w:color="auto"/>
        <w:bottom w:val="none" w:sz="0" w:space="0" w:color="auto"/>
        <w:right w:val="none" w:sz="0" w:space="0" w:color="auto"/>
      </w:divBdr>
    </w:div>
    <w:div w:id="554589658">
      <w:bodyDiv w:val="1"/>
      <w:marLeft w:val="0"/>
      <w:marRight w:val="0"/>
      <w:marTop w:val="0"/>
      <w:marBottom w:val="0"/>
      <w:divBdr>
        <w:top w:val="none" w:sz="0" w:space="0" w:color="auto"/>
        <w:left w:val="none" w:sz="0" w:space="0" w:color="auto"/>
        <w:bottom w:val="none" w:sz="0" w:space="0" w:color="auto"/>
        <w:right w:val="none" w:sz="0" w:space="0" w:color="auto"/>
      </w:divBdr>
    </w:div>
    <w:div w:id="566378571">
      <w:bodyDiv w:val="1"/>
      <w:marLeft w:val="0"/>
      <w:marRight w:val="0"/>
      <w:marTop w:val="0"/>
      <w:marBottom w:val="0"/>
      <w:divBdr>
        <w:top w:val="none" w:sz="0" w:space="0" w:color="auto"/>
        <w:left w:val="none" w:sz="0" w:space="0" w:color="auto"/>
        <w:bottom w:val="none" w:sz="0" w:space="0" w:color="auto"/>
        <w:right w:val="none" w:sz="0" w:space="0" w:color="auto"/>
      </w:divBdr>
      <w:divsChild>
        <w:div w:id="571745179">
          <w:marLeft w:val="0"/>
          <w:marRight w:val="0"/>
          <w:marTop w:val="0"/>
          <w:marBottom w:val="120"/>
          <w:divBdr>
            <w:top w:val="none" w:sz="0" w:space="0" w:color="auto"/>
            <w:left w:val="none" w:sz="0" w:space="0" w:color="auto"/>
            <w:bottom w:val="none" w:sz="0" w:space="0" w:color="auto"/>
            <w:right w:val="none" w:sz="0" w:space="0" w:color="auto"/>
          </w:divBdr>
        </w:div>
        <w:div w:id="2055227228">
          <w:marLeft w:val="0"/>
          <w:marRight w:val="0"/>
          <w:marTop w:val="0"/>
          <w:marBottom w:val="120"/>
          <w:divBdr>
            <w:top w:val="none" w:sz="0" w:space="0" w:color="auto"/>
            <w:left w:val="none" w:sz="0" w:space="0" w:color="auto"/>
            <w:bottom w:val="none" w:sz="0" w:space="0" w:color="auto"/>
            <w:right w:val="none" w:sz="0" w:space="0" w:color="auto"/>
          </w:divBdr>
        </w:div>
      </w:divsChild>
    </w:div>
    <w:div w:id="579562497">
      <w:bodyDiv w:val="1"/>
      <w:marLeft w:val="0"/>
      <w:marRight w:val="0"/>
      <w:marTop w:val="0"/>
      <w:marBottom w:val="0"/>
      <w:divBdr>
        <w:top w:val="none" w:sz="0" w:space="0" w:color="auto"/>
        <w:left w:val="none" w:sz="0" w:space="0" w:color="auto"/>
        <w:bottom w:val="none" w:sz="0" w:space="0" w:color="auto"/>
        <w:right w:val="none" w:sz="0" w:space="0" w:color="auto"/>
      </w:divBdr>
    </w:div>
    <w:div w:id="584386275">
      <w:bodyDiv w:val="1"/>
      <w:marLeft w:val="0"/>
      <w:marRight w:val="0"/>
      <w:marTop w:val="0"/>
      <w:marBottom w:val="0"/>
      <w:divBdr>
        <w:top w:val="none" w:sz="0" w:space="0" w:color="auto"/>
        <w:left w:val="none" w:sz="0" w:space="0" w:color="auto"/>
        <w:bottom w:val="none" w:sz="0" w:space="0" w:color="auto"/>
        <w:right w:val="none" w:sz="0" w:space="0" w:color="auto"/>
      </w:divBdr>
    </w:div>
    <w:div w:id="598802939">
      <w:bodyDiv w:val="1"/>
      <w:marLeft w:val="0"/>
      <w:marRight w:val="0"/>
      <w:marTop w:val="0"/>
      <w:marBottom w:val="0"/>
      <w:divBdr>
        <w:top w:val="none" w:sz="0" w:space="0" w:color="auto"/>
        <w:left w:val="none" w:sz="0" w:space="0" w:color="auto"/>
        <w:bottom w:val="none" w:sz="0" w:space="0" w:color="auto"/>
        <w:right w:val="none" w:sz="0" w:space="0" w:color="auto"/>
      </w:divBdr>
    </w:div>
    <w:div w:id="612711366">
      <w:bodyDiv w:val="1"/>
      <w:marLeft w:val="0"/>
      <w:marRight w:val="0"/>
      <w:marTop w:val="0"/>
      <w:marBottom w:val="0"/>
      <w:divBdr>
        <w:top w:val="none" w:sz="0" w:space="0" w:color="auto"/>
        <w:left w:val="none" w:sz="0" w:space="0" w:color="auto"/>
        <w:bottom w:val="none" w:sz="0" w:space="0" w:color="auto"/>
        <w:right w:val="none" w:sz="0" w:space="0" w:color="auto"/>
      </w:divBdr>
    </w:div>
    <w:div w:id="615985126">
      <w:bodyDiv w:val="1"/>
      <w:marLeft w:val="0"/>
      <w:marRight w:val="0"/>
      <w:marTop w:val="0"/>
      <w:marBottom w:val="0"/>
      <w:divBdr>
        <w:top w:val="none" w:sz="0" w:space="0" w:color="auto"/>
        <w:left w:val="none" w:sz="0" w:space="0" w:color="auto"/>
        <w:bottom w:val="none" w:sz="0" w:space="0" w:color="auto"/>
        <w:right w:val="none" w:sz="0" w:space="0" w:color="auto"/>
      </w:divBdr>
    </w:div>
    <w:div w:id="620233423">
      <w:bodyDiv w:val="1"/>
      <w:marLeft w:val="0"/>
      <w:marRight w:val="0"/>
      <w:marTop w:val="0"/>
      <w:marBottom w:val="0"/>
      <w:divBdr>
        <w:top w:val="none" w:sz="0" w:space="0" w:color="auto"/>
        <w:left w:val="none" w:sz="0" w:space="0" w:color="auto"/>
        <w:bottom w:val="none" w:sz="0" w:space="0" w:color="auto"/>
        <w:right w:val="none" w:sz="0" w:space="0" w:color="auto"/>
      </w:divBdr>
    </w:div>
    <w:div w:id="632102147">
      <w:bodyDiv w:val="1"/>
      <w:marLeft w:val="0"/>
      <w:marRight w:val="0"/>
      <w:marTop w:val="0"/>
      <w:marBottom w:val="0"/>
      <w:divBdr>
        <w:top w:val="none" w:sz="0" w:space="0" w:color="auto"/>
        <w:left w:val="none" w:sz="0" w:space="0" w:color="auto"/>
        <w:bottom w:val="none" w:sz="0" w:space="0" w:color="auto"/>
        <w:right w:val="none" w:sz="0" w:space="0" w:color="auto"/>
      </w:divBdr>
      <w:divsChild>
        <w:div w:id="256452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7682595">
      <w:bodyDiv w:val="1"/>
      <w:marLeft w:val="0"/>
      <w:marRight w:val="0"/>
      <w:marTop w:val="0"/>
      <w:marBottom w:val="0"/>
      <w:divBdr>
        <w:top w:val="none" w:sz="0" w:space="0" w:color="auto"/>
        <w:left w:val="none" w:sz="0" w:space="0" w:color="auto"/>
        <w:bottom w:val="none" w:sz="0" w:space="0" w:color="auto"/>
        <w:right w:val="none" w:sz="0" w:space="0" w:color="auto"/>
      </w:divBdr>
      <w:divsChild>
        <w:div w:id="228425578">
          <w:marLeft w:val="0"/>
          <w:marRight w:val="0"/>
          <w:marTop w:val="0"/>
          <w:marBottom w:val="0"/>
          <w:divBdr>
            <w:top w:val="none" w:sz="0" w:space="0" w:color="auto"/>
            <w:left w:val="none" w:sz="0" w:space="0" w:color="auto"/>
            <w:bottom w:val="none" w:sz="0" w:space="0" w:color="auto"/>
            <w:right w:val="none" w:sz="0" w:space="0" w:color="auto"/>
          </w:divBdr>
        </w:div>
      </w:divsChild>
    </w:div>
    <w:div w:id="650521012">
      <w:bodyDiv w:val="1"/>
      <w:marLeft w:val="0"/>
      <w:marRight w:val="0"/>
      <w:marTop w:val="0"/>
      <w:marBottom w:val="0"/>
      <w:divBdr>
        <w:top w:val="none" w:sz="0" w:space="0" w:color="auto"/>
        <w:left w:val="none" w:sz="0" w:space="0" w:color="auto"/>
        <w:bottom w:val="none" w:sz="0" w:space="0" w:color="auto"/>
        <w:right w:val="none" w:sz="0" w:space="0" w:color="auto"/>
      </w:divBdr>
    </w:div>
    <w:div w:id="658047600">
      <w:bodyDiv w:val="1"/>
      <w:marLeft w:val="0"/>
      <w:marRight w:val="0"/>
      <w:marTop w:val="0"/>
      <w:marBottom w:val="0"/>
      <w:divBdr>
        <w:top w:val="none" w:sz="0" w:space="0" w:color="auto"/>
        <w:left w:val="none" w:sz="0" w:space="0" w:color="auto"/>
        <w:bottom w:val="none" w:sz="0" w:space="0" w:color="auto"/>
        <w:right w:val="none" w:sz="0" w:space="0" w:color="auto"/>
      </w:divBdr>
    </w:div>
    <w:div w:id="658730261">
      <w:bodyDiv w:val="1"/>
      <w:marLeft w:val="0"/>
      <w:marRight w:val="0"/>
      <w:marTop w:val="0"/>
      <w:marBottom w:val="0"/>
      <w:divBdr>
        <w:top w:val="none" w:sz="0" w:space="0" w:color="auto"/>
        <w:left w:val="none" w:sz="0" w:space="0" w:color="auto"/>
        <w:bottom w:val="none" w:sz="0" w:space="0" w:color="auto"/>
        <w:right w:val="none" w:sz="0" w:space="0" w:color="auto"/>
      </w:divBdr>
    </w:div>
    <w:div w:id="660960785">
      <w:bodyDiv w:val="1"/>
      <w:marLeft w:val="0"/>
      <w:marRight w:val="0"/>
      <w:marTop w:val="0"/>
      <w:marBottom w:val="0"/>
      <w:divBdr>
        <w:top w:val="none" w:sz="0" w:space="0" w:color="auto"/>
        <w:left w:val="none" w:sz="0" w:space="0" w:color="auto"/>
        <w:bottom w:val="none" w:sz="0" w:space="0" w:color="auto"/>
        <w:right w:val="none" w:sz="0" w:space="0" w:color="auto"/>
      </w:divBdr>
    </w:div>
    <w:div w:id="670837067">
      <w:bodyDiv w:val="1"/>
      <w:marLeft w:val="0"/>
      <w:marRight w:val="0"/>
      <w:marTop w:val="0"/>
      <w:marBottom w:val="0"/>
      <w:divBdr>
        <w:top w:val="none" w:sz="0" w:space="0" w:color="auto"/>
        <w:left w:val="none" w:sz="0" w:space="0" w:color="auto"/>
        <w:bottom w:val="none" w:sz="0" w:space="0" w:color="auto"/>
        <w:right w:val="none" w:sz="0" w:space="0" w:color="auto"/>
      </w:divBdr>
    </w:div>
    <w:div w:id="677082744">
      <w:bodyDiv w:val="1"/>
      <w:marLeft w:val="0"/>
      <w:marRight w:val="0"/>
      <w:marTop w:val="0"/>
      <w:marBottom w:val="0"/>
      <w:divBdr>
        <w:top w:val="none" w:sz="0" w:space="0" w:color="auto"/>
        <w:left w:val="none" w:sz="0" w:space="0" w:color="auto"/>
        <w:bottom w:val="none" w:sz="0" w:space="0" w:color="auto"/>
        <w:right w:val="none" w:sz="0" w:space="0" w:color="auto"/>
      </w:divBdr>
    </w:div>
    <w:div w:id="677853117">
      <w:bodyDiv w:val="1"/>
      <w:marLeft w:val="0"/>
      <w:marRight w:val="0"/>
      <w:marTop w:val="0"/>
      <w:marBottom w:val="0"/>
      <w:divBdr>
        <w:top w:val="none" w:sz="0" w:space="0" w:color="auto"/>
        <w:left w:val="none" w:sz="0" w:space="0" w:color="auto"/>
        <w:bottom w:val="none" w:sz="0" w:space="0" w:color="auto"/>
        <w:right w:val="none" w:sz="0" w:space="0" w:color="auto"/>
      </w:divBdr>
      <w:divsChild>
        <w:div w:id="1272396700">
          <w:marLeft w:val="0"/>
          <w:marRight w:val="0"/>
          <w:marTop w:val="0"/>
          <w:marBottom w:val="0"/>
          <w:divBdr>
            <w:top w:val="none" w:sz="0" w:space="0" w:color="auto"/>
            <w:left w:val="none" w:sz="0" w:space="0" w:color="auto"/>
            <w:bottom w:val="none" w:sz="0" w:space="0" w:color="auto"/>
            <w:right w:val="none" w:sz="0" w:space="0" w:color="auto"/>
          </w:divBdr>
        </w:div>
        <w:div w:id="1446774695">
          <w:marLeft w:val="0"/>
          <w:marRight w:val="0"/>
          <w:marTop w:val="0"/>
          <w:marBottom w:val="0"/>
          <w:divBdr>
            <w:top w:val="none" w:sz="0" w:space="0" w:color="auto"/>
            <w:left w:val="none" w:sz="0" w:space="0" w:color="auto"/>
            <w:bottom w:val="none" w:sz="0" w:space="0" w:color="auto"/>
            <w:right w:val="none" w:sz="0" w:space="0" w:color="auto"/>
          </w:divBdr>
        </w:div>
      </w:divsChild>
    </w:div>
    <w:div w:id="678891522">
      <w:bodyDiv w:val="1"/>
      <w:marLeft w:val="0"/>
      <w:marRight w:val="0"/>
      <w:marTop w:val="0"/>
      <w:marBottom w:val="0"/>
      <w:divBdr>
        <w:top w:val="none" w:sz="0" w:space="0" w:color="auto"/>
        <w:left w:val="none" w:sz="0" w:space="0" w:color="auto"/>
        <w:bottom w:val="none" w:sz="0" w:space="0" w:color="auto"/>
        <w:right w:val="none" w:sz="0" w:space="0" w:color="auto"/>
      </w:divBdr>
    </w:div>
    <w:div w:id="689648307">
      <w:bodyDiv w:val="1"/>
      <w:marLeft w:val="0"/>
      <w:marRight w:val="0"/>
      <w:marTop w:val="0"/>
      <w:marBottom w:val="0"/>
      <w:divBdr>
        <w:top w:val="none" w:sz="0" w:space="0" w:color="auto"/>
        <w:left w:val="none" w:sz="0" w:space="0" w:color="auto"/>
        <w:bottom w:val="none" w:sz="0" w:space="0" w:color="auto"/>
        <w:right w:val="none" w:sz="0" w:space="0" w:color="auto"/>
      </w:divBdr>
      <w:divsChild>
        <w:div w:id="820734000">
          <w:marLeft w:val="0"/>
          <w:marRight w:val="0"/>
          <w:marTop w:val="0"/>
          <w:marBottom w:val="0"/>
          <w:divBdr>
            <w:top w:val="none" w:sz="0" w:space="0" w:color="auto"/>
            <w:left w:val="none" w:sz="0" w:space="0" w:color="auto"/>
            <w:bottom w:val="none" w:sz="0" w:space="0" w:color="auto"/>
            <w:right w:val="none" w:sz="0" w:space="0" w:color="auto"/>
          </w:divBdr>
        </w:div>
      </w:divsChild>
    </w:div>
    <w:div w:id="695350781">
      <w:bodyDiv w:val="1"/>
      <w:marLeft w:val="0"/>
      <w:marRight w:val="0"/>
      <w:marTop w:val="0"/>
      <w:marBottom w:val="0"/>
      <w:divBdr>
        <w:top w:val="none" w:sz="0" w:space="0" w:color="auto"/>
        <w:left w:val="none" w:sz="0" w:space="0" w:color="auto"/>
        <w:bottom w:val="none" w:sz="0" w:space="0" w:color="auto"/>
        <w:right w:val="none" w:sz="0" w:space="0" w:color="auto"/>
      </w:divBdr>
      <w:divsChild>
        <w:div w:id="1036929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7513012">
      <w:bodyDiv w:val="1"/>
      <w:marLeft w:val="0"/>
      <w:marRight w:val="0"/>
      <w:marTop w:val="0"/>
      <w:marBottom w:val="0"/>
      <w:divBdr>
        <w:top w:val="none" w:sz="0" w:space="0" w:color="auto"/>
        <w:left w:val="none" w:sz="0" w:space="0" w:color="auto"/>
        <w:bottom w:val="none" w:sz="0" w:space="0" w:color="auto"/>
        <w:right w:val="none" w:sz="0" w:space="0" w:color="auto"/>
      </w:divBdr>
    </w:div>
    <w:div w:id="731080862">
      <w:bodyDiv w:val="1"/>
      <w:marLeft w:val="0"/>
      <w:marRight w:val="0"/>
      <w:marTop w:val="0"/>
      <w:marBottom w:val="0"/>
      <w:divBdr>
        <w:top w:val="none" w:sz="0" w:space="0" w:color="auto"/>
        <w:left w:val="none" w:sz="0" w:space="0" w:color="auto"/>
        <w:bottom w:val="none" w:sz="0" w:space="0" w:color="auto"/>
        <w:right w:val="none" w:sz="0" w:space="0" w:color="auto"/>
      </w:divBdr>
    </w:div>
    <w:div w:id="741637994">
      <w:bodyDiv w:val="1"/>
      <w:marLeft w:val="0"/>
      <w:marRight w:val="0"/>
      <w:marTop w:val="0"/>
      <w:marBottom w:val="0"/>
      <w:divBdr>
        <w:top w:val="none" w:sz="0" w:space="0" w:color="auto"/>
        <w:left w:val="none" w:sz="0" w:space="0" w:color="auto"/>
        <w:bottom w:val="none" w:sz="0" w:space="0" w:color="auto"/>
        <w:right w:val="none" w:sz="0" w:space="0" w:color="auto"/>
      </w:divBdr>
    </w:div>
    <w:div w:id="747727586">
      <w:bodyDiv w:val="1"/>
      <w:marLeft w:val="0"/>
      <w:marRight w:val="0"/>
      <w:marTop w:val="0"/>
      <w:marBottom w:val="0"/>
      <w:divBdr>
        <w:top w:val="none" w:sz="0" w:space="0" w:color="auto"/>
        <w:left w:val="none" w:sz="0" w:space="0" w:color="auto"/>
        <w:bottom w:val="none" w:sz="0" w:space="0" w:color="auto"/>
        <w:right w:val="none" w:sz="0" w:space="0" w:color="auto"/>
      </w:divBdr>
    </w:div>
    <w:div w:id="754713689">
      <w:bodyDiv w:val="1"/>
      <w:marLeft w:val="0"/>
      <w:marRight w:val="0"/>
      <w:marTop w:val="0"/>
      <w:marBottom w:val="0"/>
      <w:divBdr>
        <w:top w:val="none" w:sz="0" w:space="0" w:color="auto"/>
        <w:left w:val="none" w:sz="0" w:space="0" w:color="auto"/>
        <w:bottom w:val="none" w:sz="0" w:space="0" w:color="auto"/>
        <w:right w:val="none" w:sz="0" w:space="0" w:color="auto"/>
      </w:divBdr>
    </w:div>
    <w:div w:id="755244743">
      <w:bodyDiv w:val="1"/>
      <w:marLeft w:val="0"/>
      <w:marRight w:val="0"/>
      <w:marTop w:val="0"/>
      <w:marBottom w:val="0"/>
      <w:divBdr>
        <w:top w:val="none" w:sz="0" w:space="0" w:color="auto"/>
        <w:left w:val="none" w:sz="0" w:space="0" w:color="auto"/>
        <w:bottom w:val="none" w:sz="0" w:space="0" w:color="auto"/>
        <w:right w:val="none" w:sz="0" w:space="0" w:color="auto"/>
      </w:divBdr>
    </w:div>
    <w:div w:id="760295859">
      <w:bodyDiv w:val="1"/>
      <w:marLeft w:val="0"/>
      <w:marRight w:val="0"/>
      <w:marTop w:val="0"/>
      <w:marBottom w:val="0"/>
      <w:divBdr>
        <w:top w:val="none" w:sz="0" w:space="0" w:color="auto"/>
        <w:left w:val="none" w:sz="0" w:space="0" w:color="auto"/>
        <w:bottom w:val="none" w:sz="0" w:space="0" w:color="auto"/>
        <w:right w:val="none" w:sz="0" w:space="0" w:color="auto"/>
      </w:divBdr>
      <w:divsChild>
        <w:div w:id="1022166314">
          <w:marLeft w:val="0"/>
          <w:marRight w:val="0"/>
          <w:marTop w:val="0"/>
          <w:marBottom w:val="0"/>
          <w:divBdr>
            <w:top w:val="none" w:sz="0" w:space="0" w:color="auto"/>
            <w:left w:val="none" w:sz="0" w:space="0" w:color="auto"/>
            <w:bottom w:val="none" w:sz="0" w:space="0" w:color="auto"/>
            <w:right w:val="none" w:sz="0" w:space="0" w:color="auto"/>
          </w:divBdr>
          <w:divsChild>
            <w:div w:id="288752788">
              <w:marLeft w:val="0"/>
              <w:marRight w:val="0"/>
              <w:marTop w:val="0"/>
              <w:marBottom w:val="0"/>
              <w:divBdr>
                <w:top w:val="none" w:sz="0" w:space="0" w:color="auto"/>
                <w:left w:val="none" w:sz="0" w:space="0" w:color="auto"/>
                <w:bottom w:val="none" w:sz="0" w:space="0" w:color="auto"/>
                <w:right w:val="none" w:sz="0" w:space="0" w:color="auto"/>
              </w:divBdr>
              <w:divsChild>
                <w:div w:id="95752464">
                  <w:marLeft w:val="0"/>
                  <w:marRight w:val="0"/>
                  <w:marTop w:val="0"/>
                  <w:marBottom w:val="0"/>
                  <w:divBdr>
                    <w:top w:val="none" w:sz="0" w:space="0" w:color="auto"/>
                    <w:left w:val="none" w:sz="0" w:space="0" w:color="auto"/>
                    <w:bottom w:val="none" w:sz="0" w:space="0" w:color="auto"/>
                    <w:right w:val="none" w:sz="0" w:space="0" w:color="auto"/>
                  </w:divBdr>
                  <w:divsChild>
                    <w:div w:id="1371415915">
                      <w:marLeft w:val="0"/>
                      <w:marRight w:val="0"/>
                      <w:marTop w:val="0"/>
                      <w:marBottom w:val="0"/>
                      <w:divBdr>
                        <w:top w:val="none" w:sz="0" w:space="0" w:color="auto"/>
                        <w:left w:val="none" w:sz="0" w:space="0" w:color="auto"/>
                        <w:bottom w:val="none" w:sz="0" w:space="0" w:color="auto"/>
                        <w:right w:val="none" w:sz="0" w:space="0" w:color="auto"/>
                      </w:divBdr>
                      <w:divsChild>
                        <w:div w:id="903642480">
                          <w:marLeft w:val="0"/>
                          <w:marRight w:val="0"/>
                          <w:marTop w:val="0"/>
                          <w:marBottom w:val="0"/>
                          <w:divBdr>
                            <w:top w:val="none" w:sz="0" w:space="0" w:color="auto"/>
                            <w:left w:val="none" w:sz="0" w:space="0" w:color="auto"/>
                            <w:bottom w:val="none" w:sz="0" w:space="0" w:color="auto"/>
                            <w:right w:val="none" w:sz="0" w:space="0" w:color="auto"/>
                          </w:divBdr>
                          <w:divsChild>
                            <w:div w:id="301037177">
                              <w:marLeft w:val="0"/>
                              <w:marRight w:val="0"/>
                              <w:marTop w:val="0"/>
                              <w:marBottom w:val="0"/>
                              <w:divBdr>
                                <w:top w:val="none" w:sz="0" w:space="0" w:color="auto"/>
                                <w:left w:val="none" w:sz="0" w:space="0" w:color="auto"/>
                                <w:bottom w:val="none" w:sz="0" w:space="0" w:color="auto"/>
                                <w:right w:val="none" w:sz="0" w:space="0" w:color="auto"/>
                              </w:divBdr>
                              <w:divsChild>
                                <w:div w:id="1173953285">
                                  <w:marLeft w:val="0"/>
                                  <w:marRight w:val="0"/>
                                  <w:marTop w:val="0"/>
                                  <w:marBottom w:val="0"/>
                                  <w:divBdr>
                                    <w:top w:val="none" w:sz="0" w:space="0" w:color="auto"/>
                                    <w:left w:val="none" w:sz="0" w:space="0" w:color="auto"/>
                                    <w:bottom w:val="none" w:sz="0" w:space="0" w:color="auto"/>
                                    <w:right w:val="none" w:sz="0" w:space="0" w:color="auto"/>
                                  </w:divBdr>
                                  <w:divsChild>
                                    <w:div w:id="8583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817064">
      <w:bodyDiv w:val="1"/>
      <w:marLeft w:val="0"/>
      <w:marRight w:val="0"/>
      <w:marTop w:val="0"/>
      <w:marBottom w:val="0"/>
      <w:divBdr>
        <w:top w:val="none" w:sz="0" w:space="0" w:color="auto"/>
        <w:left w:val="none" w:sz="0" w:space="0" w:color="auto"/>
        <w:bottom w:val="none" w:sz="0" w:space="0" w:color="auto"/>
        <w:right w:val="none" w:sz="0" w:space="0" w:color="auto"/>
      </w:divBdr>
    </w:div>
    <w:div w:id="770974799">
      <w:bodyDiv w:val="1"/>
      <w:marLeft w:val="0"/>
      <w:marRight w:val="0"/>
      <w:marTop w:val="0"/>
      <w:marBottom w:val="0"/>
      <w:divBdr>
        <w:top w:val="none" w:sz="0" w:space="0" w:color="auto"/>
        <w:left w:val="none" w:sz="0" w:space="0" w:color="auto"/>
        <w:bottom w:val="none" w:sz="0" w:space="0" w:color="auto"/>
        <w:right w:val="none" w:sz="0" w:space="0" w:color="auto"/>
      </w:divBdr>
    </w:div>
    <w:div w:id="780496268">
      <w:bodyDiv w:val="1"/>
      <w:marLeft w:val="0"/>
      <w:marRight w:val="0"/>
      <w:marTop w:val="0"/>
      <w:marBottom w:val="0"/>
      <w:divBdr>
        <w:top w:val="none" w:sz="0" w:space="0" w:color="auto"/>
        <w:left w:val="none" w:sz="0" w:space="0" w:color="auto"/>
        <w:bottom w:val="none" w:sz="0" w:space="0" w:color="auto"/>
        <w:right w:val="none" w:sz="0" w:space="0" w:color="auto"/>
      </w:divBdr>
    </w:div>
    <w:div w:id="781849047">
      <w:bodyDiv w:val="1"/>
      <w:marLeft w:val="0"/>
      <w:marRight w:val="0"/>
      <w:marTop w:val="0"/>
      <w:marBottom w:val="0"/>
      <w:divBdr>
        <w:top w:val="none" w:sz="0" w:space="0" w:color="auto"/>
        <w:left w:val="none" w:sz="0" w:space="0" w:color="auto"/>
        <w:bottom w:val="none" w:sz="0" w:space="0" w:color="auto"/>
        <w:right w:val="none" w:sz="0" w:space="0" w:color="auto"/>
      </w:divBdr>
    </w:div>
    <w:div w:id="800658514">
      <w:bodyDiv w:val="1"/>
      <w:marLeft w:val="0"/>
      <w:marRight w:val="0"/>
      <w:marTop w:val="0"/>
      <w:marBottom w:val="0"/>
      <w:divBdr>
        <w:top w:val="none" w:sz="0" w:space="0" w:color="auto"/>
        <w:left w:val="none" w:sz="0" w:space="0" w:color="auto"/>
        <w:bottom w:val="none" w:sz="0" w:space="0" w:color="auto"/>
        <w:right w:val="none" w:sz="0" w:space="0" w:color="auto"/>
      </w:divBdr>
    </w:div>
    <w:div w:id="802651045">
      <w:bodyDiv w:val="1"/>
      <w:marLeft w:val="0"/>
      <w:marRight w:val="0"/>
      <w:marTop w:val="0"/>
      <w:marBottom w:val="0"/>
      <w:divBdr>
        <w:top w:val="none" w:sz="0" w:space="0" w:color="auto"/>
        <w:left w:val="none" w:sz="0" w:space="0" w:color="auto"/>
        <w:bottom w:val="none" w:sz="0" w:space="0" w:color="auto"/>
        <w:right w:val="none" w:sz="0" w:space="0" w:color="auto"/>
      </w:divBdr>
      <w:divsChild>
        <w:div w:id="1419667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452916">
      <w:bodyDiv w:val="1"/>
      <w:marLeft w:val="0"/>
      <w:marRight w:val="0"/>
      <w:marTop w:val="0"/>
      <w:marBottom w:val="0"/>
      <w:divBdr>
        <w:top w:val="none" w:sz="0" w:space="0" w:color="auto"/>
        <w:left w:val="none" w:sz="0" w:space="0" w:color="auto"/>
        <w:bottom w:val="none" w:sz="0" w:space="0" w:color="auto"/>
        <w:right w:val="none" w:sz="0" w:space="0" w:color="auto"/>
      </w:divBdr>
      <w:divsChild>
        <w:div w:id="1637568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348606">
      <w:bodyDiv w:val="1"/>
      <w:marLeft w:val="0"/>
      <w:marRight w:val="0"/>
      <w:marTop w:val="0"/>
      <w:marBottom w:val="0"/>
      <w:divBdr>
        <w:top w:val="none" w:sz="0" w:space="0" w:color="auto"/>
        <w:left w:val="none" w:sz="0" w:space="0" w:color="auto"/>
        <w:bottom w:val="none" w:sz="0" w:space="0" w:color="auto"/>
        <w:right w:val="none" w:sz="0" w:space="0" w:color="auto"/>
      </w:divBdr>
    </w:div>
    <w:div w:id="823738038">
      <w:bodyDiv w:val="1"/>
      <w:marLeft w:val="0"/>
      <w:marRight w:val="0"/>
      <w:marTop w:val="0"/>
      <w:marBottom w:val="0"/>
      <w:divBdr>
        <w:top w:val="none" w:sz="0" w:space="0" w:color="auto"/>
        <w:left w:val="none" w:sz="0" w:space="0" w:color="auto"/>
        <w:bottom w:val="none" w:sz="0" w:space="0" w:color="auto"/>
        <w:right w:val="none" w:sz="0" w:space="0" w:color="auto"/>
      </w:divBdr>
    </w:div>
    <w:div w:id="840392196">
      <w:bodyDiv w:val="1"/>
      <w:marLeft w:val="0"/>
      <w:marRight w:val="0"/>
      <w:marTop w:val="0"/>
      <w:marBottom w:val="0"/>
      <w:divBdr>
        <w:top w:val="none" w:sz="0" w:space="0" w:color="auto"/>
        <w:left w:val="none" w:sz="0" w:space="0" w:color="auto"/>
        <w:bottom w:val="none" w:sz="0" w:space="0" w:color="auto"/>
        <w:right w:val="none" w:sz="0" w:space="0" w:color="auto"/>
      </w:divBdr>
    </w:div>
    <w:div w:id="842740624">
      <w:bodyDiv w:val="1"/>
      <w:marLeft w:val="0"/>
      <w:marRight w:val="0"/>
      <w:marTop w:val="0"/>
      <w:marBottom w:val="0"/>
      <w:divBdr>
        <w:top w:val="none" w:sz="0" w:space="0" w:color="auto"/>
        <w:left w:val="none" w:sz="0" w:space="0" w:color="auto"/>
        <w:bottom w:val="none" w:sz="0" w:space="0" w:color="auto"/>
        <w:right w:val="none" w:sz="0" w:space="0" w:color="auto"/>
      </w:divBdr>
      <w:divsChild>
        <w:div w:id="526136775">
          <w:marLeft w:val="0"/>
          <w:marRight w:val="0"/>
          <w:marTop w:val="0"/>
          <w:marBottom w:val="120"/>
          <w:divBdr>
            <w:top w:val="none" w:sz="0" w:space="0" w:color="auto"/>
            <w:left w:val="none" w:sz="0" w:space="0" w:color="auto"/>
            <w:bottom w:val="none" w:sz="0" w:space="0" w:color="auto"/>
            <w:right w:val="none" w:sz="0" w:space="0" w:color="auto"/>
          </w:divBdr>
        </w:div>
        <w:div w:id="743574370">
          <w:marLeft w:val="0"/>
          <w:marRight w:val="0"/>
          <w:marTop w:val="0"/>
          <w:marBottom w:val="120"/>
          <w:divBdr>
            <w:top w:val="none" w:sz="0" w:space="0" w:color="auto"/>
            <w:left w:val="none" w:sz="0" w:space="0" w:color="auto"/>
            <w:bottom w:val="none" w:sz="0" w:space="0" w:color="auto"/>
            <w:right w:val="none" w:sz="0" w:space="0" w:color="auto"/>
          </w:divBdr>
        </w:div>
      </w:divsChild>
    </w:div>
    <w:div w:id="844246085">
      <w:bodyDiv w:val="1"/>
      <w:marLeft w:val="0"/>
      <w:marRight w:val="0"/>
      <w:marTop w:val="0"/>
      <w:marBottom w:val="0"/>
      <w:divBdr>
        <w:top w:val="none" w:sz="0" w:space="0" w:color="auto"/>
        <w:left w:val="none" w:sz="0" w:space="0" w:color="auto"/>
        <w:bottom w:val="none" w:sz="0" w:space="0" w:color="auto"/>
        <w:right w:val="none" w:sz="0" w:space="0" w:color="auto"/>
      </w:divBdr>
    </w:div>
    <w:div w:id="848562543">
      <w:bodyDiv w:val="1"/>
      <w:marLeft w:val="0"/>
      <w:marRight w:val="0"/>
      <w:marTop w:val="0"/>
      <w:marBottom w:val="0"/>
      <w:divBdr>
        <w:top w:val="none" w:sz="0" w:space="0" w:color="auto"/>
        <w:left w:val="none" w:sz="0" w:space="0" w:color="auto"/>
        <w:bottom w:val="none" w:sz="0" w:space="0" w:color="auto"/>
        <w:right w:val="none" w:sz="0" w:space="0" w:color="auto"/>
      </w:divBdr>
      <w:divsChild>
        <w:div w:id="1079867188">
          <w:marLeft w:val="0"/>
          <w:marRight w:val="0"/>
          <w:marTop w:val="0"/>
          <w:marBottom w:val="0"/>
          <w:divBdr>
            <w:top w:val="none" w:sz="0" w:space="0" w:color="auto"/>
            <w:left w:val="none" w:sz="0" w:space="0" w:color="auto"/>
            <w:bottom w:val="none" w:sz="0" w:space="0" w:color="auto"/>
            <w:right w:val="none" w:sz="0" w:space="0" w:color="auto"/>
          </w:divBdr>
          <w:divsChild>
            <w:div w:id="1553805537">
              <w:marLeft w:val="0"/>
              <w:marRight w:val="0"/>
              <w:marTop w:val="0"/>
              <w:marBottom w:val="0"/>
              <w:divBdr>
                <w:top w:val="none" w:sz="0" w:space="0" w:color="auto"/>
                <w:left w:val="none" w:sz="0" w:space="0" w:color="auto"/>
                <w:bottom w:val="none" w:sz="0" w:space="0" w:color="auto"/>
                <w:right w:val="none" w:sz="0" w:space="0" w:color="auto"/>
              </w:divBdr>
              <w:divsChild>
                <w:div w:id="599139042">
                  <w:marLeft w:val="0"/>
                  <w:marRight w:val="0"/>
                  <w:marTop w:val="0"/>
                  <w:marBottom w:val="0"/>
                  <w:divBdr>
                    <w:top w:val="none" w:sz="0" w:space="0" w:color="auto"/>
                    <w:left w:val="none" w:sz="0" w:space="0" w:color="auto"/>
                    <w:bottom w:val="none" w:sz="0" w:space="0" w:color="auto"/>
                    <w:right w:val="none" w:sz="0" w:space="0" w:color="auto"/>
                  </w:divBdr>
                  <w:divsChild>
                    <w:div w:id="400251895">
                      <w:marLeft w:val="0"/>
                      <w:marRight w:val="0"/>
                      <w:marTop w:val="0"/>
                      <w:marBottom w:val="0"/>
                      <w:divBdr>
                        <w:top w:val="none" w:sz="0" w:space="0" w:color="auto"/>
                        <w:left w:val="none" w:sz="0" w:space="0" w:color="auto"/>
                        <w:bottom w:val="none" w:sz="0" w:space="0" w:color="auto"/>
                        <w:right w:val="none" w:sz="0" w:space="0" w:color="auto"/>
                      </w:divBdr>
                      <w:divsChild>
                        <w:div w:id="7396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21088">
          <w:marLeft w:val="0"/>
          <w:marRight w:val="0"/>
          <w:marTop w:val="0"/>
          <w:marBottom w:val="0"/>
          <w:divBdr>
            <w:top w:val="none" w:sz="0" w:space="0" w:color="auto"/>
            <w:left w:val="none" w:sz="0" w:space="0" w:color="auto"/>
            <w:bottom w:val="none" w:sz="0" w:space="0" w:color="auto"/>
            <w:right w:val="none" w:sz="0" w:space="0" w:color="auto"/>
          </w:divBdr>
          <w:divsChild>
            <w:div w:id="1237595546">
              <w:marLeft w:val="0"/>
              <w:marRight w:val="0"/>
              <w:marTop w:val="0"/>
              <w:marBottom w:val="0"/>
              <w:divBdr>
                <w:top w:val="none" w:sz="0" w:space="0" w:color="auto"/>
                <w:left w:val="none" w:sz="0" w:space="0" w:color="auto"/>
                <w:bottom w:val="none" w:sz="0" w:space="0" w:color="auto"/>
                <w:right w:val="none" w:sz="0" w:space="0" w:color="auto"/>
              </w:divBdr>
              <w:divsChild>
                <w:div w:id="1785346197">
                  <w:marLeft w:val="0"/>
                  <w:marRight w:val="0"/>
                  <w:marTop w:val="0"/>
                  <w:marBottom w:val="0"/>
                  <w:divBdr>
                    <w:top w:val="none" w:sz="0" w:space="0" w:color="auto"/>
                    <w:left w:val="none" w:sz="0" w:space="0" w:color="auto"/>
                    <w:bottom w:val="none" w:sz="0" w:space="0" w:color="auto"/>
                    <w:right w:val="none" w:sz="0" w:space="0" w:color="auto"/>
                  </w:divBdr>
                  <w:divsChild>
                    <w:div w:id="1664776273">
                      <w:marLeft w:val="0"/>
                      <w:marRight w:val="0"/>
                      <w:marTop w:val="0"/>
                      <w:marBottom w:val="0"/>
                      <w:divBdr>
                        <w:top w:val="none" w:sz="0" w:space="0" w:color="auto"/>
                        <w:left w:val="none" w:sz="0" w:space="0" w:color="auto"/>
                        <w:bottom w:val="none" w:sz="0" w:space="0" w:color="auto"/>
                        <w:right w:val="none" w:sz="0" w:space="0" w:color="auto"/>
                      </w:divBdr>
                      <w:divsChild>
                        <w:div w:id="895431476">
                          <w:marLeft w:val="0"/>
                          <w:marRight w:val="0"/>
                          <w:marTop w:val="0"/>
                          <w:marBottom w:val="0"/>
                          <w:divBdr>
                            <w:top w:val="none" w:sz="0" w:space="0" w:color="auto"/>
                            <w:left w:val="none" w:sz="0" w:space="0" w:color="auto"/>
                            <w:bottom w:val="none" w:sz="0" w:space="0" w:color="auto"/>
                            <w:right w:val="none" w:sz="0" w:space="0" w:color="auto"/>
                          </w:divBdr>
                          <w:divsChild>
                            <w:div w:id="1592466138">
                              <w:marLeft w:val="0"/>
                              <w:marRight w:val="0"/>
                              <w:marTop w:val="0"/>
                              <w:marBottom w:val="0"/>
                              <w:divBdr>
                                <w:top w:val="none" w:sz="0" w:space="0" w:color="auto"/>
                                <w:left w:val="none" w:sz="0" w:space="0" w:color="auto"/>
                                <w:bottom w:val="none" w:sz="0" w:space="0" w:color="auto"/>
                                <w:right w:val="none" w:sz="0" w:space="0" w:color="auto"/>
                              </w:divBdr>
                              <w:divsChild>
                                <w:div w:id="664356391">
                                  <w:marLeft w:val="0"/>
                                  <w:marRight w:val="0"/>
                                  <w:marTop w:val="0"/>
                                  <w:marBottom w:val="0"/>
                                  <w:divBdr>
                                    <w:top w:val="none" w:sz="0" w:space="0" w:color="auto"/>
                                    <w:left w:val="none" w:sz="0" w:space="0" w:color="auto"/>
                                    <w:bottom w:val="none" w:sz="0" w:space="0" w:color="auto"/>
                                    <w:right w:val="none" w:sz="0" w:space="0" w:color="auto"/>
                                  </w:divBdr>
                                  <w:divsChild>
                                    <w:div w:id="1910070115">
                                      <w:marLeft w:val="0"/>
                                      <w:marRight w:val="0"/>
                                      <w:marTop w:val="0"/>
                                      <w:marBottom w:val="0"/>
                                      <w:divBdr>
                                        <w:top w:val="none" w:sz="0" w:space="0" w:color="auto"/>
                                        <w:left w:val="none" w:sz="0" w:space="0" w:color="auto"/>
                                        <w:bottom w:val="none" w:sz="0" w:space="0" w:color="auto"/>
                                        <w:right w:val="none" w:sz="0" w:space="0" w:color="auto"/>
                                      </w:divBdr>
                                      <w:divsChild>
                                        <w:div w:id="2139836978">
                                          <w:marLeft w:val="0"/>
                                          <w:marRight w:val="0"/>
                                          <w:marTop w:val="0"/>
                                          <w:marBottom w:val="0"/>
                                          <w:divBdr>
                                            <w:top w:val="none" w:sz="0" w:space="0" w:color="auto"/>
                                            <w:left w:val="none" w:sz="0" w:space="0" w:color="auto"/>
                                            <w:bottom w:val="none" w:sz="0" w:space="0" w:color="auto"/>
                                            <w:right w:val="none" w:sz="0" w:space="0" w:color="auto"/>
                                          </w:divBdr>
                                          <w:divsChild>
                                            <w:div w:id="1206598330">
                                              <w:marLeft w:val="0"/>
                                              <w:marRight w:val="0"/>
                                              <w:marTop w:val="0"/>
                                              <w:marBottom w:val="0"/>
                                              <w:divBdr>
                                                <w:top w:val="none" w:sz="0" w:space="0" w:color="auto"/>
                                                <w:left w:val="none" w:sz="0" w:space="0" w:color="auto"/>
                                                <w:bottom w:val="none" w:sz="0" w:space="0" w:color="auto"/>
                                                <w:right w:val="none" w:sz="0" w:space="0" w:color="auto"/>
                                              </w:divBdr>
                                              <w:divsChild>
                                                <w:div w:id="2127041956">
                                                  <w:marLeft w:val="0"/>
                                                  <w:marRight w:val="0"/>
                                                  <w:marTop w:val="0"/>
                                                  <w:marBottom w:val="0"/>
                                                  <w:divBdr>
                                                    <w:top w:val="none" w:sz="0" w:space="0" w:color="auto"/>
                                                    <w:left w:val="none" w:sz="0" w:space="0" w:color="auto"/>
                                                    <w:bottom w:val="none" w:sz="0" w:space="0" w:color="auto"/>
                                                    <w:right w:val="none" w:sz="0" w:space="0" w:color="auto"/>
                                                  </w:divBdr>
                                                  <w:divsChild>
                                                    <w:div w:id="4506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43304">
                                      <w:marLeft w:val="0"/>
                                      <w:marRight w:val="0"/>
                                      <w:marTop w:val="0"/>
                                      <w:marBottom w:val="0"/>
                                      <w:divBdr>
                                        <w:top w:val="none" w:sz="0" w:space="0" w:color="auto"/>
                                        <w:left w:val="none" w:sz="0" w:space="0" w:color="auto"/>
                                        <w:bottom w:val="none" w:sz="0" w:space="0" w:color="auto"/>
                                        <w:right w:val="none" w:sz="0" w:space="0" w:color="auto"/>
                                      </w:divBdr>
                                      <w:divsChild>
                                        <w:div w:id="28477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530362">
      <w:bodyDiv w:val="1"/>
      <w:marLeft w:val="0"/>
      <w:marRight w:val="0"/>
      <w:marTop w:val="0"/>
      <w:marBottom w:val="0"/>
      <w:divBdr>
        <w:top w:val="none" w:sz="0" w:space="0" w:color="auto"/>
        <w:left w:val="none" w:sz="0" w:space="0" w:color="auto"/>
        <w:bottom w:val="none" w:sz="0" w:space="0" w:color="auto"/>
        <w:right w:val="none" w:sz="0" w:space="0" w:color="auto"/>
      </w:divBdr>
    </w:div>
    <w:div w:id="879974111">
      <w:bodyDiv w:val="1"/>
      <w:marLeft w:val="0"/>
      <w:marRight w:val="0"/>
      <w:marTop w:val="0"/>
      <w:marBottom w:val="0"/>
      <w:divBdr>
        <w:top w:val="none" w:sz="0" w:space="0" w:color="auto"/>
        <w:left w:val="none" w:sz="0" w:space="0" w:color="auto"/>
        <w:bottom w:val="none" w:sz="0" w:space="0" w:color="auto"/>
        <w:right w:val="none" w:sz="0" w:space="0" w:color="auto"/>
      </w:divBdr>
    </w:div>
    <w:div w:id="887690333">
      <w:bodyDiv w:val="1"/>
      <w:marLeft w:val="0"/>
      <w:marRight w:val="0"/>
      <w:marTop w:val="0"/>
      <w:marBottom w:val="0"/>
      <w:divBdr>
        <w:top w:val="none" w:sz="0" w:space="0" w:color="auto"/>
        <w:left w:val="none" w:sz="0" w:space="0" w:color="auto"/>
        <w:bottom w:val="none" w:sz="0" w:space="0" w:color="auto"/>
        <w:right w:val="none" w:sz="0" w:space="0" w:color="auto"/>
      </w:divBdr>
      <w:divsChild>
        <w:div w:id="851651882">
          <w:marLeft w:val="0"/>
          <w:marRight w:val="0"/>
          <w:marTop w:val="0"/>
          <w:marBottom w:val="0"/>
          <w:divBdr>
            <w:top w:val="none" w:sz="0" w:space="0" w:color="auto"/>
            <w:left w:val="none" w:sz="0" w:space="0" w:color="auto"/>
            <w:bottom w:val="none" w:sz="0" w:space="0" w:color="auto"/>
            <w:right w:val="none" w:sz="0" w:space="0" w:color="auto"/>
          </w:divBdr>
          <w:divsChild>
            <w:div w:id="548035762">
              <w:marLeft w:val="0"/>
              <w:marRight w:val="0"/>
              <w:marTop w:val="0"/>
              <w:marBottom w:val="0"/>
              <w:divBdr>
                <w:top w:val="none" w:sz="0" w:space="0" w:color="auto"/>
                <w:left w:val="none" w:sz="0" w:space="0" w:color="auto"/>
                <w:bottom w:val="none" w:sz="0" w:space="0" w:color="auto"/>
                <w:right w:val="none" w:sz="0" w:space="0" w:color="auto"/>
              </w:divBdr>
              <w:divsChild>
                <w:div w:id="1831404161">
                  <w:marLeft w:val="0"/>
                  <w:marRight w:val="0"/>
                  <w:marTop w:val="0"/>
                  <w:marBottom w:val="0"/>
                  <w:divBdr>
                    <w:top w:val="none" w:sz="0" w:space="0" w:color="auto"/>
                    <w:left w:val="none" w:sz="0" w:space="0" w:color="auto"/>
                    <w:bottom w:val="none" w:sz="0" w:space="0" w:color="auto"/>
                    <w:right w:val="none" w:sz="0" w:space="0" w:color="auto"/>
                  </w:divBdr>
                  <w:divsChild>
                    <w:div w:id="721563958">
                      <w:marLeft w:val="0"/>
                      <w:marRight w:val="0"/>
                      <w:marTop w:val="0"/>
                      <w:marBottom w:val="0"/>
                      <w:divBdr>
                        <w:top w:val="none" w:sz="0" w:space="0" w:color="auto"/>
                        <w:left w:val="none" w:sz="0" w:space="0" w:color="auto"/>
                        <w:bottom w:val="none" w:sz="0" w:space="0" w:color="auto"/>
                        <w:right w:val="none" w:sz="0" w:space="0" w:color="auto"/>
                      </w:divBdr>
                      <w:divsChild>
                        <w:div w:id="284041710">
                          <w:marLeft w:val="0"/>
                          <w:marRight w:val="0"/>
                          <w:marTop w:val="0"/>
                          <w:marBottom w:val="0"/>
                          <w:divBdr>
                            <w:top w:val="none" w:sz="0" w:space="0" w:color="auto"/>
                            <w:left w:val="none" w:sz="0" w:space="0" w:color="auto"/>
                            <w:bottom w:val="none" w:sz="0" w:space="0" w:color="auto"/>
                            <w:right w:val="none" w:sz="0" w:space="0" w:color="auto"/>
                          </w:divBdr>
                          <w:divsChild>
                            <w:div w:id="133641937">
                              <w:marLeft w:val="0"/>
                              <w:marRight w:val="0"/>
                              <w:marTop w:val="0"/>
                              <w:marBottom w:val="0"/>
                              <w:divBdr>
                                <w:top w:val="none" w:sz="0" w:space="0" w:color="auto"/>
                                <w:left w:val="none" w:sz="0" w:space="0" w:color="auto"/>
                                <w:bottom w:val="none" w:sz="0" w:space="0" w:color="auto"/>
                                <w:right w:val="none" w:sz="0" w:space="0" w:color="auto"/>
                              </w:divBdr>
                              <w:divsChild>
                                <w:div w:id="17472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0622">
                      <w:marLeft w:val="0"/>
                      <w:marRight w:val="0"/>
                      <w:marTop w:val="0"/>
                      <w:marBottom w:val="0"/>
                      <w:divBdr>
                        <w:top w:val="none" w:sz="0" w:space="0" w:color="auto"/>
                        <w:left w:val="none" w:sz="0" w:space="0" w:color="auto"/>
                        <w:bottom w:val="none" w:sz="0" w:space="0" w:color="auto"/>
                        <w:right w:val="none" w:sz="0" w:space="0" w:color="auto"/>
                      </w:divBdr>
                      <w:divsChild>
                        <w:div w:id="1650086958">
                          <w:marLeft w:val="0"/>
                          <w:marRight w:val="0"/>
                          <w:marTop w:val="0"/>
                          <w:marBottom w:val="0"/>
                          <w:divBdr>
                            <w:top w:val="none" w:sz="0" w:space="0" w:color="auto"/>
                            <w:left w:val="none" w:sz="0" w:space="0" w:color="auto"/>
                            <w:bottom w:val="none" w:sz="0" w:space="0" w:color="auto"/>
                            <w:right w:val="none" w:sz="0" w:space="0" w:color="auto"/>
                          </w:divBdr>
                          <w:divsChild>
                            <w:div w:id="15058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454021">
          <w:marLeft w:val="0"/>
          <w:marRight w:val="0"/>
          <w:marTop w:val="0"/>
          <w:marBottom w:val="0"/>
          <w:divBdr>
            <w:top w:val="none" w:sz="0" w:space="0" w:color="auto"/>
            <w:left w:val="none" w:sz="0" w:space="0" w:color="auto"/>
            <w:bottom w:val="none" w:sz="0" w:space="0" w:color="auto"/>
            <w:right w:val="none" w:sz="0" w:space="0" w:color="auto"/>
          </w:divBdr>
          <w:divsChild>
            <w:div w:id="1084842313">
              <w:marLeft w:val="0"/>
              <w:marRight w:val="0"/>
              <w:marTop w:val="0"/>
              <w:marBottom w:val="0"/>
              <w:divBdr>
                <w:top w:val="none" w:sz="0" w:space="0" w:color="auto"/>
                <w:left w:val="none" w:sz="0" w:space="0" w:color="auto"/>
                <w:bottom w:val="none" w:sz="0" w:space="0" w:color="auto"/>
                <w:right w:val="none" w:sz="0" w:space="0" w:color="auto"/>
              </w:divBdr>
              <w:divsChild>
                <w:div w:id="10645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5521">
      <w:bodyDiv w:val="1"/>
      <w:marLeft w:val="0"/>
      <w:marRight w:val="0"/>
      <w:marTop w:val="0"/>
      <w:marBottom w:val="0"/>
      <w:divBdr>
        <w:top w:val="none" w:sz="0" w:space="0" w:color="auto"/>
        <w:left w:val="none" w:sz="0" w:space="0" w:color="auto"/>
        <w:bottom w:val="none" w:sz="0" w:space="0" w:color="auto"/>
        <w:right w:val="none" w:sz="0" w:space="0" w:color="auto"/>
      </w:divBdr>
      <w:divsChild>
        <w:div w:id="1185900816">
          <w:marLeft w:val="0"/>
          <w:marRight w:val="0"/>
          <w:marTop w:val="0"/>
          <w:marBottom w:val="0"/>
          <w:divBdr>
            <w:top w:val="none" w:sz="0" w:space="0" w:color="auto"/>
            <w:left w:val="none" w:sz="0" w:space="0" w:color="auto"/>
            <w:bottom w:val="none" w:sz="0" w:space="0" w:color="auto"/>
            <w:right w:val="none" w:sz="0" w:space="0" w:color="auto"/>
          </w:divBdr>
        </w:div>
      </w:divsChild>
    </w:div>
    <w:div w:id="916944285">
      <w:bodyDiv w:val="1"/>
      <w:marLeft w:val="0"/>
      <w:marRight w:val="0"/>
      <w:marTop w:val="0"/>
      <w:marBottom w:val="0"/>
      <w:divBdr>
        <w:top w:val="none" w:sz="0" w:space="0" w:color="auto"/>
        <w:left w:val="none" w:sz="0" w:space="0" w:color="auto"/>
        <w:bottom w:val="none" w:sz="0" w:space="0" w:color="auto"/>
        <w:right w:val="none" w:sz="0" w:space="0" w:color="auto"/>
      </w:divBdr>
    </w:div>
    <w:div w:id="925573239">
      <w:bodyDiv w:val="1"/>
      <w:marLeft w:val="0"/>
      <w:marRight w:val="0"/>
      <w:marTop w:val="0"/>
      <w:marBottom w:val="0"/>
      <w:divBdr>
        <w:top w:val="none" w:sz="0" w:space="0" w:color="auto"/>
        <w:left w:val="none" w:sz="0" w:space="0" w:color="auto"/>
        <w:bottom w:val="none" w:sz="0" w:space="0" w:color="auto"/>
        <w:right w:val="none" w:sz="0" w:space="0" w:color="auto"/>
      </w:divBdr>
    </w:div>
    <w:div w:id="925844507">
      <w:bodyDiv w:val="1"/>
      <w:marLeft w:val="0"/>
      <w:marRight w:val="0"/>
      <w:marTop w:val="0"/>
      <w:marBottom w:val="0"/>
      <w:divBdr>
        <w:top w:val="none" w:sz="0" w:space="0" w:color="auto"/>
        <w:left w:val="none" w:sz="0" w:space="0" w:color="auto"/>
        <w:bottom w:val="none" w:sz="0" w:space="0" w:color="auto"/>
        <w:right w:val="none" w:sz="0" w:space="0" w:color="auto"/>
      </w:divBdr>
    </w:div>
    <w:div w:id="927613099">
      <w:bodyDiv w:val="1"/>
      <w:marLeft w:val="0"/>
      <w:marRight w:val="0"/>
      <w:marTop w:val="0"/>
      <w:marBottom w:val="0"/>
      <w:divBdr>
        <w:top w:val="none" w:sz="0" w:space="0" w:color="auto"/>
        <w:left w:val="none" w:sz="0" w:space="0" w:color="auto"/>
        <w:bottom w:val="none" w:sz="0" w:space="0" w:color="auto"/>
        <w:right w:val="none" w:sz="0" w:space="0" w:color="auto"/>
      </w:divBdr>
      <w:divsChild>
        <w:div w:id="421148130">
          <w:marLeft w:val="0"/>
          <w:marRight w:val="0"/>
          <w:marTop w:val="0"/>
          <w:marBottom w:val="0"/>
          <w:divBdr>
            <w:top w:val="none" w:sz="0" w:space="0" w:color="auto"/>
            <w:left w:val="none" w:sz="0" w:space="0" w:color="auto"/>
            <w:bottom w:val="none" w:sz="0" w:space="0" w:color="auto"/>
            <w:right w:val="none" w:sz="0" w:space="0" w:color="auto"/>
          </w:divBdr>
        </w:div>
      </w:divsChild>
    </w:div>
    <w:div w:id="933436194">
      <w:bodyDiv w:val="1"/>
      <w:marLeft w:val="0"/>
      <w:marRight w:val="0"/>
      <w:marTop w:val="0"/>
      <w:marBottom w:val="0"/>
      <w:divBdr>
        <w:top w:val="none" w:sz="0" w:space="0" w:color="auto"/>
        <w:left w:val="none" w:sz="0" w:space="0" w:color="auto"/>
        <w:bottom w:val="none" w:sz="0" w:space="0" w:color="auto"/>
        <w:right w:val="none" w:sz="0" w:space="0" w:color="auto"/>
      </w:divBdr>
    </w:div>
    <w:div w:id="936207245">
      <w:bodyDiv w:val="1"/>
      <w:marLeft w:val="0"/>
      <w:marRight w:val="0"/>
      <w:marTop w:val="0"/>
      <w:marBottom w:val="0"/>
      <w:divBdr>
        <w:top w:val="none" w:sz="0" w:space="0" w:color="auto"/>
        <w:left w:val="none" w:sz="0" w:space="0" w:color="auto"/>
        <w:bottom w:val="none" w:sz="0" w:space="0" w:color="auto"/>
        <w:right w:val="none" w:sz="0" w:space="0" w:color="auto"/>
      </w:divBdr>
    </w:div>
    <w:div w:id="943727469">
      <w:bodyDiv w:val="1"/>
      <w:marLeft w:val="0"/>
      <w:marRight w:val="0"/>
      <w:marTop w:val="0"/>
      <w:marBottom w:val="0"/>
      <w:divBdr>
        <w:top w:val="none" w:sz="0" w:space="0" w:color="auto"/>
        <w:left w:val="none" w:sz="0" w:space="0" w:color="auto"/>
        <w:bottom w:val="none" w:sz="0" w:space="0" w:color="auto"/>
        <w:right w:val="none" w:sz="0" w:space="0" w:color="auto"/>
      </w:divBdr>
    </w:div>
    <w:div w:id="957029123">
      <w:bodyDiv w:val="1"/>
      <w:marLeft w:val="0"/>
      <w:marRight w:val="0"/>
      <w:marTop w:val="0"/>
      <w:marBottom w:val="0"/>
      <w:divBdr>
        <w:top w:val="none" w:sz="0" w:space="0" w:color="auto"/>
        <w:left w:val="none" w:sz="0" w:space="0" w:color="auto"/>
        <w:bottom w:val="none" w:sz="0" w:space="0" w:color="auto"/>
        <w:right w:val="none" w:sz="0" w:space="0" w:color="auto"/>
      </w:divBdr>
    </w:div>
    <w:div w:id="977221376">
      <w:bodyDiv w:val="1"/>
      <w:marLeft w:val="0"/>
      <w:marRight w:val="0"/>
      <w:marTop w:val="0"/>
      <w:marBottom w:val="0"/>
      <w:divBdr>
        <w:top w:val="none" w:sz="0" w:space="0" w:color="auto"/>
        <w:left w:val="none" w:sz="0" w:space="0" w:color="auto"/>
        <w:bottom w:val="none" w:sz="0" w:space="0" w:color="auto"/>
        <w:right w:val="none" w:sz="0" w:space="0" w:color="auto"/>
      </w:divBdr>
    </w:div>
    <w:div w:id="983582393">
      <w:bodyDiv w:val="1"/>
      <w:marLeft w:val="0"/>
      <w:marRight w:val="0"/>
      <w:marTop w:val="0"/>
      <w:marBottom w:val="0"/>
      <w:divBdr>
        <w:top w:val="none" w:sz="0" w:space="0" w:color="auto"/>
        <w:left w:val="none" w:sz="0" w:space="0" w:color="auto"/>
        <w:bottom w:val="none" w:sz="0" w:space="0" w:color="auto"/>
        <w:right w:val="none" w:sz="0" w:space="0" w:color="auto"/>
      </w:divBdr>
    </w:div>
    <w:div w:id="1017924504">
      <w:bodyDiv w:val="1"/>
      <w:marLeft w:val="0"/>
      <w:marRight w:val="0"/>
      <w:marTop w:val="0"/>
      <w:marBottom w:val="0"/>
      <w:divBdr>
        <w:top w:val="none" w:sz="0" w:space="0" w:color="auto"/>
        <w:left w:val="none" w:sz="0" w:space="0" w:color="auto"/>
        <w:bottom w:val="none" w:sz="0" w:space="0" w:color="auto"/>
        <w:right w:val="none" w:sz="0" w:space="0" w:color="auto"/>
      </w:divBdr>
    </w:div>
    <w:div w:id="1021542376">
      <w:bodyDiv w:val="1"/>
      <w:marLeft w:val="0"/>
      <w:marRight w:val="0"/>
      <w:marTop w:val="0"/>
      <w:marBottom w:val="0"/>
      <w:divBdr>
        <w:top w:val="none" w:sz="0" w:space="0" w:color="auto"/>
        <w:left w:val="none" w:sz="0" w:space="0" w:color="auto"/>
        <w:bottom w:val="none" w:sz="0" w:space="0" w:color="auto"/>
        <w:right w:val="none" w:sz="0" w:space="0" w:color="auto"/>
      </w:divBdr>
    </w:div>
    <w:div w:id="1027829207">
      <w:bodyDiv w:val="1"/>
      <w:marLeft w:val="0"/>
      <w:marRight w:val="0"/>
      <w:marTop w:val="0"/>
      <w:marBottom w:val="0"/>
      <w:divBdr>
        <w:top w:val="none" w:sz="0" w:space="0" w:color="auto"/>
        <w:left w:val="none" w:sz="0" w:space="0" w:color="auto"/>
        <w:bottom w:val="none" w:sz="0" w:space="0" w:color="auto"/>
        <w:right w:val="none" w:sz="0" w:space="0" w:color="auto"/>
      </w:divBdr>
    </w:div>
    <w:div w:id="1047534802">
      <w:bodyDiv w:val="1"/>
      <w:marLeft w:val="0"/>
      <w:marRight w:val="0"/>
      <w:marTop w:val="0"/>
      <w:marBottom w:val="0"/>
      <w:divBdr>
        <w:top w:val="none" w:sz="0" w:space="0" w:color="auto"/>
        <w:left w:val="none" w:sz="0" w:space="0" w:color="auto"/>
        <w:bottom w:val="none" w:sz="0" w:space="0" w:color="auto"/>
        <w:right w:val="none" w:sz="0" w:space="0" w:color="auto"/>
      </w:divBdr>
    </w:div>
    <w:div w:id="1094860505">
      <w:bodyDiv w:val="1"/>
      <w:marLeft w:val="0"/>
      <w:marRight w:val="0"/>
      <w:marTop w:val="0"/>
      <w:marBottom w:val="0"/>
      <w:divBdr>
        <w:top w:val="none" w:sz="0" w:space="0" w:color="auto"/>
        <w:left w:val="none" w:sz="0" w:space="0" w:color="auto"/>
        <w:bottom w:val="none" w:sz="0" w:space="0" w:color="auto"/>
        <w:right w:val="none" w:sz="0" w:space="0" w:color="auto"/>
      </w:divBdr>
      <w:divsChild>
        <w:div w:id="2094158952">
          <w:marLeft w:val="0"/>
          <w:marRight w:val="0"/>
          <w:marTop w:val="0"/>
          <w:marBottom w:val="0"/>
          <w:divBdr>
            <w:top w:val="none" w:sz="0" w:space="0" w:color="auto"/>
            <w:left w:val="none" w:sz="0" w:space="0" w:color="auto"/>
            <w:bottom w:val="none" w:sz="0" w:space="0" w:color="auto"/>
            <w:right w:val="none" w:sz="0" w:space="0" w:color="auto"/>
          </w:divBdr>
          <w:divsChild>
            <w:div w:id="184886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7578">
      <w:bodyDiv w:val="1"/>
      <w:marLeft w:val="0"/>
      <w:marRight w:val="0"/>
      <w:marTop w:val="0"/>
      <w:marBottom w:val="0"/>
      <w:divBdr>
        <w:top w:val="none" w:sz="0" w:space="0" w:color="auto"/>
        <w:left w:val="none" w:sz="0" w:space="0" w:color="auto"/>
        <w:bottom w:val="none" w:sz="0" w:space="0" w:color="auto"/>
        <w:right w:val="none" w:sz="0" w:space="0" w:color="auto"/>
      </w:divBdr>
      <w:divsChild>
        <w:div w:id="11690546">
          <w:marLeft w:val="0"/>
          <w:marRight w:val="0"/>
          <w:marTop w:val="0"/>
          <w:marBottom w:val="0"/>
          <w:divBdr>
            <w:top w:val="none" w:sz="0" w:space="0" w:color="auto"/>
            <w:left w:val="none" w:sz="0" w:space="0" w:color="auto"/>
            <w:bottom w:val="none" w:sz="0" w:space="0" w:color="auto"/>
            <w:right w:val="none" w:sz="0" w:space="0" w:color="auto"/>
          </w:divBdr>
          <w:divsChild>
            <w:div w:id="1775980583">
              <w:marLeft w:val="0"/>
              <w:marRight w:val="0"/>
              <w:marTop w:val="0"/>
              <w:marBottom w:val="0"/>
              <w:divBdr>
                <w:top w:val="none" w:sz="0" w:space="0" w:color="auto"/>
                <w:left w:val="none" w:sz="0" w:space="0" w:color="auto"/>
                <w:bottom w:val="none" w:sz="0" w:space="0" w:color="auto"/>
                <w:right w:val="none" w:sz="0" w:space="0" w:color="auto"/>
              </w:divBdr>
              <w:divsChild>
                <w:div w:id="1088112521">
                  <w:marLeft w:val="0"/>
                  <w:marRight w:val="0"/>
                  <w:marTop w:val="0"/>
                  <w:marBottom w:val="0"/>
                  <w:divBdr>
                    <w:top w:val="none" w:sz="0" w:space="0" w:color="auto"/>
                    <w:left w:val="none" w:sz="0" w:space="0" w:color="auto"/>
                    <w:bottom w:val="none" w:sz="0" w:space="0" w:color="auto"/>
                    <w:right w:val="none" w:sz="0" w:space="0" w:color="auto"/>
                  </w:divBdr>
                  <w:divsChild>
                    <w:div w:id="2132894265">
                      <w:marLeft w:val="0"/>
                      <w:marRight w:val="0"/>
                      <w:marTop w:val="0"/>
                      <w:marBottom w:val="0"/>
                      <w:divBdr>
                        <w:top w:val="none" w:sz="0" w:space="0" w:color="auto"/>
                        <w:left w:val="none" w:sz="0" w:space="0" w:color="auto"/>
                        <w:bottom w:val="none" w:sz="0" w:space="0" w:color="auto"/>
                        <w:right w:val="none" w:sz="0" w:space="0" w:color="auto"/>
                      </w:divBdr>
                      <w:divsChild>
                        <w:div w:id="1081638277">
                          <w:marLeft w:val="0"/>
                          <w:marRight w:val="0"/>
                          <w:marTop w:val="0"/>
                          <w:marBottom w:val="0"/>
                          <w:divBdr>
                            <w:top w:val="none" w:sz="0" w:space="0" w:color="auto"/>
                            <w:left w:val="none" w:sz="0" w:space="0" w:color="auto"/>
                            <w:bottom w:val="none" w:sz="0" w:space="0" w:color="auto"/>
                            <w:right w:val="none" w:sz="0" w:space="0" w:color="auto"/>
                          </w:divBdr>
                          <w:divsChild>
                            <w:div w:id="859465570">
                              <w:marLeft w:val="0"/>
                              <w:marRight w:val="0"/>
                              <w:marTop w:val="0"/>
                              <w:marBottom w:val="0"/>
                              <w:divBdr>
                                <w:top w:val="none" w:sz="0" w:space="0" w:color="auto"/>
                                <w:left w:val="none" w:sz="0" w:space="0" w:color="auto"/>
                                <w:bottom w:val="none" w:sz="0" w:space="0" w:color="auto"/>
                                <w:right w:val="none" w:sz="0" w:space="0" w:color="auto"/>
                              </w:divBdr>
                              <w:divsChild>
                                <w:div w:id="69474143">
                                  <w:marLeft w:val="0"/>
                                  <w:marRight w:val="0"/>
                                  <w:marTop w:val="0"/>
                                  <w:marBottom w:val="0"/>
                                  <w:divBdr>
                                    <w:top w:val="none" w:sz="0" w:space="0" w:color="auto"/>
                                    <w:left w:val="none" w:sz="0" w:space="0" w:color="auto"/>
                                    <w:bottom w:val="none" w:sz="0" w:space="0" w:color="auto"/>
                                    <w:right w:val="none" w:sz="0" w:space="0" w:color="auto"/>
                                  </w:divBdr>
                                  <w:divsChild>
                                    <w:div w:id="1819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798429">
      <w:bodyDiv w:val="1"/>
      <w:marLeft w:val="0"/>
      <w:marRight w:val="0"/>
      <w:marTop w:val="0"/>
      <w:marBottom w:val="0"/>
      <w:divBdr>
        <w:top w:val="none" w:sz="0" w:space="0" w:color="auto"/>
        <w:left w:val="none" w:sz="0" w:space="0" w:color="auto"/>
        <w:bottom w:val="none" w:sz="0" w:space="0" w:color="auto"/>
        <w:right w:val="none" w:sz="0" w:space="0" w:color="auto"/>
      </w:divBdr>
    </w:div>
    <w:div w:id="1160384352">
      <w:bodyDiv w:val="1"/>
      <w:marLeft w:val="0"/>
      <w:marRight w:val="0"/>
      <w:marTop w:val="0"/>
      <w:marBottom w:val="0"/>
      <w:divBdr>
        <w:top w:val="none" w:sz="0" w:space="0" w:color="auto"/>
        <w:left w:val="none" w:sz="0" w:space="0" w:color="auto"/>
        <w:bottom w:val="none" w:sz="0" w:space="0" w:color="auto"/>
        <w:right w:val="none" w:sz="0" w:space="0" w:color="auto"/>
      </w:divBdr>
    </w:div>
    <w:div w:id="1175650542">
      <w:bodyDiv w:val="1"/>
      <w:marLeft w:val="0"/>
      <w:marRight w:val="0"/>
      <w:marTop w:val="0"/>
      <w:marBottom w:val="0"/>
      <w:divBdr>
        <w:top w:val="none" w:sz="0" w:space="0" w:color="auto"/>
        <w:left w:val="none" w:sz="0" w:space="0" w:color="auto"/>
        <w:bottom w:val="none" w:sz="0" w:space="0" w:color="auto"/>
        <w:right w:val="none" w:sz="0" w:space="0" w:color="auto"/>
      </w:divBdr>
    </w:div>
    <w:div w:id="1184981738">
      <w:bodyDiv w:val="1"/>
      <w:marLeft w:val="0"/>
      <w:marRight w:val="0"/>
      <w:marTop w:val="0"/>
      <w:marBottom w:val="0"/>
      <w:divBdr>
        <w:top w:val="none" w:sz="0" w:space="0" w:color="auto"/>
        <w:left w:val="none" w:sz="0" w:space="0" w:color="auto"/>
        <w:bottom w:val="none" w:sz="0" w:space="0" w:color="auto"/>
        <w:right w:val="none" w:sz="0" w:space="0" w:color="auto"/>
      </w:divBdr>
    </w:div>
    <w:div w:id="1187982933">
      <w:bodyDiv w:val="1"/>
      <w:marLeft w:val="0"/>
      <w:marRight w:val="0"/>
      <w:marTop w:val="0"/>
      <w:marBottom w:val="0"/>
      <w:divBdr>
        <w:top w:val="none" w:sz="0" w:space="0" w:color="auto"/>
        <w:left w:val="none" w:sz="0" w:space="0" w:color="auto"/>
        <w:bottom w:val="none" w:sz="0" w:space="0" w:color="auto"/>
        <w:right w:val="none" w:sz="0" w:space="0" w:color="auto"/>
      </w:divBdr>
      <w:divsChild>
        <w:div w:id="597178527">
          <w:marLeft w:val="0"/>
          <w:marRight w:val="0"/>
          <w:marTop w:val="0"/>
          <w:marBottom w:val="0"/>
          <w:divBdr>
            <w:top w:val="none" w:sz="0" w:space="0" w:color="auto"/>
            <w:left w:val="none" w:sz="0" w:space="0" w:color="auto"/>
            <w:bottom w:val="none" w:sz="0" w:space="0" w:color="auto"/>
            <w:right w:val="none" w:sz="0" w:space="0" w:color="auto"/>
          </w:divBdr>
        </w:div>
      </w:divsChild>
    </w:div>
    <w:div w:id="1196776818">
      <w:bodyDiv w:val="1"/>
      <w:marLeft w:val="0"/>
      <w:marRight w:val="0"/>
      <w:marTop w:val="0"/>
      <w:marBottom w:val="0"/>
      <w:divBdr>
        <w:top w:val="none" w:sz="0" w:space="0" w:color="auto"/>
        <w:left w:val="none" w:sz="0" w:space="0" w:color="auto"/>
        <w:bottom w:val="none" w:sz="0" w:space="0" w:color="auto"/>
        <w:right w:val="none" w:sz="0" w:space="0" w:color="auto"/>
      </w:divBdr>
    </w:div>
    <w:div w:id="1217744475">
      <w:bodyDiv w:val="1"/>
      <w:marLeft w:val="0"/>
      <w:marRight w:val="0"/>
      <w:marTop w:val="0"/>
      <w:marBottom w:val="0"/>
      <w:divBdr>
        <w:top w:val="none" w:sz="0" w:space="0" w:color="auto"/>
        <w:left w:val="none" w:sz="0" w:space="0" w:color="auto"/>
        <w:bottom w:val="none" w:sz="0" w:space="0" w:color="auto"/>
        <w:right w:val="none" w:sz="0" w:space="0" w:color="auto"/>
      </w:divBdr>
    </w:div>
    <w:div w:id="1219441072">
      <w:bodyDiv w:val="1"/>
      <w:marLeft w:val="0"/>
      <w:marRight w:val="0"/>
      <w:marTop w:val="0"/>
      <w:marBottom w:val="0"/>
      <w:divBdr>
        <w:top w:val="none" w:sz="0" w:space="0" w:color="auto"/>
        <w:left w:val="none" w:sz="0" w:space="0" w:color="auto"/>
        <w:bottom w:val="none" w:sz="0" w:space="0" w:color="auto"/>
        <w:right w:val="none" w:sz="0" w:space="0" w:color="auto"/>
      </w:divBdr>
      <w:divsChild>
        <w:div w:id="2027754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0694091">
      <w:bodyDiv w:val="1"/>
      <w:marLeft w:val="0"/>
      <w:marRight w:val="0"/>
      <w:marTop w:val="0"/>
      <w:marBottom w:val="0"/>
      <w:divBdr>
        <w:top w:val="none" w:sz="0" w:space="0" w:color="auto"/>
        <w:left w:val="none" w:sz="0" w:space="0" w:color="auto"/>
        <w:bottom w:val="none" w:sz="0" w:space="0" w:color="auto"/>
        <w:right w:val="none" w:sz="0" w:space="0" w:color="auto"/>
      </w:divBdr>
    </w:div>
    <w:div w:id="1253052125">
      <w:bodyDiv w:val="1"/>
      <w:marLeft w:val="0"/>
      <w:marRight w:val="0"/>
      <w:marTop w:val="0"/>
      <w:marBottom w:val="0"/>
      <w:divBdr>
        <w:top w:val="none" w:sz="0" w:space="0" w:color="auto"/>
        <w:left w:val="none" w:sz="0" w:space="0" w:color="auto"/>
        <w:bottom w:val="none" w:sz="0" w:space="0" w:color="auto"/>
        <w:right w:val="none" w:sz="0" w:space="0" w:color="auto"/>
      </w:divBdr>
      <w:divsChild>
        <w:div w:id="499466607">
          <w:marLeft w:val="0"/>
          <w:marRight w:val="0"/>
          <w:marTop w:val="0"/>
          <w:marBottom w:val="0"/>
          <w:divBdr>
            <w:top w:val="none" w:sz="0" w:space="0" w:color="auto"/>
            <w:left w:val="none" w:sz="0" w:space="0" w:color="auto"/>
            <w:bottom w:val="none" w:sz="0" w:space="0" w:color="auto"/>
            <w:right w:val="none" w:sz="0" w:space="0" w:color="auto"/>
          </w:divBdr>
          <w:divsChild>
            <w:div w:id="11206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7973">
      <w:bodyDiv w:val="1"/>
      <w:marLeft w:val="0"/>
      <w:marRight w:val="0"/>
      <w:marTop w:val="0"/>
      <w:marBottom w:val="0"/>
      <w:divBdr>
        <w:top w:val="none" w:sz="0" w:space="0" w:color="auto"/>
        <w:left w:val="none" w:sz="0" w:space="0" w:color="auto"/>
        <w:bottom w:val="none" w:sz="0" w:space="0" w:color="auto"/>
        <w:right w:val="none" w:sz="0" w:space="0" w:color="auto"/>
      </w:divBdr>
      <w:divsChild>
        <w:div w:id="1789813412">
          <w:marLeft w:val="0"/>
          <w:marRight w:val="0"/>
          <w:marTop w:val="0"/>
          <w:marBottom w:val="0"/>
          <w:divBdr>
            <w:top w:val="none" w:sz="0" w:space="0" w:color="auto"/>
            <w:left w:val="none" w:sz="0" w:space="0" w:color="auto"/>
            <w:bottom w:val="none" w:sz="0" w:space="0" w:color="auto"/>
            <w:right w:val="none" w:sz="0" w:space="0" w:color="auto"/>
          </w:divBdr>
        </w:div>
      </w:divsChild>
    </w:div>
    <w:div w:id="1270090232">
      <w:bodyDiv w:val="1"/>
      <w:marLeft w:val="0"/>
      <w:marRight w:val="0"/>
      <w:marTop w:val="0"/>
      <w:marBottom w:val="0"/>
      <w:divBdr>
        <w:top w:val="none" w:sz="0" w:space="0" w:color="auto"/>
        <w:left w:val="none" w:sz="0" w:space="0" w:color="auto"/>
        <w:bottom w:val="none" w:sz="0" w:space="0" w:color="auto"/>
        <w:right w:val="none" w:sz="0" w:space="0" w:color="auto"/>
      </w:divBdr>
      <w:divsChild>
        <w:div w:id="1617757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34977">
      <w:bodyDiv w:val="1"/>
      <w:marLeft w:val="0"/>
      <w:marRight w:val="0"/>
      <w:marTop w:val="0"/>
      <w:marBottom w:val="0"/>
      <w:divBdr>
        <w:top w:val="none" w:sz="0" w:space="0" w:color="auto"/>
        <w:left w:val="none" w:sz="0" w:space="0" w:color="auto"/>
        <w:bottom w:val="none" w:sz="0" w:space="0" w:color="auto"/>
        <w:right w:val="none" w:sz="0" w:space="0" w:color="auto"/>
      </w:divBdr>
    </w:div>
    <w:div w:id="1279331273">
      <w:bodyDiv w:val="1"/>
      <w:marLeft w:val="0"/>
      <w:marRight w:val="0"/>
      <w:marTop w:val="0"/>
      <w:marBottom w:val="0"/>
      <w:divBdr>
        <w:top w:val="none" w:sz="0" w:space="0" w:color="auto"/>
        <w:left w:val="none" w:sz="0" w:space="0" w:color="auto"/>
        <w:bottom w:val="none" w:sz="0" w:space="0" w:color="auto"/>
        <w:right w:val="none" w:sz="0" w:space="0" w:color="auto"/>
      </w:divBdr>
    </w:div>
    <w:div w:id="1283541121">
      <w:bodyDiv w:val="1"/>
      <w:marLeft w:val="0"/>
      <w:marRight w:val="0"/>
      <w:marTop w:val="0"/>
      <w:marBottom w:val="0"/>
      <w:divBdr>
        <w:top w:val="none" w:sz="0" w:space="0" w:color="auto"/>
        <w:left w:val="none" w:sz="0" w:space="0" w:color="auto"/>
        <w:bottom w:val="none" w:sz="0" w:space="0" w:color="auto"/>
        <w:right w:val="none" w:sz="0" w:space="0" w:color="auto"/>
      </w:divBdr>
    </w:div>
    <w:div w:id="1296989605">
      <w:bodyDiv w:val="1"/>
      <w:marLeft w:val="0"/>
      <w:marRight w:val="0"/>
      <w:marTop w:val="0"/>
      <w:marBottom w:val="0"/>
      <w:divBdr>
        <w:top w:val="none" w:sz="0" w:space="0" w:color="auto"/>
        <w:left w:val="none" w:sz="0" w:space="0" w:color="auto"/>
        <w:bottom w:val="none" w:sz="0" w:space="0" w:color="auto"/>
        <w:right w:val="none" w:sz="0" w:space="0" w:color="auto"/>
      </w:divBdr>
    </w:div>
    <w:div w:id="1298534679">
      <w:bodyDiv w:val="1"/>
      <w:marLeft w:val="0"/>
      <w:marRight w:val="0"/>
      <w:marTop w:val="0"/>
      <w:marBottom w:val="0"/>
      <w:divBdr>
        <w:top w:val="none" w:sz="0" w:space="0" w:color="auto"/>
        <w:left w:val="none" w:sz="0" w:space="0" w:color="auto"/>
        <w:bottom w:val="none" w:sz="0" w:space="0" w:color="auto"/>
        <w:right w:val="none" w:sz="0" w:space="0" w:color="auto"/>
      </w:divBdr>
    </w:div>
    <w:div w:id="1316183840">
      <w:bodyDiv w:val="1"/>
      <w:marLeft w:val="0"/>
      <w:marRight w:val="0"/>
      <w:marTop w:val="0"/>
      <w:marBottom w:val="0"/>
      <w:divBdr>
        <w:top w:val="none" w:sz="0" w:space="0" w:color="auto"/>
        <w:left w:val="none" w:sz="0" w:space="0" w:color="auto"/>
        <w:bottom w:val="none" w:sz="0" w:space="0" w:color="auto"/>
        <w:right w:val="none" w:sz="0" w:space="0" w:color="auto"/>
      </w:divBdr>
    </w:div>
    <w:div w:id="1318799413">
      <w:bodyDiv w:val="1"/>
      <w:marLeft w:val="0"/>
      <w:marRight w:val="0"/>
      <w:marTop w:val="0"/>
      <w:marBottom w:val="0"/>
      <w:divBdr>
        <w:top w:val="none" w:sz="0" w:space="0" w:color="auto"/>
        <w:left w:val="none" w:sz="0" w:space="0" w:color="auto"/>
        <w:bottom w:val="none" w:sz="0" w:space="0" w:color="auto"/>
        <w:right w:val="none" w:sz="0" w:space="0" w:color="auto"/>
      </w:divBdr>
    </w:div>
    <w:div w:id="1334262987">
      <w:bodyDiv w:val="1"/>
      <w:marLeft w:val="0"/>
      <w:marRight w:val="0"/>
      <w:marTop w:val="0"/>
      <w:marBottom w:val="0"/>
      <w:divBdr>
        <w:top w:val="none" w:sz="0" w:space="0" w:color="auto"/>
        <w:left w:val="none" w:sz="0" w:space="0" w:color="auto"/>
        <w:bottom w:val="none" w:sz="0" w:space="0" w:color="auto"/>
        <w:right w:val="none" w:sz="0" w:space="0" w:color="auto"/>
      </w:divBdr>
    </w:div>
    <w:div w:id="1339506913">
      <w:bodyDiv w:val="1"/>
      <w:marLeft w:val="0"/>
      <w:marRight w:val="0"/>
      <w:marTop w:val="0"/>
      <w:marBottom w:val="0"/>
      <w:divBdr>
        <w:top w:val="none" w:sz="0" w:space="0" w:color="auto"/>
        <w:left w:val="none" w:sz="0" w:space="0" w:color="auto"/>
        <w:bottom w:val="none" w:sz="0" w:space="0" w:color="auto"/>
        <w:right w:val="none" w:sz="0" w:space="0" w:color="auto"/>
      </w:divBdr>
      <w:divsChild>
        <w:div w:id="1672248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103017">
      <w:bodyDiv w:val="1"/>
      <w:marLeft w:val="0"/>
      <w:marRight w:val="0"/>
      <w:marTop w:val="0"/>
      <w:marBottom w:val="0"/>
      <w:divBdr>
        <w:top w:val="none" w:sz="0" w:space="0" w:color="auto"/>
        <w:left w:val="none" w:sz="0" w:space="0" w:color="auto"/>
        <w:bottom w:val="none" w:sz="0" w:space="0" w:color="auto"/>
        <w:right w:val="none" w:sz="0" w:space="0" w:color="auto"/>
      </w:divBdr>
      <w:divsChild>
        <w:div w:id="2064061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4571964">
      <w:bodyDiv w:val="1"/>
      <w:marLeft w:val="0"/>
      <w:marRight w:val="0"/>
      <w:marTop w:val="0"/>
      <w:marBottom w:val="0"/>
      <w:divBdr>
        <w:top w:val="none" w:sz="0" w:space="0" w:color="auto"/>
        <w:left w:val="none" w:sz="0" w:space="0" w:color="auto"/>
        <w:bottom w:val="none" w:sz="0" w:space="0" w:color="auto"/>
        <w:right w:val="none" w:sz="0" w:space="0" w:color="auto"/>
      </w:divBdr>
    </w:div>
    <w:div w:id="1360468161">
      <w:bodyDiv w:val="1"/>
      <w:marLeft w:val="0"/>
      <w:marRight w:val="0"/>
      <w:marTop w:val="0"/>
      <w:marBottom w:val="0"/>
      <w:divBdr>
        <w:top w:val="none" w:sz="0" w:space="0" w:color="auto"/>
        <w:left w:val="none" w:sz="0" w:space="0" w:color="auto"/>
        <w:bottom w:val="none" w:sz="0" w:space="0" w:color="auto"/>
        <w:right w:val="none" w:sz="0" w:space="0" w:color="auto"/>
      </w:divBdr>
    </w:div>
    <w:div w:id="1364133733">
      <w:bodyDiv w:val="1"/>
      <w:marLeft w:val="0"/>
      <w:marRight w:val="0"/>
      <w:marTop w:val="0"/>
      <w:marBottom w:val="0"/>
      <w:divBdr>
        <w:top w:val="none" w:sz="0" w:space="0" w:color="auto"/>
        <w:left w:val="none" w:sz="0" w:space="0" w:color="auto"/>
        <w:bottom w:val="none" w:sz="0" w:space="0" w:color="auto"/>
        <w:right w:val="none" w:sz="0" w:space="0" w:color="auto"/>
      </w:divBdr>
    </w:div>
    <w:div w:id="1364135447">
      <w:bodyDiv w:val="1"/>
      <w:marLeft w:val="0"/>
      <w:marRight w:val="0"/>
      <w:marTop w:val="0"/>
      <w:marBottom w:val="0"/>
      <w:divBdr>
        <w:top w:val="none" w:sz="0" w:space="0" w:color="auto"/>
        <w:left w:val="none" w:sz="0" w:space="0" w:color="auto"/>
        <w:bottom w:val="none" w:sz="0" w:space="0" w:color="auto"/>
        <w:right w:val="none" w:sz="0" w:space="0" w:color="auto"/>
      </w:divBdr>
    </w:div>
    <w:div w:id="1364137343">
      <w:bodyDiv w:val="1"/>
      <w:marLeft w:val="0"/>
      <w:marRight w:val="0"/>
      <w:marTop w:val="0"/>
      <w:marBottom w:val="0"/>
      <w:divBdr>
        <w:top w:val="none" w:sz="0" w:space="0" w:color="auto"/>
        <w:left w:val="none" w:sz="0" w:space="0" w:color="auto"/>
        <w:bottom w:val="none" w:sz="0" w:space="0" w:color="auto"/>
        <w:right w:val="none" w:sz="0" w:space="0" w:color="auto"/>
      </w:divBdr>
      <w:divsChild>
        <w:div w:id="1419987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9064022">
      <w:bodyDiv w:val="1"/>
      <w:marLeft w:val="0"/>
      <w:marRight w:val="0"/>
      <w:marTop w:val="0"/>
      <w:marBottom w:val="0"/>
      <w:divBdr>
        <w:top w:val="none" w:sz="0" w:space="0" w:color="auto"/>
        <w:left w:val="none" w:sz="0" w:space="0" w:color="auto"/>
        <w:bottom w:val="none" w:sz="0" w:space="0" w:color="auto"/>
        <w:right w:val="none" w:sz="0" w:space="0" w:color="auto"/>
      </w:divBdr>
    </w:div>
    <w:div w:id="1373994457">
      <w:bodyDiv w:val="1"/>
      <w:marLeft w:val="0"/>
      <w:marRight w:val="0"/>
      <w:marTop w:val="0"/>
      <w:marBottom w:val="0"/>
      <w:divBdr>
        <w:top w:val="none" w:sz="0" w:space="0" w:color="auto"/>
        <w:left w:val="none" w:sz="0" w:space="0" w:color="auto"/>
        <w:bottom w:val="none" w:sz="0" w:space="0" w:color="auto"/>
        <w:right w:val="none" w:sz="0" w:space="0" w:color="auto"/>
      </w:divBdr>
    </w:div>
    <w:div w:id="1401437603">
      <w:bodyDiv w:val="1"/>
      <w:marLeft w:val="0"/>
      <w:marRight w:val="0"/>
      <w:marTop w:val="0"/>
      <w:marBottom w:val="0"/>
      <w:divBdr>
        <w:top w:val="none" w:sz="0" w:space="0" w:color="auto"/>
        <w:left w:val="none" w:sz="0" w:space="0" w:color="auto"/>
        <w:bottom w:val="none" w:sz="0" w:space="0" w:color="auto"/>
        <w:right w:val="none" w:sz="0" w:space="0" w:color="auto"/>
      </w:divBdr>
    </w:div>
    <w:div w:id="1406414866">
      <w:bodyDiv w:val="1"/>
      <w:marLeft w:val="0"/>
      <w:marRight w:val="0"/>
      <w:marTop w:val="0"/>
      <w:marBottom w:val="0"/>
      <w:divBdr>
        <w:top w:val="none" w:sz="0" w:space="0" w:color="auto"/>
        <w:left w:val="none" w:sz="0" w:space="0" w:color="auto"/>
        <w:bottom w:val="none" w:sz="0" w:space="0" w:color="auto"/>
        <w:right w:val="none" w:sz="0" w:space="0" w:color="auto"/>
      </w:divBdr>
    </w:div>
    <w:div w:id="1415277441">
      <w:bodyDiv w:val="1"/>
      <w:marLeft w:val="0"/>
      <w:marRight w:val="0"/>
      <w:marTop w:val="0"/>
      <w:marBottom w:val="0"/>
      <w:divBdr>
        <w:top w:val="none" w:sz="0" w:space="0" w:color="auto"/>
        <w:left w:val="none" w:sz="0" w:space="0" w:color="auto"/>
        <w:bottom w:val="none" w:sz="0" w:space="0" w:color="auto"/>
        <w:right w:val="none" w:sz="0" w:space="0" w:color="auto"/>
      </w:divBdr>
    </w:div>
    <w:div w:id="1426000988">
      <w:bodyDiv w:val="1"/>
      <w:marLeft w:val="0"/>
      <w:marRight w:val="0"/>
      <w:marTop w:val="0"/>
      <w:marBottom w:val="0"/>
      <w:divBdr>
        <w:top w:val="none" w:sz="0" w:space="0" w:color="auto"/>
        <w:left w:val="none" w:sz="0" w:space="0" w:color="auto"/>
        <w:bottom w:val="none" w:sz="0" w:space="0" w:color="auto"/>
        <w:right w:val="none" w:sz="0" w:space="0" w:color="auto"/>
      </w:divBdr>
    </w:div>
    <w:div w:id="1427771125">
      <w:bodyDiv w:val="1"/>
      <w:marLeft w:val="0"/>
      <w:marRight w:val="0"/>
      <w:marTop w:val="0"/>
      <w:marBottom w:val="0"/>
      <w:divBdr>
        <w:top w:val="none" w:sz="0" w:space="0" w:color="auto"/>
        <w:left w:val="none" w:sz="0" w:space="0" w:color="auto"/>
        <w:bottom w:val="none" w:sz="0" w:space="0" w:color="auto"/>
        <w:right w:val="none" w:sz="0" w:space="0" w:color="auto"/>
      </w:divBdr>
      <w:divsChild>
        <w:div w:id="1226600481">
          <w:marLeft w:val="0"/>
          <w:marRight w:val="0"/>
          <w:marTop w:val="0"/>
          <w:marBottom w:val="0"/>
          <w:divBdr>
            <w:top w:val="none" w:sz="0" w:space="0" w:color="auto"/>
            <w:left w:val="none" w:sz="0" w:space="0" w:color="auto"/>
            <w:bottom w:val="none" w:sz="0" w:space="0" w:color="auto"/>
            <w:right w:val="none" w:sz="0" w:space="0" w:color="auto"/>
          </w:divBdr>
          <w:divsChild>
            <w:div w:id="1721828864">
              <w:marLeft w:val="0"/>
              <w:marRight w:val="0"/>
              <w:marTop w:val="0"/>
              <w:marBottom w:val="0"/>
              <w:divBdr>
                <w:top w:val="none" w:sz="0" w:space="0" w:color="auto"/>
                <w:left w:val="none" w:sz="0" w:space="0" w:color="auto"/>
                <w:bottom w:val="none" w:sz="0" w:space="0" w:color="auto"/>
                <w:right w:val="none" w:sz="0" w:space="0" w:color="auto"/>
              </w:divBdr>
              <w:divsChild>
                <w:div w:id="665674668">
                  <w:marLeft w:val="0"/>
                  <w:marRight w:val="0"/>
                  <w:marTop w:val="0"/>
                  <w:marBottom w:val="0"/>
                  <w:divBdr>
                    <w:top w:val="none" w:sz="0" w:space="0" w:color="auto"/>
                    <w:left w:val="none" w:sz="0" w:space="0" w:color="auto"/>
                    <w:bottom w:val="none" w:sz="0" w:space="0" w:color="auto"/>
                    <w:right w:val="none" w:sz="0" w:space="0" w:color="auto"/>
                  </w:divBdr>
                  <w:divsChild>
                    <w:div w:id="919867751">
                      <w:marLeft w:val="0"/>
                      <w:marRight w:val="0"/>
                      <w:marTop w:val="0"/>
                      <w:marBottom w:val="0"/>
                      <w:divBdr>
                        <w:top w:val="none" w:sz="0" w:space="0" w:color="auto"/>
                        <w:left w:val="none" w:sz="0" w:space="0" w:color="auto"/>
                        <w:bottom w:val="none" w:sz="0" w:space="0" w:color="auto"/>
                        <w:right w:val="none" w:sz="0" w:space="0" w:color="auto"/>
                      </w:divBdr>
                      <w:divsChild>
                        <w:div w:id="1327590052">
                          <w:marLeft w:val="0"/>
                          <w:marRight w:val="0"/>
                          <w:marTop w:val="0"/>
                          <w:marBottom w:val="0"/>
                          <w:divBdr>
                            <w:top w:val="none" w:sz="0" w:space="0" w:color="auto"/>
                            <w:left w:val="none" w:sz="0" w:space="0" w:color="auto"/>
                            <w:bottom w:val="none" w:sz="0" w:space="0" w:color="auto"/>
                            <w:right w:val="none" w:sz="0" w:space="0" w:color="auto"/>
                          </w:divBdr>
                          <w:divsChild>
                            <w:div w:id="2136216149">
                              <w:marLeft w:val="0"/>
                              <w:marRight w:val="0"/>
                              <w:marTop w:val="0"/>
                              <w:marBottom w:val="0"/>
                              <w:divBdr>
                                <w:top w:val="none" w:sz="0" w:space="0" w:color="auto"/>
                                <w:left w:val="none" w:sz="0" w:space="0" w:color="auto"/>
                                <w:bottom w:val="none" w:sz="0" w:space="0" w:color="auto"/>
                                <w:right w:val="none" w:sz="0" w:space="0" w:color="auto"/>
                              </w:divBdr>
                              <w:divsChild>
                                <w:div w:id="408355456">
                                  <w:marLeft w:val="0"/>
                                  <w:marRight w:val="0"/>
                                  <w:marTop w:val="0"/>
                                  <w:marBottom w:val="0"/>
                                  <w:divBdr>
                                    <w:top w:val="none" w:sz="0" w:space="0" w:color="auto"/>
                                    <w:left w:val="none" w:sz="0" w:space="0" w:color="auto"/>
                                    <w:bottom w:val="none" w:sz="0" w:space="0" w:color="auto"/>
                                    <w:right w:val="none" w:sz="0" w:space="0" w:color="auto"/>
                                  </w:divBdr>
                                  <w:divsChild>
                                    <w:div w:id="8546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275136">
      <w:bodyDiv w:val="1"/>
      <w:marLeft w:val="0"/>
      <w:marRight w:val="0"/>
      <w:marTop w:val="0"/>
      <w:marBottom w:val="0"/>
      <w:divBdr>
        <w:top w:val="none" w:sz="0" w:space="0" w:color="auto"/>
        <w:left w:val="none" w:sz="0" w:space="0" w:color="auto"/>
        <w:bottom w:val="none" w:sz="0" w:space="0" w:color="auto"/>
        <w:right w:val="none" w:sz="0" w:space="0" w:color="auto"/>
      </w:divBdr>
    </w:div>
    <w:div w:id="1478104947">
      <w:bodyDiv w:val="1"/>
      <w:marLeft w:val="0"/>
      <w:marRight w:val="0"/>
      <w:marTop w:val="0"/>
      <w:marBottom w:val="0"/>
      <w:divBdr>
        <w:top w:val="none" w:sz="0" w:space="0" w:color="auto"/>
        <w:left w:val="none" w:sz="0" w:space="0" w:color="auto"/>
        <w:bottom w:val="none" w:sz="0" w:space="0" w:color="auto"/>
        <w:right w:val="none" w:sz="0" w:space="0" w:color="auto"/>
      </w:divBdr>
    </w:div>
    <w:div w:id="1484156047">
      <w:bodyDiv w:val="1"/>
      <w:marLeft w:val="0"/>
      <w:marRight w:val="0"/>
      <w:marTop w:val="0"/>
      <w:marBottom w:val="0"/>
      <w:divBdr>
        <w:top w:val="none" w:sz="0" w:space="0" w:color="auto"/>
        <w:left w:val="none" w:sz="0" w:space="0" w:color="auto"/>
        <w:bottom w:val="none" w:sz="0" w:space="0" w:color="auto"/>
        <w:right w:val="none" w:sz="0" w:space="0" w:color="auto"/>
      </w:divBdr>
      <w:divsChild>
        <w:div w:id="1047877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355176">
      <w:bodyDiv w:val="1"/>
      <w:marLeft w:val="0"/>
      <w:marRight w:val="0"/>
      <w:marTop w:val="0"/>
      <w:marBottom w:val="0"/>
      <w:divBdr>
        <w:top w:val="none" w:sz="0" w:space="0" w:color="auto"/>
        <w:left w:val="none" w:sz="0" w:space="0" w:color="auto"/>
        <w:bottom w:val="none" w:sz="0" w:space="0" w:color="auto"/>
        <w:right w:val="none" w:sz="0" w:space="0" w:color="auto"/>
      </w:divBdr>
    </w:div>
    <w:div w:id="1529832093">
      <w:bodyDiv w:val="1"/>
      <w:marLeft w:val="0"/>
      <w:marRight w:val="0"/>
      <w:marTop w:val="0"/>
      <w:marBottom w:val="0"/>
      <w:divBdr>
        <w:top w:val="none" w:sz="0" w:space="0" w:color="auto"/>
        <w:left w:val="none" w:sz="0" w:space="0" w:color="auto"/>
        <w:bottom w:val="none" w:sz="0" w:space="0" w:color="auto"/>
        <w:right w:val="none" w:sz="0" w:space="0" w:color="auto"/>
      </w:divBdr>
    </w:div>
    <w:div w:id="1538228188">
      <w:bodyDiv w:val="1"/>
      <w:marLeft w:val="0"/>
      <w:marRight w:val="0"/>
      <w:marTop w:val="0"/>
      <w:marBottom w:val="0"/>
      <w:divBdr>
        <w:top w:val="none" w:sz="0" w:space="0" w:color="auto"/>
        <w:left w:val="none" w:sz="0" w:space="0" w:color="auto"/>
        <w:bottom w:val="none" w:sz="0" w:space="0" w:color="auto"/>
        <w:right w:val="none" w:sz="0" w:space="0" w:color="auto"/>
      </w:divBdr>
      <w:divsChild>
        <w:div w:id="429398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789716">
      <w:bodyDiv w:val="1"/>
      <w:marLeft w:val="0"/>
      <w:marRight w:val="0"/>
      <w:marTop w:val="0"/>
      <w:marBottom w:val="0"/>
      <w:divBdr>
        <w:top w:val="none" w:sz="0" w:space="0" w:color="auto"/>
        <w:left w:val="none" w:sz="0" w:space="0" w:color="auto"/>
        <w:bottom w:val="none" w:sz="0" w:space="0" w:color="auto"/>
        <w:right w:val="none" w:sz="0" w:space="0" w:color="auto"/>
      </w:divBdr>
      <w:divsChild>
        <w:div w:id="532039879">
          <w:marLeft w:val="0"/>
          <w:marRight w:val="0"/>
          <w:marTop w:val="0"/>
          <w:marBottom w:val="120"/>
          <w:divBdr>
            <w:top w:val="none" w:sz="0" w:space="0" w:color="auto"/>
            <w:left w:val="none" w:sz="0" w:space="0" w:color="auto"/>
            <w:bottom w:val="none" w:sz="0" w:space="0" w:color="auto"/>
            <w:right w:val="none" w:sz="0" w:space="0" w:color="auto"/>
          </w:divBdr>
        </w:div>
      </w:divsChild>
    </w:div>
    <w:div w:id="1563322472">
      <w:bodyDiv w:val="1"/>
      <w:marLeft w:val="0"/>
      <w:marRight w:val="0"/>
      <w:marTop w:val="0"/>
      <w:marBottom w:val="0"/>
      <w:divBdr>
        <w:top w:val="none" w:sz="0" w:space="0" w:color="auto"/>
        <w:left w:val="none" w:sz="0" w:space="0" w:color="auto"/>
        <w:bottom w:val="none" w:sz="0" w:space="0" w:color="auto"/>
        <w:right w:val="none" w:sz="0" w:space="0" w:color="auto"/>
      </w:divBdr>
      <w:divsChild>
        <w:div w:id="782966415">
          <w:marLeft w:val="0"/>
          <w:marRight w:val="0"/>
          <w:marTop w:val="0"/>
          <w:marBottom w:val="0"/>
          <w:divBdr>
            <w:top w:val="none" w:sz="0" w:space="0" w:color="auto"/>
            <w:left w:val="none" w:sz="0" w:space="0" w:color="auto"/>
            <w:bottom w:val="none" w:sz="0" w:space="0" w:color="auto"/>
            <w:right w:val="none" w:sz="0" w:space="0" w:color="auto"/>
          </w:divBdr>
          <w:divsChild>
            <w:div w:id="438181397">
              <w:marLeft w:val="0"/>
              <w:marRight w:val="0"/>
              <w:marTop w:val="0"/>
              <w:marBottom w:val="0"/>
              <w:divBdr>
                <w:top w:val="none" w:sz="0" w:space="0" w:color="auto"/>
                <w:left w:val="none" w:sz="0" w:space="0" w:color="auto"/>
                <w:bottom w:val="none" w:sz="0" w:space="0" w:color="auto"/>
                <w:right w:val="none" w:sz="0" w:space="0" w:color="auto"/>
              </w:divBdr>
              <w:divsChild>
                <w:div w:id="1612669256">
                  <w:marLeft w:val="0"/>
                  <w:marRight w:val="0"/>
                  <w:marTop w:val="0"/>
                  <w:marBottom w:val="0"/>
                  <w:divBdr>
                    <w:top w:val="none" w:sz="0" w:space="0" w:color="auto"/>
                    <w:left w:val="none" w:sz="0" w:space="0" w:color="auto"/>
                    <w:bottom w:val="none" w:sz="0" w:space="0" w:color="auto"/>
                    <w:right w:val="none" w:sz="0" w:space="0" w:color="auto"/>
                  </w:divBdr>
                  <w:divsChild>
                    <w:div w:id="1250772342">
                      <w:marLeft w:val="0"/>
                      <w:marRight w:val="0"/>
                      <w:marTop w:val="0"/>
                      <w:marBottom w:val="0"/>
                      <w:divBdr>
                        <w:top w:val="none" w:sz="0" w:space="0" w:color="auto"/>
                        <w:left w:val="none" w:sz="0" w:space="0" w:color="auto"/>
                        <w:bottom w:val="none" w:sz="0" w:space="0" w:color="auto"/>
                        <w:right w:val="none" w:sz="0" w:space="0" w:color="auto"/>
                      </w:divBdr>
                      <w:divsChild>
                        <w:div w:id="934703854">
                          <w:marLeft w:val="0"/>
                          <w:marRight w:val="0"/>
                          <w:marTop w:val="0"/>
                          <w:marBottom w:val="0"/>
                          <w:divBdr>
                            <w:top w:val="none" w:sz="0" w:space="0" w:color="auto"/>
                            <w:left w:val="none" w:sz="0" w:space="0" w:color="auto"/>
                            <w:bottom w:val="none" w:sz="0" w:space="0" w:color="auto"/>
                            <w:right w:val="none" w:sz="0" w:space="0" w:color="auto"/>
                          </w:divBdr>
                          <w:divsChild>
                            <w:div w:id="890653205">
                              <w:marLeft w:val="0"/>
                              <w:marRight w:val="0"/>
                              <w:marTop w:val="0"/>
                              <w:marBottom w:val="0"/>
                              <w:divBdr>
                                <w:top w:val="none" w:sz="0" w:space="0" w:color="auto"/>
                                <w:left w:val="none" w:sz="0" w:space="0" w:color="auto"/>
                                <w:bottom w:val="none" w:sz="0" w:space="0" w:color="auto"/>
                                <w:right w:val="none" w:sz="0" w:space="0" w:color="auto"/>
                              </w:divBdr>
                              <w:divsChild>
                                <w:div w:id="973558030">
                                  <w:marLeft w:val="0"/>
                                  <w:marRight w:val="0"/>
                                  <w:marTop w:val="0"/>
                                  <w:marBottom w:val="0"/>
                                  <w:divBdr>
                                    <w:top w:val="none" w:sz="0" w:space="0" w:color="auto"/>
                                    <w:left w:val="none" w:sz="0" w:space="0" w:color="auto"/>
                                    <w:bottom w:val="none" w:sz="0" w:space="0" w:color="auto"/>
                                    <w:right w:val="none" w:sz="0" w:space="0" w:color="auto"/>
                                  </w:divBdr>
                                  <w:divsChild>
                                    <w:div w:id="63860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489645">
      <w:bodyDiv w:val="1"/>
      <w:marLeft w:val="0"/>
      <w:marRight w:val="0"/>
      <w:marTop w:val="0"/>
      <w:marBottom w:val="0"/>
      <w:divBdr>
        <w:top w:val="none" w:sz="0" w:space="0" w:color="auto"/>
        <w:left w:val="none" w:sz="0" w:space="0" w:color="auto"/>
        <w:bottom w:val="none" w:sz="0" w:space="0" w:color="auto"/>
        <w:right w:val="none" w:sz="0" w:space="0" w:color="auto"/>
      </w:divBdr>
    </w:div>
    <w:div w:id="1572346770">
      <w:bodyDiv w:val="1"/>
      <w:marLeft w:val="0"/>
      <w:marRight w:val="0"/>
      <w:marTop w:val="0"/>
      <w:marBottom w:val="0"/>
      <w:divBdr>
        <w:top w:val="none" w:sz="0" w:space="0" w:color="auto"/>
        <w:left w:val="none" w:sz="0" w:space="0" w:color="auto"/>
        <w:bottom w:val="none" w:sz="0" w:space="0" w:color="auto"/>
        <w:right w:val="none" w:sz="0" w:space="0" w:color="auto"/>
      </w:divBdr>
    </w:div>
    <w:div w:id="1579898311">
      <w:bodyDiv w:val="1"/>
      <w:marLeft w:val="0"/>
      <w:marRight w:val="0"/>
      <w:marTop w:val="0"/>
      <w:marBottom w:val="0"/>
      <w:divBdr>
        <w:top w:val="none" w:sz="0" w:space="0" w:color="auto"/>
        <w:left w:val="none" w:sz="0" w:space="0" w:color="auto"/>
        <w:bottom w:val="none" w:sz="0" w:space="0" w:color="auto"/>
        <w:right w:val="none" w:sz="0" w:space="0" w:color="auto"/>
      </w:divBdr>
    </w:div>
    <w:div w:id="1585413875">
      <w:bodyDiv w:val="1"/>
      <w:marLeft w:val="0"/>
      <w:marRight w:val="0"/>
      <w:marTop w:val="0"/>
      <w:marBottom w:val="0"/>
      <w:divBdr>
        <w:top w:val="none" w:sz="0" w:space="0" w:color="auto"/>
        <w:left w:val="none" w:sz="0" w:space="0" w:color="auto"/>
        <w:bottom w:val="none" w:sz="0" w:space="0" w:color="auto"/>
        <w:right w:val="none" w:sz="0" w:space="0" w:color="auto"/>
      </w:divBdr>
    </w:div>
    <w:div w:id="1586838903">
      <w:bodyDiv w:val="1"/>
      <w:marLeft w:val="0"/>
      <w:marRight w:val="0"/>
      <w:marTop w:val="0"/>
      <w:marBottom w:val="0"/>
      <w:divBdr>
        <w:top w:val="none" w:sz="0" w:space="0" w:color="auto"/>
        <w:left w:val="none" w:sz="0" w:space="0" w:color="auto"/>
        <w:bottom w:val="none" w:sz="0" w:space="0" w:color="auto"/>
        <w:right w:val="none" w:sz="0" w:space="0" w:color="auto"/>
      </w:divBdr>
      <w:divsChild>
        <w:div w:id="234702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1619100">
      <w:bodyDiv w:val="1"/>
      <w:marLeft w:val="0"/>
      <w:marRight w:val="0"/>
      <w:marTop w:val="0"/>
      <w:marBottom w:val="0"/>
      <w:divBdr>
        <w:top w:val="none" w:sz="0" w:space="0" w:color="auto"/>
        <w:left w:val="none" w:sz="0" w:space="0" w:color="auto"/>
        <w:bottom w:val="none" w:sz="0" w:space="0" w:color="auto"/>
        <w:right w:val="none" w:sz="0" w:space="0" w:color="auto"/>
      </w:divBdr>
    </w:div>
    <w:div w:id="1603415652">
      <w:bodyDiv w:val="1"/>
      <w:marLeft w:val="0"/>
      <w:marRight w:val="0"/>
      <w:marTop w:val="0"/>
      <w:marBottom w:val="0"/>
      <w:divBdr>
        <w:top w:val="none" w:sz="0" w:space="0" w:color="auto"/>
        <w:left w:val="none" w:sz="0" w:space="0" w:color="auto"/>
        <w:bottom w:val="none" w:sz="0" w:space="0" w:color="auto"/>
        <w:right w:val="none" w:sz="0" w:space="0" w:color="auto"/>
      </w:divBdr>
    </w:div>
    <w:div w:id="1611934900">
      <w:bodyDiv w:val="1"/>
      <w:marLeft w:val="0"/>
      <w:marRight w:val="0"/>
      <w:marTop w:val="0"/>
      <w:marBottom w:val="0"/>
      <w:divBdr>
        <w:top w:val="none" w:sz="0" w:space="0" w:color="auto"/>
        <w:left w:val="none" w:sz="0" w:space="0" w:color="auto"/>
        <w:bottom w:val="none" w:sz="0" w:space="0" w:color="auto"/>
        <w:right w:val="none" w:sz="0" w:space="0" w:color="auto"/>
      </w:divBdr>
    </w:div>
    <w:div w:id="1613511833">
      <w:bodyDiv w:val="1"/>
      <w:marLeft w:val="0"/>
      <w:marRight w:val="0"/>
      <w:marTop w:val="0"/>
      <w:marBottom w:val="0"/>
      <w:divBdr>
        <w:top w:val="none" w:sz="0" w:space="0" w:color="auto"/>
        <w:left w:val="none" w:sz="0" w:space="0" w:color="auto"/>
        <w:bottom w:val="none" w:sz="0" w:space="0" w:color="auto"/>
        <w:right w:val="none" w:sz="0" w:space="0" w:color="auto"/>
      </w:divBdr>
      <w:divsChild>
        <w:div w:id="280452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820014">
      <w:bodyDiv w:val="1"/>
      <w:marLeft w:val="0"/>
      <w:marRight w:val="0"/>
      <w:marTop w:val="0"/>
      <w:marBottom w:val="0"/>
      <w:divBdr>
        <w:top w:val="none" w:sz="0" w:space="0" w:color="auto"/>
        <w:left w:val="none" w:sz="0" w:space="0" w:color="auto"/>
        <w:bottom w:val="none" w:sz="0" w:space="0" w:color="auto"/>
        <w:right w:val="none" w:sz="0" w:space="0" w:color="auto"/>
      </w:divBdr>
      <w:divsChild>
        <w:div w:id="1913923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128933">
      <w:bodyDiv w:val="1"/>
      <w:marLeft w:val="0"/>
      <w:marRight w:val="0"/>
      <w:marTop w:val="0"/>
      <w:marBottom w:val="0"/>
      <w:divBdr>
        <w:top w:val="none" w:sz="0" w:space="0" w:color="auto"/>
        <w:left w:val="none" w:sz="0" w:space="0" w:color="auto"/>
        <w:bottom w:val="none" w:sz="0" w:space="0" w:color="auto"/>
        <w:right w:val="none" w:sz="0" w:space="0" w:color="auto"/>
      </w:divBdr>
    </w:div>
    <w:div w:id="1656257061">
      <w:bodyDiv w:val="1"/>
      <w:marLeft w:val="0"/>
      <w:marRight w:val="0"/>
      <w:marTop w:val="0"/>
      <w:marBottom w:val="0"/>
      <w:divBdr>
        <w:top w:val="none" w:sz="0" w:space="0" w:color="auto"/>
        <w:left w:val="none" w:sz="0" w:space="0" w:color="auto"/>
        <w:bottom w:val="none" w:sz="0" w:space="0" w:color="auto"/>
        <w:right w:val="none" w:sz="0" w:space="0" w:color="auto"/>
      </w:divBdr>
      <w:divsChild>
        <w:div w:id="275067901">
          <w:marLeft w:val="0"/>
          <w:marRight w:val="0"/>
          <w:marTop w:val="0"/>
          <w:marBottom w:val="0"/>
          <w:divBdr>
            <w:top w:val="none" w:sz="0" w:space="0" w:color="auto"/>
            <w:left w:val="none" w:sz="0" w:space="0" w:color="auto"/>
            <w:bottom w:val="none" w:sz="0" w:space="0" w:color="auto"/>
            <w:right w:val="none" w:sz="0" w:space="0" w:color="auto"/>
          </w:divBdr>
        </w:div>
      </w:divsChild>
    </w:div>
    <w:div w:id="1666081322">
      <w:bodyDiv w:val="1"/>
      <w:marLeft w:val="0"/>
      <w:marRight w:val="0"/>
      <w:marTop w:val="0"/>
      <w:marBottom w:val="0"/>
      <w:divBdr>
        <w:top w:val="none" w:sz="0" w:space="0" w:color="auto"/>
        <w:left w:val="none" w:sz="0" w:space="0" w:color="auto"/>
        <w:bottom w:val="none" w:sz="0" w:space="0" w:color="auto"/>
        <w:right w:val="none" w:sz="0" w:space="0" w:color="auto"/>
      </w:divBdr>
      <w:divsChild>
        <w:div w:id="1007948310">
          <w:marLeft w:val="0"/>
          <w:marRight w:val="0"/>
          <w:marTop w:val="0"/>
          <w:marBottom w:val="0"/>
          <w:divBdr>
            <w:top w:val="none" w:sz="0" w:space="0" w:color="auto"/>
            <w:left w:val="none" w:sz="0" w:space="0" w:color="auto"/>
            <w:bottom w:val="none" w:sz="0" w:space="0" w:color="auto"/>
            <w:right w:val="none" w:sz="0" w:space="0" w:color="auto"/>
          </w:divBdr>
        </w:div>
      </w:divsChild>
    </w:div>
    <w:div w:id="1677151716">
      <w:bodyDiv w:val="1"/>
      <w:marLeft w:val="0"/>
      <w:marRight w:val="0"/>
      <w:marTop w:val="0"/>
      <w:marBottom w:val="0"/>
      <w:divBdr>
        <w:top w:val="none" w:sz="0" w:space="0" w:color="auto"/>
        <w:left w:val="none" w:sz="0" w:space="0" w:color="auto"/>
        <w:bottom w:val="none" w:sz="0" w:space="0" w:color="auto"/>
        <w:right w:val="none" w:sz="0" w:space="0" w:color="auto"/>
      </w:divBdr>
    </w:div>
    <w:div w:id="1678657009">
      <w:bodyDiv w:val="1"/>
      <w:marLeft w:val="0"/>
      <w:marRight w:val="0"/>
      <w:marTop w:val="0"/>
      <w:marBottom w:val="0"/>
      <w:divBdr>
        <w:top w:val="none" w:sz="0" w:space="0" w:color="auto"/>
        <w:left w:val="none" w:sz="0" w:space="0" w:color="auto"/>
        <w:bottom w:val="none" w:sz="0" w:space="0" w:color="auto"/>
        <w:right w:val="none" w:sz="0" w:space="0" w:color="auto"/>
      </w:divBdr>
    </w:div>
    <w:div w:id="1705249634">
      <w:bodyDiv w:val="1"/>
      <w:marLeft w:val="0"/>
      <w:marRight w:val="0"/>
      <w:marTop w:val="0"/>
      <w:marBottom w:val="0"/>
      <w:divBdr>
        <w:top w:val="none" w:sz="0" w:space="0" w:color="auto"/>
        <w:left w:val="none" w:sz="0" w:space="0" w:color="auto"/>
        <w:bottom w:val="none" w:sz="0" w:space="0" w:color="auto"/>
        <w:right w:val="none" w:sz="0" w:space="0" w:color="auto"/>
      </w:divBdr>
    </w:div>
    <w:div w:id="1706827753">
      <w:bodyDiv w:val="1"/>
      <w:marLeft w:val="0"/>
      <w:marRight w:val="0"/>
      <w:marTop w:val="0"/>
      <w:marBottom w:val="0"/>
      <w:divBdr>
        <w:top w:val="none" w:sz="0" w:space="0" w:color="auto"/>
        <w:left w:val="none" w:sz="0" w:space="0" w:color="auto"/>
        <w:bottom w:val="none" w:sz="0" w:space="0" w:color="auto"/>
        <w:right w:val="none" w:sz="0" w:space="0" w:color="auto"/>
      </w:divBdr>
    </w:div>
    <w:div w:id="1715347210">
      <w:bodyDiv w:val="1"/>
      <w:marLeft w:val="0"/>
      <w:marRight w:val="0"/>
      <w:marTop w:val="0"/>
      <w:marBottom w:val="0"/>
      <w:divBdr>
        <w:top w:val="none" w:sz="0" w:space="0" w:color="auto"/>
        <w:left w:val="none" w:sz="0" w:space="0" w:color="auto"/>
        <w:bottom w:val="none" w:sz="0" w:space="0" w:color="auto"/>
        <w:right w:val="none" w:sz="0" w:space="0" w:color="auto"/>
      </w:divBdr>
      <w:divsChild>
        <w:div w:id="1531141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1684576">
      <w:bodyDiv w:val="1"/>
      <w:marLeft w:val="0"/>
      <w:marRight w:val="0"/>
      <w:marTop w:val="0"/>
      <w:marBottom w:val="0"/>
      <w:divBdr>
        <w:top w:val="none" w:sz="0" w:space="0" w:color="auto"/>
        <w:left w:val="none" w:sz="0" w:space="0" w:color="auto"/>
        <w:bottom w:val="none" w:sz="0" w:space="0" w:color="auto"/>
        <w:right w:val="none" w:sz="0" w:space="0" w:color="auto"/>
      </w:divBdr>
    </w:div>
    <w:div w:id="1733890161">
      <w:bodyDiv w:val="1"/>
      <w:marLeft w:val="0"/>
      <w:marRight w:val="0"/>
      <w:marTop w:val="0"/>
      <w:marBottom w:val="0"/>
      <w:divBdr>
        <w:top w:val="none" w:sz="0" w:space="0" w:color="auto"/>
        <w:left w:val="none" w:sz="0" w:space="0" w:color="auto"/>
        <w:bottom w:val="none" w:sz="0" w:space="0" w:color="auto"/>
        <w:right w:val="none" w:sz="0" w:space="0" w:color="auto"/>
      </w:divBdr>
    </w:div>
    <w:div w:id="1737779035">
      <w:bodyDiv w:val="1"/>
      <w:marLeft w:val="0"/>
      <w:marRight w:val="0"/>
      <w:marTop w:val="0"/>
      <w:marBottom w:val="0"/>
      <w:divBdr>
        <w:top w:val="none" w:sz="0" w:space="0" w:color="auto"/>
        <w:left w:val="none" w:sz="0" w:space="0" w:color="auto"/>
        <w:bottom w:val="none" w:sz="0" w:space="0" w:color="auto"/>
        <w:right w:val="none" w:sz="0" w:space="0" w:color="auto"/>
      </w:divBdr>
    </w:div>
    <w:div w:id="1743142655">
      <w:bodyDiv w:val="1"/>
      <w:marLeft w:val="0"/>
      <w:marRight w:val="0"/>
      <w:marTop w:val="0"/>
      <w:marBottom w:val="0"/>
      <w:divBdr>
        <w:top w:val="none" w:sz="0" w:space="0" w:color="auto"/>
        <w:left w:val="none" w:sz="0" w:space="0" w:color="auto"/>
        <w:bottom w:val="none" w:sz="0" w:space="0" w:color="auto"/>
        <w:right w:val="none" w:sz="0" w:space="0" w:color="auto"/>
      </w:divBdr>
    </w:div>
    <w:div w:id="1771654780">
      <w:bodyDiv w:val="1"/>
      <w:marLeft w:val="0"/>
      <w:marRight w:val="0"/>
      <w:marTop w:val="0"/>
      <w:marBottom w:val="0"/>
      <w:divBdr>
        <w:top w:val="none" w:sz="0" w:space="0" w:color="auto"/>
        <w:left w:val="none" w:sz="0" w:space="0" w:color="auto"/>
        <w:bottom w:val="none" w:sz="0" w:space="0" w:color="auto"/>
        <w:right w:val="none" w:sz="0" w:space="0" w:color="auto"/>
      </w:divBdr>
      <w:divsChild>
        <w:div w:id="2141991332">
          <w:marLeft w:val="0"/>
          <w:marRight w:val="0"/>
          <w:marTop w:val="0"/>
          <w:marBottom w:val="0"/>
          <w:divBdr>
            <w:top w:val="none" w:sz="0" w:space="0" w:color="auto"/>
            <w:left w:val="none" w:sz="0" w:space="0" w:color="auto"/>
            <w:bottom w:val="none" w:sz="0" w:space="0" w:color="auto"/>
            <w:right w:val="none" w:sz="0" w:space="0" w:color="auto"/>
          </w:divBdr>
          <w:divsChild>
            <w:div w:id="1247106541">
              <w:marLeft w:val="0"/>
              <w:marRight w:val="0"/>
              <w:marTop w:val="0"/>
              <w:marBottom w:val="0"/>
              <w:divBdr>
                <w:top w:val="none" w:sz="0" w:space="0" w:color="auto"/>
                <w:left w:val="none" w:sz="0" w:space="0" w:color="auto"/>
                <w:bottom w:val="none" w:sz="0" w:space="0" w:color="auto"/>
                <w:right w:val="none" w:sz="0" w:space="0" w:color="auto"/>
              </w:divBdr>
              <w:divsChild>
                <w:div w:id="613946751">
                  <w:marLeft w:val="0"/>
                  <w:marRight w:val="0"/>
                  <w:marTop w:val="0"/>
                  <w:marBottom w:val="0"/>
                  <w:divBdr>
                    <w:top w:val="none" w:sz="0" w:space="0" w:color="auto"/>
                    <w:left w:val="none" w:sz="0" w:space="0" w:color="auto"/>
                    <w:bottom w:val="none" w:sz="0" w:space="0" w:color="auto"/>
                    <w:right w:val="none" w:sz="0" w:space="0" w:color="auto"/>
                  </w:divBdr>
                  <w:divsChild>
                    <w:div w:id="660423395">
                      <w:marLeft w:val="0"/>
                      <w:marRight w:val="0"/>
                      <w:marTop w:val="0"/>
                      <w:marBottom w:val="0"/>
                      <w:divBdr>
                        <w:top w:val="none" w:sz="0" w:space="0" w:color="auto"/>
                        <w:left w:val="none" w:sz="0" w:space="0" w:color="auto"/>
                        <w:bottom w:val="none" w:sz="0" w:space="0" w:color="auto"/>
                        <w:right w:val="none" w:sz="0" w:space="0" w:color="auto"/>
                      </w:divBdr>
                      <w:divsChild>
                        <w:div w:id="1131945266">
                          <w:marLeft w:val="0"/>
                          <w:marRight w:val="0"/>
                          <w:marTop w:val="0"/>
                          <w:marBottom w:val="0"/>
                          <w:divBdr>
                            <w:top w:val="none" w:sz="0" w:space="0" w:color="auto"/>
                            <w:left w:val="none" w:sz="0" w:space="0" w:color="auto"/>
                            <w:bottom w:val="none" w:sz="0" w:space="0" w:color="auto"/>
                            <w:right w:val="none" w:sz="0" w:space="0" w:color="auto"/>
                          </w:divBdr>
                          <w:divsChild>
                            <w:div w:id="2088333058">
                              <w:marLeft w:val="0"/>
                              <w:marRight w:val="0"/>
                              <w:marTop w:val="0"/>
                              <w:marBottom w:val="0"/>
                              <w:divBdr>
                                <w:top w:val="none" w:sz="0" w:space="0" w:color="auto"/>
                                <w:left w:val="none" w:sz="0" w:space="0" w:color="auto"/>
                                <w:bottom w:val="none" w:sz="0" w:space="0" w:color="auto"/>
                                <w:right w:val="none" w:sz="0" w:space="0" w:color="auto"/>
                              </w:divBdr>
                              <w:divsChild>
                                <w:div w:id="1203714772">
                                  <w:marLeft w:val="0"/>
                                  <w:marRight w:val="0"/>
                                  <w:marTop w:val="0"/>
                                  <w:marBottom w:val="0"/>
                                  <w:divBdr>
                                    <w:top w:val="none" w:sz="0" w:space="0" w:color="auto"/>
                                    <w:left w:val="none" w:sz="0" w:space="0" w:color="auto"/>
                                    <w:bottom w:val="none" w:sz="0" w:space="0" w:color="auto"/>
                                    <w:right w:val="none" w:sz="0" w:space="0" w:color="auto"/>
                                  </w:divBdr>
                                  <w:divsChild>
                                    <w:div w:id="110703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3241">
      <w:bodyDiv w:val="1"/>
      <w:marLeft w:val="0"/>
      <w:marRight w:val="0"/>
      <w:marTop w:val="0"/>
      <w:marBottom w:val="0"/>
      <w:divBdr>
        <w:top w:val="none" w:sz="0" w:space="0" w:color="auto"/>
        <w:left w:val="none" w:sz="0" w:space="0" w:color="auto"/>
        <w:bottom w:val="none" w:sz="0" w:space="0" w:color="auto"/>
        <w:right w:val="none" w:sz="0" w:space="0" w:color="auto"/>
      </w:divBdr>
      <w:divsChild>
        <w:div w:id="288172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298561">
      <w:bodyDiv w:val="1"/>
      <w:marLeft w:val="0"/>
      <w:marRight w:val="0"/>
      <w:marTop w:val="0"/>
      <w:marBottom w:val="0"/>
      <w:divBdr>
        <w:top w:val="none" w:sz="0" w:space="0" w:color="auto"/>
        <w:left w:val="none" w:sz="0" w:space="0" w:color="auto"/>
        <w:bottom w:val="none" w:sz="0" w:space="0" w:color="auto"/>
        <w:right w:val="none" w:sz="0" w:space="0" w:color="auto"/>
      </w:divBdr>
    </w:div>
    <w:div w:id="1821076344">
      <w:bodyDiv w:val="1"/>
      <w:marLeft w:val="0"/>
      <w:marRight w:val="0"/>
      <w:marTop w:val="0"/>
      <w:marBottom w:val="0"/>
      <w:divBdr>
        <w:top w:val="none" w:sz="0" w:space="0" w:color="auto"/>
        <w:left w:val="none" w:sz="0" w:space="0" w:color="auto"/>
        <w:bottom w:val="none" w:sz="0" w:space="0" w:color="auto"/>
        <w:right w:val="none" w:sz="0" w:space="0" w:color="auto"/>
      </w:divBdr>
      <w:divsChild>
        <w:div w:id="1868565057">
          <w:marLeft w:val="0"/>
          <w:marRight w:val="0"/>
          <w:marTop w:val="0"/>
          <w:marBottom w:val="0"/>
          <w:divBdr>
            <w:top w:val="none" w:sz="0" w:space="0" w:color="auto"/>
            <w:left w:val="none" w:sz="0" w:space="0" w:color="auto"/>
            <w:bottom w:val="none" w:sz="0" w:space="0" w:color="auto"/>
            <w:right w:val="none" w:sz="0" w:space="0" w:color="auto"/>
          </w:divBdr>
          <w:divsChild>
            <w:div w:id="1877884595">
              <w:marLeft w:val="0"/>
              <w:marRight w:val="0"/>
              <w:marTop w:val="0"/>
              <w:marBottom w:val="0"/>
              <w:divBdr>
                <w:top w:val="none" w:sz="0" w:space="0" w:color="auto"/>
                <w:left w:val="none" w:sz="0" w:space="0" w:color="auto"/>
                <w:bottom w:val="none" w:sz="0" w:space="0" w:color="auto"/>
                <w:right w:val="none" w:sz="0" w:space="0" w:color="auto"/>
              </w:divBdr>
              <w:divsChild>
                <w:div w:id="1691567976">
                  <w:marLeft w:val="0"/>
                  <w:marRight w:val="0"/>
                  <w:marTop w:val="0"/>
                  <w:marBottom w:val="0"/>
                  <w:divBdr>
                    <w:top w:val="none" w:sz="0" w:space="0" w:color="auto"/>
                    <w:left w:val="none" w:sz="0" w:space="0" w:color="auto"/>
                    <w:bottom w:val="none" w:sz="0" w:space="0" w:color="auto"/>
                    <w:right w:val="none" w:sz="0" w:space="0" w:color="auto"/>
                  </w:divBdr>
                  <w:divsChild>
                    <w:div w:id="209343013">
                      <w:marLeft w:val="0"/>
                      <w:marRight w:val="0"/>
                      <w:marTop w:val="0"/>
                      <w:marBottom w:val="0"/>
                      <w:divBdr>
                        <w:top w:val="none" w:sz="0" w:space="0" w:color="auto"/>
                        <w:left w:val="none" w:sz="0" w:space="0" w:color="auto"/>
                        <w:bottom w:val="none" w:sz="0" w:space="0" w:color="auto"/>
                        <w:right w:val="none" w:sz="0" w:space="0" w:color="auto"/>
                      </w:divBdr>
                      <w:divsChild>
                        <w:div w:id="1569880993">
                          <w:marLeft w:val="0"/>
                          <w:marRight w:val="0"/>
                          <w:marTop w:val="0"/>
                          <w:marBottom w:val="0"/>
                          <w:divBdr>
                            <w:top w:val="none" w:sz="0" w:space="0" w:color="auto"/>
                            <w:left w:val="none" w:sz="0" w:space="0" w:color="auto"/>
                            <w:bottom w:val="none" w:sz="0" w:space="0" w:color="auto"/>
                            <w:right w:val="none" w:sz="0" w:space="0" w:color="auto"/>
                          </w:divBdr>
                          <w:divsChild>
                            <w:div w:id="148863911">
                              <w:marLeft w:val="0"/>
                              <w:marRight w:val="0"/>
                              <w:marTop w:val="0"/>
                              <w:marBottom w:val="0"/>
                              <w:divBdr>
                                <w:top w:val="none" w:sz="0" w:space="0" w:color="auto"/>
                                <w:left w:val="none" w:sz="0" w:space="0" w:color="auto"/>
                                <w:bottom w:val="none" w:sz="0" w:space="0" w:color="auto"/>
                                <w:right w:val="none" w:sz="0" w:space="0" w:color="auto"/>
                              </w:divBdr>
                              <w:divsChild>
                                <w:div w:id="2032878360">
                                  <w:marLeft w:val="0"/>
                                  <w:marRight w:val="0"/>
                                  <w:marTop w:val="0"/>
                                  <w:marBottom w:val="0"/>
                                  <w:divBdr>
                                    <w:top w:val="none" w:sz="0" w:space="0" w:color="auto"/>
                                    <w:left w:val="none" w:sz="0" w:space="0" w:color="auto"/>
                                    <w:bottom w:val="none" w:sz="0" w:space="0" w:color="auto"/>
                                    <w:right w:val="none" w:sz="0" w:space="0" w:color="auto"/>
                                  </w:divBdr>
                                  <w:divsChild>
                                    <w:div w:id="12360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071761">
      <w:bodyDiv w:val="1"/>
      <w:marLeft w:val="0"/>
      <w:marRight w:val="0"/>
      <w:marTop w:val="0"/>
      <w:marBottom w:val="0"/>
      <w:divBdr>
        <w:top w:val="none" w:sz="0" w:space="0" w:color="auto"/>
        <w:left w:val="none" w:sz="0" w:space="0" w:color="auto"/>
        <w:bottom w:val="none" w:sz="0" w:space="0" w:color="auto"/>
        <w:right w:val="none" w:sz="0" w:space="0" w:color="auto"/>
      </w:divBdr>
    </w:div>
    <w:div w:id="1841508608">
      <w:bodyDiv w:val="1"/>
      <w:marLeft w:val="0"/>
      <w:marRight w:val="0"/>
      <w:marTop w:val="0"/>
      <w:marBottom w:val="0"/>
      <w:divBdr>
        <w:top w:val="none" w:sz="0" w:space="0" w:color="auto"/>
        <w:left w:val="none" w:sz="0" w:space="0" w:color="auto"/>
        <w:bottom w:val="none" w:sz="0" w:space="0" w:color="auto"/>
        <w:right w:val="none" w:sz="0" w:space="0" w:color="auto"/>
      </w:divBdr>
    </w:div>
    <w:div w:id="1844281112">
      <w:bodyDiv w:val="1"/>
      <w:marLeft w:val="0"/>
      <w:marRight w:val="0"/>
      <w:marTop w:val="0"/>
      <w:marBottom w:val="0"/>
      <w:divBdr>
        <w:top w:val="none" w:sz="0" w:space="0" w:color="auto"/>
        <w:left w:val="none" w:sz="0" w:space="0" w:color="auto"/>
        <w:bottom w:val="none" w:sz="0" w:space="0" w:color="auto"/>
        <w:right w:val="none" w:sz="0" w:space="0" w:color="auto"/>
      </w:divBdr>
    </w:div>
    <w:div w:id="1855876173">
      <w:bodyDiv w:val="1"/>
      <w:marLeft w:val="0"/>
      <w:marRight w:val="0"/>
      <w:marTop w:val="0"/>
      <w:marBottom w:val="0"/>
      <w:divBdr>
        <w:top w:val="none" w:sz="0" w:space="0" w:color="auto"/>
        <w:left w:val="none" w:sz="0" w:space="0" w:color="auto"/>
        <w:bottom w:val="none" w:sz="0" w:space="0" w:color="auto"/>
        <w:right w:val="none" w:sz="0" w:space="0" w:color="auto"/>
      </w:divBdr>
    </w:div>
    <w:div w:id="1874926943">
      <w:bodyDiv w:val="1"/>
      <w:marLeft w:val="0"/>
      <w:marRight w:val="0"/>
      <w:marTop w:val="0"/>
      <w:marBottom w:val="0"/>
      <w:divBdr>
        <w:top w:val="none" w:sz="0" w:space="0" w:color="auto"/>
        <w:left w:val="none" w:sz="0" w:space="0" w:color="auto"/>
        <w:bottom w:val="none" w:sz="0" w:space="0" w:color="auto"/>
        <w:right w:val="none" w:sz="0" w:space="0" w:color="auto"/>
      </w:divBdr>
    </w:div>
    <w:div w:id="1875073403">
      <w:bodyDiv w:val="1"/>
      <w:marLeft w:val="0"/>
      <w:marRight w:val="0"/>
      <w:marTop w:val="0"/>
      <w:marBottom w:val="0"/>
      <w:divBdr>
        <w:top w:val="none" w:sz="0" w:space="0" w:color="auto"/>
        <w:left w:val="none" w:sz="0" w:space="0" w:color="auto"/>
        <w:bottom w:val="none" w:sz="0" w:space="0" w:color="auto"/>
        <w:right w:val="none" w:sz="0" w:space="0" w:color="auto"/>
      </w:divBdr>
    </w:div>
    <w:div w:id="1879780167">
      <w:bodyDiv w:val="1"/>
      <w:marLeft w:val="0"/>
      <w:marRight w:val="0"/>
      <w:marTop w:val="0"/>
      <w:marBottom w:val="0"/>
      <w:divBdr>
        <w:top w:val="none" w:sz="0" w:space="0" w:color="auto"/>
        <w:left w:val="none" w:sz="0" w:space="0" w:color="auto"/>
        <w:bottom w:val="none" w:sz="0" w:space="0" w:color="auto"/>
        <w:right w:val="none" w:sz="0" w:space="0" w:color="auto"/>
      </w:divBdr>
      <w:divsChild>
        <w:div w:id="2054579203">
          <w:marLeft w:val="0"/>
          <w:marRight w:val="0"/>
          <w:marTop w:val="0"/>
          <w:marBottom w:val="0"/>
          <w:divBdr>
            <w:top w:val="none" w:sz="0" w:space="0" w:color="auto"/>
            <w:left w:val="none" w:sz="0" w:space="0" w:color="auto"/>
            <w:bottom w:val="none" w:sz="0" w:space="0" w:color="auto"/>
            <w:right w:val="none" w:sz="0" w:space="0" w:color="auto"/>
          </w:divBdr>
          <w:divsChild>
            <w:div w:id="7934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92455">
      <w:bodyDiv w:val="1"/>
      <w:marLeft w:val="0"/>
      <w:marRight w:val="0"/>
      <w:marTop w:val="0"/>
      <w:marBottom w:val="0"/>
      <w:divBdr>
        <w:top w:val="none" w:sz="0" w:space="0" w:color="auto"/>
        <w:left w:val="none" w:sz="0" w:space="0" w:color="auto"/>
        <w:bottom w:val="none" w:sz="0" w:space="0" w:color="auto"/>
        <w:right w:val="none" w:sz="0" w:space="0" w:color="auto"/>
      </w:divBdr>
    </w:div>
    <w:div w:id="1906724355">
      <w:bodyDiv w:val="1"/>
      <w:marLeft w:val="0"/>
      <w:marRight w:val="0"/>
      <w:marTop w:val="0"/>
      <w:marBottom w:val="0"/>
      <w:divBdr>
        <w:top w:val="none" w:sz="0" w:space="0" w:color="auto"/>
        <w:left w:val="none" w:sz="0" w:space="0" w:color="auto"/>
        <w:bottom w:val="none" w:sz="0" w:space="0" w:color="auto"/>
        <w:right w:val="none" w:sz="0" w:space="0" w:color="auto"/>
      </w:divBdr>
    </w:div>
    <w:div w:id="1920674231">
      <w:bodyDiv w:val="1"/>
      <w:marLeft w:val="0"/>
      <w:marRight w:val="0"/>
      <w:marTop w:val="0"/>
      <w:marBottom w:val="0"/>
      <w:divBdr>
        <w:top w:val="none" w:sz="0" w:space="0" w:color="auto"/>
        <w:left w:val="none" w:sz="0" w:space="0" w:color="auto"/>
        <w:bottom w:val="none" w:sz="0" w:space="0" w:color="auto"/>
        <w:right w:val="none" w:sz="0" w:space="0" w:color="auto"/>
      </w:divBdr>
    </w:div>
    <w:div w:id="1929340310">
      <w:bodyDiv w:val="1"/>
      <w:marLeft w:val="0"/>
      <w:marRight w:val="0"/>
      <w:marTop w:val="0"/>
      <w:marBottom w:val="0"/>
      <w:divBdr>
        <w:top w:val="none" w:sz="0" w:space="0" w:color="auto"/>
        <w:left w:val="none" w:sz="0" w:space="0" w:color="auto"/>
        <w:bottom w:val="none" w:sz="0" w:space="0" w:color="auto"/>
        <w:right w:val="none" w:sz="0" w:space="0" w:color="auto"/>
      </w:divBdr>
      <w:divsChild>
        <w:div w:id="379090982">
          <w:marLeft w:val="0"/>
          <w:marRight w:val="0"/>
          <w:marTop w:val="0"/>
          <w:marBottom w:val="0"/>
          <w:divBdr>
            <w:top w:val="none" w:sz="0" w:space="0" w:color="auto"/>
            <w:left w:val="none" w:sz="0" w:space="0" w:color="auto"/>
            <w:bottom w:val="none" w:sz="0" w:space="0" w:color="auto"/>
            <w:right w:val="none" w:sz="0" w:space="0" w:color="auto"/>
          </w:divBdr>
          <w:divsChild>
            <w:div w:id="1707027413">
              <w:marLeft w:val="0"/>
              <w:marRight w:val="0"/>
              <w:marTop w:val="0"/>
              <w:marBottom w:val="0"/>
              <w:divBdr>
                <w:top w:val="none" w:sz="0" w:space="0" w:color="auto"/>
                <w:left w:val="none" w:sz="0" w:space="0" w:color="auto"/>
                <w:bottom w:val="none" w:sz="0" w:space="0" w:color="auto"/>
                <w:right w:val="none" w:sz="0" w:space="0" w:color="auto"/>
              </w:divBdr>
            </w:div>
          </w:divsChild>
        </w:div>
        <w:div w:id="1136340694">
          <w:marLeft w:val="0"/>
          <w:marRight w:val="0"/>
          <w:marTop w:val="0"/>
          <w:marBottom w:val="0"/>
          <w:divBdr>
            <w:top w:val="none" w:sz="0" w:space="0" w:color="auto"/>
            <w:left w:val="none" w:sz="0" w:space="0" w:color="auto"/>
            <w:bottom w:val="none" w:sz="0" w:space="0" w:color="auto"/>
            <w:right w:val="none" w:sz="0" w:space="0" w:color="auto"/>
          </w:divBdr>
          <w:divsChild>
            <w:div w:id="28149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13341">
      <w:bodyDiv w:val="1"/>
      <w:marLeft w:val="0"/>
      <w:marRight w:val="0"/>
      <w:marTop w:val="0"/>
      <w:marBottom w:val="0"/>
      <w:divBdr>
        <w:top w:val="none" w:sz="0" w:space="0" w:color="auto"/>
        <w:left w:val="none" w:sz="0" w:space="0" w:color="auto"/>
        <w:bottom w:val="none" w:sz="0" w:space="0" w:color="auto"/>
        <w:right w:val="none" w:sz="0" w:space="0" w:color="auto"/>
      </w:divBdr>
    </w:div>
    <w:div w:id="1940023338">
      <w:bodyDiv w:val="1"/>
      <w:marLeft w:val="0"/>
      <w:marRight w:val="0"/>
      <w:marTop w:val="0"/>
      <w:marBottom w:val="0"/>
      <w:divBdr>
        <w:top w:val="none" w:sz="0" w:space="0" w:color="auto"/>
        <w:left w:val="none" w:sz="0" w:space="0" w:color="auto"/>
        <w:bottom w:val="none" w:sz="0" w:space="0" w:color="auto"/>
        <w:right w:val="none" w:sz="0" w:space="0" w:color="auto"/>
      </w:divBdr>
    </w:div>
    <w:div w:id="1955287177">
      <w:bodyDiv w:val="1"/>
      <w:marLeft w:val="0"/>
      <w:marRight w:val="0"/>
      <w:marTop w:val="0"/>
      <w:marBottom w:val="0"/>
      <w:divBdr>
        <w:top w:val="none" w:sz="0" w:space="0" w:color="auto"/>
        <w:left w:val="none" w:sz="0" w:space="0" w:color="auto"/>
        <w:bottom w:val="none" w:sz="0" w:space="0" w:color="auto"/>
        <w:right w:val="none" w:sz="0" w:space="0" w:color="auto"/>
      </w:divBdr>
      <w:divsChild>
        <w:div w:id="889076602">
          <w:marLeft w:val="0"/>
          <w:marRight w:val="0"/>
          <w:marTop w:val="0"/>
          <w:marBottom w:val="0"/>
          <w:divBdr>
            <w:top w:val="none" w:sz="0" w:space="0" w:color="auto"/>
            <w:left w:val="none" w:sz="0" w:space="0" w:color="auto"/>
            <w:bottom w:val="none" w:sz="0" w:space="0" w:color="auto"/>
            <w:right w:val="none" w:sz="0" w:space="0" w:color="auto"/>
          </w:divBdr>
        </w:div>
        <w:div w:id="1607687945">
          <w:marLeft w:val="0"/>
          <w:marRight w:val="0"/>
          <w:marTop w:val="0"/>
          <w:marBottom w:val="0"/>
          <w:divBdr>
            <w:top w:val="none" w:sz="0" w:space="0" w:color="auto"/>
            <w:left w:val="none" w:sz="0" w:space="0" w:color="auto"/>
            <w:bottom w:val="none" w:sz="0" w:space="0" w:color="auto"/>
            <w:right w:val="none" w:sz="0" w:space="0" w:color="auto"/>
          </w:divBdr>
        </w:div>
      </w:divsChild>
    </w:div>
    <w:div w:id="1965305560">
      <w:bodyDiv w:val="1"/>
      <w:marLeft w:val="0"/>
      <w:marRight w:val="0"/>
      <w:marTop w:val="0"/>
      <w:marBottom w:val="0"/>
      <w:divBdr>
        <w:top w:val="none" w:sz="0" w:space="0" w:color="auto"/>
        <w:left w:val="none" w:sz="0" w:space="0" w:color="auto"/>
        <w:bottom w:val="none" w:sz="0" w:space="0" w:color="auto"/>
        <w:right w:val="none" w:sz="0" w:space="0" w:color="auto"/>
      </w:divBdr>
    </w:div>
    <w:div w:id="2005667266">
      <w:bodyDiv w:val="1"/>
      <w:marLeft w:val="0"/>
      <w:marRight w:val="0"/>
      <w:marTop w:val="0"/>
      <w:marBottom w:val="0"/>
      <w:divBdr>
        <w:top w:val="none" w:sz="0" w:space="0" w:color="auto"/>
        <w:left w:val="none" w:sz="0" w:space="0" w:color="auto"/>
        <w:bottom w:val="none" w:sz="0" w:space="0" w:color="auto"/>
        <w:right w:val="none" w:sz="0" w:space="0" w:color="auto"/>
      </w:divBdr>
    </w:div>
    <w:div w:id="2009752711">
      <w:bodyDiv w:val="1"/>
      <w:marLeft w:val="0"/>
      <w:marRight w:val="0"/>
      <w:marTop w:val="0"/>
      <w:marBottom w:val="0"/>
      <w:divBdr>
        <w:top w:val="none" w:sz="0" w:space="0" w:color="auto"/>
        <w:left w:val="none" w:sz="0" w:space="0" w:color="auto"/>
        <w:bottom w:val="none" w:sz="0" w:space="0" w:color="auto"/>
        <w:right w:val="none" w:sz="0" w:space="0" w:color="auto"/>
      </w:divBdr>
      <w:divsChild>
        <w:div w:id="1746949719">
          <w:marLeft w:val="0"/>
          <w:marRight w:val="0"/>
          <w:marTop w:val="0"/>
          <w:marBottom w:val="0"/>
          <w:divBdr>
            <w:top w:val="none" w:sz="0" w:space="0" w:color="auto"/>
            <w:left w:val="none" w:sz="0" w:space="0" w:color="auto"/>
            <w:bottom w:val="none" w:sz="0" w:space="0" w:color="auto"/>
            <w:right w:val="none" w:sz="0" w:space="0" w:color="auto"/>
          </w:divBdr>
        </w:div>
      </w:divsChild>
    </w:div>
    <w:div w:id="2017146117">
      <w:bodyDiv w:val="1"/>
      <w:marLeft w:val="0"/>
      <w:marRight w:val="0"/>
      <w:marTop w:val="0"/>
      <w:marBottom w:val="0"/>
      <w:divBdr>
        <w:top w:val="none" w:sz="0" w:space="0" w:color="auto"/>
        <w:left w:val="none" w:sz="0" w:space="0" w:color="auto"/>
        <w:bottom w:val="none" w:sz="0" w:space="0" w:color="auto"/>
        <w:right w:val="none" w:sz="0" w:space="0" w:color="auto"/>
      </w:divBdr>
    </w:div>
    <w:div w:id="2019307912">
      <w:bodyDiv w:val="1"/>
      <w:marLeft w:val="0"/>
      <w:marRight w:val="0"/>
      <w:marTop w:val="0"/>
      <w:marBottom w:val="0"/>
      <w:divBdr>
        <w:top w:val="none" w:sz="0" w:space="0" w:color="auto"/>
        <w:left w:val="none" w:sz="0" w:space="0" w:color="auto"/>
        <w:bottom w:val="none" w:sz="0" w:space="0" w:color="auto"/>
        <w:right w:val="none" w:sz="0" w:space="0" w:color="auto"/>
      </w:divBdr>
    </w:div>
    <w:div w:id="2034070139">
      <w:bodyDiv w:val="1"/>
      <w:marLeft w:val="0"/>
      <w:marRight w:val="0"/>
      <w:marTop w:val="0"/>
      <w:marBottom w:val="0"/>
      <w:divBdr>
        <w:top w:val="none" w:sz="0" w:space="0" w:color="auto"/>
        <w:left w:val="none" w:sz="0" w:space="0" w:color="auto"/>
        <w:bottom w:val="none" w:sz="0" w:space="0" w:color="auto"/>
        <w:right w:val="none" w:sz="0" w:space="0" w:color="auto"/>
      </w:divBdr>
      <w:divsChild>
        <w:div w:id="1751779508">
          <w:marLeft w:val="0"/>
          <w:marRight w:val="0"/>
          <w:marTop w:val="0"/>
          <w:marBottom w:val="0"/>
          <w:divBdr>
            <w:top w:val="none" w:sz="0" w:space="0" w:color="auto"/>
            <w:left w:val="none" w:sz="0" w:space="0" w:color="auto"/>
            <w:bottom w:val="none" w:sz="0" w:space="0" w:color="auto"/>
            <w:right w:val="none" w:sz="0" w:space="0" w:color="auto"/>
          </w:divBdr>
          <w:divsChild>
            <w:div w:id="46342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5741">
      <w:bodyDiv w:val="1"/>
      <w:marLeft w:val="0"/>
      <w:marRight w:val="0"/>
      <w:marTop w:val="0"/>
      <w:marBottom w:val="0"/>
      <w:divBdr>
        <w:top w:val="none" w:sz="0" w:space="0" w:color="auto"/>
        <w:left w:val="none" w:sz="0" w:space="0" w:color="auto"/>
        <w:bottom w:val="none" w:sz="0" w:space="0" w:color="auto"/>
        <w:right w:val="none" w:sz="0" w:space="0" w:color="auto"/>
      </w:divBdr>
    </w:div>
    <w:div w:id="2047754887">
      <w:bodyDiv w:val="1"/>
      <w:marLeft w:val="0"/>
      <w:marRight w:val="0"/>
      <w:marTop w:val="0"/>
      <w:marBottom w:val="0"/>
      <w:divBdr>
        <w:top w:val="none" w:sz="0" w:space="0" w:color="auto"/>
        <w:left w:val="none" w:sz="0" w:space="0" w:color="auto"/>
        <w:bottom w:val="none" w:sz="0" w:space="0" w:color="auto"/>
        <w:right w:val="none" w:sz="0" w:space="0" w:color="auto"/>
      </w:divBdr>
      <w:divsChild>
        <w:div w:id="1752389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1129389">
      <w:bodyDiv w:val="1"/>
      <w:marLeft w:val="0"/>
      <w:marRight w:val="0"/>
      <w:marTop w:val="0"/>
      <w:marBottom w:val="0"/>
      <w:divBdr>
        <w:top w:val="none" w:sz="0" w:space="0" w:color="auto"/>
        <w:left w:val="none" w:sz="0" w:space="0" w:color="auto"/>
        <w:bottom w:val="none" w:sz="0" w:space="0" w:color="auto"/>
        <w:right w:val="none" w:sz="0" w:space="0" w:color="auto"/>
      </w:divBdr>
    </w:div>
    <w:div w:id="2089299871">
      <w:bodyDiv w:val="1"/>
      <w:marLeft w:val="0"/>
      <w:marRight w:val="0"/>
      <w:marTop w:val="0"/>
      <w:marBottom w:val="0"/>
      <w:divBdr>
        <w:top w:val="none" w:sz="0" w:space="0" w:color="auto"/>
        <w:left w:val="none" w:sz="0" w:space="0" w:color="auto"/>
        <w:bottom w:val="none" w:sz="0" w:space="0" w:color="auto"/>
        <w:right w:val="none" w:sz="0" w:space="0" w:color="auto"/>
      </w:divBdr>
      <w:divsChild>
        <w:div w:id="590548673">
          <w:marLeft w:val="0"/>
          <w:marRight w:val="0"/>
          <w:marTop w:val="0"/>
          <w:marBottom w:val="0"/>
          <w:divBdr>
            <w:top w:val="none" w:sz="0" w:space="0" w:color="auto"/>
            <w:left w:val="none" w:sz="0" w:space="0" w:color="auto"/>
            <w:bottom w:val="none" w:sz="0" w:space="0" w:color="auto"/>
            <w:right w:val="none" w:sz="0" w:space="0" w:color="auto"/>
          </w:divBdr>
          <w:divsChild>
            <w:div w:id="2020615615">
              <w:marLeft w:val="0"/>
              <w:marRight w:val="0"/>
              <w:marTop w:val="0"/>
              <w:marBottom w:val="0"/>
              <w:divBdr>
                <w:top w:val="none" w:sz="0" w:space="0" w:color="auto"/>
                <w:left w:val="none" w:sz="0" w:space="0" w:color="auto"/>
                <w:bottom w:val="none" w:sz="0" w:space="0" w:color="auto"/>
                <w:right w:val="none" w:sz="0" w:space="0" w:color="auto"/>
              </w:divBdr>
              <w:divsChild>
                <w:div w:id="401874485">
                  <w:marLeft w:val="0"/>
                  <w:marRight w:val="0"/>
                  <w:marTop w:val="0"/>
                  <w:marBottom w:val="0"/>
                  <w:divBdr>
                    <w:top w:val="none" w:sz="0" w:space="0" w:color="auto"/>
                    <w:left w:val="none" w:sz="0" w:space="0" w:color="auto"/>
                    <w:bottom w:val="none" w:sz="0" w:space="0" w:color="auto"/>
                    <w:right w:val="none" w:sz="0" w:space="0" w:color="auto"/>
                  </w:divBdr>
                  <w:divsChild>
                    <w:div w:id="1099566141">
                      <w:marLeft w:val="0"/>
                      <w:marRight w:val="0"/>
                      <w:marTop w:val="0"/>
                      <w:marBottom w:val="0"/>
                      <w:divBdr>
                        <w:top w:val="none" w:sz="0" w:space="0" w:color="auto"/>
                        <w:left w:val="none" w:sz="0" w:space="0" w:color="auto"/>
                        <w:bottom w:val="none" w:sz="0" w:space="0" w:color="auto"/>
                        <w:right w:val="none" w:sz="0" w:space="0" w:color="auto"/>
                      </w:divBdr>
                      <w:divsChild>
                        <w:div w:id="600604472">
                          <w:marLeft w:val="0"/>
                          <w:marRight w:val="0"/>
                          <w:marTop w:val="0"/>
                          <w:marBottom w:val="0"/>
                          <w:divBdr>
                            <w:top w:val="none" w:sz="0" w:space="0" w:color="auto"/>
                            <w:left w:val="none" w:sz="0" w:space="0" w:color="auto"/>
                            <w:bottom w:val="none" w:sz="0" w:space="0" w:color="auto"/>
                            <w:right w:val="none" w:sz="0" w:space="0" w:color="auto"/>
                          </w:divBdr>
                          <w:divsChild>
                            <w:div w:id="1338263711">
                              <w:marLeft w:val="0"/>
                              <w:marRight w:val="0"/>
                              <w:marTop w:val="0"/>
                              <w:marBottom w:val="0"/>
                              <w:divBdr>
                                <w:top w:val="none" w:sz="0" w:space="0" w:color="auto"/>
                                <w:left w:val="none" w:sz="0" w:space="0" w:color="auto"/>
                                <w:bottom w:val="none" w:sz="0" w:space="0" w:color="auto"/>
                                <w:right w:val="none" w:sz="0" w:space="0" w:color="auto"/>
                              </w:divBdr>
                              <w:divsChild>
                                <w:div w:id="1433238085">
                                  <w:marLeft w:val="0"/>
                                  <w:marRight w:val="0"/>
                                  <w:marTop w:val="0"/>
                                  <w:marBottom w:val="0"/>
                                  <w:divBdr>
                                    <w:top w:val="none" w:sz="0" w:space="0" w:color="auto"/>
                                    <w:left w:val="none" w:sz="0" w:space="0" w:color="auto"/>
                                    <w:bottom w:val="none" w:sz="0" w:space="0" w:color="auto"/>
                                    <w:right w:val="none" w:sz="0" w:space="0" w:color="auto"/>
                                  </w:divBdr>
                                  <w:divsChild>
                                    <w:div w:id="14377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611486">
      <w:bodyDiv w:val="1"/>
      <w:marLeft w:val="0"/>
      <w:marRight w:val="0"/>
      <w:marTop w:val="0"/>
      <w:marBottom w:val="0"/>
      <w:divBdr>
        <w:top w:val="none" w:sz="0" w:space="0" w:color="auto"/>
        <w:left w:val="none" w:sz="0" w:space="0" w:color="auto"/>
        <w:bottom w:val="none" w:sz="0" w:space="0" w:color="auto"/>
        <w:right w:val="none" w:sz="0" w:space="0" w:color="auto"/>
      </w:divBdr>
    </w:div>
    <w:div w:id="2108309134">
      <w:bodyDiv w:val="1"/>
      <w:marLeft w:val="0"/>
      <w:marRight w:val="0"/>
      <w:marTop w:val="0"/>
      <w:marBottom w:val="0"/>
      <w:divBdr>
        <w:top w:val="none" w:sz="0" w:space="0" w:color="auto"/>
        <w:left w:val="none" w:sz="0" w:space="0" w:color="auto"/>
        <w:bottom w:val="none" w:sz="0" w:space="0" w:color="auto"/>
        <w:right w:val="none" w:sz="0" w:space="0" w:color="auto"/>
      </w:divBdr>
    </w:div>
    <w:div w:id="2115051025">
      <w:bodyDiv w:val="1"/>
      <w:marLeft w:val="0"/>
      <w:marRight w:val="0"/>
      <w:marTop w:val="0"/>
      <w:marBottom w:val="0"/>
      <w:divBdr>
        <w:top w:val="none" w:sz="0" w:space="0" w:color="auto"/>
        <w:left w:val="none" w:sz="0" w:space="0" w:color="auto"/>
        <w:bottom w:val="none" w:sz="0" w:space="0" w:color="auto"/>
        <w:right w:val="none" w:sz="0" w:space="0" w:color="auto"/>
      </w:divBdr>
    </w:div>
    <w:div w:id="2118596675">
      <w:bodyDiv w:val="1"/>
      <w:marLeft w:val="0"/>
      <w:marRight w:val="0"/>
      <w:marTop w:val="0"/>
      <w:marBottom w:val="0"/>
      <w:divBdr>
        <w:top w:val="none" w:sz="0" w:space="0" w:color="auto"/>
        <w:left w:val="none" w:sz="0" w:space="0" w:color="auto"/>
        <w:bottom w:val="none" w:sz="0" w:space="0" w:color="auto"/>
        <w:right w:val="none" w:sz="0" w:space="0" w:color="auto"/>
      </w:divBdr>
    </w:div>
    <w:div w:id="2135827865">
      <w:bodyDiv w:val="1"/>
      <w:marLeft w:val="0"/>
      <w:marRight w:val="0"/>
      <w:marTop w:val="0"/>
      <w:marBottom w:val="0"/>
      <w:divBdr>
        <w:top w:val="none" w:sz="0" w:space="0" w:color="auto"/>
        <w:left w:val="none" w:sz="0" w:space="0" w:color="auto"/>
        <w:bottom w:val="none" w:sz="0" w:space="0" w:color="auto"/>
        <w:right w:val="none" w:sz="0" w:space="0" w:color="auto"/>
      </w:divBdr>
    </w:div>
    <w:div w:id="2138601292">
      <w:bodyDiv w:val="1"/>
      <w:marLeft w:val="0"/>
      <w:marRight w:val="0"/>
      <w:marTop w:val="0"/>
      <w:marBottom w:val="0"/>
      <w:divBdr>
        <w:top w:val="none" w:sz="0" w:space="0" w:color="auto"/>
        <w:left w:val="none" w:sz="0" w:space="0" w:color="auto"/>
        <w:bottom w:val="none" w:sz="0" w:space="0" w:color="auto"/>
        <w:right w:val="none" w:sz="0" w:space="0" w:color="auto"/>
      </w:divBdr>
    </w:div>
    <w:div w:id="2139252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5.png"/><Relationship Id="rId42" Type="http://schemas.openxmlformats.org/officeDocument/2006/relationships/image" Target="media/image16.wmf"/><Relationship Id="rId47" Type="http://schemas.openxmlformats.org/officeDocument/2006/relationships/oleObject" Target="embeddings/oleObject13.bin"/><Relationship Id="rId63" Type="http://schemas.openxmlformats.org/officeDocument/2006/relationships/oleObject" Target="embeddings/oleObject22.bin"/><Relationship Id="rId68" Type="http://schemas.openxmlformats.org/officeDocument/2006/relationships/image" Target="media/image28.wmf"/><Relationship Id="rId84" Type="http://schemas.openxmlformats.org/officeDocument/2006/relationships/oleObject" Target="embeddings/oleObject34.bin"/><Relationship Id="rId89" Type="http://schemas.openxmlformats.org/officeDocument/2006/relationships/image" Target="media/image40.wmf"/><Relationship Id="rId16" Type="http://schemas.openxmlformats.org/officeDocument/2006/relationships/footer" Target="footer5.xml"/><Relationship Id="rId107" Type="http://schemas.openxmlformats.org/officeDocument/2006/relationships/oleObject" Target="embeddings/oleObject46.bin"/><Relationship Id="rId11" Type="http://schemas.openxmlformats.org/officeDocument/2006/relationships/hyperlink" Target="mailto:devinasharma@utexas.edu" TargetMode="External"/><Relationship Id="rId32" Type="http://schemas.openxmlformats.org/officeDocument/2006/relationships/image" Target="media/image11.wmf"/><Relationship Id="rId37" Type="http://schemas.openxmlformats.org/officeDocument/2006/relationships/oleObject" Target="embeddings/oleObject8.bin"/><Relationship Id="rId53" Type="http://schemas.openxmlformats.org/officeDocument/2006/relationships/oleObject" Target="embeddings/oleObject17.bin"/><Relationship Id="rId58" Type="http://schemas.openxmlformats.org/officeDocument/2006/relationships/image" Target="media/image23.wmf"/><Relationship Id="rId74" Type="http://schemas.openxmlformats.org/officeDocument/2006/relationships/oleObject" Target="embeddings/oleObject28.bin"/><Relationship Id="rId79" Type="http://schemas.openxmlformats.org/officeDocument/2006/relationships/image" Target="media/image34.wmf"/><Relationship Id="rId102" Type="http://schemas.openxmlformats.org/officeDocument/2006/relationships/image" Target="media/image46.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5.bin"/><Relationship Id="rId80" Type="http://schemas.openxmlformats.org/officeDocument/2006/relationships/oleObject" Target="embeddings/oleObject32.bin"/><Relationship Id="rId85" Type="http://schemas.openxmlformats.org/officeDocument/2006/relationships/image" Target="media/image38.wmf"/><Relationship Id="rId12" Type="http://schemas.openxmlformats.org/officeDocument/2006/relationships/footer" Target="footer1.xml"/><Relationship Id="rId17" Type="http://schemas.openxmlformats.org/officeDocument/2006/relationships/image" Target="media/image1.png"/><Relationship Id="rId33" Type="http://schemas.openxmlformats.org/officeDocument/2006/relationships/oleObject" Target="embeddings/oleObject6.bin"/><Relationship Id="rId38" Type="http://schemas.openxmlformats.org/officeDocument/2006/relationships/image" Target="media/image14.wmf"/><Relationship Id="rId59" Type="http://schemas.openxmlformats.org/officeDocument/2006/relationships/oleObject" Target="embeddings/oleObject20.bin"/><Relationship Id="rId103" Type="http://schemas.openxmlformats.org/officeDocument/2006/relationships/oleObject" Target="embeddings/oleObject45.bin"/><Relationship Id="rId108"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oleObject" Target="embeddings/oleObject26.bin"/><Relationship Id="rId75" Type="http://schemas.openxmlformats.org/officeDocument/2006/relationships/image" Target="media/image31.wmf"/><Relationship Id="rId91" Type="http://schemas.openxmlformats.org/officeDocument/2006/relationships/image" Target="media/image41.wmf"/><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4.bin"/><Relationship Id="rId57" Type="http://schemas.openxmlformats.org/officeDocument/2006/relationships/oleObject" Target="embeddings/oleObject19.bin"/><Relationship Id="rId106" Type="http://schemas.openxmlformats.org/officeDocument/2006/relationships/image" Target="media/image49.wmf"/><Relationship Id="rId10" Type="http://schemas.openxmlformats.org/officeDocument/2006/relationships/hyperlink" Target="mailto:emilypodnar@utexas.edu" TargetMode="External"/><Relationship Id="rId31" Type="http://schemas.openxmlformats.org/officeDocument/2006/relationships/oleObject" Target="embeddings/oleObject5.bin"/><Relationship Id="rId44" Type="http://schemas.openxmlformats.org/officeDocument/2006/relationships/image" Target="media/image17.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3.bin"/><Relationship Id="rId73" Type="http://schemas.openxmlformats.org/officeDocument/2006/relationships/image" Target="media/image30.wmf"/><Relationship Id="rId78" Type="http://schemas.openxmlformats.org/officeDocument/2006/relationships/oleObject" Target="embeddings/oleObject31.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yperlink" Target="mailto:angela.haddad@utexas.edu" TargetMode="Externa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oleObject" Target="embeddings/oleObject9.bin"/><Relationship Id="rId109" Type="http://schemas.openxmlformats.org/officeDocument/2006/relationships/theme" Target="theme/theme1.xml"/><Relationship Id="rId34" Type="http://schemas.openxmlformats.org/officeDocument/2006/relationships/image" Target="media/image12.wmf"/><Relationship Id="rId50" Type="http://schemas.openxmlformats.org/officeDocument/2006/relationships/oleObject" Target="embeddings/oleObject15.bin"/><Relationship Id="rId55" Type="http://schemas.openxmlformats.org/officeDocument/2006/relationships/oleObject" Target="embeddings/oleObject18.bin"/><Relationship Id="rId76" Type="http://schemas.openxmlformats.org/officeDocument/2006/relationships/oleObject" Target="embeddings/oleObject29.bin"/><Relationship Id="rId97" Type="http://schemas.openxmlformats.org/officeDocument/2006/relationships/oleObject" Target="embeddings/oleObject42.bin"/><Relationship Id="rId104"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image" Target="media/image39.wmf"/><Relationship Id="rId61" Type="http://schemas.openxmlformats.org/officeDocument/2006/relationships/oleObject" Target="embeddings/oleObject21.bin"/><Relationship Id="rId82" Type="http://schemas.openxmlformats.org/officeDocument/2006/relationships/oleObject" Target="embeddings/oleObject33.bin"/><Relationship Id="rId19"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image" Target="media/image10.w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image" Target="media/image45.wmf"/><Relationship Id="rId105" Type="http://schemas.openxmlformats.org/officeDocument/2006/relationships/image" Target="media/image48.png"/><Relationship Id="rId8" Type="http://schemas.openxmlformats.org/officeDocument/2006/relationships/hyperlink" Target="mailto:annabeliveau@utexas.edu" TargetMode="External"/><Relationship Id="rId51" Type="http://schemas.openxmlformats.org/officeDocument/2006/relationships/oleObject" Target="embeddings/oleObject16.bin"/><Relationship Id="rId72" Type="http://schemas.openxmlformats.org/officeDocument/2006/relationships/oleObject" Target="embeddings/oleObject27.bin"/><Relationship Id="rId93" Type="http://schemas.openxmlformats.org/officeDocument/2006/relationships/oleObject" Target="embeddings/oleObject40.bin"/><Relationship Id="rId98" Type="http://schemas.openxmlformats.org/officeDocument/2006/relationships/image" Target="media/image44.wmf"/><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18.wmf"/><Relationship Id="rId67" Type="http://schemas.openxmlformats.org/officeDocument/2006/relationships/oleObject" Target="embeddings/oleObject24.bin"/><Relationship Id="rId20" Type="http://schemas.openxmlformats.org/officeDocument/2006/relationships/image" Target="media/image4.png"/><Relationship Id="rId41" Type="http://schemas.openxmlformats.org/officeDocument/2006/relationships/oleObject" Target="embeddings/oleObject10.bin"/><Relationship Id="rId62" Type="http://schemas.openxmlformats.org/officeDocument/2006/relationships/image" Target="media/image25.wmf"/><Relationship Id="rId83" Type="http://schemas.openxmlformats.org/officeDocument/2006/relationships/image" Target="media/image36.wmf"/><Relationship Id="rId88" Type="http://schemas.openxmlformats.org/officeDocument/2006/relationships/oleObject" Target="embeddings/oleObject37.bin"/></Relationships>
</file>

<file path=word/_rels/footnotes.xml.rels><?xml version="1.0" encoding="UTF-8" standalone="yes"?>
<Relationships xmlns="http://schemas.openxmlformats.org/package/2006/relationships"><Relationship Id="rId3" Type="http://schemas.openxmlformats.org/officeDocument/2006/relationships/image" Target="media/image37.wmf"/><Relationship Id="rId2" Type="http://schemas.openxmlformats.org/officeDocument/2006/relationships/oleObject" Target="embeddings/oleObject30.bin"/><Relationship Id="rId1" Type="http://schemas.openxmlformats.org/officeDocument/2006/relationships/image" Target="media/image32.wmf"/><Relationship Id="rId4" Type="http://schemas.openxmlformats.org/officeDocument/2006/relationships/oleObject" Target="embeddings/oleObject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90A2D-221B-4328-B28F-199E9459B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74890</Words>
  <Characters>465817</Characters>
  <Application>Microsoft Office Word</Application>
  <DocSecurity>0</DocSecurity>
  <Lines>9911</Lines>
  <Paragraphs>4159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536548</CharactersWithSpaces>
  <SharedDoc>false</SharedDoc>
  <HLinks>
    <vt:vector size="36" baseType="variant">
      <vt:variant>
        <vt:i4>3670115</vt:i4>
      </vt:variant>
      <vt:variant>
        <vt:i4>744</vt:i4>
      </vt:variant>
      <vt:variant>
        <vt:i4>0</vt:i4>
      </vt:variant>
      <vt:variant>
        <vt:i4>5</vt:i4>
      </vt:variant>
      <vt:variant>
        <vt:lpwstr>https://www.zotero.org/google-docs/?MVcNGO</vt:lpwstr>
      </vt:variant>
      <vt:variant>
        <vt:lpwstr/>
      </vt:variant>
      <vt:variant>
        <vt:i4>1507430</vt:i4>
      </vt:variant>
      <vt:variant>
        <vt:i4>12</vt:i4>
      </vt:variant>
      <vt:variant>
        <vt:i4>0</vt:i4>
      </vt:variant>
      <vt:variant>
        <vt:i4>5</vt:i4>
      </vt:variant>
      <vt:variant>
        <vt:lpwstr>mailto:bhat@mail.utexas.edu</vt:lpwstr>
      </vt:variant>
      <vt:variant>
        <vt:lpwstr/>
      </vt:variant>
      <vt:variant>
        <vt:i4>5111911</vt:i4>
      </vt:variant>
      <vt:variant>
        <vt:i4>9</vt:i4>
      </vt:variant>
      <vt:variant>
        <vt:i4>0</vt:i4>
      </vt:variant>
      <vt:variant>
        <vt:i4>5</vt:i4>
      </vt:variant>
      <vt:variant>
        <vt:lpwstr>mailto:devinasharma@utexas.edu</vt:lpwstr>
      </vt:variant>
      <vt:variant>
        <vt:lpwstr/>
      </vt:variant>
      <vt:variant>
        <vt:i4>5963874</vt:i4>
      </vt:variant>
      <vt:variant>
        <vt:i4>6</vt:i4>
      </vt:variant>
      <vt:variant>
        <vt:i4>0</vt:i4>
      </vt:variant>
      <vt:variant>
        <vt:i4>5</vt:i4>
      </vt:variant>
      <vt:variant>
        <vt:lpwstr>mailto:annabeliveau@utexas.edu</vt:lpwstr>
      </vt:variant>
      <vt:variant>
        <vt:lpwstr/>
      </vt:variant>
      <vt:variant>
        <vt:i4>6226020</vt:i4>
      </vt:variant>
      <vt:variant>
        <vt:i4>3</vt:i4>
      </vt:variant>
      <vt:variant>
        <vt:i4>0</vt:i4>
      </vt:variant>
      <vt:variant>
        <vt:i4>5</vt:i4>
      </vt:variant>
      <vt:variant>
        <vt:lpwstr>mailto:emilypodnar@utexas.edu</vt:lpwstr>
      </vt:variant>
      <vt:variant>
        <vt:lpwstr/>
      </vt:variant>
      <vt:variant>
        <vt:i4>8126487</vt:i4>
      </vt:variant>
      <vt:variant>
        <vt:i4>0</vt:i4>
      </vt:variant>
      <vt:variant>
        <vt:i4>0</vt:i4>
      </vt:variant>
      <vt:variant>
        <vt:i4>5</vt:i4>
      </vt:variant>
      <vt:variant>
        <vt:lpwstr>mailto:angela.haddad@utexas.edu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Bhat, Chandra R</dc:creator>
  <cp:keywords/>
  <cp:lastModifiedBy>Macias, Lisa J</cp:lastModifiedBy>
  <cp:revision>3</cp:revision>
  <cp:lastPrinted>2026-01-05T21:54:00Z</cp:lastPrinted>
  <dcterms:created xsi:type="dcterms:W3CDTF">2026-02-18T21:20:00Z</dcterms:created>
  <dcterms:modified xsi:type="dcterms:W3CDTF">2026-02-18T21:22:00Z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id="QK522opz"/&gt;&lt;style id="http://www.zotero.org/styles/apa" locale="en-US" hasBibliography="1" bibliographyStyleHasBeenSet="1"/&gt;&lt;prefs&gt;&lt;pref name="fieldType" value="Field"/&gt;&lt;/prefs&gt;&lt;/data&gt;</vt:lpwstr>
  </property>
  <property fmtid="{D5CDD505-2E9C-101B-9397-08002B2CF9AE}" pid="3" name="MTWinEqns">
    <vt:bool>true</vt:bool>
  </property>
</Properties>
</file>