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8089AC" w14:textId="77777777" w:rsidR="00617C0C" w:rsidRPr="00617C0C" w:rsidRDefault="00617C0C" w:rsidP="00617C0C">
      <w:pPr>
        <w:pStyle w:val="Heading1"/>
        <w:numPr>
          <w:ilvl w:val="0"/>
          <w:numId w:val="0"/>
        </w:numPr>
        <w:spacing w:line="240" w:lineRule="auto"/>
        <w:ind w:left="432"/>
        <w:jc w:val="center"/>
        <w:rPr>
          <w:b w:val="0"/>
        </w:rPr>
      </w:pPr>
    </w:p>
    <w:p w14:paraId="72EDE275" w14:textId="77777777" w:rsidR="00617C0C" w:rsidRPr="00617C0C" w:rsidRDefault="00617C0C" w:rsidP="00617C0C">
      <w:pPr>
        <w:pStyle w:val="Heading1"/>
        <w:numPr>
          <w:ilvl w:val="0"/>
          <w:numId w:val="0"/>
        </w:numPr>
        <w:spacing w:line="240" w:lineRule="auto"/>
        <w:ind w:left="432"/>
        <w:jc w:val="center"/>
        <w:rPr>
          <w:b w:val="0"/>
        </w:rPr>
      </w:pPr>
    </w:p>
    <w:p w14:paraId="745861C5" w14:textId="6E56828F" w:rsidR="00617C0C" w:rsidRDefault="00617C0C" w:rsidP="00617C0C">
      <w:pPr>
        <w:pStyle w:val="Heading1"/>
        <w:numPr>
          <w:ilvl w:val="0"/>
          <w:numId w:val="0"/>
        </w:numPr>
        <w:spacing w:line="240" w:lineRule="auto"/>
        <w:ind w:left="432"/>
        <w:jc w:val="center"/>
        <w:rPr>
          <w:b w:val="0"/>
        </w:rPr>
      </w:pPr>
    </w:p>
    <w:p w14:paraId="07DB8A2F" w14:textId="0C50E5A6" w:rsidR="00617C0C" w:rsidRDefault="00617C0C" w:rsidP="00617C0C"/>
    <w:p w14:paraId="1686CA1A" w14:textId="77777777" w:rsidR="00617C0C" w:rsidRPr="00617C0C" w:rsidRDefault="00617C0C" w:rsidP="00617C0C"/>
    <w:p w14:paraId="6244FF8C" w14:textId="7DABB042" w:rsidR="00B540BA" w:rsidRPr="00617C0C" w:rsidRDefault="00B540BA" w:rsidP="00617C0C">
      <w:pPr>
        <w:pStyle w:val="Heading1"/>
        <w:numPr>
          <w:ilvl w:val="0"/>
          <w:numId w:val="0"/>
        </w:numPr>
        <w:spacing w:line="240" w:lineRule="auto"/>
        <w:ind w:left="432"/>
        <w:jc w:val="center"/>
      </w:pPr>
      <w:r w:rsidRPr="00617C0C">
        <w:t>The Interplay between Teleworking Choice and Commute Distance</w:t>
      </w:r>
    </w:p>
    <w:p w14:paraId="3E95D12F" w14:textId="1486BFA2" w:rsidR="00617C0C" w:rsidRPr="00617C0C" w:rsidRDefault="00617C0C" w:rsidP="00617C0C"/>
    <w:p w14:paraId="10726F3D" w14:textId="11223248" w:rsidR="00617C0C" w:rsidRPr="00617C0C" w:rsidRDefault="00617C0C" w:rsidP="00617C0C"/>
    <w:p w14:paraId="67EFB3B1" w14:textId="71CD8EB3" w:rsidR="00617C0C" w:rsidRPr="00617C0C" w:rsidRDefault="00617C0C" w:rsidP="00617C0C"/>
    <w:p w14:paraId="75E85D77" w14:textId="4C041525" w:rsidR="00617C0C" w:rsidRDefault="00617C0C" w:rsidP="00617C0C"/>
    <w:p w14:paraId="53AC1424" w14:textId="77777777" w:rsidR="00617C0C" w:rsidRPr="00617C0C" w:rsidRDefault="00617C0C" w:rsidP="00617C0C"/>
    <w:p w14:paraId="37EEAAFD" w14:textId="77777777" w:rsidR="00617C0C" w:rsidRPr="007E6974" w:rsidRDefault="00617C0C" w:rsidP="00617C0C">
      <w:pPr>
        <w:spacing w:after="0" w:line="240" w:lineRule="auto"/>
        <w:jc w:val="center"/>
        <w:rPr>
          <w:b/>
          <w:bCs/>
        </w:rPr>
      </w:pPr>
      <w:r w:rsidRPr="007E6974">
        <w:rPr>
          <w:b/>
          <w:bCs/>
        </w:rPr>
        <w:t>Katherine E. Asmussen</w:t>
      </w:r>
    </w:p>
    <w:p w14:paraId="5A2286CC" w14:textId="77777777" w:rsidR="00617C0C" w:rsidRPr="007E6974" w:rsidRDefault="00617C0C" w:rsidP="00617C0C">
      <w:pPr>
        <w:spacing w:after="0" w:line="240" w:lineRule="auto"/>
        <w:jc w:val="center"/>
        <w:rPr>
          <w:bCs/>
        </w:rPr>
      </w:pPr>
      <w:r w:rsidRPr="007E6974">
        <w:t>The University of Texas at Austin</w:t>
      </w:r>
    </w:p>
    <w:p w14:paraId="799A269C" w14:textId="77777777" w:rsidR="00617C0C" w:rsidRPr="007E6974" w:rsidRDefault="00617C0C" w:rsidP="00617C0C">
      <w:pPr>
        <w:spacing w:after="0" w:line="240" w:lineRule="auto"/>
        <w:jc w:val="center"/>
        <w:rPr>
          <w:bCs/>
        </w:rPr>
      </w:pPr>
      <w:r w:rsidRPr="007E6974">
        <w:t>Department of Civil, Architectural and Environmental Engineering</w:t>
      </w:r>
    </w:p>
    <w:p w14:paraId="29C81B18" w14:textId="77777777" w:rsidR="00617C0C" w:rsidRPr="007E6974" w:rsidRDefault="00617C0C" w:rsidP="00617C0C">
      <w:pPr>
        <w:spacing w:after="0" w:line="240" w:lineRule="auto"/>
        <w:jc w:val="center"/>
        <w:rPr>
          <w:bCs/>
        </w:rPr>
      </w:pPr>
      <w:r w:rsidRPr="007E6974">
        <w:t>301 E. Dean Keeton St. Stop C1761, Austin TX 78712, USA</w:t>
      </w:r>
    </w:p>
    <w:p w14:paraId="7CC43B43" w14:textId="77777777" w:rsidR="00617C0C" w:rsidRPr="007E6974" w:rsidRDefault="00617C0C" w:rsidP="00617C0C">
      <w:pPr>
        <w:spacing w:after="0" w:line="240" w:lineRule="auto"/>
        <w:jc w:val="center"/>
        <w:rPr>
          <w:rStyle w:val="Hyperlink"/>
        </w:rPr>
      </w:pPr>
      <w:r w:rsidRPr="007E6974">
        <w:t xml:space="preserve">Email: </w:t>
      </w:r>
      <w:hyperlink r:id="rId8" w:history="1">
        <w:r w:rsidRPr="007E6974">
          <w:rPr>
            <w:rStyle w:val="Hyperlink"/>
          </w:rPr>
          <w:t>kasmussen29@utexas.edu</w:t>
        </w:r>
      </w:hyperlink>
    </w:p>
    <w:p w14:paraId="0F22677D" w14:textId="77777777" w:rsidR="00617C0C" w:rsidRPr="007E6974" w:rsidRDefault="00617C0C" w:rsidP="00617C0C">
      <w:pPr>
        <w:spacing w:after="0" w:line="240" w:lineRule="auto"/>
        <w:jc w:val="center"/>
        <w:rPr>
          <w:rStyle w:val="Hyperlink"/>
        </w:rPr>
      </w:pPr>
    </w:p>
    <w:p w14:paraId="35E8DA7C" w14:textId="77777777" w:rsidR="00617C0C" w:rsidRPr="007E6974" w:rsidRDefault="00617C0C" w:rsidP="00617C0C">
      <w:pPr>
        <w:spacing w:after="0" w:line="240" w:lineRule="auto"/>
        <w:jc w:val="center"/>
        <w:rPr>
          <w:b/>
          <w:bCs/>
        </w:rPr>
      </w:pPr>
      <w:r w:rsidRPr="007E6974">
        <w:rPr>
          <w:b/>
          <w:bCs/>
        </w:rPr>
        <w:t>Aupal Mondal</w:t>
      </w:r>
    </w:p>
    <w:p w14:paraId="4112AA1A" w14:textId="77777777" w:rsidR="00617C0C" w:rsidRPr="007E6974" w:rsidRDefault="00617C0C" w:rsidP="00617C0C">
      <w:pPr>
        <w:spacing w:after="0" w:line="240" w:lineRule="auto"/>
        <w:jc w:val="center"/>
        <w:rPr>
          <w:bCs/>
        </w:rPr>
      </w:pPr>
      <w:r w:rsidRPr="007E6974">
        <w:t>The University of Texas at Austin</w:t>
      </w:r>
    </w:p>
    <w:p w14:paraId="0414863C" w14:textId="77777777" w:rsidR="00617C0C" w:rsidRPr="007E6974" w:rsidRDefault="00617C0C" w:rsidP="00617C0C">
      <w:pPr>
        <w:spacing w:after="0" w:line="240" w:lineRule="auto"/>
        <w:jc w:val="center"/>
        <w:rPr>
          <w:bCs/>
        </w:rPr>
      </w:pPr>
      <w:r w:rsidRPr="007E6974">
        <w:t>Department of Civil, Architectural and Environmental Engineering</w:t>
      </w:r>
    </w:p>
    <w:p w14:paraId="226E56A8" w14:textId="77777777" w:rsidR="00617C0C" w:rsidRPr="007E6974" w:rsidRDefault="00617C0C" w:rsidP="00617C0C">
      <w:pPr>
        <w:spacing w:after="0" w:line="240" w:lineRule="auto"/>
        <w:jc w:val="center"/>
        <w:rPr>
          <w:bCs/>
        </w:rPr>
      </w:pPr>
      <w:r w:rsidRPr="007E6974">
        <w:t>301 E. Dean Keeton St. Stop C1761, Austin TX 78712, USA</w:t>
      </w:r>
    </w:p>
    <w:p w14:paraId="7DFF40F8" w14:textId="77777777" w:rsidR="00617C0C" w:rsidRPr="007E6974" w:rsidRDefault="00617C0C" w:rsidP="00617C0C">
      <w:pPr>
        <w:spacing w:after="0" w:line="240" w:lineRule="auto"/>
        <w:jc w:val="center"/>
      </w:pPr>
      <w:r w:rsidRPr="007E6974">
        <w:t xml:space="preserve">Email: </w:t>
      </w:r>
      <w:hyperlink r:id="rId9" w:history="1">
        <w:r w:rsidRPr="007E6974">
          <w:rPr>
            <w:rStyle w:val="Hyperlink"/>
          </w:rPr>
          <w:t>aupal.mondal@utexas.edu</w:t>
        </w:r>
      </w:hyperlink>
    </w:p>
    <w:p w14:paraId="446C7769" w14:textId="77777777" w:rsidR="00617C0C" w:rsidRPr="007E6974" w:rsidRDefault="00617C0C" w:rsidP="00617C0C">
      <w:pPr>
        <w:spacing w:after="0" w:line="240" w:lineRule="auto"/>
        <w:jc w:val="center"/>
        <w:rPr>
          <w:rStyle w:val="Style1Char"/>
          <w:b w:val="0"/>
          <w:bCs w:val="0"/>
        </w:rPr>
      </w:pPr>
    </w:p>
    <w:p w14:paraId="102DC0CD" w14:textId="77777777" w:rsidR="00617C0C" w:rsidRPr="007E6974" w:rsidRDefault="00617C0C" w:rsidP="00617C0C">
      <w:pPr>
        <w:spacing w:after="0" w:line="240" w:lineRule="auto"/>
        <w:jc w:val="center"/>
        <w:rPr>
          <w:b/>
          <w:lang w:val="fr-FR"/>
        </w:rPr>
      </w:pPr>
      <w:r w:rsidRPr="007E6974">
        <w:rPr>
          <w:b/>
          <w:lang w:val="fr-FR"/>
        </w:rPr>
        <w:t xml:space="preserve">Chandra R. Bhat </w:t>
      </w:r>
      <w:r w:rsidRPr="007E6974">
        <w:rPr>
          <w:b/>
        </w:rPr>
        <w:t>(corresponding author)</w:t>
      </w:r>
    </w:p>
    <w:p w14:paraId="464A4127" w14:textId="77777777" w:rsidR="00617C0C" w:rsidRPr="007E6974" w:rsidRDefault="00617C0C" w:rsidP="00617C0C">
      <w:pPr>
        <w:spacing w:after="0" w:line="240" w:lineRule="auto"/>
        <w:jc w:val="center"/>
        <w:rPr>
          <w:bCs/>
        </w:rPr>
      </w:pPr>
      <w:r w:rsidRPr="007E6974">
        <w:t>The University of Texas at Austin</w:t>
      </w:r>
    </w:p>
    <w:p w14:paraId="29B2565A" w14:textId="77777777" w:rsidR="00617C0C" w:rsidRPr="007E6974" w:rsidRDefault="00617C0C" w:rsidP="00617C0C">
      <w:pPr>
        <w:spacing w:after="0" w:line="240" w:lineRule="auto"/>
        <w:jc w:val="center"/>
        <w:rPr>
          <w:bCs/>
        </w:rPr>
      </w:pPr>
      <w:r w:rsidRPr="007E6974">
        <w:t>Department of Civil, Architectural and Environmental Engineering</w:t>
      </w:r>
    </w:p>
    <w:p w14:paraId="39A784BA" w14:textId="77777777" w:rsidR="00617C0C" w:rsidRPr="007E6974" w:rsidRDefault="00617C0C" w:rsidP="00617C0C">
      <w:pPr>
        <w:spacing w:after="0" w:line="240" w:lineRule="auto"/>
        <w:jc w:val="center"/>
        <w:rPr>
          <w:bCs/>
        </w:rPr>
      </w:pPr>
      <w:r w:rsidRPr="007E6974">
        <w:t>301 E. Dean Keeton St. Stop C1761, Austin TX 78712, USA</w:t>
      </w:r>
    </w:p>
    <w:p w14:paraId="6A9B98BA" w14:textId="77777777" w:rsidR="00617C0C" w:rsidRPr="007E6974" w:rsidRDefault="00617C0C" w:rsidP="00617C0C">
      <w:pPr>
        <w:spacing w:after="0" w:line="240" w:lineRule="auto"/>
        <w:jc w:val="center"/>
        <w:rPr>
          <w:bCs/>
          <w:lang w:val="fr-FR"/>
        </w:rPr>
      </w:pPr>
      <w:r w:rsidRPr="007E6974">
        <w:rPr>
          <w:lang w:val="pt-BR"/>
        </w:rPr>
        <w:t>Tel:</w:t>
      </w:r>
      <w:r w:rsidRPr="007E6974">
        <w:t xml:space="preserve"> 1-512-471-4535; </w:t>
      </w:r>
      <w:r w:rsidRPr="007E6974">
        <w:rPr>
          <w:lang w:val="fr-FR"/>
        </w:rPr>
        <w:t xml:space="preserve">Email: </w:t>
      </w:r>
      <w:hyperlink r:id="rId10" w:history="1">
        <w:r w:rsidRPr="007E6974">
          <w:rPr>
            <w:rStyle w:val="Hyperlink"/>
            <w:lang w:val="fr-FR"/>
          </w:rPr>
          <w:t>bhat@mail.utexas.edu</w:t>
        </w:r>
      </w:hyperlink>
    </w:p>
    <w:p w14:paraId="7E3EF789" w14:textId="50AB3C01" w:rsidR="00CA73EE" w:rsidRDefault="00CA73EE" w:rsidP="00617C0C">
      <w:pPr>
        <w:spacing w:after="0" w:line="240" w:lineRule="auto"/>
        <w:jc w:val="center"/>
      </w:pPr>
    </w:p>
    <w:p w14:paraId="5429C84E" w14:textId="61F63F49" w:rsidR="00CA73EE" w:rsidRDefault="00CA73EE" w:rsidP="00617C0C">
      <w:pPr>
        <w:spacing w:after="0" w:line="240" w:lineRule="auto"/>
        <w:jc w:val="center"/>
      </w:pPr>
    </w:p>
    <w:p w14:paraId="3EE6C363" w14:textId="77777777" w:rsidR="00CA73EE" w:rsidRPr="00516F08" w:rsidRDefault="00CA73EE" w:rsidP="00617C0C">
      <w:pPr>
        <w:spacing w:after="0" w:line="240" w:lineRule="auto"/>
        <w:jc w:val="center"/>
      </w:pPr>
    </w:p>
    <w:p w14:paraId="6DE6932C" w14:textId="77777777" w:rsidR="00B540BA" w:rsidRPr="00B540BA" w:rsidRDefault="00B540BA" w:rsidP="00617C0C">
      <w:pPr>
        <w:spacing w:after="0" w:line="240" w:lineRule="auto"/>
        <w:jc w:val="center"/>
        <w:rPr>
          <w:b/>
          <w:u w:val="single"/>
        </w:rPr>
      </w:pPr>
    </w:p>
    <w:p w14:paraId="403DB3DB" w14:textId="77777777" w:rsidR="00617C0C" w:rsidRDefault="00617C0C" w:rsidP="00617C0C">
      <w:pPr>
        <w:spacing w:after="0" w:line="240" w:lineRule="auto"/>
        <w:jc w:val="left"/>
        <w:rPr>
          <w:b/>
        </w:rPr>
      </w:pPr>
      <w:r>
        <w:rPr>
          <w:b/>
        </w:rPr>
        <w:br w:type="page"/>
      </w:r>
    </w:p>
    <w:p w14:paraId="54C22053" w14:textId="72158FE2" w:rsidR="00256DF4" w:rsidRDefault="00256DF4" w:rsidP="00617C0C">
      <w:pPr>
        <w:spacing w:after="0" w:line="240" w:lineRule="auto"/>
        <w:jc w:val="left"/>
        <w:rPr>
          <w:b/>
        </w:rPr>
      </w:pPr>
      <w:r w:rsidRPr="00256DF4">
        <w:rPr>
          <w:b/>
        </w:rPr>
        <w:lastRenderedPageBreak/>
        <w:t xml:space="preserve">ABSTRACT </w:t>
      </w:r>
    </w:p>
    <w:p w14:paraId="1B2BC17D" w14:textId="56EAE90B" w:rsidR="00FF4C7F" w:rsidRDefault="00FF4C7F" w:rsidP="00617C0C">
      <w:pPr>
        <w:spacing w:after="0" w:line="240" w:lineRule="auto"/>
      </w:pPr>
      <w:bookmarkStart w:id="0" w:name="_Hlk138223255"/>
      <w:r w:rsidRPr="00163851">
        <w:rPr>
          <w:szCs w:val="24"/>
        </w:rPr>
        <w:t xml:space="preserve">In this </w:t>
      </w:r>
      <w:r w:rsidR="00055DD9">
        <w:rPr>
          <w:szCs w:val="24"/>
        </w:rPr>
        <w:t>study</w:t>
      </w:r>
      <w:r w:rsidRPr="00163851">
        <w:rPr>
          <w:szCs w:val="24"/>
        </w:rPr>
        <w:t xml:space="preserve">, we model the </w:t>
      </w:r>
      <w:r w:rsidR="00C8568C">
        <w:rPr>
          <w:szCs w:val="24"/>
        </w:rPr>
        <w:t>telework</w:t>
      </w:r>
      <w:r w:rsidR="00055DD9" w:rsidRPr="00163851">
        <w:rPr>
          <w:szCs w:val="24"/>
        </w:rPr>
        <w:t>-</w:t>
      </w:r>
      <w:r w:rsidR="00055DD9" w:rsidRPr="00E81D60">
        <w:t xml:space="preserve">commute distance </w:t>
      </w:r>
      <w:r w:rsidRPr="00163851">
        <w:rPr>
          <w:szCs w:val="24"/>
        </w:rPr>
        <w:t>decisio</w:t>
      </w:r>
      <w:r w:rsidR="00C8568C">
        <w:rPr>
          <w:szCs w:val="24"/>
        </w:rPr>
        <w:t xml:space="preserve">n </w:t>
      </w:r>
      <w:r w:rsidRPr="00163851">
        <w:rPr>
          <w:szCs w:val="24"/>
        </w:rPr>
        <w:t>process as a package choice</w:t>
      </w:r>
      <w:r w:rsidR="004F03C1">
        <w:rPr>
          <w:szCs w:val="24"/>
        </w:rPr>
        <w:t xml:space="preserve">, </w:t>
      </w:r>
      <w:r w:rsidR="00055DD9">
        <w:rPr>
          <w:szCs w:val="24"/>
        </w:rPr>
        <w:t>and</w:t>
      </w:r>
      <w:r w:rsidRPr="00163851">
        <w:rPr>
          <w:szCs w:val="24"/>
        </w:rPr>
        <w:t xml:space="preserve"> use a latent segmentation approach to recognize that some individuals may choose their telework arrangement first and then choose their commute distance (their residential location), while others may adopt a reverse causal behavioral process. The </w:t>
      </w:r>
      <w:r>
        <w:rPr>
          <w:szCs w:val="24"/>
        </w:rPr>
        <w:t xml:space="preserve">latent segment </w:t>
      </w:r>
      <w:r w:rsidRPr="00163851">
        <w:rPr>
          <w:szCs w:val="24"/>
        </w:rPr>
        <w:t xml:space="preserve">modeling methodology combines a multiple discrete-continuous </w:t>
      </w:r>
      <w:proofErr w:type="spellStart"/>
      <w:r w:rsidRPr="00163851">
        <w:rPr>
          <w:szCs w:val="24"/>
        </w:rPr>
        <w:t>probit</w:t>
      </w:r>
      <w:proofErr w:type="spellEnd"/>
      <w:r w:rsidRPr="00163851">
        <w:rPr>
          <w:szCs w:val="24"/>
        </w:rPr>
        <w:t xml:space="preserve"> model for telework adoption/intensity </w:t>
      </w:r>
      <w:r w:rsidR="00055DD9">
        <w:rPr>
          <w:szCs w:val="24"/>
        </w:rPr>
        <w:t>as</w:t>
      </w:r>
      <w:r w:rsidRPr="00163851">
        <w:rPr>
          <w:szCs w:val="24"/>
        </w:rPr>
        <w:t xml:space="preserve"> the proportion of monthly workdays worked from home, from the office, and from a variable third </w:t>
      </w:r>
      <w:r>
        <w:rPr>
          <w:szCs w:val="24"/>
        </w:rPr>
        <w:t>workplace</w:t>
      </w:r>
      <w:r w:rsidRPr="00163851">
        <w:rPr>
          <w:szCs w:val="24"/>
        </w:rPr>
        <w:t xml:space="preserve">, with a log-linear regression model for commute distance (the </w:t>
      </w:r>
      <w:r>
        <w:rPr>
          <w:szCs w:val="24"/>
        </w:rPr>
        <w:t>home-</w:t>
      </w:r>
      <w:r w:rsidR="00D521AA">
        <w:rPr>
          <w:szCs w:val="24"/>
        </w:rPr>
        <w:t>to-</w:t>
      </w:r>
      <w:r>
        <w:rPr>
          <w:szCs w:val="24"/>
        </w:rPr>
        <w:t xml:space="preserve">office </w:t>
      </w:r>
      <w:r w:rsidRPr="00163851">
        <w:rPr>
          <w:szCs w:val="24"/>
        </w:rPr>
        <w:t xml:space="preserve">distance). </w:t>
      </w:r>
      <w:r w:rsidR="00B4536B" w:rsidRPr="00163851">
        <w:rPr>
          <w:szCs w:val="24"/>
        </w:rPr>
        <w:t xml:space="preserve">The data </w:t>
      </w:r>
      <w:r w:rsidR="00B4536B">
        <w:rPr>
          <w:szCs w:val="24"/>
        </w:rPr>
        <w:t xml:space="preserve">for our analysis </w:t>
      </w:r>
      <w:r w:rsidR="00B4536B" w:rsidRPr="00163851">
        <w:rPr>
          <w:szCs w:val="24"/>
        </w:rPr>
        <w:t xml:space="preserve">is drawn from a 2022 </w:t>
      </w:r>
      <w:r w:rsidR="00B4536B">
        <w:rPr>
          <w:szCs w:val="24"/>
        </w:rPr>
        <w:t>survey of</w:t>
      </w:r>
      <w:r w:rsidR="00B4536B" w:rsidRPr="00163851">
        <w:rPr>
          <w:szCs w:val="24"/>
        </w:rPr>
        <w:t xml:space="preserve"> Texas residents. </w:t>
      </w:r>
      <w:r w:rsidR="00055DD9">
        <w:rPr>
          <w:szCs w:val="24"/>
        </w:rPr>
        <w:t>R</w:t>
      </w:r>
      <w:r>
        <w:t>esults suggest that about 2</w:t>
      </w:r>
      <w:r w:rsidR="00865677">
        <w:t>0</w:t>
      </w:r>
      <w:r>
        <w:t xml:space="preserve">% of the population are likely “movers”, whose </w:t>
      </w:r>
      <w:r w:rsidR="00C8568C">
        <w:t xml:space="preserve">telework </w:t>
      </w:r>
      <w:r>
        <w:t xml:space="preserve">choices </w:t>
      </w:r>
      <w:r w:rsidR="004271CD">
        <w:t xml:space="preserve">led to a residential move that changed </w:t>
      </w:r>
      <w:r>
        <w:t xml:space="preserve">commute distance, while the other </w:t>
      </w:r>
      <w:r w:rsidR="00865677">
        <w:t>80</w:t>
      </w:r>
      <w:r>
        <w:t xml:space="preserve">% are “stayers”, whose commute distance </w:t>
      </w:r>
      <w:r w:rsidR="004271CD">
        <w:t>at their predetermined (to telework) residential location changed telework habits</w:t>
      </w:r>
      <w:r>
        <w:t xml:space="preserve">. We further quantify the impact of teleworking on commute distances by computing the expected commute distance for several </w:t>
      </w:r>
      <w:r w:rsidR="00C8568C">
        <w:t>telework distribution</w:t>
      </w:r>
      <w:r>
        <w:t xml:space="preserve"> preferences. </w:t>
      </w:r>
      <w:r w:rsidR="00055DD9">
        <w:t>A</w:t>
      </w:r>
      <w:r>
        <w:t xml:space="preserve"> shift from 100% in-person work to 100% home-based remote work increases average commute </w:t>
      </w:r>
      <w:r w:rsidRPr="005E3F39">
        <w:t xml:space="preserve">distance by </w:t>
      </w:r>
      <w:r w:rsidR="00193293">
        <w:t>64.8</w:t>
      </w:r>
      <w:r w:rsidRPr="00A61E5D">
        <w:t xml:space="preserve">%, </w:t>
      </w:r>
      <w:r w:rsidRPr="00C8568C">
        <w:t xml:space="preserve">while working from a third workplace for any portion of a month </w:t>
      </w:r>
      <w:r w:rsidR="00BC42FF">
        <w:t>reduces commute lengths relative to only home-based telework</w:t>
      </w:r>
      <w:r w:rsidRPr="00C8568C">
        <w:t>.</w:t>
      </w:r>
      <w:r w:rsidRPr="00A61E5D">
        <w:t xml:space="preserve"> In</w:t>
      </w:r>
      <w:r>
        <w:t xml:space="preserve"> terms of monthly commute </w:t>
      </w:r>
      <w:r w:rsidR="004F03C1">
        <w:t>vehicle miles traveled (</w:t>
      </w:r>
      <w:r>
        <w:t>VMT</w:t>
      </w:r>
      <w:r w:rsidR="004F03C1">
        <w:t>)</w:t>
      </w:r>
      <w:r>
        <w:t xml:space="preserve">, working from </w:t>
      </w:r>
      <w:r w:rsidRPr="003B0FE0">
        <w:t xml:space="preserve">home for less than </w:t>
      </w:r>
      <w:r w:rsidR="00C8568C" w:rsidRPr="003B0FE0">
        <w:t>18.6</w:t>
      </w:r>
      <w:r w:rsidRPr="003B0FE0">
        <w:t>% of</w:t>
      </w:r>
      <w:r>
        <w:t xml:space="preserve"> the month </w:t>
      </w:r>
      <w:r w:rsidR="00D46B85">
        <w:t>(about once a week)</w:t>
      </w:r>
      <w:r w:rsidR="00E03CA1">
        <w:t xml:space="preserve"> per worker</w:t>
      </w:r>
      <w:r w:rsidR="00D46B85">
        <w:t xml:space="preserve"> </w:t>
      </w:r>
      <w:r w:rsidR="00C8568C">
        <w:t xml:space="preserve">actually increases overall </w:t>
      </w:r>
      <w:r w:rsidR="003A54C3">
        <w:t xml:space="preserve">monthly </w:t>
      </w:r>
      <w:r w:rsidR="00C8568C">
        <w:t>commute VMT</w:t>
      </w:r>
      <w:r w:rsidR="00407D33">
        <w:t xml:space="preserve">. </w:t>
      </w:r>
      <w:r w:rsidR="003A54C3">
        <w:t>Monthly c</w:t>
      </w:r>
      <w:r w:rsidR="00407D33">
        <w:t xml:space="preserve">ommute VMT reductions become tangible only at about 30-40% telework </w:t>
      </w:r>
      <w:r w:rsidR="00E03CA1">
        <w:t xml:space="preserve">for each worker </w:t>
      </w:r>
      <w:r w:rsidR="00407D33">
        <w:t>(about two days of telework per week for full-time workers with 22 workdays per month). In general, between 0</w:t>
      </w:r>
      <w:r w:rsidR="00E03CA1">
        <w:t xml:space="preserve"> to </w:t>
      </w:r>
      <w:r w:rsidR="00407D33">
        <w:t xml:space="preserve">40% home-based telework </w:t>
      </w:r>
      <w:r w:rsidR="00E03CA1">
        <w:t xml:space="preserve">per worker (with </w:t>
      </w:r>
      <w:r w:rsidR="00407D33">
        <w:t xml:space="preserve">the remaining </w:t>
      </w:r>
      <w:r w:rsidR="00E03CA1">
        <w:t xml:space="preserve">percentage </w:t>
      </w:r>
      <w:r w:rsidR="00407D33">
        <w:t>at the office</w:t>
      </w:r>
      <w:r w:rsidR="00E03CA1">
        <w:t>)</w:t>
      </w:r>
      <w:r w:rsidR="00407D33">
        <w:t xml:space="preserve">, there is a 10% commute VMT reduction for each 10% increase in home-based telework. In the range of 40% to 80% home-based telework, there is about a 13% commute VMT reduction for every 10% increase in home-based telework. And in the range of 80%-100% home-based telework reduction, there is about a 15% commute VMT reduction for every 10% increase in home-based telework. </w:t>
      </w:r>
    </w:p>
    <w:p w14:paraId="0CFB2AD5" w14:textId="1AA6ED12" w:rsidR="00CD3723" w:rsidRDefault="00CD3723" w:rsidP="00617C0C">
      <w:pPr>
        <w:spacing w:after="0" w:line="240" w:lineRule="auto"/>
      </w:pPr>
    </w:p>
    <w:p w14:paraId="10E18E27" w14:textId="7C6F2628" w:rsidR="00CD3723" w:rsidRDefault="00CD3723" w:rsidP="00617C0C">
      <w:pPr>
        <w:spacing w:after="0" w:line="240" w:lineRule="auto"/>
      </w:pPr>
      <w:r w:rsidRPr="00CD3723">
        <w:rPr>
          <w:i/>
        </w:rPr>
        <w:t>Keywords:</w:t>
      </w:r>
      <w:r>
        <w:t xml:space="preserve"> Telework, commute distance, hybrid work, residential location, causal relationship, latent segments</w:t>
      </w:r>
    </w:p>
    <w:p w14:paraId="0A26B14C" w14:textId="564A79BE" w:rsidR="003A54C3" w:rsidRDefault="003A54C3" w:rsidP="00617C0C">
      <w:pPr>
        <w:spacing w:after="0" w:line="240" w:lineRule="auto"/>
      </w:pPr>
    </w:p>
    <w:bookmarkEnd w:id="0"/>
    <w:p w14:paraId="447675AF" w14:textId="20880081" w:rsidR="00A51419" w:rsidRPr="00163851" w:rsidRDefault="00A51419" w:rsidP="00617C0C">
      <w:pPr>
        <w:spacing w:after="0" w:line="240" w:lineRule="auto"/>
        <w:rPr>
          <w:szCs w:val="24"/>
        </w:rPr>
      </w:pPr>
    </w:p>
    <w:p w14:paraId="6F645F0D" w14:textId="1C882364" w:rsidR="00256DF4" w:rsidRPr="00256DF4" w:rsidRDefault="00256DF4">
      <w:pPr>
        <w:jc w:val="left"/>
        <w:sectPr w:rsidR="00256DF4" w:rsidRPr="00256DF4" w:rsidSect="00256DF4">
          <w:pgSz w:w="12240" w:h="15840"/>
          <w:pgMar w:top="1440" w:right="1440" w:bottom="1440" w:left="1440" w:header="720" w:footer="720" w:gutter="0"/>
          <w:cols w:space="720"/>
          <w:titlePg/>
          <w:docGrid w:linePitch="360"/>
        </w:sectPr>
      </w:pPr>
    </w:p>
    <w:p w14:paraId="164C76D5" w14:textId="353DAE8F" w:rsidR="00F070AE" w:rsidRPr="00256DF4" w:rsidRDefault="00F070AE" w:rsidP="00303FC0">
      <w:pPr>
        <w:pStyle w:val="Heading1"/>
        <w:spacing w:line="240" w:lineRule="auto"/>
        <w:ind w:left="360" w:hanging="360"/>
      </w:pPr>
      <w:r w:rsidRPr="000E5445">
        <w:lastRenderedPageBreak/>
        <w:t>INTRODUCTION</w:t>
      </w:r>
    </w:p>
    <w:p w14:paraId="0D917064" w14:textId="3855C9E5" w:rsidR="00912FF2" w:rsidRPr="009B6AA5" w:rsidRDefault="009418AE" w:rsidP="00F61E00">
      <w:pPr>
        <w:tabs>
          <w:tab w:val="left" w:pos="3870"/>
        </w:tabs>
        <w:spacing w:after="0" w:line="240" w:lineRule="auto"/>
        <w:rPr>
          <w:color w:val="000000" w:themeColor="text1"/>
          <w:szCs w:val="24"/>
        </w:rPr>
      </w:pPr>
      <w:r w:rsidRPr="00112CEA">
        <w:rPr>
          <w:color w:val="000000" w:themeColor="text1"/>
          <w:szCs w:val="24"/>
        </w:rPr>
        <w:t>During the peak of the</w:t>
      </w:r>
      <w:r w:rsidR="006A4C37" w:rsidRPr="00112CEA">
        <w:rPr>
          <w:color w:val="000000" w:themeColor="text1"/>
          <w:szCs w:val="24"/>
        </w:rPr>
        <w:t xml:space="preserve"> COVID-19 </w:t>
      </w:r>
      <w:r w:rsidRPr="00112CEA">
        <w:rPr>
          <w:color w:val="000000" w:themeColor="text1"/>
          <w:szCs w:val="24"/>
        </w:rPr>
        <w:t xml:space="preserve">pandemic, and </w:t>
      </w:r>
      <w:r w:rsidR="00402C2A" w:rsidRPr="00112CEA">
        <w:rPr>
          <w:color w:val="000000" w:themeColor="text1"/>
          <w:szCs w:val="24"/>
        </w:rPr>
        <w:t>prior to the</w:t>
      </w:r>
      <w:r w:rsidRPr="00112CEA">
        <w:rPr>
          <w:color w:val="000000" w:themeColor="text1"/>
          <w:szCs w:val="24"/>
        </w:rPr>
        <w:t xml:space="preserve"> widespread availability of vaccinations, a </w:t>
      </w:r>
      <w:r w:rsidR="00402C2A" w:rsidRPr="00112CEA">
        <w:rPr>
          <w:color w:val="000000" w:themeColor="text1"/>
          <w:szCs w:val="24"/>
        </w:rPr>
        <w:t>significant proportion of the workforce began working remotely</w:t>
      </w:r>
      <w:r w:rsidR="00402C2A" w:rsidRPr="00112CEA" w:rsidDel="00402C2A">
        <w:rPr>
          <w:color w:val="000000" w:themeColor="text1"/>
          <w:szCs w:val="24"/>
        </w:rPr>
        <w:t xml:space="preserve"> </w:t>
      </w:r>
      <w:r w:rsidRPr="00112CEA">
        <w:rPr>
          <w:color w:val="000000" w:themeColor="text1"/>
          <w:szCs w:val="24"/>
        </w:rPr>
        <w:t>(</w:t>
      </w:r>
      <w:r w:rsidR="00402C2A" w:rsidRPr="00112CEA">
        <w:rPr>
          <w:color w:val="000000" w:themeColor="text1"/>
          <w:szCs w:val="24"/>
        </w:rPr>
        <w:t>primarily f</w:t>
      </w:r>
      <w:r w:rsidRPr="00112CEA">
        <w:rPr>
          <w:color w:val="000000" w:themeColor="text1"/>
          <w:szCs w:val="24"/>
        </w:rPr>
        <w:t xml:space="preserve">rom home). </w:t>
      </w:r>
      <w:r w:rsidR="003C5BF8" w:rsidRPr="00112CEA">
        <w:rPr>
          <w:color w:val="000000" w:themeColor="text1"/>
          <w:szCs w:val="24"/>
        </w:rPr>
        <w:t xml:space="preserve">This represented a dramatic shift from before the pandemic. To be sure, in the United States, </w:t>
      </w:r>
      <w:bookmarkStart w:id="1" w:name="_Hlk133330309"/>
      <w:r w:rsidR="003C5BF8" w:rsidRPr="00112CEA">
        <w:rPr>
          <w:color w:val="000000" w:themeColor="text1"/>
          <w:szCs w:val="24"/>
        </w:rPr>
        <w:t>only six percent of workers primarily worked from a remote location (home or other) before the pandemic</w:t>
      </w:r>
      <w:bookmarkEnd w:id="1"/>
      <w:r w:rsidR="003C5BF8" w:rsidRPr="00112CEA">
        <w:rPr>
          <w:color w:val="000000" w:themeColor="text1"/>
          <w:szCs w:val="24"/>
        </w:rPr>
        <w:t>, while about three-quarters had never worked from a remote location (</w:t>
      </w:r>
      <w:proofErr w:type="spellStart"/>
      <w:r w:rsidR="003C5BF8" w:rsidRPr="00112CEA">
        <w:rPr>
          <w:color w:val="000000" w:themeColor="text1"/>
          <w:szCs w:val="24"/>
        </w:rPr>
        <w:t>Coate</w:t>
      </w:r>
      <w:proofErr w:type="spellEnd"/>
      <w:r w:rsidR="003C5BF8" w:rsidRPr="00112CEA">
        <w:rPr>
          <w:color w:val="000000" w:themeColor="text1"/>
          <w:szCs w:val="24"/>
        </w:rPr>
        <w:t>, 2021).</w:t>
      </w:r>
      <w:r w:rsidR="003C5BF8" w:rsidRPr="00112CEA">
        <w:rPr>
          <w:rStyle w:val="FootnoteReference"/>
          <w:color w:val="000000" w:themeColor="text1"/>
          <w:szCs w:val="24"/>
        </w:rPr>
        <w:footnoteReference w:id="2"/>
      </w:r>
      <w:r w:rsidR="003C5BF8" w:rsidRPr="00112CEA">
        <w:rPr>
          <w:color w:val="000000" w:themeColor="text1"/>
          <w:szCs w:val="24"/>
        </w:rPr>
        <w:t xml:space="preserve">  During the peak of the pandemic in 2020, these percentages rose to 30-40 percent of all employees primarily working remote, and fell to less than 40 percent never having worked remotely (</w:t>
      </w:r>
      <w:proofErr w:type="spellStart"/>
      <w:r w:rsidR="003C5BF8" w:rsidRPr="00112CEA">
        <w:rPr>
          <w:color w:val="000000" w:themeColor="text1"/>
          <w:szCs w:val="24"/>
        </w:rPr>
        <w:t>Coate</w:t>
      </w:r>
      <w:proofErr w:type="spellEnd"/>
      <w:r w:rsidR="003C5BF8" w:rsidRPr="00112CEA">
        <w:rPr>
          <w:color w:val="000000" w:themeColor="text1"/>
          <w:szCs w:val="24"/>
        </w:rPr>
        <w:t xml:space="preserve">, 2021; Saad and </w:t>
      </w:r>
      <w:proofErr w:type="spellStart"/>
      <w:r w:rsidR="003C5BF8" w:rsidRPr="00112CEA">
        <w:rPr>
          <w:color w:val="000000" w:themeColor="text1"/>
          <w:szCs w:val="24"/>
        </w:rPr>
        <w:t>Wigert</w:t>
      </w:r>
      <w:proofErr w:type="spellEnd"/>
      <w:r w:rsidR="003C5BF8" w:rsidRPr="00112CEA">
        <w:rPr>
          <w:color w:val="000000" w:themeColor="text1"/>
          <w:szCs w:val="24"/>
        </w:rPr>
        <w:t>, 2021; Flynn, 202</w:t>
      </w:r>
      <w:r w:rsidR="00FB2BA5" w:rsidRPr="00112CEA">
        <w:rPr>
          <w:color w:val="000000" w:themeColor="text1"/>
          <w:szCs w:val="24"/>
        </w:rPr>
        <w:t>3</w:t>
      </w:r>
      <w:r w:rsidR="003C5BF8" w:rsidRPr="00112CEA">
        <w:rPr>
          <w:color w:val="000000" w:themeColor="text1"/>
          <w:szCs w:val="24"/>
        </w:rPr>
        <w:t xml:space="preserve">). </w:t>
      </w:r>
      <w:r w:rsidR="001C1E56" w:rsidRPr="00112CEA">
        <w:rPr>
          <w:color w:val="000000" w:themeColor="text1"/>
          <w:szCs w:val="24"/>
        </w:rPr>
        <w:t>Indeed, m</w:t>
      </w:r>
      <w:r w:rsidR="00402C2A" w:rsidRPr="00112CEA">
        <w:rPr>
          <w:color w:val="000000" w:themeColor="text1"/>
          <w:szCs w:val="24"/>
        </w:rPr>
        <w:t xml:space="preserve">any workers had no option but to work remotely </w:t>
      </w:r>
      <w:r w:rsidR="001C1E56" w:rsidRPr="00112CEA">
        <w:rPr>
          <w:color w:val="000000" w:themeColor="text1"/>
          <w:szCs w:val="24"/>
        </w:rPr>
        <w:t xml:space="preserve">at the height of the pandemic </w:t>
      </w:r>
      <w:r w:rsidR="00402C2A" w:rsidRPr="00112CEA">
        <w:rPr>
          <w:color w:val="000000" w:themeColor="text1"/>
          <w:szCs w:val="24"/>
        </w:rPr>
        <w:t>due to strict lockdown mandates from local governments</w:t>
      </w:r>
      <w:r w:rsidRPr="00112CEA">
        <w:rPr>
          <w:color w:val="000000" w:themeColor="text1"/>
          <w:szCs w:val="24"/>
        </w:rPr>
        <w:t xml:space="preserve">. </w:t>
      </w:r>
      <w:r w:rsidR="00402C2A" w:rsidRPr="00112CEA">
        <w:rPr>
          <w:color w:val="000000" w:themeColor="text1"/>
          <w:szCs w:val="24"/>
        </w:rPr>
        <w:t xml:space="preserve">However, since mid-2021, with the availability of vaccines and other means to control COVID, employers have reintroduced the option, and in some cases the requirement, to return to the in-person </w:t>
      </w:r>
      <w:r w:rsidR="00A97790" w:rsidRPr="00112CEA">
        <w:rPr>
          <w:color w:val="000000" w:themeColor="text1"/>
          <w:szCs w:val="24"/>
        </w:rPr>
        <w:t xml:space="preserve">designated </w:t>
      </w:r>
      <w:r w:rsidR="00402C2A" w:rsidRPr="00112CEA">
        <w:rPr>
          <w:color w:val="000000" w:themeColor="text1"/>
          <w:szCs w:val="24"/>
        </w:rPr>
        <w:t>workplace</w:t>
      </w:r>
      <w:r w:rsidR="00A97790" w:rsidRPr="00112CEA">
        <w:rPr>
          <w:color w:val="000000" w:themeColor="text1"/>
          <w:szCs w:val="24"/>
        </w:rPr>
        <w:t xml:space="preserve"> (in the rest of this paper, for convenience, the in-person designated workplace will be referred in short as the “office”)</w:t>
      </w:r>
      <w:r w:rsidRPr="00112CEA">
        <w:rPr>
          <w:color w:val="000000" w:themeColor="text1"/>
          <w:szCs w:val="24"/>
        </w:rPr>
        <w:t xml:space="preserve">. </w:t>
      </w:r>
      <w:r w:rsidR="00875343" w:rsidRPr="00112CEA">
        <w:rPr>
          <w:color w:val="000000" w:themeColor="text1"/>
          <w:szCs w:val="24"/>
        </w:rPr>
        <w:t xml:space="preserve">But </w:t>
      </w:r>
      <w:r w:rsidRPr="00112CEA">
        <w:rPr>
          <w:color w:val="000000" w:themeColor="text1"/>
          <w:szCs w:val="24"/>
        </w:rPr>
        <w:t xml:space="preserve">only about 10% of the </w:t>
      </w:r>
      <w:r w:rsidR="00A97790" w:rsidRPr="00112CEA">
        <w:rPr>
          <w:color w:val="000000" w:themeColor="text1"/>
          <w:szCs w:val="24"/>
        </w:rPr>
        <w:t xml:space="preserve">US </w:t>
      </w:r>
      <w:r w:rsidRPr="00112CEA">
        <w:rPr>
          <w:color w:val="000000" w:themeColor="text1"/>
          <w:szCs w:val="24"/>
        </w:rPr>
        <w:t>working population</w:t>
      </w:r>
      <w:r w:rsidR="00A97790" w:rsidRPr="00112CEA">
        <w:rPr>
          <w:color w:val="000000" w:themeColor="text1"/>
          <w:szCs w:val="24"/>
        </w:rPr>
        <w:t xml:space="preserve"> has returned full-time to working from the office</w:t>
      </w:r>
      <w:r w:rsidRPr="00112CEA">
        <w:rPr>
          <w:color w:val="000000" w:themeColor="text1"/>
          <w:szCs w:val="24"/>
        </w:rPr>
        <w:t xml:space="preserve">, </w:t>
      </w:r>
      <w:r w:rsidR="00A97790" w:rsidRPr="00112CEA">
        <w:rPr>
          <w:color w:val="000000" w:themeColor="text1"/>
          <w:szCs w:val="24"/>
        </w:rPr>
        <w:t>while rates of never working remotely remain under 40 percent (Flynn, 202</w:t>
      </w:r>
      <w:r w:rsidR="00FB2BA5" w:rsidRPr="00112CEA">
        <w:rPr>
          <w:color w:val="000000" w:themeColor="text1"/>
          <w:szCs w:val="24"/>
        </w:rPr>
        <w:t>3</w:t>
      </w:r>
      <w:r w:rsidR="00A97790" w:rsidRPr="00112CEA">
        <w:rPr>
          <w:color w:val="000000" w:themeColor="text1"/>
          <w:szCs w:val="24"/>
        </w:rPr>
        <w:t xml:space="preserve">), leaving a sizeable percentage of the workforce adopting a hybrid </w:t>
      </w:r>
      <w:r w:rsidR="000F7F39" w:rsidRPr="00112CEA">
        <w:rPr>
          <w:color w:val="000000" w:themeColor="text1"/>
          <w:szCs w:val="24"/>
        </w:rPr>
        <w:t xml:space="preserve">work location </w:t>
      </w:r>
      <w:r w:rsidR="00A97790" w:rsidRPr="00112CEA">
        <w:rPr>
          <w:color w:val="000000" w:themeColor="text1"/>
          <w:szCs w:val="24"/>
        </w:rPr>
        <w:t>approach of working remotely on some work days and working from the office on other work days</w:t>
      </w:r>
      <w:r w:rsidR="00943C03" w:rsidRPr="00112CEA">
        <w:rPr>
          <w:color w:val="000000" w:themeColor="text1"/>
          <w:szCs w:val="24"/>
        </w:rPr>
        <w:t xml:space="preserve"> (see </w:t>
      </w:r>
      <w:r w:rsidR="00853CBD" w:rsidRPr="00112CEA">
        <w:rPr>
          <w:color w:val="000000" w:themeColor="text1"/>
          <w:szCs w:val="24"/>
        </w:rPr>
        <w:t>Asmussen et al., 202</w:t>
      </w:r>
      <w:r w:rsidR="002E200B">
        <w:rPr>
          <w:color w:val="000000" w:themeColor="text1"/>
          <w:szCs w:val="24"/>
        </w:rPr>
        <w:t>4</w:t>
      </w:r>
      <w:r w:rsidR="00853CBD" w:rsidRPr="00112CEA">
        <w:rPr>
          <w:color w:val="000000" w:themeColor="text1"/>
          <w:szCs w:val="24"/>
        </w:rPr>
        <w:t>)</w:t>
      </w:r>
      <w:r w:rsidR="00A97790" w:rsidRPr="00112CEA">
        <w:rPr>
          <w:color w:val="000000" w:themeColor="text1"/>
          <w:szCs w:val="24"/>
        </w:rPr>
        <w:t xml:space="preserve">. Such a hybrid approach </w:t>
      </w:r>
      <w:r w:rsidR="00445F36" w:rsidRPr="00112CEA">
        <w:rPr>
          <w:color w:val="000000" w:themeColor="text1"/>
          <w:szCs w:val="24"/>
        </w:rPr>
        <w:t xml:space="preserve">combines the benefits of working remotely as well from the office </w:t>
      </w:r>
      <w:r w:rsidR="00445F36" w:rsidRPr="00112CEA">
        <w:rPr>
          <w:szCs w:val="24"/>
        </w:rPr>
        <w:t xml:space="preserve">in terms of social, personal and professional considerations. For example, working remotely may offer a better work-family life balance for many individuals with time and cost savings, while working from the office can offer socialization and better career promotion opportunities (see </w:t>
      </w:r>
      <w:proofErr w:type="spellStart"/>
      <w:r w:rsidR="00445F36" w:rsidRPr="00112CEA">
        <w:rPr>
          <w:szCs w:val="24"/>
        </w:rPr>
        <w:t>Belostecinic</w:t>
      </w:r>
      <w:proofErr w:type="spellEnd"/>
      <w:r w:rsidR="00445F36" w:rsidRPr="00112CEA">
        <w:rPr>
          <w:szCs w:val="24"/>
        </w:rPr>
        <w:t xml:space="preserve"> et al., 2021</w:t>
      </w:r>
      <w:r w:rsidR="00CC58B3" w:rsidRPr="00112CEA">
        <w:rPr>
          <w:szCs w:val="24"/>
        </w:rPr>
        <w:t xml:space="preserve"> and</w:t>
      </w:r>
      <w:r w:rsidR="00445F36" w:rsidRPr="00112CEA">
        <w:rPr>
          <w:szCs w:val="24"/>
        </w:rPr>
        <w:t xml:space="preserve"> Tahlyan et al., 2022</w:t>
      </w:r>
      <w:r w:rsidR="00CC58B3" w:rsidRPr="00112CEA">
        <w:rPr>
          <w:szCs w:val="24"/>
        </w:rPr>
        <w:t>)</w:t>
      </w:r>
      <w:r w:rsidR="00445F36" w:rsidRPr="00112CEA">
        <w:rPr>
          <w:szCs w:val="24"/>
        </w:rPr>
        <w:t xml:space="preserve">. </w:t>
      </w:r>
      <w:r w:rsidR="00912FF2" w:rsidRPr="00112CEA">
        <w:rPr>
          <w:szCs w:val="24"/>
        </w:rPr>
        <w:t xml:space="preserve">Overall, </w:t>
      </w:r>
      <w:r w:rsidR="00912FF2" w:rsidRPr="00112CEA">
        <w:rPr>
          <w:color w:val="000000" w:themeColor="text1"/>
          <w:szCs w:val="24"/>
        </w:rPr>
        <w:t>there is now a widespread consensus that remote work will be more prevalent than in the pre-COVID era, based</w:t>
      </w:r>
      <w:r w:rsidR="00A35A2D" w:rsidRPr="00112CEA">
        <w:rPr>
          <w:color w:val="000000" w:themeColor="text1"/>
          <w:szCs w:val="24"/>
        </w:rPr>
        <w:t xml:space="preserve"> </w:t>
      </w:r>
      <w:r w:rsidR="00912FF2" w:rsidRPr="00112CEA">
        <w:rPr>
          <w:color w:val="000000" w:themeColor="text1"/>
          <w:szCs w:val="24"/>
        </w:rPr>
        <w:t xml:space="preserve">not only </w:t>
      </w:r>
      <w:r w:rsidR="00A35A2D" w:rsidRPr="00112CEA">
        <w:rPr>
          <w:color w:val="000000" w:themeColor="text1"/>
          <w:szCs w:val="24"/>
        </w:rPr>
        <w:t xml:space="preserve">on </w:t>
      </w:r>
      <w:r w:rsidR="00912FF2" w:rsidRPr="00112CEA">
        <w:rPr>
          <w:color w:val="000000" w:themeColor="text1"/>
          <w:szCs w:val="24"/>
        </w:rPr>
        <w:t>employee experiences during the pandemic, and altered work location preferences caused by the pandemic</w:t>
      </w:r>
      <w:r w:rsidR="001A6A69" w:rsidRPr="00112CEA">
        <w:rPr>
          <w:color w:val="000000" w:themeColor="text1"/>
          <w:szCs w:val="24"/>
        </w:rPr>
        <w:t xml:space="preserve"> (see, for example, </w:t>
      </w:r>
      <w:proofErr w:type="spellStart"/>
      <w:r w:rsidR="001A6A69" w:rsidRPr="00112CEA">
        <w:rPr>
          <w:color w:val="000000" w:themeColor="text1"/>
          <w:szCs w:val="24"/>
        </w:rPr>
        <w:t>Stefaniec</w:t>
      </w:r>
      <w:proofErr w:type="spellEnd"/>
      <w:r w:rsidR="001A6A69" w:rsidRPr="00112CEA">
        <w:rPr>
          <w:color w:val="000000" w:themeColor="text1"/>
          <w:szCs w:val="24"/>
        </w:rPr>
        <w:t xml:space="preserve"> et al., 2022 and Asmussen et al., 2023)</w:t>
      </w:r>
      <w:r w:rsidR="00912FF2" w:rsidRPr="00112CEA">
        <w:rPr>
          <w:color w:val="000000" w:themeColor="text1"/>
          <w:szCs w:val="24"/>
        </w:rPr>
        <w:t xml:space="preserve">, but also because of generally lower resistance from employers </w:t>
      </w:r>
      <w:r w:rsidR="00CC58B3" w:rsidRPr="00112CEA">
        <w:rPr>
          <w:color w:val="000000" w:themeColor="text1"/>
          <w:szCs w:val="24"/>
        </w:rPr>
        <w:t xml:space="preserve">to </w:t>
      </w:r>
      <w:r w:rsidR="00912FF2" w:rsidRPr="00112CEA">
        <w:rPr>
          <w:color w:val="000000" w:themeColor="text1"/>
          <w:szCs w:val="24"/>
        </w:rPr>
        <w:t>remote work</w:t>
      </w:r>
      <w:r w:rsidR="00A35A2D" w:rsidRPr="00112CEA">
        <w:rPr>
          <w:color w:val="000000" w:themeColor="text1"/>
          <w:szCs w:val="24"/>
        </w:rPr>
        <w:t xml:space="preserve">. Besides, remote work has also been </w:t>
      </w:r>
      <w:r w:rsidR="00112CEA" w:rsidRPr="00112CEA">
        <w:rPr>
          <w:color w:val="000000" w:themeColor="text1"/>
          <w:szCs w:val="24"/>
        </w:rPr>
        <w:t xml:space="preserve">spurred on </w:t>
      </w:r>
      <w:r w:rsidR="00A35A2D" w:rsidRPr="00112CEA">
        <w:rPr>
          <w:color w:val="000000" w:themeColor="text1"/>
          <w:szCs w:val="24"/>
        </w:rPr>
        <w:t xml:space="preserve">by the relative </w:t>
      </w:r>
      <w:proofErr w:type="spellStart"/>
      <w:r w:rsidR="00A35A2D" w:rsidRPr="00112CEA">
        <w:rPr>
          <w:color w:val="000000" w:themeColor="text1"/>
          <w:szCs w:val="24"/>
        </w:rPr>
        <w:t>ubiquitousness</w:t>
      </w:r>
      <w:proofErr w:type="spellEnd"/>
      <w:r w:rsidR="00A35A2D" w:rsidRPr="00112CEA">
        <w:rPr>
          <w:color w:val="000000" w:themeColor="text1"/>
          <w:szCs w:val="24"/>
        </w:rPr>
        <w:t xml:space="preserve"> of communication broadband technology within homes and other non-office work places</w:t>
      </w:r>
      <w:r w:rsidR="00112CEA" w:rsidRPr="00112CEA">
        <w:rPr>
          <w:color w:val="000000" w:themeColor="text1"/>
          <w:szCs w:val="24"/>
        </w:rPr>
        <w:t xml:space="preserve">, </w:t>
      </w:r>
      <w:r w:rsidR="00AC179D" w:rsidRPr="00112CEA">
        <w:rPr>
          <w:color w:val="000000" w:themeColor="text1"/>
          <w:szCs w:val="24"/>
        </w:rPr>
        <w:t>facilitat</w:t>
      </w:r>
      <w:r w:rsidR="00112CEA" w:rsidRPr="00112CEA">
        <w:rPr>
          <w:color w:val="000000" w:themeColor="text1"/>
          <w:szCs w:val="24"/>
        </w:rPr>
        <w:t>ing</w:t>
      </w:r>
      <w:r w:rsidR="00AC179D" w:rsidRPr="00112CEA">
        <w:rPr>
          <w:color w:val="000000" w:themeColor="text1"/>
          <w:szCs w:val="24"/>
        </w:rPr>
        <w:t xml:space="preserve"> seamless communication, access to cloud-based applications, and video-conferencing (</w:t>
      </w:r>
      <w:proofErr w:type="spellStart"/>
      <w:r w:rsidR="00AC179D" w:rsidRPr="00112CEA">
        <w:rPr>
          <w:color w:val="000000" w:themeColor="text1"/>
          <w:szCs w:val="24"/>
        </w:rPr>
        <w:t>Bamieh</w:t>
      </w:r>
      <w:proofErr w:type="spellEnd"/>
      <w:r w:rsidR="00AC179D" w:rsidRPr="00112CEA">
        <w:rPr>
          <w:color w:val="000000" w:themeColor="text1"/>
          <w:szCs w:val="24"/>
        </w:rPr>
        <w:t xml:space="preserve"> and Ziegler, </w:t>
      </w:r>
      <w:r w:rsidR="00AC179D" w:rsidRPr="00F61E00">
        <w:rPr>
          <w:color w:val="000000" w:themeColor="text1"/>
          <w:szCs w:val="24"/>
        </w:rPr>
        <w:t>2022</w:t>
      </w:r>
      <w:r w:rsidR="00BC4AAC" w:rsidRPr="00F61E00">
        <w:rPr>
          <w:color w:val="000000" w:themeColor="text1"/>
          <w:szCs w:val="24"/>
        </w:rPr>
        <w:t>; Agarwa</w:t>
      </w:r>
      <w:r w:rsidR="00F61E00" w:rsidRPr="00F61E00">
        <w:rPr>
          <w:color w:val="000000" w:themeColor="text1"/>
          <w:szCs w:val="24"/>
        </w:rPr>
        <w:t>l</w:t>
      </w:r>
      <w:r w:rsidR="00BC4AAC" w:rsidRPr="00F61E00">
        <w:rPr>
          <w:color w:val="000000" w:themeColor="text1"/>
          <w:szCs w:val="24"/>
        </w:rPr>
        <w:t>, 202</w:t>
      </w:r>
      <w:r w:rsidR="00F61E00" w:rsidRPr="00F61E00">
        <w:rPr>
          <w:color w:val="000000" w:themeColor="text1"/>
          <w:szCs w:val="24"/>
        </w:rPr>
        <w:t>3</w:t>
      </w:r>
      <w:r w:rsidR="00CC58B3" w:rsidRPr="00F61E00">
        <w:rPr>
          <w:color w:val="000000" w:themeColor="text1"/>
          <w:szCs w:val="24"/>
        </w:rPr>
        <w:t>)</w:t>
      </w:r>
      <w:r w:rsidR="00612B43" w:rsidRPr="00F61E00">
        <w:rPr>
          <w:color w:val="000000" w:themeColor="text1"/>
          <w:szCs w:val="24"/>
        </w:rPr>
        <w:t>. Also,</w:t>
      </w:r>
      <w:r w:rsidR="00612B43" w:rsidRPr="00112CEA">
        <w:rPr>
          <w:color w:val="000000" w:themeColor="text1"/>
          <w:szCs w:val="24"/>
        </w:rPr>
        <w:t xml:space="preserve"> emerging artificial intelligence</w:t>
      </w:r>
      <w:r w:rsidR="00BC4AAC" w:rsidRPr="00112CEA">
        <w:rPr>
          <w:color w:val="000000" w:themeColor="text1"/>
          <w:szCs w:val="24"/>
        </w:rPr>
        <w:t xml:space="preserve">, </w:t>
      </w:r>
      <w:r w:rsidR="00612B43" w:rsidRPr="00112CEA">
        <w:rPr>
          <w:color w:val="000000" w:themeColor="text1"/>
          <w:szCs w:val="24"/>
        </w:rPr>
        <w:t>robotics</w:t>
      </w:r>
      <w:r w:rsidR="00BC4AAC" w:rsidRPr="00112CEA">
        <w:rPr>
          <w:color w:val="000000" w:themeColor="text1"/>
          <w:szCs w:val="24"/>
        </w:rPr>
        <w:t xml:space="preserve">, and </w:t>
      </w:r>
      <w:r w:rsidR="00BC4AAC" w:rsidRPr="004817C2">
        <w:rPr>
          <w:szCs w:val="24"/>
          <w:bdr w:val="none" w:sz="0" w:space="0" w:color="auto" w:frame="1"/>
          <w:shd w:val="clear" w:color="auto" w:fill="FFFFFF"/>
        </w:rPr>
        <w:t>augmented and virtual reality (AR and VR) technologies are enabling individuals in many profession</w:t>
      </w:r>
      <w:r w:rsidR="00112CEA" w:rsidRPr="004817C2">
        <w:rPr>
          <w:szCs w:val="24"/>
          <w:bdr w:val="none" w:sz="0" w:space="0" w:color="auto" w:frame="1"/>
          <w:shd w:val="clear" w:color="auto" w:fill="FFFFFF"/>
        </w:rPr>
        <w:t>s</w:t>
      </w:r>
      <w:r w:rsidR="00BC4AAC" w:rsidRPr="004817C2">
        <w:rPr>
          <w:szCs w:val="24"/>
          <w:bdr w:val="none" w:sz="0" w:space="0" w:color="auto" w:frame="1"/>
          <w:shd w:val="clear" w:color="auto" w:fill="FFFFFF"/>
        </w:rPr>
        <w:t xml:space="preserve"> (such as in the construction, production, and health sectors) to pursue their traditionally in-person jobs remotely</w:t>
      </w:r>
      <w:r w:rsidR="009B6AA5">
        <w:rPr>
          <w:szCs w:val="24"/>
          <w:bdr w:val="none" w:sz="0" w:space="0" w:color="auto" w:frame="1"/>
          <w:shd w:val="clear" w:color="auto" w:fill="FFFFFF"/>
        </w:rPr>
        <w:t xml:space="preserve">, at least in a hybrid setting of working remotely on some days and from the office on other days </w:t>
      </w:r>
      <w:r w:rsidR="00112CEA" w:rsidRPr="004817C2">
        <w:rPr>
          <w:szCs w:val="24"/>
          <w:bdr w:val="none" w:sz="0" w:space="0" w:color="auto" w:frame="1"/>
          <w:shd w:val="clear" w:color="auto" w:fill="FFFFFF"/>
        </w:rPr>
        <w:t>(</w:t>
      </w:r>
      <w:r w:rsidR="00BC4AAC" w:rsidRPr="00621A78">
        <w:rPr>
          <w:szCs w:val="24"/>
          <w:bdr w:val="none" w:sz="0" w:space="0" w:color="auto" w:frame="1"/>
          <w:shd w:val="clear" w:color="auto" w:fill="FFFFFF"/>
        </w:rPr>
        <w:t>Higgins, 2017</w:t>
      </w:r>
      <w:r w:rsidR="00112CEA" w:rsidRPr="00621A78">
        <w:rPr>
          <w:szCs w:val="24"/>
        </w:rPr>
        <w:t xml:space="preserve">; </w:t>
      </w:r>
      <w:r w:rsidR="00BC4AAC" w:rsidRPr="00621A78">
        <w:rPr>
          <w:szCs w:val="24"/>
        </w:rPr>
        <w:t>Anderson et al., 2022).</w:t>
      </w:r>
      <w:r w:rsidR="00BC4AAC" w:rsidRPr="009B6AA5">
        <w:rPr>
          <w:szCs w:val="24"/>
        </w:rPr>
        <w:t xml:space="preserve"> </w:t>
      </w:r>
      <w:r w:rsidR="00612B43" w:rsidRPr="009B6AA5">
        <w:rPr>
          <w:color w:val="000000" w:themeColor="text1"/>
          <w:szCs w:val="24"/>
        </w:rPr>
        <w:t xml:space="preserve"> </w:t>
      </w:r>
    </w:p>
    <w:p w14:paraId="47BC70BF" w14:textId="4E63A999" w:rsidR="00912FF2" w:rsidRPr="00163851" w:rsidRDefault="000F7F39" w:rsidP="00303FC0">
      <w:pPr>
        <w:spacing w:after="0" w:line="240" w:lineRule="auto"/>
        <w:ind w:firstLine="720"/>
        <w:rPr>
          <w:color w:val="000000" w:themeColor="text1"/>
          <w:szCs w:val="24"/>
        </w:rPr>
      </w:pPr>
      <w:r w:rsidRPr="00163851">
        <w:rPr>
          <w:color w:val="000000" w:themeColor="text1"/>
          <w:szCs w:val="24"/>
        </w:rPr>
        <w:t xml:space="preserve">The increasing embrace of a hybrid work location arrangement, while </w:t>
      </w:r>
      <w:r w:rsidR="009B6AA5">
        <w:rPr>
          <w:color w:val="000000" w:themeColor="text1"/>
          <w:szCs w:val="24"/>
        </w:rPr>
        <w:t xml:space="preserve">facilitated by emerging technology and </w:t>
      </w:r>
      <w:r w:rsidRPr="00163851">
        <w:rPr>
          <w:color w:val="000000" w:themeColor="text1"/>
          <w:szCs w:val="24"/>
        </w:rPr>
        <w:t xml:space="preserve">providing </w:t>
      </w:r>
      <w:r w:rsidR="00112CEA">
        <w:rPr>
          <w:color w:val="000000" w:themeColor="text1"/>
          <w:szCs w:val="24"/>
        </w:rPr>
        <w:t xml:space="preserve">many employee-level benefits, </w:t>
      </w:r>
      <w:r w:rsidR="00601D87" w:rsidRPr="00163851">
        <w:rPr>
          <w:color w:val="000000" w:themeColor="text1"/>
          <w:szCs w:val="24"/>
        </w:rPr>
        <w:t xml:space="preserve">may </w:t>
      </w:r>
      <w:r w:rsidRPr="00163851">
        <w:rPr>
          <w:color w:val="000000" w:themeColor="text1"/>
          <w:szCs w:val="24"/>
        </w:rPr>
        <w:t xml:space="preserve">also </w:t>
      </w:r>
      <w:r w:rsidR="00601D87" w:rsidRPr="00163851">
        <w:rPr>
          <w:color w:val="000000" w:themeColor="text1"/>
          <w:szCs w:val="24"/>
        </w:rPr>
        <w:t xml:space="preserve">produce </w:t>
      </w:r>
      <w:r w:rsidR="00DF0E1E">
        <w:rPr>
          <w:color w:val="000000" w:themeColor="text1"/>
          <w:szCs w:val="24"/>
        </w:rPr>
        <w:t>“</w:t>
      </w:r>
      <w:r w:rsidR="00601D87" w:rsidRPr="00163851">
        <w:rPr>
          <w:color w:val="000000" w:themeColor="text1"/>
          <w:szCs w:val="24"/>
        </w:rPr>
        <w:t>rebound</w:t>
      </w:r>
      <w:r w:rsidR="002C1F02">
        <w:rPr>
          <w:color w:val="000000" w:themeColor="text1"/>
          <w:szCs w:val="24"/>
        </w:rPr>
        <w:t>”</w:t>
      </w:r>
      <w:r w:rsidR="00601D87" w:rsidRPr="00163851">
        <w:rPr>
          <w:color w:val="000000" w:themeColor="text1"/>
          <w:szCs w:val="24"/>
        </w:rPr>
        <w:t xml:space="preserve"> effects on residential and daily mobility practices</w:t>
      </w:r>
      <w:r w:rsidR="003307CF" w:rsidRPr="00163851">
        <w:rPr>
          <w:color w:val="000000" w:themeColor="text1"/>
          <w:szCs w:val="24"/>
        </w:rPr>
        <w:t xml:space="preserve"> </w:t>
      </w:r>
      <w:r w:rsidR="002B2AF2" w:rsidRPr="00163851">
        <w:rPr>
          <w:color w:val="000000" w:themeColor="text1"/>
          <w:szCs w:val="24"/>
        </w:rPr>
        <w:t>(</w:t>
      </w:r>
      <w:r w:rsidR="00F61FB1">
        <w:rPr>
          <w:color w:val="000000" w:themeColor="text1"/>
          <w:szCs w:val="24"/>
        </w:rPr>
        <w:t xml:space="preserve">the term </w:t>
      </w:r>
      <w:r w:rsidR="002B2AF2" w:rsidRPr="00163851">
        <w:rPr>
          <w:color w:val="000000" w:themeColor="text1"/>
          <w:szCs w:val="24"/>
        </w:rPr>
        <w:t>“rebound” here is associated with the potential negative effects of teleworking, including residential relocation to live farther away from the work place because of the lower intensity of commuting)</w:t>
      </w:r>
      <w:r w:rsidRPr="00163851">
        <w:rPr>
          <w:color w:val="000000" w:themeColor="text1"/>
          <w:szCs w:val="24"/>
        </w:rPr>
        <w:t xml:space="preserve">. </w:t>
      </w:r>
      <w:r w:rsidR="0081786A" w:rsidRPr="00163851">
        <w:rPr>
          <w:color w:val="000000" w:themeColor="text1"/>
          <w:szCs w:val="24"/>
        </w:rPr>
        <w:t xml:space="preserve">In fact, </w:t>
      </w:r>
      <w:r w:rsidR="000B08AC" w:rsidRPr="00163851">
        <w:rPr>
          <w:color w:val="000000" w:themeColor="text1"/>
          <w:szCs w:val="24"/>
        </w:rPr>
        <w:t xml:space="preserve">research studies from </w:t>
      </w:r>
      <w:r w:rsidR="00D65730" w:rsidRPr="00163851">
        <w:rPr>
          <w:color w:val="000000" w:themeColor="text1"/>
          <w:szCs w:val="24"/>
        </w:rPr>
        <w:t xml:space="preserve">even </w:t>
      </w:r>
      <w:r w:rsidR="0081786A" w:rsidRPr="00163851">
        <w:rPr>
          <w:color w:val="000000" w:themeColor="text1"/>
          <w:szCs w:val="24"/>
        </w:rPr>
        <w:t>before the pandemic</w:t>
      </w:r>
      <w:r w:rsidR="000B08AC" w:rsidRPr="00163851">
        <w:rPr>
          <w:color w:val="000000" w:themeColor="text1"/>
          <w:szCs w:val="24"/>
        </w:rPr>
        <w:t xml:space="preserve"> (when hybrid work arrangements were more of an exception than the norm) </w:t>
      </w:r>
      <w:r w:rsidR="0081786A" w:rsidRPr="00163851">
        <w:rPr>
          <w:color w:val="000000" w:themeColor="text1"/>
          <w:szCs w:val="24"/>
        </w:rPr>
        <w:t xml:space="preserve">have </w:t>
      </w:r>
      <w:r w:rsidR="000B08AC" w:rsidRPr="00163851">
        <w:rPr>
          <w:color w:val="000000" w:themeColor="text1"/>
          <w:szCs w:val="24"/>
        </w:rPr>
        <w:t>already alluded to</w:t>
      </w:r>
      <w:r w:rsidR="00C8568C">
        <w:rPr>
          <w:color w:val="000000" w:themeColor="text1"/>
          <w:szCs w:val="24"/>
        </w:rPr>
        <w:t xml:space="preserve"> </w:t>
      </w:r>
      <w:r w:rsidR="000B08AC" w:rsidRPr="00163851">
        <w:rPr>
          <w:color w:val="000000" w:themeColor="text1"/>
          <w:szCs w:val="24"/>
        </w:rPr>
        <w:t xml:space="preserve">such rebound effects. </w:t>
      </w:r>
      <w:r w:rsidR="00606D73" w:rsidRPr="00163851">
        <w:rPr>
          <w:color w:val="000000" w:themeColor="text1"/>
          <w:szCs w:val="24"/>
        </w:rPr>
        <w:t>In the context of residential choices specifically, the focus on such rebound effects</w:t>
      </w:r>
      <w:r w:rsidR="00912FF2" w:rsidRPr="00163851">
        <w:rPr>
          <w:color w:val="000000" w:themeColor="text1"/>
          <w:szCs w:val="24"/>
        </w:rPr>
        <w:t>, in large part,</w:t>
      </w:r>
      <w:r w:rsidR="00606D73" w:rsidRPr="00163851">
        <w:rPr>
          <w:color w:val="000000" w:themeColor="text1"/>
          <w:szCs w:val="24"/>
        </w:rPr>
        <w:t xml:space="preserve"> has been because of the observed positive association be</w:t>
      </w:r>
      <w:r w:rsidR="00825C48">
        <w:rPr>
          <w:color w:val="000000" w:themeColor="text1"/>
          <w:szCs w:val="24"/>
        </w:rPr>
        <w:t xml:space="preserve">tween </w:t>
      </w:r>
      <w:r w:rsidR="00606D73" w:rsidRPr="00163851">
        <w:rPr>
          <w:color w:val="000000" w:themeColor="text1"/>
          <w:szCs w:val="24"/>
        </w:rPr>
        <w:t>work</w:t>
      </w:r>
      <w:r w:rsidR="00825C48">
        <w:rPr>
          <w:color w:val="000000" w:themeColor="text1"/>
          <w:szCs w:val="24"/>
        </w:rPr>
        <w:t>ing</w:t>
      </w:r>
      <w:r w:rsidR="00606D73" w:rsidRPr="00163851">
        <w:rPr>
          <w:color w:val="000000" w:themeColor="text1"/>
          <w:szCs w:val="24"/>
        </w:rPr>
        <w:t xml:space="preserve"> remotely at least on some workdays and commute distances</w:t>
      </w:r>
      <w:r w:rsidR="00F910E0" w:rsidRPr="00163851">
        <w:rPr>
          <w:color w:val="000000" w:themeColor="text1"/>
          <w:szCs w:val="24"/>
        </w:rPr>
        <w:t xml:space="preserve"> (we use the terms </w:t>
      </w:r>
      <w:r w:rsidR="00F910E0" w:rsidRPr="00163851">
        <w:rPr>
          <w:color w:val="000000" w:themeColor="text1"/>
          <w:szCs w:val="24"/>
        </w:rPr>
        <w:lastRenderedPageBreak/>
        <w:t>remote work and telework interchangeably in this paper)</w:t>
      </w:r>
      <w:r w:rsidR="00606D73" w:rsidRPr="00163851">
        <w:rPr>
          <w:color w:val="000000" w:themeColor="text1"/>
          <w:szCs w:val="24"/>
        </w:rPr>
        <w:t xml:space="preserve">. That is, teleworkers are </w:t>
      </w:r>
      <w:r w:rsidR="00F910E0" w:rsidRPr="00163851">
        <w:rPr>
          <w:color w:val="000000" w:themeColor="text1"/>
          <w:szCs w:val="24"/>
        </w:rPr>
        <w:t xml:space="preserve">almost always </w:t>
      </w:r>
      <w:r w:rsidR="00606D73" w:rsidRPr="00163851">
        <w:rPr>
          <w:color w:val="000000" w:themeColor="text1"/>
          <w:szCs w:val="24"/>
        </w:rPr>
        <w:t>associated with longer commute distances</w:t>
      </w:r>
      <w:r w:rsidR="00825C48">
        <w:rPr>
          <w:color w:val="000000" w:themeColor="text1"/>
          <w:szCs w:val="24"/>
        </w:rPr>
        <w:t>.</w:t>
      </w:r>
      <w:r w:rsidR="002B2AF2" w:rsidRPr="00163851">
        <w:rPr>
          <w:color w:val="000000" w:themeColor="text1"/>
          <w:szCs w:val="24"/>
        </w:rPr>
        <w:t xml:space="preserve"> </w:t>
      </w:r>
      <w:r w:rsidR="000B08AC" w:rsidRPr="00163851">
        <w:rPr>
          <w:color w:val="000000" w:themeColor="text1"/>
          <w:szCs w:val="24"/>
        </w:rPr>
        <w:t xml:space="preserve">But this </w:t>
      </w:r>
      <w:r w:rsidR="009418AE" w:rsidRPr="00163851">
        <w:rPr>
          <w:color w:val="000000" w:themeColor="text1"/>
          <w:szCs w:val="24"/>
        </w:rPr>
        <w:t>pre-COVID literatur</w:t>
      </w:r>
      <w:r w:rsidR="000B08AC" w:rsidRPr="00163851">
        <w:rPr>
          <w:color w:val="000000" w:themeColor="text1"/>
          <w:szCs w:val="24"/>
        </w:rPr>
        <w:t xml:space="preserve">e is </w:t>
      </w:r>
      <w:r w:rsidR="00A61E7A" w:rsidRPr="00163851">
        <w:rPr>
          <w:color w:val="000000" w:themeColor="text1"/>
          <w:szCs w:val="24"/>
        </w:rPr>
        <w:t>rather</w:t>
      </w:r>
      <w:r w:rsidR="000B08AC" w:rsidRPr="00163851">
        <w:rPr>
          <w:color w:val="000000" w:themeColor="text1"/>
          <w:szCs w:val="24"/>
        </w:rPr>
        <w:t xml:space="preserve"> </w:t>
      </w:r>
      <w:r w:rsidR="00A61E7A" w:rsidRPr="00163851">
        <w:rPr>
          <w:color w:val="000000" w:themeColor="text1"/>
          <w:szCs w:val="24"/>
        </w:rPr>
        <w:t xml:space="preserve">equivocal in terms of the directional </w:t>
      </w:r>
      <w:r w:rsidR="000B08AC" w:rsidRPr="00163851">
        <w:rPr>
          <w:color w:val="000000" w:themeColor="text1"/>
          <w:szCs w:val="24"/>
        </w:rPr>
        <w:t>causal effect</w:t>
      </w:r>
      <w:r w:rsidR="00853CBD" w:rsidRPr="00163851">
        <w:rPr>
          <w:color w:val="000000" w:themeColor="text1"/>
          <w:szCs w:val="24"/>
        </w:rPr>
        <w:t xml:space="preserve"> </w:t>
      </w:r>
      <w:r w:rsidR="00A61E7A" w:rsidRPr="00163851">
        <w:rPr>
          <w:color w:val="000000" w:themeColor="text1"/>
          <w:szCs w:val="24"/>
        </w:rPr>
        <w:t xml:space="preserve">between </w:t>
      </w:r>
      <w:r w:rsidR="000B08AC" w:rsidRPr="00163851">
        <w:rPr>
          <w:color w:val="000000" w:themeColor="text1"/>
          <w:szCs w:val="24"/>
        </w:rPr>
        <w:t>teleworking on the on</w:t>
      </w:r>
      <w:r w:rsidR="00606D73" w:rsidRPr="00163851">
        <w:rPr>
          <w:color w:val="000000" w:themeColor="text1"/>
          <w:szCs w:val="24"/>
        </w:rPr>
        <w:t>e</w:t>
      </w:r>
      <w:r w:rsidR="000B08AC" w:rsidRPr="00163851">
        <w:rPr>
          <w:color w:val="000000" w:themeColor="text1"/>
          <w:szCs w:val="24"/>
        </w:rPr>
        <w:t xml:space="preserve"> hand and </w:t>
      </w:r>
      <w:r w:rsidR="00606D73" w:rsidRPr="00163851">
        <w:rPr>
          <w:color w:val="000000" w:themeColor="text1"/>
          <w:szCs w:val="24"/>
        </w:rPr>
        <w:t>commute distances</w:t>
      </w:r>
      <w:r w:rsidR="00F910E0" w:rsidRPr="00163851">
        <w:rPr>
          <w:color w:val="000000" w:themeColor="text1"/>
          <w:szCs w:val="24"/>
        </w:rPr>
        <w:t xml:space="preserve"> on the other</w:t>
      </w:r>
      <w:r w:rsidR="00DC14E9" w:rsidRPr="00163851">
        <w:rPr>
          <w:color w:val="000000" w:themeColor="text1"/>
          <w:szCs w:val="24"/>
        </w:rPr>
        <w:t xml:space="preserve"> that leads up to this positive association</w:t>
      </w:r>
      <w:bookmarkStart w:id="2" w:name="_Hlk137823249"/>
      <w:r w:rsidR="00A0569D" w:rsidRPr="00163851">
        <w:rPr>
          <w:color w:val="000000" w:themeColor="text1"/>
          <w:szCs w:val="24"/>
        </w:rPr>
        <w:t xml:space="preserve">. </w:t>
      </w:r>
      <w:r w:rsidR="000B08AC" w:rsidRPr="00163851">
        <w:rPr>
          <w:color w:val="000000" w:themeColor="text1"/>
          <w:szCs w:val="24"/>
        </w:rPr>
        <w:t>In particular, s</w:t>
      </w:r>
      <w:r w:rsidR="009418AE" w:rsidRPr="00163851">
        <w:rPr>
          <w:color w:val="000000" w:themeColor="text1"/>
          <w:szCs w:val="24"/>
        </w:rPr>
        <w:t xml:space="preserve">ome studies </w:t>
      </w:r>
      <w:r w:rsidR="00853CBD" w:rsidRPr="00163851">
        <w:rPr>
          <w:color w:val="000000" w:themeColor="text1"/>
          <w:szCs w:val="24"/>
        </w:rPr>
        <w:t>find</w:t>
      </w:r>
      <w:r w:rsidR="009418AE" w:rsidRPr="00163851">
        <w:rPr>
          <w:color w:val="000000" w:themeColor="text1"/>
          <w:szCs w:val="24"/>
        </w:rPr>
        <w:t xml:space="preserve"> </w:t>
      </w:r>
      <w:r w:rsidR="00606D73" w:rsidRPr="00163851">
        <w:rPr>
          <w:color w:val="000000" w:themeColor="text1"/>
          <w:szCs w:val="24"/>
        </w:rPr>
        <w:t xml:space="preserve">(or implicitly assume) </w:t>
      </w:r>
      <w:r w:rsidR="009418AE" w:rsidRPr="00163851">
        <w:rPr>
          <w:color w:val="000000" w:themeColor="text1"/>
          <w:szCs w:val="24"/>
        </w:rPr>
        <w:t xml:space="preserve">that the ability to telework drives </w:t>
      </w:r>
      <w:r w:rsidR="000B08AC" w:rsidRPr="00163851">
        <w:rPr>
          <w:color w:val="000000" w:themeColor="text1"/>
          <w:szCs w:val="24"/>
        </w:rPr>
        <w:t xml:space="preserve">(or at least substantially facilitates) the consideration of </w:t>
      </w:r>
      <w:r w:rsidR="00606D73" w:rsidRPr="00163851">
        <w:rPr>
          <w:color w:val="000000" w:themeColor="text1"/>
          <w:szCs w:val="24"/>
        </w:rPr>
        <w:t xml:space="preserve">more far-flung (from the office location) </w:t>
      </w:r>
      <w:r w:rsidR="009418AE" w:rsidRPr="00163851">
        <w:rPr>
          <w:color w:val="000000" w:themeColor="text1"/>
          <w:szCs w:val="24"/>
        </w:rPr>
        <w:t>residential locations</w:t>
      </w:r>
      <w:r w:rsidR="000B08AC" w:rsidRPr="00163851">
        <w:rPr>
          <w:color w:val="000000" w:themeColor="text1"/>
          <w:szCs w:val="24"/>
        </w:rPr>
        <w:t xml:space="preserve"> that </w:t>
      </w:r>
      <w:r w:rsidR="009418AE" w:rsidRPr="00163851">
        <w:rPr>
          <w:color w:val="000000" w:themeColor="text1"/>
          <w:szCs w:val="24"/>
        </w:rPr>
        <w:t xml:space="preserve">otherwise </w:t>
      </w:r>
      <w:r w:rsidR="000B08AC" w:rsidRPr="00163851">
        <w:rPr>
          <w:color w:val="000000" w:themeColor="text1"/>
          <w:szCs w:val="24"/>
        </w:rPr>
        <w:t xml:space="preserve">may </w:t>
      </w:r>
      <w:r w:rsidR="009418AE" w:rsidRPr="00163851">
        <w:rPr>
          <w:color w:val="000000" w:themeColor="text1"/>
          <w:szCs w:val="24"/>
        </w:rPr>
        <w:t xml:space="preserve">not </w:t>
      </w:r>
      <w:r w:rsidR="000B08AC" w:rsidRPr="00163851">
        <w:rPr>
          <w:color w:val="000000" w:themeColor="text1"/>
          <w:szCs w:val="24"/>
        </w:rPr>
        <w:t xml:space="preserve">have been </w:t>
      </w:r>
      <w:r w:rsidR="009418AE" w:rsidRPr="00163851">
        <w:rPr>
          <w:color w:val="000000" w:themeColor="text1"/>
          <w:szCs w:val="24"/>
        </w:rPr>
        <w:t>considered</w:t>
      </w:r>
      <w:r w:rsidR="000B08AC" w:rsidRPr="00163851">
        <w:rPr>
          <w:color w:val="000000" w:themeColor="text1"/>
          <w:szCs w:val="24"/>
        </w:rPr>
        <w:t xml:space="preserve">. </w:t>
      </w:r>
      <w:r w:rsidR="00606D73" w:rsidRPr="00163851">
        <w:rPr>
          <w:color w:val="000000" w:themeColor="text1"/>
          <w:szCs w:val="24"/>
        </w:rPr>
        <w:t xml:space="preserve">If so, this would imply that teleworking is leading to </w:t>
      </w:r>
      <w:r w:rsidR="00F910E0" w:rsidRPr="00163851">
        <w:rPr>
          <w:color w:val="000000" w:themeColor="text1"/>
          <w:szCs w:val="24"/>
        </w:rPr>
        <w:t xml:space="preserve">a </w:t>
      </w:r>
      <w:bookmarkStart w:id="3" w:name="_Hlk137823266"/>
      <w:bookmarkEnd w:id="2"/>
      <w:r w:rsidR="00F910E0" w:rsidRPr="00163851">
        <w:rPr>
          <w:color w:val="000000" w:themeColor="text1"/>
          <w:szCs w:val="24"/>
        </w:rPr>
        <w:t xml:space="preserve">higher propensity to move residences that are then associated with </w:t>
      </w:r>
      <w:r w:rsidR="009418AE" w:rsidRPr="00163851">
        <w:rPr>
          <w:color w:val="000000" w:themeColor="text1"/>
          <w:szCs w:val="24"/>
        </w:rPr>
        <w:t>longer commute distances, and therefore potentially sprawl</w:t>
      </w:r>
      <w:r w:rsidR="00F910E0" w:rsidRPr="00163851">
        <w:rPr>
          <w:color w:val="000000" w:themeColor="text1"/>
          <w:szCs w:val="24"/>
        </w:rPr>
        <w:t xml:space="preserve"> </w:t>
      </w:r>
      <w:r w:rsidR="009418AE" w:rsidRPr="00163851">
        <w:rPr>
          <w:color w:val="000000" w:themeColor="text1"/>
          <w:szCs w:val="24"/>
        </w:rPr>
        <w:t>(</w:t>
      </w:r>
      <w:r w:rsidR="00F910E0" w:rsidRPr="00163851">
        <w:rPr>
          <w:color w:val="000000" w:themeColor="text1"/>
          <w:szCs w:val="24"/>
        </w:rPr>
        <w:t xml:space="preserve">see, for example, </w:t>
      </w:r>
      <w:proofErr w:type="spellStart"/>
      <w:r w:rsidR="009418AE" w:rsidRPr="00163851">
        <w:rPr>
          <w:color w:val="000000" w:themeColor="text1"/>
          <w:szCs w:val="24"/>
        </w:rPr>
        <w:t>Tayyaran</w:t>
      </w:r>
      <w:proofErr w:type="spellEnd"/>
      <w:r w:rsidR="009418AE" w:rsidRPr="00163851">
        <w:rPr>
          <w:color w:val="000000" w:themeColor="text1"/>
          <w:szCs w:val="24"/>
        </w:rPr>
        <w:t xml:space="preserve"> </w:t>
      </w:r>
      <w:r w:rsidR="00A0569D" w:rsidRPr="00163851">
        <w:rPr>
          <w:color w:val="000000" w:themeColor="text1"/>
          <w:szCs w:val="24"/>
        </w:rPr>
        <w:t>and</w:t>
      </w:r>
      <w:r w:rsidR="009418AE" w:rsidRPr="00163851">
        <w:rPr>
          <w:color w:val="000000" w:themeColor="text1"/>
          <w:szCs w:val="24"/>
        </w:rPr>
        <w:t xml:space="preserve"> Khan, 2007; </w:t>
      </w:r>
      <w:r w:rsidR="00117C53" w:rsidRPr="00163851">
        <w:rPr>
          <w:color w:val="000000" w:themeColor="text1"/>
          <w:szCs w:val="24"/>
        </w:rPr>
        <w:t>Zhu</w:t>
      </w:r>
      <w:r w:rsidR="00695F1A">
        <w:rPr>
          <w:color w:val="000000" w:themeColor="text1"/>
          <w:szCs w:val="24"/>
        </w:rPr>
        <w:t xml:space="preserve"> and Mason</w:t>
      </w:r>
      <w:r w:rsidR="00117C53" w:rsidRPr="00163851">
        <w:rPr>
          <w:color w:val="000000" w:themeColor="text1"/>
          <w:szCs w:val="24"/>
        </w:rPr>
        <w:t xml:space="preserve">, 2014; </w:t>
      </w:r>
      <w:r w:rsidR="009418AE" w:rsidRPr="00163851">
        <w:rPr>
          <w:color w:val="000000" w:themeColor="text1"/>
          <w:szCs w:val="24"/>
        </w:rPr>
        <w:t>Alonso et al., 2017</w:t>
      </w:r>
      <w:r w:rsidR="00D714DF" w:rsidRPr="00163851">
        <w:rPr>
          <w:color w:val="000000" w:themeColor="text1"/>
          <w:szCs w:val="24"/>
        </w:rPr>
        <w:t xml:space="preserve">; </w:t>
      </w:r>
      <w:proofErr w:type="spellStart"/>
      <w:r w:rsidR="00D714DF" w:rsidRPr="00163851">
        <w:rPr>
          <w:color w:val="000000" w:themeColor="text1"/>
          <w:szCs w:val="24"/>
        </w:rPr>
        <w:t>Shabanpour</w:t>
      </w:r>
      <w:proofErr w:type="spellEnd"/>
      <w:r w:rsidR="00D714DF" w:rsidRPr="00163851">
        <w:rPr>
          <w:color w:val="000000" w:themeColor="text1"/>
          <w:szCs w:val="24"/>
        </w:rPr>
        <w:t xml:space="preserve"> et al., 2018; </w:t>
      </w:r>
      <w:r w:rsidR="009316E4" w:rsidRPr="00163851">
        <w:rPr>
          <w:color w:val="000000" w:themeColor="text1"/>
          <w:szCs w:val="24"/>
        </w:rPr>
        <w:t>DeVos et al., 2019</w:t>
      </w:r>
      <w:r w:rsidR="00117C53" w:rsidRPr="00163851">
        <w:rPr>
          <w:color w:val="000000" w:themeColor="text1"/>
          <w:szCs w:val="24"/>
        </w:rPr>
        <w:t>; Lennox, 2020</w:t>
      </w:r>
      <w:r w:rsidR="009418AE" w:rsidRPr="00163851">
        <w:rPr>
          <w:color w:val="000000" w:themeColor="text1"/>
          <w:szCs w:val="24"/>
        </w:rPr>
        <w:t>)</w:t>
      </w:r>
      <w:r w:rsidR="00A0569D" w:rsidRPr="00163851">
        <w:rPr>
          <w:color w:val="000000" w:themeColor="text1"/>
          <w:szCs w:val="24"/>
        </w:rPr>
        <w:t xml:space="preserve">. </w:t>
      </w:r>
      <w:bookmarkEnd w:id="3"/>
      <w:r w:rsidR="00A0569D" w:rsidRPr="00163851">
        <w:rPr>
          <w:color w:val="000000" w:themeColor="text1"/>
          <w:szCs w:val="24"/>
        </w:rPr>
        <w:t xml:space="preserve">On the other hand, another set of </w:t>
      </w:r>
      <w:r w:rsidR="009418AE" w:rsidRPr="00163851">
        <w:rPr>
          <w:color w:val="000000" w:themeColor="text1"/>
          <w:szCs w:val="24"/>
        </w:rPr>
        <w:t xml:space="preserve">studies </w:t>
      </w:r>
      <w:r w:rsidR="00853CBD" w:rsidRPr="00163851">
        <w:rPr>
          <w:color w:val="000000" w:themeColor="text1"/>
          <w:szCs w:val="24"/>
        </w:rPr>
        <w:t xml:space="preserve">find (or implicitly assume) </w:t>
      </w:r>
      <w:r w:rsidR="009418AE" w:rsidRPr="00163851">
        <w:rPr>
          <w:color w:val="000000" w:themeColor="text1"/>
          <w:szCs w:val="24"/>
        </w:rPr>
        <w:t xml:space="preserve">that </w:t>
      </w:r>
      <w:bookmarkStart w:id="4" w:name="_Hlk137823398"/>
      <w:r w:rsidR="00853CBD" w:rsidRPr="00163851">
        <w:rPr>
          <w:color w:val="000000" w:themeColor="text1"/>
          <w:szCs w:val="24"/>
        </w:rPr>
        <w:t xml:space="preserve">the positive association between teleworking and commute distances is because </w:t>
      </w:r>
      <w:r w:rsidR="009418AE" w:rsidRPr="00163851">
        <w:rPr>
          <w:color w:val="000000" w:themeColor="text1"/>
          <w:szCs w:val="24"/>
        </w:rPr>
        <w:t xml:space="preserve">those who </w:t>
      </w:r>
      <w:r w:rsidR="00DC14E9" w:rsidRPr="00163851">
        <w:rPr>
          <w:color w:val="000000" w:themeColor="text1"/>
          <w:szCs w:val="24"/>
        </w:rPr>
        <w:t xml:space="preserve">are </w:t>
      </w:r>
      <w:r w:rsidR="00F910E0" w:rsidRPr="00163851">
        <w:rPr>
          <w:color w:val="000000" w:themeColor="text1"/>
          <w:szCs w:val="24"/>
        </w:rPr>
        <w:t xml:space="preserve">already located far away </w:t>
      </w:r>
      <w:r w:rsidR="00DC14E9" w:rsidRPr="00163851">
        <w:rPr>
          <w:color w:val="000000" w:themeColor="text1"/>
          <w:szCs w:val="24"/>
        </w:rPr>
        <w:t>from their workplace (that is, already happen to have a long commute distance</w:t>
      </w:r>
      <w:r w:rsidR="00853CBD" w:rsidRPr="00163851">
        <w:rPr>
          <w:color w:val="000000" w:themeColor="text1"/>
          <w:szCs w:val="24"/>
        </w:rPr>
        <w:t>,</w:t>
      </w:r>
      <w:r w:rsidR="00DC14E9" w:rsidRPr="00163851">
        <w:rPr>
          <w:color w:val="000000" w:themeColor="text1"/>
          <w:szCs w:val="24"/>
        </w:rPr>
        <w:t xml:space="preserve"> </w:t>
      </w:r>
      <w:r w:rsidR="00F910E0" w:rsidRPr="00163851">
        <w:rPr>
          <w:color w:val="000000" w:themeColor="text1"/>
          <w:szCs w:val="24"/>
        </w:rPr>
        <w:t xml:space="preserve">due to reasons </w:t>
      </w:r>
      <w:r w:rsidR="00DC14E9" w:rsidRPr="00163851">
        <w:rPr>
          <w:color w:val="000000" w:themeColor="text1"/>
          <w:szCs w:val="24"/>
        </w:rPr>
        <w:t xml:space="preserve">not particularly </w:t>
      </w:r>
      <w:r w:rsidR="00F910E0" w:rsidRPr="00163851">
        <w:rPr>
          <w:color w:val="000000" w:themeColor="text1"/>
          <w:szCs w:val="24"/>
        </w:rPr>
        <w:t xml:space="preserve">related to teleworking </w:t>
      </w:r>
      <w:r w:rsidR="00DC14E9" w:rsidRPr="00163851">
        <w:rPr>
          <w:color w:val="000000" w:themeColor="text1"/>
          <w:szCs w:val="24"/>
        </w:rPr>
        <w:t>ability</w:t>
      </w:r>
      <w:r w:rsidR="00853CBD" w:rsidRPr="00163851">
        <w:rPr>
          <w:color w:val="000000" w:themeColor="text1"/>
          <w:szCs w:val="24"/>
        </w:rPr>
        <w:t>)</w:t>
      </w:r>
      <w:r w:rsidR="00DC14E9" w:rsidRPr="00163851">
        <w:rPr>
          <w:color w:val="000000" w:themeColor="text1"/>
          <w:szCs w:val="24"/>
        </w:rPr>
        <w:t xml:space="preserve"> </w:t>
      </w:r>
      <w:r w:rsidR="009418AE" w:rsidRPr="00163851">
        <w:rPr>
          <w:color w:val="000000" w:themeColor="text1"/>
          <w:szCs w:val="24"/>
        </w:rPr>
        <w:t>are more likely to embrace telework as a way to reduce the time, financial cost, and stress of long commutes (</w:t>
      </w:r>
      <w:r w:rsidR="00DC14E9" w:rsidRPr="00163851">
        <w:rPr>
          <w:color w:val="000000" w:themeColor="text1"/>
          <w:szCs w:val="24"/>
        </w:rPr>
        <w:t xml:space="preserve">Ory and Mokhtarian, 2006; </w:t>
      </w:r>
      <w:r w:rsidR="00FD259F" w:rsidRPr="00163851">
        <w:rPr>
          <w:szCs w:val="24"/>
        </w:rPr>
        <w:t xml:space="preserve">Helminen and </w:t>
      </w:r>
      <w:proofErr w:type="spellStart"/>
      <w:r w:rsidR="00FD259F" w:rsidRPr="00163851">
        <w:rPr>
          <w:szCs w:val="24"/>
        </w:rPr>
        <w:t>Ristimäki</w:t>
      </w:r>
      <w:proofErr w:type="spellEnd"/>
      <w:r w:rsidR="00FD259F" w:rsidRPr="00163851">
        <w:rPr>
          <w:szCs w:val="24"/>
        </w:rPr>
        <w:t xml:space="preserve">, 2007; </w:t>
      </w:r>
      <w:r w:rsidR="009418AE" w:rsidRPr="00163851">
        <w:rPr>
          <w:color w:val="000000" w:themeColor="text1"/>
          <w:szCs w:val="24"/>
        </w:rPr>
        <w:t xml:space="preserve">de Abreu e Silva and Melo, 2018; </w:t>
      </w:r>
      <w:r w:rsidR="00117C53" w:rsidRPr="00163851">
        <w:rPr>
          <w:color w:val="000000" w:themeColor="text1"/>
          <w:szCs w:val="24"/>
        </w:rPr>
        <w:t xml:space="preserve">Mitra and </w:t>
      </w:r>
      <w:proofErr w:type="spellStart"/>
      <w:r w:rsidR="00117C53" w:rsidRPr="00163851">
        <w:rPr>
          <w:color w:val="000000" w:themeColor="text1"/>
          <w:szCs w:val="24"/>
        </w:rPr>
        <w:t>Saphores</w:t>
      </w:r>
      <w:proofErr w:type="spellEnd"/>
      <w:r w:rsidR="00117C53" w:rsidRPr="00163851">
        <w:rPr>
          <w:color w:val="000000" w:themeColor="text1"/>
          <w:szCs w:val="24"/>
        </w:rPr>
        <w:t xml:space="preserve">, 2019; </w:t>
      </w:r>
      <w:proofErr w:type="spellStart"/>
      <w:r w:rsidR="009418AE" w:rsidRPr="00163851">
        <w:rPr>
          <w:color w:val="000000" w:themeColor="text1"/>
          <w:szCs w:val="24"/>
        </w:rPr>
        <w:t>Gubins</w:t>
      </w:r>
      <w:proofErr w:type="spellEnd"/>
      <w:r w:rsidR="009418AE" w:rsidRPr="00163851">
        <w:rPr>
          <w:color w:val="000000" w:themeColor="text1"/>
          <w:szCs w:val="24"/>
        </w:rPr>
        <w:t xml:space="preserve"> et al., 2019). </w:t>
      </w:r>
      <w:bookmarkEnd w:id="4"/>
      <w:r w:rsidR="0014381C" w:rsidRPr="00163851">
        <w:rPr>
          <w:color w:val="000000" w:themeColor="text1"/>
          <w:szCs w:val="24"/>
        </w:rPr>
        <w:t xml:space="preserve">Additionally, it is also possible that there is no direct causality between teleworking and commute distance, and that the association </w:t>
      </w:r>
      <w:r w:rsidR="00E25F83" w:rsidRPr="00163851">
        <w:rPr>
          <w:color w:val="000000" w:themeColor="text1"/>
          <w:szCs w:val="24"/>
        </w:rPr>
        <w:t xml:space="preserve">between the two </w:t>
      </w:r>
      <w:r w:rsidR="0014381C" w:rsidRPr="00163851">
        <w:rPr>
          <w:color w:val="000000" w:themeColor="text1"/>
          <w:szCs w:val="24"/>
        </w:rPr>
        <w:t xml:space="preserve">is purely due to unobserved individual personality and lifestyle factors. Especially when trying to extract out causal effects from cross-sectional data (and almost all earlier studies of the telework-commute distance relationship have been based on cross-sectional data), ignoring the jointness of the telework and commute distance decisions can lead to biased estimates of the causal </w:t>
      </w:r>
      <w:r w:rsidR="00DC799F" w:rsidRPr="00163851">
        <w:rPr>
          <w:color w:val="000000" w:themeColor="text1"/>
          <w:szCs w:val="24"/>
        </w:rPr>
        <w:t xml:space="preserve">direction of </w:t>
      </w:r>
      <w:r w:rsidR="0014381C" w:rsidRPr="00163851">
        <w:rPr>
          <w:color w:val="000000" w:themeColor="text1"/>
          <w:szCs w:val="24"/>
        </w:rPr>
        <w:t xml:space="preserve">effects </w:t>
      </w:r>
      <w:r w:rsidR="00DC799F" w:rsidRPr="00163851">
        <w:rPr>
          <w:color w:val="000000" w:themeColor="text1"/>
          <w:szCs w:val="24"/>
        </w:rPr>
        <w:t xml:space="preserve">and their magnitudes </w:t>
      </w:r>
      <w:r w:rsidR="0014381C" w:rsidRPr="00FF45AA">
        <w:rPr>
          <w:color w:val="000000" w:themeColor="text1"/>
          <w:szCs w:val="24"/>
        </w:rPr>
        <w:t xml:space="preserve">(see </w:t>
      </w:r>
      <w:r w:rsidR="00825C48" w:rsidRPr="00FF45AA">
        <w:rPr>
          <w:color w:val="000000" w:themeColor="text1"/>
          <w:szCs w:val="24"/>
        </w:rPr>
        <w:t xml:space="preserve">Bhat </w:t>
      </w:r>
      <w:r w:rsidR="002D3360" w:rsidRPr="00FF45AA">
        <w:rPr>
          <w:color w:val="000000" w:themeColor="text1"/>
          <w:szCs w:val="24"/>
        </w:rPr>
        <w:t>2015</w:t>
      </w:r>
      <w:r w:rsidR="00825C48" w:rsidRPr="00FF45AA">
        <w:rPr>
          <w:color w:val="000000" w:themeColor="text1"/>
          <w:szCs w:val="24"/>
        </w:rPr>
        <w:t xml:space="preserve"> and </w:t>
      </w:r>
      <w:r w:rsidR="00BD5DF8" w:rsidRPr="00FF45AA">
        <w:rPr>
          <w:color w:val="000000" w:themeColor="text1"/>
          <w:szCs w:val="24"/>
        </w:rPr>
        <w:t>Tran et al., 2016</w:t>
      </w:r>
      <w:r w:rsidR="0014381C" w:rsidRPr="00FF45AA">
        <w:rPr>
          <w:color w:val="000000" w:themeColor="text1"/>
          <w:szCs w:val="24"/>
        </w:rPr>
        <w:t>)</w:t>
      </w:r>
      <w:r w:rsidR="0014381C" w:rsidRPr="00BD5DF8">
        <w:rPr>
          <w:color w:val="000000" w:themeColor="text1"/>
          <w:szCs w:val="24"/>
        </w:rPr>
        <w:t xml:space="preserve">. For example, consider the case </w:t>
      </w:r>
      <w:r w:rsidR="00E92440" w:rsidRPr="007C11ED">
        <w:rPr>
          <w:color w:val="000000" w:themeColor="text1"/>
          <w:szCs w:val="24"/>
        </w:rPr>
        <w:t xml:space="preserve">when </w:t>
      </w:r>
      <w:r w:rsidR="0014381C" w:rsidRPr="006F1233">
        <w:rPr>
          <w:color w:val="000000" w:themeColor="text1"/>
          <w:szCs w:val="24"/>
        </w:rPr>
        <w:t>a person</w:t>
      </w:r>
      <w:r w:rsidR="0014381C" w:rsidRPr="00163851">
        <w:rPr>
          <w:color w:val="000000" w:themeColor="text1"/>
          <w:szCs w:val="24"/>
        </w:rPr>
        <w:t xml:space="preserve"> is </w:t>
      </w:r>
      <w:r w:rsidR="00E27A17" w:rsidRPr="00163851">
        <w:rPr>
          <w:color w:val="000000" w:themeColor="text1"/>
          <w:szCs w:val="24"/>
        </w:rPr>
        <w:t>ext</w:t>
      </w:r>
      <w:r w:rsidR="0014381C" w:rsidRPr="00163851">
        <w:rPr>
          <w:color w:val="000000" w:themeColor="text1"/>
          <w:szCs w:val="24"/>
        </w:rPr>
        <w:t>roverted in personality</w:t>
      </w:r>
      <w:r w:rsidR="00825C48">
        <w:rPr>
          <w:color w:val="000000" w:themeColor="text1"/>
          <w:szCs w:val="24"/>
        </w:rPr>
        <w:t xml:space="preserve"> </w:t>
      </w:r>
      <w:r w:rsidR="00B7693A" w:rsidRPr="00163851">
        <w:rPr>
          <w:color w:val="000000" w:themeColor="text1"/>
          <w:szCs w:val="24"/>
        </w:rPr>
        <w:t xml:space="preserve">and that this personality trait is not available in any form from a survey. Such a person may </w:t>
      </w:r>
      <w:r w:rsidR="00E27A17" w:rsidRPr="00163851">
        <w:rPr>
          <w:color w:val="000000" w:themeColor="text1"/>
          <w:szCs w:val="24"/>
        </w:rPr>
        <w:t xml:space="preserve">like to maximize social time </w:t>
      </w:r>
      <w:r w:rsidR="00B7693A" w:rsidRPr="00163851">
        <w:rPr>
          <w:color w:val="000000" w:themeColor="text1"/>
          <w:szCs w:val="24"/>
        </w:rPr>
        <w:t xml:space="preserve">within and </w:t>
      </w:r>
      <w:r w:rsidR="00E27A17" w:rsidRPr="00163851">
        <w:rPr>
          <w:color w:val="000000" w:themeColor="text1"/>
          <w:szCs w:val="24"/>
        </w:rPr>
        <w:t xml:space="preserve">beyond the </w:t>
      </w:r>
      <w:r w:rsidR="00825C48">
        <w:rPr>
          <w:color w:val="000000" w:themeColor="text1"/>
          <w:szCs w:val="24"/>
        </w:rPr>
        <w:t xml:space="preserve">office </w:t>
      </w:r>
      <w:r w:rsidR="00E27A17" w:rsidRPr="00163851">
        <w:rPr>
          <w:color w:val="000000" w:themeColor="text1"/>
          <w:szCs w:val="24"/>
        </w:rPr>
        <w:t>working space</w:t>
      </w:r>
      <w:r w:rsidR="00B7693A" w:rsidRPr="00163851">
        <w:rPr>
          <w:color w:val="000000" w:themeColor="text1"/>
          <w:szCs w:val="24"/>
        </w:rPr>
        <w:t>, thus deciding to work from the office more (telework less) and also stay close to the workplace (short commute)</w:t>
      </w:r>
      <w:r w:rsidR="00E27A17" w:rsidRPr="00163851">
        <w:rPr>
          <w:color w:val="000000" w:themeColor="text1"/>
          <w:szCs w:val="24"/>
        </w:rPr>
        <w:t>.</w:t>
      </w:r>
      <w:r w:rsidR="00B7693A" w:rsidRPr="00163851">
        <w:rPr>
          <w:color w:val="000000" w:themeColor="text1"/>
          <w:szCs w:val="24"/>
        </w:rPr>
        <w:t xml:space="preserve"> If so, </w:t>
      </w:r>
      <w:r w:rsidR="00B7693A" w:rsidRPr="00163851">
        <w:rPr>
          <w:szCs w:val="24"/>
        </w:rPr>
        <w:t xml:space="preserve">ignoring this unobserved </w:t>
      </w:r>
      <w:r w:rsidR="00E769E3">
        <w:rPr>
          <w:szCs w:val="24"/>
        </w:rPr>
        <w:t xml:space="preserve">negative </w:t>
      </w:r>
      <w:r w:rsidR="00B7693A" w:rsidRPr="00163851">
        <w:rPr>
          <w:szCs w:val="24"/>
        </w:rPr>
        <w:t xml:space="preserve">association </w:t>
      </w:r>
      <w:r w:rsidR="00E769E3">
        <w:rPr>
          <w:szCs w:val="24"/>
        </w:rPr>
        <w:t xml:space="preserve">between working from the office and commute distance </w:t>
      </w:r>
      <w:r w:rsidR="00B7693A" w:rsidRPr="00163851">
        <w:rPr>
          <w:szCs w:val="24"/>
        </w:rPr>
        <w:t>would inappropriately elevate the positive causal effect of telework frequency on commute distance (if that is the causal direction considered) and also incorrectly magnify the positive causal effect of commute distance on telework frequency (if this is the causal direction considered</w:t>
      </w:r>
      <w:r w:rsidR="00825C48">
        <w:rPr>
          <w:szCs w:val="24"/>
        </w:rPr>
        <w:t>)</w:t>
      </w:r>
      <w:r w:rsidR="00E25F83" w:rsidRPr="00163851">
        <w:rPr>
          <w:szCs w:val="24"/>
        </w:rPr>
        <w:t>.</w:t>
      </w:r>
    </w:p>
    <w:p w14:paraId="28E85432" w14:textId="4CB91072" w:rsidR="009418AE" w:rsidRPr="00163851" w:rsidRDefault="00912FF2" w:rsidP="00303FC0">
      <w:pPr>
        <w:spacing w:after="0" w:line="240" w:lineRule="auto"/>
        <w:ind w:firstLine="720"/>
        <w:rPr>
          <w:szCs w:val="24"/>
        </w:rPr>
      </w:pPr>
      <w:r w:rsidRPr="00163851">
        <w:rPr>
          <w:color w:val="000000" w:themeColor="text1"/>
          <w:szCs w:val="24"/>
        </w:rPr>
        <w:t>In addition to the n</w:t>
      </w:r>
      <w:r w:rsidR="00A50340" w:rsidRPr="00163851">
        <w:rPr>
          <w:color w:val="000000" w:themeColor="text1"/>
          <w:szCs w:val="24"/>
        </w:rPr>
        <w:t>ot-</w:t>
      </w:r>
      <w:r w:rsidRPr="00163851">
        <w:rPr>
          <w:color w:val="000000" w:themeColor="text1"/>
          <w:szCs w:val="24"/>
        </w:rPr>
        <w:t>completely-understood causal direction</w:t>
      </w:r>
      <w:r w:rsidR="00A50340" w:rsidRPr="00163851">
        <w:rPr>
          <w:color w:val="000000" w:themeColor="text1"/>
          <w:szCs w:val="24"/>
        </w:rPr>
        <w:t>/jointness</w:t>
      </w:r>
      <w:r w:rsidR="00203363" w:rsidRPr="00163851">
        <w:rPr>
          <w:color w:val="000000" w:themeColor="text1"/>
          <w:szCs w:val="24"/>
        </w:rPr>
        <w:t xml:space="preserve"> issue</w:t>
      </w:r>
      <w:r w:rsidR="00A50340" w:rsidRPr="00163851">
        <w:rPr>
          <w:color w:val="000000" w:themeColor="text1"/>
          <w:szCs w:val="24"/>
        </w:rPr>
        <w:t xml:space="preserve"> from earlier pre-COVID studies</w:t>
      </w:r>
      <w:r w:rsidR="00203363" w:rsidRPr="00163851">
        <w:rPr>
          <w:color w:val="000000" w:themeColor="text1"/>
          <w:szCs w:val="24"/>
        </w:rPr>
        <w:t xml:space="preserve">, </w:t>
      </w:r>
      <w:r w:rsidRPr="00163851">
        <w:rPr>
          <w:color w:val="000000" w:themeColor="text1"/>
          <w:szCs w:val="24"/>
        </w:rPr>
        <w:t xml:space="preserve">of course, the telework and </w:t>
      </w:r>
      <w:r w:rsidR="00FF333A" w:rsidRPr="00163851">
        <w:rPr>
          <w:color w:val="000000" w:themeColor="text1"/>
          <w:szCs w:val="24"/>
        </w:rPr>
        <w:t xml:space="preserve">commute (or residential </w:t>
      </w:r>
      <w:r w:rsidR="00CC036E" w:rsidRPr="00163851">
        <w:rPr>
          <w:color w:val="000000" w:themeColor="text1"/>
          <w:szCs w:val="24"/>
        </w:rPr>
        <w:t>choice</w:t>
      </w:r>
      <w:r w:rsidR="00FF333A" w:rsidRPr="00163851">
        <w:rPr>
          <w:color w:val="000000" w:themeColor="text1"/>
          <w:szCs w:val="24"/>
        </w:rPr>
        <w:t>)</w:t>
      </w:r>
      <w:r w:rsidR="00CC036E" w:rsidRPr="00163851">
        <w:rPr>
          <w:color w:val="000000" w:themeColor="text1"/>
          <w:szCs w:val="24"/>
        </w:rPr>
        <w:t xml:space="preserve"> </w:t>
      </w:r>
      <w:r w:rsidRPr="00163851">
        <w:rPr>
          <w:color w:val="000000" w:themeColor="text1"/>
          <w:szCs w:val="24"/>
        </w:rPr>
        <w:t>landscape</w:t>
      </w:r>
      <w:r w:rsidR="00CC036E" w:rsidRPr="00163851">
        <w:rPr>
          <w:color w:val="000000" w:themeColor="text1"/>
          <w:szCs w:val="24"/>
        </w:rPr>
        <w:t xml:space="preserve"> </w:t>
      </w:r>
      <w:r w:rsidRPr="00163851">
        <w:rPr>
          <w:color w:val="000000" w:themeColor="text1"/>
          <w:szCs w:val="24"/>
        </w:rPr>
        <w:t>h</w:t>
      </w:r>
      <w:r w:rsidR="00203363" w:rsidRPr="00163851">
        <w:rPr>
          <w:color w:val="000000" w:themeColor="text1"/>
          <w:szCs w:val="24"/>
        </w:rPr>
        <w:t>a</w:t>
      </w:r>
      <w:r w:rsidR="00CC036E" w:rsidRPr="00163851">
        <w:rPr>
          <w:color w:val="000000" w:themeColor="text1"/>
          <w:szCs w:val="24"/>
        </w:rPr>
        <w:t>s</w:t>
      </w:r>
      <w:r w:rsidR="00203363" w:rsidRPr="00163851">
        <w:rPr>
          <w:color w:val="000000" w:themeColor="text1"/>
          <w:szCs w:val="24"/>
        </w:rPr>
        <w:t xml:space="preserve"> </w:t>
      </w:r>
      <w:r w:rsidRPr="00163851">
        <w:rPr>
          <w:color w:val="000000" w:themeColor="text1"/>
          <w:szCs w:val="24"/>
        </w:rPr>
        <w:t>also changed quite considerably from before the pandemic</w:t>
      </w:r>
      <w:r w:rsidR="00CC036E" w:rsidRPr="00163851">
        <w:rPr>
          <w:color w:val="000000" w:themeColor="text1"/>
          <w:szCs w:val="24"/>
        </w:rPr>
        <w:t>. This is not simply in terms of the higher telework adoption</w:t>
      </w:r>
      <w:r w:rsidR="00FF333A" w:rsidRPr="00163851">
        <w:rPr>
          <w:color w:val="000000" w:themeColor="text1"/>
          <w:szCs w:val="24"/>
        </w:rPr>
        <w:t xml:space="preserve"> (whether a worker teleworks at all or not)</w:t>
      </w:r>
      <w:r w:rsidR="00CC036E" w:rsidRPr="00163851">
        <w:rPr>
          <w:color w:val="000000" w:themeColor="text1"/>
          <w:szCs w:val="24"/>
        </w:rPr>
        <w:t xml:space="preserve">, but also </w:t>
      </w:r>
      <w:r w:rsidR="00193C37" w:rsidRPr="00163851">
        <w:rPr>
          <w:color w:val="000000" w:themeColor="text1"/>
          <w:szCs w:val="24"/>
        </w:rPr>
        <w:t xml:space="preserve">in terms of the </w:t>
      </w:r>
      <w:r w:rsidR="00DC4AF9" w:rsidRPr="00163851">
        <w:rPr>
          <w:color w:val="000000" w:themeColor="text1"/>
          <w:szCs w:val="24"/>
        </w:rPr>
        <w:t xml:space="preserve">(a) </w:t>
      </w:r>
      <w:r w:rsidR="00193C37" w:rsidRPr="00163851">
        <w:rPr>
          <w:color w:val="000000" w:themeColor="text1"/>
          <w:szCs w:val="24"/>
        </w:rPr>
        <w:t xml:space="preserve">intensity of telework, </w:t>
      </w:r>
      <w:r w:rsidR="00DC4AF9" w:rsidRPr="00163851">
        <w:rPr>
          <w:color w:val="000000" w:themeColor="text1"/>
          <w:szCs w:val="24"/>
        </w:rPr>
        <w:t xml:space="preserve">(b) </w:t>
      </w:r>
      <w:r w:rsidR="00193C37" w:rsidRPr="00163851">
        <w:rPr>
          <w:color w:val="000000" w:themeColor="text1"/>
          <w:szCs w:val="24"/>
        </w:rPr>
        <w:t>locations of telework</w:t>
      </w:r>
      <w:r w:rsidR="00CC036E" w:rsidRPr="00163851">
        <w:rPr>
          <w:color w:val="000000" w:themeColor="text1"/>
          <w:szCs w:val="24"/>
        </w:rPr>
        <w:t xml:space="preserve">, </w:t>
      </w:r>
      <w:r w:rsidR="00193C37" w:rsidRPr="00163851">
        <w:rPr>
          <w:color w:val="000000" w:themeColor="text1"/>
          <w:szCs w:val="24"/>
        </w:rPr>
        <w:t>and</w:t>
      </w:r>
      <w:r w:rsidR="00DC4AF9" w:rsidRPr="00163851">
        <w:rPr>
          <w:color w:val="000000" w:themeColor="text1"/>
          <w:szCs w:val="24"/>
        </w:rPr>
        <w:t xml:space="preserve"> (c) </w:t>
      </w:r>
      <w:r w:rsidR="00FF333A" w:rsidRPr="00163851">
        <w:rPr>
          <w:color w:val="000000" w:themeColor="text1"/>
          <w:szCs w:val="24"/>
        </w:rPr>
        <w:t xml:space="preserve">consequent potential alteration of the telework-commute distance relationship. In terms of the </w:t>
      </w:r>
      <w:r w:rsidR="00FF333A" w:rsidRPr="00612440">
        <w:rPr>
          <w:color w:val="000000" w:themeColor="text1"/>
          <w:szCs w:val="24"/>
          <w:u w:val="single"/>
        </w:rPr>
        <w:t>intensity of telework</w:t>
      </w:r>
      <w:r w:rsidR="00FF333A" w:rsidRPr="00163851">
        <w:rPr>
          <w:color w:val="000000" w:themeColor="text1"/>
          <w:szCs w:val="24"/>
        </w:rPr>
        <w:t xml:space="preserve">, </w:t>
      </w:r>
      <w:r w:rsidR="00FF333A" w:rsidRPr="00163851">
        <w:rPr>
          <w:szCs w:val="24"/>
        </w:rPr>
        <w:t xml:space="preserve">telework has evolved from a predominantly occasional work-from-home practice to a routine hybrid work arrangement. This calls for additional emphasis on telework frequency rather than a simple binary distinction of whether an individual adopts teleworking at all or not (as was the emphasis of most pre-COVID studies prior to the pandemic; see Asmussen et al., 2023 for a detailed review). In terms of </w:t>
      </w:r>
      <w:r w:rsidR="00FF333A" w:rsidRPr="00612440">
        <w:rPr>
          <w:szCs w:val="24"/>
          <w:u w:val="single"/>
        </w:rPr>
        <w:t>telework locations</w:t>
      </w:r>
      <w:r w:rsidR="00FF333A" w:rsidRPr="00163851">
        <w:rPr>
          <w:szCs w:val="24"/>
        </w:rPr>
        <w:t xml:space="preserve">, </w:t>
      </w:r>
      <w:r w:rsidR="009418AE" w:rsidRPr="00163851">
        <w:rPr>
          <w:szCs w:val="24"/>
        </w:rPr>
        <w:t xml:space="preserve">while home was the principal telework location in pre-COVID days, </w:t>
      </w:r>
      <w:r w:rsidR="006A5004" w:rsidRPr="00163851">
        <w:rPr>
          <w:szCs w:val="24"/>
        </w:rPr>
        <w:t>the emergence of a third workplace</w:t>
      </w:r>
      <w:r w:rsidR="00FF333A" w:rsidRPr="00163851">
        <w:rPr>
          <w:szCs w:val="24"/>
        </w:rPr>
        <w:t xml:space="preserve"> (</w:t>
      </w:r>
      <w:r w:rsidR="006A5004" w:rsidRPr="00163851">
        <w:rPr>
          <w:szCs w:val="24"/>
        </w:rPr>
        <w:t>such as a café, hotel room, or even a beachfront</w:t>
      </w:r>
      <w:r w:rsidR="00FF333A" w:rsidRPr="00163851">
        <w:rPr>
          <w:szCs w:val="24"/>
        </w:rPr>
        <w:t>)</w:t>
      </w:r>
      <w:r w:rsidR="006A5004" w:rsidRPr="00163851">
        <w:rPr>
          <w:szCs w:val="24"/>
        </w:rPr>
        <w:t xml:space="preserve"> as another </w:t>
      </w:r>
      <w:r w:rsidR="00FF333A" w:rsidRPr="00163851">
        <w:rPr>
          <w:szCs w:val="24"/>
        </w:rPr>
        <w:t xml:space="preserve">popular </w:t>
      </w:r>
      <w:r w:rsidR="006A5004" w:rsidRPr="00163851">
        <w:rPr>
          <w:szCs w:val="24"/>
        </w:rPr>
        <w:t xml:space="preserve">remote work location adds a new </w:t>
      </w:r>
      <w:r w:rsidR="00FF333A" w:rsidRPr="00163851">
        <w:rPr>
          <w:szCs w:val="24"/>
        </w:rPr>
        <w:t>dimension to teleworking arrangements</w:t>
      </w:r>
      <w:r w:rsidR="006A5004" w:rsidRPr="00163851" w:rsidDel="006A5004">
        <w:rPr>
          <w:szCs w:val="24"/>
        </w:rPr>
        <w:t xml:space="preserve"> </w:t>
      </w:r>
      <w:r w:rsidR="00E55028" w:rsidRPr="00163851">
        <w:rPr>
          <w:szCs w:val="24"/>
        </w:rPr>
        <w:t xml:space="preserve">and the association with commute distances </w:t>
      </w:r>
      <w:r w:rsidR="009418AE" w:rsidRPr="00163851">
        <w:rPr>
          <w:szCs w:val="24"/>
        </w:rPr>
        <w:t>(Stiles and Smart, 2021; Frick and Marx, 2021; Asmussen et al., 202</w:t>
      </w:r>
      <w:r w:rsidR="002E200B">
        <w:rPr>
          <w:szCs w:val="24"/>
        </w:rPr>
        <w:t>4</w:t>
      </w:r>
      <w:r w:rsidR="009418AE" w:rsidRPr="00163851">
        <w:rPr>
          <w:szCs w:val="24"/>
        </w:rPr>
        <w:t xml:space="preserve">). </w:t>
      </w:r>
      <w:r w:rsidR="00E55028" w:rsidRPr="00163851">
        <w:rPr>
          <w:szCs w:val="24"/>
        </w:rPr>
        <w:t xml:space="preserve">For instance, individuals who might be more likely to </w:t>
      </w:r>
      <w:r w:rsidR="00A50340" w:rsidRPr="00163851">
        <w:rPr>
          <w:szCs w:val="24"/>
        </w:rPr>
        <w:t>work from a</w:t>
      </w:r>
      <w:r w:rsidR="00E55028" w:rsidRPr="00163851">
        <w:rPr>
          <w:szCs w:val="24"/>
        </w:rPr>
        <w:t xml:space="preserve"> third workplace (rather than working from home or office) may </w:t>
      </w:r>
      <w:r w:rsidR="0004784F" w:rsidRPr="00163851">
        <w:rPr>
          <w:szCs w:val="24"/>
        </w:rPr>
        <w:t xml:space="preserve">also be associated with residences </w:t>
      </w:r>
      <w:r w:rsidR="00E55028" w:rsidRPr="00163851">
        <w:rPr>
          <w:szCs w:val="24"/>
        </w:rPr>
        <w:t xml:space="preserve">close to </w:t>
      </w:r>
      <w:r w:rsidR="0004784F" w:rsidRPr="00163851">
        <w:rPr>
          <w:szCs w:val="24"/>
        </w:rPr>
        <w:t xml:space="preserve">dense urban areas </w:t>
      </w:r>
      <w:r w:rsidR="0004784F" w:rsidRPr="00163851">
        <w:rPr>
          <w:szCs w:val="24"/>
        </w:rPr>
        <w:lastRenderedPageBreak/>
        <w:t xml:space="preserve">with more third workplace options. Given the general land-use structure of </w:t>
      </w:r>
      <w:r w:rsidR="00E25F83" w:rsidRPr="00163851">
        <w:rPr>
          <w:szCs w:val="24"/>
        </w:rPr>
        <w:t>most cities</w:t>
      </w:r>
      <w:r w:rsidR="00B9200D" w:rsidRPr="00163851">
        <w:rPr>
          <w:szCs w:val="24"/>
        </w:rPr>
        <w:t xml:space="preserve"> </w:t>
      </w:r>
      <w:r w:rsidR="00E25F83" w:rsidRPr="00163851">
        <w:rPr>
          <w:szCs w:val="24"/>
        </w:rPr>
        <w:t xml:space="preserve">wherein </w:t>
      </w:r>
      <w:r w:rsidR="00E55028" w:rsidRPr="00163851">
        <w:rPr>
          <w:szCs w:val="24"/>
        </w:rPr>
        <w:t>workplace</w:t>
      </w:r>
      <w:r w:rsidR="0004784F" w:rsidRPr="00163851">
        <w:rPr>
          <w:szCs w:val="24"/>
        </w:rPr>
        <w:t>s</w:t>
      </w:r>
      <w:r w:rsidR="00A50340" w:rsidRPr="00163851">
        <w:rPr>
          <w:szCs w:val="24"/>
        </w:rPr>
        <w:t xml:space="preserve"> </w:t>
      </w:r>
      <w:r w:rsidR="00E25F83" w:rsidRPr="00163851">
        <w:rPr>
          <w:szCs w:val="24"/>
        </w:rPr>
        <w:t xml:space="preserve">are </w:t>
      </w:r>
      <w:r w:rsidR="0004784F" w:rsidRPr="00163851">
        <w:rPr>
          <w:szCs w:val="24"/>
        </w:rPr>
        <w:t>more likely to be located in dense areas</w:t>
      </w:r>
      <w:r w:rsidR="00B9200D" w:rsidRPr="00163851">
        <w:rPr>
          <w:szCs w:val="24"/>
        </w:rPr>
        <w:t xml:space="preserve"> (</w:t>
      </w:r>
      <w:bookmarkStart w:id="5" w:name="_Hlk135644354"/>
      <w:r w:rsidR="00B9200D" w:rsidRPr="00163851">
        <w:rPr>
          <w:szCs w:val="24"/>
        </w:rPr>
        <w:t xml:space="preserve">see </w:t>
      </w:r>
      <w:proofErr w:type="spellStart"/>
      <w:r w:rsidR="007C11ED">
        <w:rPr>
          <w:szCs w:val="24"/>
        </w:rPr>
        <w:t>Glaeser</w:t>
      </w:r>
      <w:proofErr w:type="spellEnd"/>
      <w:r w:rsidR="007C11ED">
        <w:rPr>
          <w:szCs w:val="24"/>
        </w:rPr>
        <w:t xml:space="preserve"> et al</w:t>
      </w:r>
      <w:r w:rsidR="007A33F3">
        <w:rPr>
          <w:szCs w:val="24"/>
        </w:rPr>
        <w:t xml:space="preserve">., 2001, </w:t>
      </w:r>
      <w:r w:rsidR="00BD5DF8">
        <w:rPr>
          <w:szCs w:val="24"/>
        </w:rPr>
        <w:t xml:space="preserve">Tran et al., 2016, </w:t>
      </w:r>
      <w:r w:rsidR="007A33F3">
        <w:rPr>
          <w:szCs w:val="24"/>
        </w:rPr>
        <w:t>and</w:t>
      </w:r>
      <w:r w:rsidR="007C11ED">
        <w:rPr>
          <w:szCs w:val="24"/>
        </w:rPr>
        <w:t xml:space="preserve"> Lorenzo</w:t>
      </w:r>
      <w:r w:rsidR="007A33F3">
        <w:rPr>
          <w:szCs w:val="24"/>
        </w:rPr>
        <w:t xml:space="preserve">, </w:t>
      </w:r>
      <w:r w:rsidR="007C11ED">
        <w:rPr>
          <w:szCs w:val="24"/>
        </w:rPr>
        <w:t>2021</w:t>
      </w:r>
      <w:bookmarkEnd w:id="5"/>
      <w:r w:rsidR="00B9200D" w:rsidRPr="00163851">
        <w:rPr>
          <w:szCs w:val="24"/>
        </w:rPr>
        <w:t>)</w:t>
      </w:r>
      <w:r w:rsidR="0004784F" w:rsidRPr="00163851">
        <w:rPr>
          <w:szCs w:val="24"/>
        </w:rPr>
        <w:t>, this may cause a</w:t>
      </w:r>
      <w:r w:rsidR="00A50340" w:rsidRPr="00163851">
        <w:rPr>
          <w:szCs w:val="24"/>
        </w:rPr>
        <w:t>n overall</w:t>
      </w:r>
      <w:r w:rsidR="00FB0731" w:rsidRPr="00163851">
        <w:rPr>
          <w:szCs w:val="24"/>
        </w:rPr>
        <w:t xml:space="preserve"> negative</w:t>
      </w:r>
      <w:r w:rsidR="0004784F" w:rsidRPr="00163851">
        <w:rPr>
          <w:szCs w:val="24"/>
        </w:rPr>
        <w:t xml:space="preserve"> association between third workplace telework</w:t>
      </w:r>
      <w:r w:rsidR="00C8568C">
        <w:rPr>
          <w:szCs w:val="24"/>
        </w:rPr>
        <w:t xml:space="preserve">ing and </w:t>
      </w:r>
      <w:r w:rsidR="0004784F" w:rsidRPr="00163851">
        <w:rPr>
          <w:szCs w:val="24"/>
        </w:rPr>
        <w:t xml:space="preserve">commute distance that is different from the </w:t>
      </w:r>
      <w:r w:rsidR="00FB0731" w:rsidRPr="00163851">
        <w:rPr>
          <w:szCs w:val="24"/>
        </w:rPr>
        <w:t xml:space="preserve">generally observed positive </w:t>
      </w:r>
      <w:r w:rsidR="0004784F" w:rsidRPr="00163851">
        <w:rPr>
          <w:szCs w:val="24"/>
        </w:rPr>
        <w:t>association between the home telework-commute distance relationship</w:t>
      </w:r>
      <w:r w:rsidR="00CF6637" w:rsidRPr="00163851">
        <w:rPr>
          <w:szCs w:val="24"/>
        </w:rPr>
        <w:t xml:space="preserve"> (note that </w:t>
      </w:r>
      <w:r w:rsidR="00CF6637" w:rsidRPr="00163851">
        <w:rPr>
          <w:color w:val="000000" w:themeColor="text1"/>
          <w:szCs w:val="24"/>
        </w:rPr>
        <w:t>the term “commute distance” in this paper refers strictly to the home-office distance, even if an individual works from a third workplace on some days)</w:t>
      </w:r>
      <w:r w:rsidR="0004784F" w:rsidRPr="00163851">
        <w:rPr>
          <w:szCs w:val="24"/>
        </w:rPr>
        <w:t xml:space="preserve">. </w:t>
      </w:r>
      <w:r w:rsidR="00FB0731" w:rsidRPr="00163851">
        <w:rPr>
          <w:szCs w:val="24"/>
        </w:rPr>
        <w:t xml:space="preserve">Thus, </w:t>
      </w:r>
      <w:r w:rsidR="00CF6637" w:rsidRPr="00163851">
        <w:rPr>
          <w:szCs w:val="24"/>
        </w:rPr>
        <w:t xml:space="preserve">it is useful to consider the third workplace as a possible telework location distinct from home </w:t>
      </w:r>
      <w:r w:rsidR="00FB0731" w:rsidRPr="00163851">
        <w:rPr>
          <w:szCs w:val="24"/>
        </w:rPr>
        <w:t>to better accommodate the effects of the increasing adoption of a combination of both home and third workplace telework arrangements on the net effect on the telework-commute distance association</w:t>
      </w:r>
      <w:r w:rsidR="00CF6637" w:rsidRPr="00163851">
        <w:rPr>
          <w:szCs w:val="24"/>
        </w:rPr>
        <w:t xml:space="preserve">. </w:t>
      </w:r>
      <w:r w:rsidR="00DC4AF9" w:rsidRPr="00163851">
        <w:rPr>
          <w:szCs w:val="24"/>
        </w:rPr>
        <w:t xml:space="preserve">Finally, related to the above, in terms of the </w:t>
      </w:r>
      <w:r w:rsidR="00B14030" w:rsidRPr="00612440">
        <w:rPr>
          <w:szCs w:val="24"/>
          <w:u w:val="single"/>
        </w:rPr>
        <w:t xml:space="preserve">alteration of the </w:t>
      </w:r>
      <w:r w:rsidR="00DC4AF9" w:rsidRPr="00612440">
        <w:rPr>
          <w:szCs w:val="24"/>
          <w:u w:val="single"/>
        </w:rPr>
        <w:t>telework-commute distance relationship</w:t>
      </w:r>
      <w:r w:rsidR="00DC4AF9" w:rsidRPr="00163851">
        <w:rPr>
          <w:szCs w:val="24"/>
        </w:rPr>
        <w:t>,</w:t>
      </w:r>
      <w:r w:rsidR="009418AE" w:rsidRPr="00163851">
        <w:rPr>
          <w:szCs w:val="24"/>
        </w:rPr>
        <w:t xml:space="preserve"> </w:t>
      </w:r>
      <w:r w:rsidR="00B7156E" w:rsidRPr="00163851">
        <w:rPr>
          <w:szCs w:val="24"/>
        </w:rPr>
        <w:t xml:space="preserve">the pandemic </w:t>
      </w:r>
      <w:r w:rsidR="009418AE" w:rsidRPr="00163851">
        <w:rPr>
          <w:szCs w:val="24"/>
        </w:rPr>
        <w:t xml:space="preserve">has arguably </w:t>
      </w:r>
      <w:r w:rsidR="00BC42FF">
        <w:rPr>
          <w:szCs w:val="24"/>
        </w:rPr>
        <w:t xml:space="preserve">altered the nature of </w:t>
      </w:r>
      <w:r w:rsidR="009418AE" w:rsidRPr="00163851">
        <w:rPr>
          <w:szCs w:val="24"/>
        </w:rPr>
        <w:t>the interplay between telework and commute distance</w:t>
      </w:r>
      <w:r w:rsidR="00DC4AF9" w:rsidRPr="00163851">
        <w:rPr>
          <w:szCs w:val="24"/>
        </w:rPr>
        <w:t>.</w:t>
      </w:r>
      <w:r w:rsidR="009418AE" w:rsidRPr="00163851">
        <w:rPr>
          <w:szCs w:val="24"/>
        </w:rPr>
        <w:t xml:space="preserve"> </w:t>
      </w:r>
      <w:r w:rsidR="00850698" w:rsidRPr="00163851">
        <w:rPr>
          <w:szCs w:val="24"/>
        </w:rPr>
        <w:t xml:space="preserve">As telework </w:t>
      </w:r>
      <w:r w:rsidR="00DC4AF9" w:rsidRPr="00163851">
        <w:rPr>
          <w:szCs w:val="24"/>
        </w:rPr>
        <w:t>is</w:t>
      </w:r>
      <w:r w:rsidR="00850698" w:rsidRPr="00163851">
        <w:rPr>
          <w:szCs w:val="24"/>
        </w:rPr>
        <w:t xml:space="preserve"> more accessible </w:t>
      </w:r>
      <w:r w:rsidR="00DC4AF9" w:rsidRPr="00163851">
        <w:rPr>
          <w:szCs w:val="24"/>
        </w:rPr>
        <w:t>today</w:t>
      </w:r>
      <w:r w:rsidR="00850698" w:rsidRPr="00163851">
        <w:rPr>
          <w:szCs w:val="24"/>
        </w:rPr>
        <w:t xml:space="preserve">, individuals may make conscious decisions to reside in locations that are farther away from their work office, or closer to it, depending on </w:t>
      </w:r>
      <w:r w:rsidR="00857B95" w:rsidRPr="00163851">
        <w:rPr>
          <w:szCs w:val="24"/>
        </w:rPr>
        <w:t xml:space="preserve">observed and unobserved individual/household demographic, </w:t>
      </w:r>
      <w:r w:rsidR="00DC4AF9" w:rsidRPr="00163851">
        <w:rPr>
          <w:szCs w:val="24"/>
        </w:rPr>
        <w:t>lifecycle</w:t>
      </w:r>
      <w:r w:rsidR="00857B95" w:rsidRPr="00163851">
        <w:rPr>
          <w:szCs w:val="24"/>
        </w:rPr>
        <w:t>, lifestyle</w:t>
      </w:r>
      <w:r w:rsidR="00DC4AF9" w:rsidRPr="00163851">
        <w:rPr>
          <w:szCs w:val="24"/>
        </w:rPr>
        <w:t xml:space="preserve"> and</w:t>
      </w:r>
      <w:r w:rsidR="00857B95" w:rsidRPr="00163851">
        <w:rPr>
          <w:szCs w:val="24"/>
        </w:rPr>
        <w:t xml:space="preserve"> </w:t>
      </w:r>
      <w:r w:rsidR="00850698" w:rsidRPr="00163851">
        <w:rPr>
          <w:szCs w:val="24"/>
        </w:rPr>
        <w:t xml:space="preserve">personality </w:t>
      </w:r>
      <w:r w:rsidR="00857B95" w:rsidRPr="00163851">
        <w:rPr>
          <w:szCs w:val="24"/>
        </w:rPr>
        <w:t>characteristics</w:t>
      </w:r>
      <w:r w:rsidR="00850698" w:rsidRPr="00163851">
        <w:rPr>
          <w:szCs w:val="24"/>
        </w:rPr>
        <w:t xml:space="preserve"> </w:t>
      </w:r>
      <w:r w:rsidR="009418AE" w:rsidRPr="00163851">
        <w:rPr>
          <w:szCs w:val="24"/>
        </w:rPr>
        <w:t>(de Abreu e Silva, 2022).</w:t>
      </w:r>
      <w:r w:rsidR="00850698" w:rsidRPr="00163851">
        <w:rPr>
          <w:szCs w:val="24"/>
        </w:rPr>
        <w:t xml:space="preserve"> </w:t>
      </w:r>
      <w:r w:rsidR="00E25F83" w:rsidRPr="00163851">
        <w:rPr>
          <w:szCs w:val="24"/>
        </w:rPr>
        <w:t xml:space="preserve">In particular, while earlier studies suggest that residential </w:t>
      </w:r>
      <w:r w:rsidR="00B433A1" w:rsidRPr="00163851">
        <w:rPr>
          <w:szCs w:val="24"/>
        </w:rPr>
        <w:t xml:space="preserve">location </w:t>
      </w:r>
      <w:r w:rsidR="00E25F83" w:rsidRPr="00163851">
        <w:rPr>
          <w:szCs w:val="24"/>
        </w:rPr>
        <w:t xml:space="preserve">choice </w:t>
      </w:r>
      <w:r w:rsidR="00B433A1" w:rsidRPr="00163851">
        <w:rPr>
          <w:szCs w:val="24"/>
        </w:rPr>
        <w:t xml:space="preserve">determines telework decisions much more so than telework decisions determine residential location choice (see, for example, Ory and Mokhtarian, 2006 and Mitra and </w:t>
      </w:r>
      <w:proofErr w:type="spellStart"/>
      <w:r w:rsidR="00B433A1" w:rsidRPr="00163851">
        <w:rPr>
          <w:szCs w:val="24"/>
        </w:rPr>
        <w:t>Saphores</w:t>
      </w:r>
      <w:proofErr w:type="spellEnd"/>
      <w:r w:rsidR="00B433A1" w:rsidRPr="00163851">
        <w:rPr>
          <w:szCs w:val="24"/>
        </w:rPr>
        <w:t>, 2019), the pandemic may have potentially shifted the balance between these two causal directions of effect. Overall</w:t>
      </w:r>
      <w:r w:rsidR="00B14030" w:rsidRPr="00163851">
        <w:rPr>
          <w:szCs w:val="24"/>
        </w:rPr>
        <w:t xml:space="preserve">, modeling </w:t>
      </w:r>
      <w:proofErr w:type="gramStart"/>
      <w:r w:rsidR="00B14030" w:rsidRPr="00163851">
        <w:rPr>
          <w:szCs w:val="24"/>
        </w:rPr>
        <w:t>telework</w:t>
      </w:r>
      <w:proofErr w:type="gramEnd"/>
      <w:r w:rsidR="00B14030" w:rsidRPr="00163851">
        <w:rPr>
          <w:szCs w:val="24"/>
        </w:rPr>
        <w:t xml:space="preserve"> and commute distance as a package choice becomes more important today to </w:t>
      </w:r>
      <w:r w:rsidR="00B433A1" w:rsidRPr="00163851">
        <w:rPr>
          <w:szCs w:val="24"/>
        </w:rPr>
        <w:t xml:space="preserve">(1) </w:t>
      </w:r>
      <w:r w:rsidR="00B14030" w:rsidRPr="00163851">
        <w:rPr>
          <w:szCs w:val="24"/>
        </w:rPr>
        <w:t>accommodate both unobserved factors influencing the two choice decisions</w:t>
      </w:r>
      <w:r w:rsidR="00B433A1" w:rsidRPr="00163851">
        <w:rPr>
          <w:szCs w:val="24"/>
        </w:rPr>
        <w:t xml:space="preserve">, (2) </w:t>
      </w:r>
      <w:r w:rsidR="00B14030" w:rsidRPr="00163851">
        <w:rPr>
          <w:szCs w:val="24"/>
        </w:rPr>
        <w:t>capture the “true” causal effect of one decision on another</w:t>
      </w:r>
      <w:r w:rsidR="00B433A1" w:rsidRPr="00163851">
        <w:rPr>
          <w:szCs w:val="24"/>
        </w:rPr>
        <w:t>, and (3) allow the possibility that each of the two causal structures prevails within different specific population groups</w:t>
      </w:r>
      <w:r w:rsidR="00B14030" w:rsidRPr="00163851">
        <w:rPr>
          <w:szCs w:val="24"/>
        </w:rPr>
        <w:t>.</w:t>
      </w:r>
      <w:r w:rsidR="0006705E">
        <w:rPr>
          <w:szCs w:val="24"/>
        </w:rPr>
        <w:t xml:space="preserve"> </w:t>
      </w:r>
    </w:p>
    <w:p w14:paraId="6D80D6E1" w14:textId="6C887640" w:rsidR="005C0472" w:rsidRPr="00163851" w:rsidRDefault="00841F8C" w:rsidP="00612440">
      <w:pPr>
        <w:spacing w:after="0" w:line="240" w:lineRule="auto"/>
        <w:ind w:firstLine="720"/>
        <w:rPr>
          <w:szCs w:val="24"/>
        </w:rPr>
      </w:pPr>
      <w:r w:rsidRPr="00163851">
        <w:rPr>
          <w:szCs w:val="24"/>
        </w:rPr>
        <w:t xml:space="preserve">The three factors just discussed </w:t>
      </w:r>
      <w:r w:rsidR="009418AE" w:rsidRPr="00163851">
        <w:rPr>
          <w:szCs w:val="24"/>
        </w:rPr>
        <w:t xml:space="preserve">motivate the current study. </w:t>
      </w:r>
      <w:bookmarkStart w:id="6" w:name="_Hlk138221964"/>
      <w:r w:rsidR="009418AE" w:rsidRPr="00163851">
        <w:rPr>
          <w:szCs w:val="24"/>
        </w:rPr>
        <w:t xml:space="preserve">In this paper, we model the </w:t>
      </w:r>
      <w:r w:rsidR="000E15C9" w:rsidRPr="00163851">
        <w:rPr>
          <w:szCs w:val="24"/>
        </w:rPr>
        <w:t>workplace location (</w:t>
      </w:r>
      <w:r w:rsidR="009418AE" w:rsidRPr="00163851">
        <w:rPr>
          <w:szCs w:val="24"/>
        </w:rPr>
        <w:t>WPL</w:t>
      </w:r>
      <w:r w:rsidR="000E15C9" w:rsidRPr="00163851">
        <w:rPr>
          <w:szCs w:val="24"/>
        </w:rPr>
        <w:t>)</w:t>
      </w:r>
      <w:r w:rsidR="009418AE" w:rsidRPr="00163851">
        <w:rPr>
          <w:szCs w:val="24"/>
        </w:rPr>
        <w:t xml:space="preserve">-commute distance </w:t>
      </w:r>
      <w:r w:rsidR="000E15C9" w:rsidRPr="00163851">
        <w:rPr>
          <w:szCs w:val="24"/>
        </w:rPr>
        <w:t xml:space="preserve">decision-making </w:t>
      </w:r>
      <w:r w:rsidR="009418AE" w:rsidRPr="00163851">
        <w:rPr>
          <w:szCs w:val="24"/>
        </w:rPr>
        <w:t>process as a package choice</w:t>
      </w:r>
      <w:r w:rsidR="000E15C9" w:rsidRPr="00163851">
        <w:rPr>
          <w:szCs w:val="24"/>
        </w:rPr>
        <w:t xml:space="preserve"> </w:t>
      </w:r>
      <w:r w:rsidR="00485CC9" w:rsidRPr="00163851">
        <w:rPr>
          <w:szCs w:val="24"/>
        </w:rPr>
        <w:t xml:space="preserve">to account for unobserved factors as well as </w:t>
      </w:r>
      <w:r w:rsidR="000E15C9" w:rsidRPr="00163851">
        <w:rPr>
          <w:szCs w:val="24"/>
        </w:rPr>
        <w:t>us</w:t>
      </w:r>
      <w:r w:rsidR="00485CC9" w:rsidRPr="00163851">
        <w:rPr>
          <w:szCs w:val="24"/>
        </w:rPr>
        <w:t>e</w:t>
      </w:r>
      <w:r w:rsidR="000E15C9" w:rsidRPr="00163851">
        <w:rPr>
          <w:szCs w:val="24"/>
        </w:rPr>
        <w:t xml:space="preserve"> a latent segmentation approach to </w:t>
      </w:r>
      <w:r w:rsidR="002073CE" w:rsidRPr="00163851">
        <w:rPr>
          <w:szCs w:val="24"/>
        </w:rPr>
        <w:t xml:space="preserve">recognize that some individuals may choose their telework arrangement first and then choose their commute distance (i.e., their residential location), while others may adopt a reverse causal behavioral process. </w:t>
      </w:r>
      <w:r w:rsidR="009418AE" w:rsidRPr="00163851">
        <w:rPr>
          <w:szCs w:val="24"/>
        </w:rPr>
        <w:t>The data for the analysis is drawn from a 2022 survey of Texas residents who are workers</w:t>
      </w:r>
      <w:r w:rsidR="00485CC9" w:rsidRPr="00163851">
        <w:rPr>
          <w:szCs w:val="24"/>
        </w:rPr>
        <w:t xml:space="preserve">, </w:t>
      </w:r>
      <w:r w:rsidR="009418AE" w:rsidRPr="00163851">
        <w:rPr>
          <w:szCs w:val="24"/>
        </w:rPr>
        <w:t xml:space="preserve">have a designated office site (even if they never go in to the office), and have the option of working away from the office. </w:t>
      </w:r>
      <w:r w:rsidR="00485CC9" w:rsidRPr="00163851">
        <w:rPr>
          <w:szCs w:val="24"/>
        </w:rPr>
        <w:t>As in most earlier studies, we investigate this inter-relationship between telework arrangements and commute distance using a cross-sectional data set. While a panel (longitudinal) dataset may appear to be more suited to such an analysis</w:t>
      </w:r>
      <w:r w:rsidR="005C0472" w:rsidRPr="00163851">
        <w:rPr>
          <w:szCs w:val="24"/>
        </w:rPr>
        <w:t xml:space="preserve"> because of </w:t>
      </w:r>
      <w:r w:rsidR="005C0472" w:rsidRPr="00163851">
        <w:rPr>
          <w:noProof/>
          <w:color w:val="000000" w:themeColor="text1"/>
          <w:szCs w:val="24"/>
        </w:rPr>
        <w:t xml:space="preserve">a temporal </w:t>
      </w:r>
      <w:r w:rsidR="005C0472" w:rsidRPr="00163851">
        <w:rPr>
          <w:noProof/>
          <w:szCs w:val="24"/>
        </w:rPr>
        <w:t>component associated with the telework-commute relationship</w:t>
      </w:r>
      <w:r w:rsidR="00485CC9" w:rsidRPr="00163851">
        <w:rPr>
          <w:szCs w:val="24"/>
        </w:rPr>
        <w:t xml:space="preserve">, the disruption caused by the pandemic can obfuscate the extraction of relationships </w:t>
      </w:r>
      <w:r w:rsidR="005C0472" w:rsidRPr="00163851">
        <w:rPr>
          <w:szCs w:val="24"/>
        </w:rPr>
        <w:t xml:space="preserve">from the use of before-after COVID panels, especially </w:t>
      </w:r>
      <w:r w:rsidR="00485CC9" w:rsidRPr="00163851">
        <w:rPr>
          <w:szCs w:val="24"/>
        </w:rPr>
        <w:t xml:space="preserve">given the short time frame since the onset of the pandemic. </w:t>
      </w:r>
      <w:r w:rsidR="005C0472" w:rsidRPr="00163851">
        <w:rPr>
          <w:szCs w:val="24"/>
        </w:rPr>
        <w:t>At the same time</w:t>
      </w:r>
      <w:r w:rsidR="00485CC9" w:rsidRPr="00163851">
        <w:rPr>
          <w:szCs w:val="24"/>
        </w:rPr>
        <w:t xml:space="preserve">, we believe that studying the telework-commute distance relationship in the new altered state (without reference to the pre-COVID state) using cross-sectional data has its </w:t>
      </w:r>
      <w:r w:rsidR="00E2396C" w:rsidRPr="00163851">
        <w:rPr>
          <w:szCs w:val="24"/>
        </w:rPr>
        <w:t xml:space="preserve">own </w:t>
      </w:r>
      <w:r w:rsidR="00485CC9" w:rsidRPr="00163851">
        <w:rPr>
          <w:szCs w:val="24"/>
        </w:rPr>
        <w:t xml:space="preserve">merits, particularly so because </w:t>
      </w:r>
      <w:bookmarkStart w:id="7" w:name="_Hlk133655138"/>
      <w:r w:rsidR="005C0472" w:rsidRPr="00163851">
        <w:rPr>
          <w:szCs w:val="24"/>
        </w:rPr>
        <w:t>the worst of the pandemic was in the rearview mirror in February-March 2022 (when our survey was conducted), with high rates of vaccination, lifting of mas</w:t>
      </w:r>
      <w:r w:rsidR="005060F3">
        <w:rPr>
          <w:szCs w:val="24"/>
        </w:rPr>
        <w:t>king/</w:t>
      </w:r>
      <w:r w:rsidR="005C0472" w:rsidRPr="00163851">
        <w:rPr>
          <w:szCs w:val="24"/>
        </w:rPr>
        <w:t xml:space="preserve">social distancing mandates, reopening of all establishments and workplaces, and a substantially diminished threat </w:t>
      </w:r>
      <w:r w:rsidR="005C0472" w:rsidRPr="00163851">
        <w:rPr>
          <w:szCs w:val="24"/>
        </w:rPr>
        <w:lastRenderedPageBreak/>
        <w:t>of death (or even severe complications) due to the virus.</w:t>
      </w:r>
      <w:r w:rsidR="000E48F8" w:rsidRPr="00163851">
        <w:rPr>
          <w:rStyle w:val="FootnoteReference"/>
          <w:szCs w:val="24"/>
        </w:rPr>
        <w:footnoteReference w:id="3"/>
      </w:r>
      <w:r w:rsidR="005C0472" w:rsidRPr="00163851">
        <w:rPr>
          <w:szCs w:val="24"/>
        </w:rPr>
        <w:t xml:space="preserve"> Importantly, </w:t>
      </w:r>
      <w:r w:rsidR="000E48F8">
        <w:rPr>
          <w:szCs w:val="24"/>
        </w:rPr>
        <w:t>our</w:t>
      </w:r>
      <w:r w:rsidR="005C0472" w:rsidRPr="00163851">
        <w:rPr>
          <w:szCs w:val="24"/>
        </w:rPr>
        <w:t xml:space="preserve"> survey was deployed after the Omicron variant had passed its peak in Texas, and there were no mandatory pandemic-related safety measures in place in Texas. Actually, all COVID-related mandates/restrictions had been lifted in the state as early as March 2021 (Office of the Texas Governor, 2021). Also, when asked about what they believe will be their teleworking arrangement in the “not-so-distant future”, respondents indicated a work modality distribution that was largely similar to the current work modality distribution, suggesting that, at least in Texas, the effects of COVID on work patterns </w:t>
      </w:r>
      <w:r w:rsidR="00F81181" w:rsidRPr="00163851">
        <w:rPr>
          <w:szCs w:val="24"/>
        </w:rPr>
        <w:t xml:space="preserve">had reached a </w:t>
      </w:r>
      <w:r w:rsidR="00AB31CF" w:rsidRPr="00163851">
        <w:rPr>
          <w:szCs w:val="24"/>
        </w:rPr>
        <w:t xml:space="preserve">reasonably </w:t>
      </w:r>
      <w:r w:rsidR="00F81181" w:rsidRPr="00163851">
        <w:rPr>
          <w:szCs w:val="24"/>
        </w:rPr>
        <w:t xml:space="preserve">stable “equilibrium state” </w:t>
      </w:r>
      <w:bookmarkEnd w:id="7"/>
      <w:r w:rsidR="00F81181" w:rsidRPr="00163851">
        <w:rPr>
          <w:szCs w:val="24"/>
        </w:rPr>
        <w:t>from which to tease out the telework-residential location joint decision process.</w:t>
      </w:r>
    </w:p>
    <w:p w14:paraId="73F2D33C" w14:textId="5BBD04AB" w:rsidR="009418AE" w:rsidRPr="00163851" w:rsidRDefault="00485CC9" w:rsidP="008C35A1">
      <w:pPr>
        <w:spacing w:after="0" w:line="240" w:lineRule="auto"/>
        <w:ind w:firstLine="720"/>
        <w:rPr>
          <w:szCs w:val="24"/>
        </w:rPr>
      </w:pPr>
      <w:r w:rsidRPr="00163851">
        <w:rPr>
          <w:szCs w:val="24"/>
        </w:rPr>
        <w:t xml:space="preserve"> </w:t>
      </w:r>
      <w:r w:rsidR="009418AE" w:rsidRPr="00163851">
        <w:rPr>
          <w:szCs w:val="24"/>
        </w:rPr>
        <w:t>The modeling methodology</w:t>
      </w:r>
      <w:r w:rsidR="007C52AA" w:rsidRPr="00163851">
        <w:rPr>
          <w:szCs w:val="24"/>
        </w:rPr>
        <w:t xml:space="preserve"> </w:t>
      </w:r>
      <w:r w:rsidR="009418AE" w:rsidRPr="00163851">
        <w:rPr>
          <w:szCs w:val="24"/>
        </w:rPr>
        <w:t xml:space="preserve">combines a multiple discrete-continuous </w:t>
      </w:r>
      <w:proofErr w:type="spellStart"/>
      <w:r w:rsidR="009418AE" w:rsidRPr="00163851">
        <w:rPr>
          <w:szCs w:val="24"/>
        </w:rPr>
        <w:t>probit</w:t>
      </w:r>
      <w:proofErr w:type="spellEnd"/>
      <w:r w:rsidR="009418AE" w:rsidRPr="00163851">
        <w:rPr>
          <w:szCs w:val="24"/>
        </w:rPr>
        <w:t xml:space="preserve"> (MDCP) model for telework adoption/intensity</w:t>
      </w:r>
      <w:r w:rsidR="00BD6C0D" w:rsidRPr="00163851">
        <w:rPr>
          <w:szCs w:val="24"/>
        </w:rPr>
        <w:t xml:space="preserve"> in terms of the proportion of monthly workdays worked (a) from home, (b) from the office, and (c) from a variable third </w:t>
      </w:r>
      <w:r w:rsidR="005C2433">
        <w:rPr>
          <w:szCs w:val="24"/>
        </w:rPr>
        <w:t>workplace</w:t>
      </w:r>
      <w:r w:rsidR="000E15C9" w:rsidRPr="00163851">
        <w:rPr>
          <w:szCs w:val="24"/>
        </w:rPr>
        <w:t>,</w:t>
      </w:r>
      <w:r w:rsidR="009418AE" w:rsidRPr="00163851">
        <w:rPr>
          <w:szCs w:val="24"/>
        </w:rPr>
        <w:t xml:space="preserve"> with a log-linear regression model for commute distance (that is, the </w:t>
      </w:r>
      <w:r w:rsidR="005C2433">
        <w:rPr>
          <w:szCs w:val="24"/>
        </w:rPr>
        <w:t xml:space="preserve">home-office </w:t>
      </w:r>
      <w:r w:rsidR="009418AE" w:rsidRPr="00163851">
        <w:rPr>
          <w:szCs w:val="24"/>
        </w:rPr>
        <w:t xml:space="preserve">distance). </w:t>
      </w:r>
      <w:r w:rsidR="007C52AA" w:rsidRPr="00163851">
        <w:rPr>
          <w:szCs w:val="24"/>
        </w:rPr>
        <w:t>To our knowledge, the resulting sample selection-type model, based on a multiple discrete-continuous sample selection mechanism</w:t>
      </w:r>
      <w:r w:rsidR="00FE1359" w:rsidRPr="00163851">
        <w:rPr>
          <w:szCs w:val="24"/>
        </w:rPr>
        <w:t>,</w:t>
      </w:r>
      <w:r w:rsidR="007C52AA" w:rsidRPr="00163851">
        <w:rPr>
          <w:szCs w:val="24"/>
        </w:rPr>
        <w:t xml:space="preserve"> is a first in the literature</w:t>
      </w:r>
      <w:r w:rsidR="00FE1359" w:rsidRPr="00163851">
        <w:rPr>
          <w:szCs w:val="24"/>
        </w:rPr>
        <w:t xml:space="preserve">. Further, </w:t>
      </w:r>
      <w:r w:rsidR="009418AE" w:rsidRPr="00163851">
        <w:rPr>
          <w:szCs w:val="24"/>
        </w:rPr>
        <w:t>to determine the causality of the relationship between</w:t>
      </w:r>
      <w:r w:rsidR="00FE1359" w:rsidRPr="00163851">
        <w:rPr>
          <w:szCs w:val="24"/>
        </w:rPr>
        <w:t xml:space="preserve"> telework </w:t>
      </w:r>
      <w:r w:rsidR="009418AE" w:rsidRPr="00163851">
        <w:rPr>
          <w:szCs w:val="24"/>
        </w:rPr>
        <w:t xml:space="preserve">and commute distance, we employ a latent segmentation model, characterizing the population into two segments: </w:t>
      </w:r>
      <w:r w:rsidR="00BD6C0D" w:rsidRPr="00163851">
        <w:rPr>
          <w:szCs w:val="24"/>
        </w:rPr>
        <w:t xml:space="preserve">(1) </w:t>
      </w:r>
      <w:r w:rsidR="009418AE" w:rsidRPr="00163851">
        <w:rPr>
          <w:szCs w:val="24"/>
        </w:rPr>
        <w:t xml:space="preserve">those </w:t>
      </w:r>
      <w:r w:rsidR="00FE1359" w:rsidRPr="00163851">
        <w:rPr>
          <w:szCs w:val="24"/>
        </w:rPr>
        <w:t xml:space="preserve">for whom telework choices </w:t>
      </w:r>
      <w:r w:rsidR="00BD6C0D" w:rsidRPr="00163851">
        <w:rPr>
          <w:szCs w:val="24"/>
        </w:rPr>
        <w:t xml:space="preserve">impact </w:t>
      </w:r>
      <w:r w:rsidR="009418AE" w:rsidRPr="00163851">
        <w:rPr>
          <w:szCs w:val="24"/>
        </w:rPr>
        <w:t>commute distance, and</w:t>
      </w:r>
      <w:r w:rsidR="000E15C9" w:rsidRPr="00163851">
        <w:rPr>
          <w:szCs w:val="24"/>
        </w:rPr>
        <w:t xml:space="preserve"> (2)</w:t>
      </w:r>
      <w:r w:rsidR="009418AE" w:rsidRPr="00163851">
        <w:rPr>
          <w:szCs w:val="24"/>
        </w:rPr>
        <w:t xml:space="preserve"> those </w:t>
      </w:r>
      <w:r w:rsidR="00FE1359" w:rsidRPr="00163851">
        <w:rPr>
          <w:szCs w:val="24"/>
        </w:rPr>
        <w:t xml:space="preserve">for whom </w:t>
      </w:r>
      <w:r w:rsidR="009418AE" w:rsidRPr="00163851">
        <w:rPr>
          <w:szCs w:val="24"/>
        </w:rPr>
        <w:t xml:space="preserve">commute distance influences </w:t>
      </w:r>
      <w:r w:rsidR="00FE1359" w:rsidRPr="00163851">
        <w:rPr>
          <w:szCs w:val="24"/>
        </w:rPr>
        <w:t xml:space="preserve">telework choices. When investigating such causal effects, we accommodate (control for) unobserved </w:t>
      </w:r>
      <w:r w:rsidR="002418FB" w:rsidRPr="00163851">
        <w:rPr>
          <w:szCs w:val="24"/>
        </w:rPr>
        <w:t xml:space="preserve">individual-specific factors that would otherwise manifest themselves as spurious causal effects. </w:t>
      </w:r>
      <w:bookmarkStart w:id="8" w:name="_Hlk166940198"/>
      <w:r w:rsidR="00645B30">
        <w:rPr>
          <w:szCs w:val="24"/>
        </w:rPr>
        <w:t>Of course, causality is admittedly a</w:t>
      </w:r>
      <w:r w:rsidR="00A15429">
        <w:rPr>
          <w:szCs w:val="24"/>
        </w:rPr>
        <w:t>n</w:t>
      </w:r>
      <w:r w:rsidR="00645B30">
        <w:rPr>
          <w:szCs w:val="24"/>
        </w:rPr>
        <w:t xml:space="preserve"> elusive term in all modeling contexts, including when interpreting the effects of exogenous variables such as demographics (leave alone telework choices and commute distance interactions). But, relative to other efforts that have pre-imposed a specific pre-analysis causal direction of effect over the entire set of individuals, we not only allow heterogeneity across individuals in the causal direction pathway effect (through the latent segmentation), but also control for unobserved associative effects between telework choice and commute distance. </w:t>
      </w:r>
      <w:r w:rsidR="00A15429">
        <w:rPr>
          <w:szCs w:val="24"/>
        </w:rPr>
        <w:t>Even so, and a</w:t>
      </w:r>
      <w:r w:rsidR="00645B30">
        <w:rPr>
          <w:szCs w:val="24"/>
        </w:rPr>
        <w:t xml:space="preserve">s </w:t>
      </w:r>
      <w:r w:rsidR="00A15429">
        <w:rPr>
          <w:szCs w:val="24"/>
        </w:rPr>
        <w:t xml:space="preserve">with </w:t>
      </w:r>
      <w:r w:rsidR="00645B30">
        <w:rPr>
          <w:szCs w:val="24"/>
        </w:rPr>
        <w:t xml:space="preserve">any other model, we cannot claim that our estimated effects are the “true” causal effects at play, but we can at least be more confident that, after considering heterogeneity and associative effects, our estimates </w:t>
      </w:r>
      <w:r w:rsidR="002576D3">
        <w:rPr>
          <w:szCs w:val="24"/>
        </w:rPr>
        <w:t xml:space="preserve">can only be </w:t>
      </w:r>
      <w:r w:rsidR="00645B30">
        <w:rPr>
          <w:szCs w:val="24"/>
        </w:rPr>
        <w:t xml:space="preserve">closer to the true </w:t>
      </w:r>
      <w:r w:rsidR="0036154B">
        <w:rPr>
          <w:szCs w:val="24"/>
        </w:rPr>
        <w:t>"</w:t>
      </w:r>
      <w:r w:rsidR="008C35A1" w:rsidRPr="008C35A1">
        <w:rPr>
          <w:szCs w:val="24"/>
        </w:rPr>
        <w:t>causal" effect of one endogenous outcome on the other.</w:t>
      </w:r>
      <w:r w:rsidR="00645B30">
        <w:rPr>
          <w:szCs w:val="24"/>
        </w:rPr>
        <w:t xml:space="preserve"> In the rest of this presentation, </w:t>
      </w:r>
      <w:r w:rsidR="00A15429">
        <w:rPr>
          <w:szCs w:val="24"/>
        </w:rPr>
        <w:t xml:space="preserve">we will use the term “causal” without apostrophes, with the recognition that we will never know what the “true” causal directionality of effect and the true causal effect magnitudes are. </w:t>
      </w:r>
      <w:bookmarkEnd w:id="8"/>
    </w:p>
    <w:bookmarkEnd w:id="6"/>
    <w:p w14:paraId="459E932B" w14:textId="05650E99" w:rsidR="009418AE" w:rsidRDefault="009418AE" w:rsidP="00617C0C">
      <w:pPr>
        <w:spacing w:after="0" w:line="240" w:lineRule="auto"/>
        <w:ind w:firstLine="720"/>
        <w:rPr>
          <w:szCs w:val="24"/>
        </w:rPr>
      </w:pPr>
      <w:r w:rsidRPr="00163851">
        <w:rPr>
          <w:szCs w:val="24"/>
        </w:rPr>
        <w:t xml:space="preserve">The rest of this paper is organized as follows. Section 2 provides a brief overview of </w:t>
      </w:r>
      <w:r w:rsidR="00ED42CD" w:rsidRPr="00163851">
        <w:rPr>
          <w:szCs w:val="24"/>
        </w:rPr>
        <w:t>the relevant literature, and positions the current research within the larger literature landscape</w:t>
      </w:r>
      <w:r w:rsidRPr="00163851">
        <w:rPr>
          <w:szCs w:val="24"/>
        </w:rPr>
        <w:t xml:space="preserve">. Section 3 presents the survey administration process, data preparation steps, and the analytic framework. </w:t>
      </w:r>
      <w:r w:rsidRPr="00163851">
        <w:rPr>
          <w:szCs w:val="24"/>
        </w:rPr>
        <w:lastRenderedPageBreak/>
        <w:t xml:space="preserve">Section 4 presents model estimation results and goodness of fit measures. Section 5 discusses </w:t>
      </w:r>
      <w:r w:rsidR="00ED42CD" w:rsidRPr="00163851">
        <w:rPr>
          <w:szCs w:val="24"/>
        </w:rPr>
        <w:t xml:space="preserve">the approach to </w:t>
      </w:r>
      <w:r w:rsidR="005C2433">
        <w:rPr>
          <w:szCs w:val="24"/>
        </w:rPr>
        <w:t xml:space="preserve">estimate the repercussions </w:t>
      </w:r>
      <w:r w:rsidR="00ED42CD" w:rsidRPr="00163851">
        <w:rPr>
          <w:szCs w:val="24"/>
        </w:rPr>
        <w:t xml:space="preserve">of teleworking </w:t>
      </w:r>
      <w:r w:rsidR="005C2433">
        <w:rPr>
          <w:szCs w:val="24"/>
        </w:rPr>
        <w:t>on commute-related vehicle miles of travel</w:t>
      </w:r>
      <w:r w:rsidR="00ED42CD" w:rsidRPr="00163851">
        <w:rPr>
          <w:szCs w:val="24"/>
        </w:rPr>
        <w:t xml:space="preserve">, and discusses </w:t>
      </w:r>
      <w:r w:rsidRPr="00163851">
        <w:rPr>
          <w:szCs w:val="24"/>
        </w:rPr>
        <w:t>policy implications. Finally, Section 6 concludes the paper with a summary discussion, along with an identification of future research directions</w:t>
      </w:r>
      <w:r w:rsidR="00E80453" w:rsidRPr="00163851">
        <w:rPr>
          <w:szCs w:val="24"/>
        </w:rPr>
        <w:t xml:space="preserve"> and study limitations</w:t>
      </w:r>
      <w:r w:rsidRPr="00163851">
        <w:rPr>
          <w:szCs w:val="24"/>
        </w:rPr>
        <w:t>.</w:t>
      </w:r>
    </w:p>
    <w:p w14:paraId="29A54549" w14:textId="77777777" w:rsidR="005C2433" w:rsidRPr="00163851" w:rsidRDefault="005C2433" w:rsidP="00612440">
      <w:pPr>
        <w:spacing w:after="0" w:line="240" w:lineRule="auto"/>
        <w:ind w:firstLine="432"/>
        <w:rPr>
          <w:szCs w:val="24"/>
        </w:rPr>
      </w:pPr>
    </w:p>
    <w:p w14:paraId="6F80A186" w14:textId="4586062C" w:rsidR="009418AE" w:rsidRPr="00163851" w:rsidRDefault="009418AE" w:rsidP="002C1F02">
      <w:pPr>
        <w:pStyle w:val="Heading1"/>
        <w:spacing w:line="240" w:lineRule="auto"/>
        <w:ind w:left="360" w:hanging="360"/>
      </w:pPr>
      <w:r w:rsidRPr="00163851">
        <w:t>L</w:t>
      </w:r>
      <w:r w:rsidR="00F070AE" w:rsidRPr="00163851">
        <w:t xml:space="preserve">ITERATURE </w:t>
      </w:r>
      <w:r w:rsidR="003B0187" w:rsidRPr="00163851">
        <w:t>OVE</w:t>
      </w:r>
      <w:r w:rsidR="00F070AE" w:rsidRPr="00163851">
        <w:t>RVIEW</w:t>
      </w:r>
    </w:p>
    <w:p w14:paraId="52257C28" w14:textId="471D1A72" w:rsidR="00247077" w:rsidRPr="00163851" w:rsidRDefault="009418AE" w:rsidP="00617C0C">
      <w:pPr>
        <w:spacing w:after="0" w:line="240" w:lineRule="auto"/>
        <w:rPr>
          <w:szCs w:val="24"/>
        </w:rPr>
      </w:pPr>
      <w:r w:rsidRPr="00163851">
        <w:rPr>
          <w:szCs w:val="24"/>
        </w:rPr>
        <w:t xml:space="preserve">The global shift to remote work during the “lockdown” period of the pandemic has </w:t>
      </w:r>
      <w:r w:rsidR="00800D6F" w:rsidRPr="00163851">
        <w:rPr>
          <w:szCs w:val="24"/>
        </w:rPr>
        <w:t xml:space="preserve">generated substantial </w:t>
      </w:r>
      <w:r w:rsidR="00096EEC" w:rsidRPr="00163851">
        <w:rPr>
          <w:szCs w:val="24"/>
        </w:rPr>
        <w:t>interest among researchers regarding teleworking</w:t>
      </w:r>
      <w:r w:rsidRPr="00163851">
        <w:rPr>
          <w:szCs w:val="24"/>
        </w:rPr>
        <w:t xml:space="preserve">. </w:t>
      </w:r>
      <w:r w:rsidR="00075967" w:rsidRPr="00163851">
        <w:rPr>
          <w:szCs w:val="24"/>
        </w:rPr>
        <w:t>Even p</w:t>
      </w:r>
      <w:r w:rsidRPr="00163851">
        <w:rPr>
          <w:szCs w:val="24"/>
        </w:rPr>
        <w:t xml:space="preserve">rior to the outbreak, </w:t>
      </w:r>
      <w:r w:rsidR="000B3DFB" w:rsidRPr="00163851">
        <w:rPr>
          <w:szCs w:val="24"/>
        </w:rPr>
        <w:t>tele</w:t>
      </w:r>
      <w:r w:rsidRPr="00163851">
        <w:rPr>
          <w:szCs w:val="24"/>
        </w:rPr>
        <w:t xml:space="preserve">work </w:t>
      </w:r>
      <w:r w:rsidR="000B3DFB" w:rsidRPr="00163851">
        <w:rPr>
          <w:szCs w:val="24"/>
        </w:rPr>
        <w:t>received a good bit of attention</w:t>
      </w:r>
      <w:r w:rsidRPr="00163851">
        <w:rPr>
          <w:szCs w:val="24"/>
        </w:rPr>
        <w:t xml:space="preserve">, though </w:t>
      </w:r>
      <w:r w:rsidR="000B3DFB" w:rsidRPr="00163851">
        <w:rPr>
          <w:szCs w:val="24"/>
        </w:rPr>
        <w:t xml:space="preserve">much of this literature focused on telework adoption (whether or not an individual teleworked once or more over a specific period, usually a week) and not telework frequency. Also, pre-pandemic investigations </w:t>
      </w:r>
      <w:r w:rsidRPr="00163851">
        <w:rPr>
          <w:szCs w:val="24"/>
        </w:rPr>
        <w:t xml:space="preserve">confined </w:t>
      </w:r>
      <w:r w:rsidR="000B3DFB" w:rsidRPr="00163851">
        <w:rPr>
          <w:szCs w:val="24"/>
        </w:rPr>
        <w:t xml:space="preserve">themselves </w:t>
      </w:r>
      <w:r w:rsidRPr="00163851">
        <w:rPr>
          <w:szCs w:val="24"/>
        </w:rPr>
        <w:t xml:space="preserve">to home-based work as the alternative to working from the </w:t>
      </w:r>
      <w:r w:rsidR="000B3DFB" w:rsidRPr="00163851">
        <w:rPr>
          <w:szCs w:val="24"/>
        </w:rPr>
        <w:t xml:space="preserve">office. Since the pandemic, there have </w:t>
      </w:r>
      <w:r w:rsidR="00BA641F" w:rsidRPr="00163851">
        <w:rPr>
          <w:szCs w:val="24"/>
        </w:rPr>
        <w:t xml:space="preserve">some additional </w:t>
      </w:r>
      <w:r w:rsidR="000B3DFB" w:rsidRPr="00163851">
        <w:rPr>
          <w:szCs w:val="24"/>
        </w:rPr>
        <w:t xml:space="preserve">studies focusing on telework adoption/frequency as well as </w:t>
      </w:r>
      <w:r w:rsidR="00BA641F" w:rsidRPr="00163851">
        <w:rPr>
          <w:szCs w:val="24"/>
        </w:rPr>
        <w:t xml:space="preserve">that have </w:t>
      </w:r>
      <w:r w:rsidR="000B3DFB" w:rsidRPr="00163851">
        <w:rPr>
          <w:szCs w:val="24"/>
        </w:rPr>
        <w:t>considered a third work place (see, for example,</w:t>
      </w:r>
      <w:r w:rsidR="00EF2DF0">
        <w:rPr>
          <w:szCs w:val="24"/>
        </w:rPr>
        <w:t xml:space="preserve"> Asmussen et al., 2023</w:t>
      </w:r>
      <w:r w:rsidR="00D70F70">
        <w:rPr>
          <w:szCs w:val="24"/>
        </w:rPr>
        <w:t>,</w:t>
      </w:r>
      <w:r w:rsidR="00EF2DF0">
        <w:rPr>
          <w:szCs w:val="24"/>
        </w:rPr>
        <w:t xml:space="preserve"> </w:t>
      </w:r>
      <w:r w:rsidR="002E200B">
        <w:rPr>
          <w:szCs w:val="24"/>
        </w:rPr>
        <w:t xml:space="preserve">Asmussen et al., 2024, </w:t>
      </w:r>
      <w:r w:rsidR="00D159B3">
        <w:rPr>
          <w:szCs w:val="24"/>
        </w:rPr>
        <w:t>Stiles and Smart, 2021</w:t>
      </w:r>
      <w:r w:rsidR="00D70F70">
        <w:rPr>
          <w:szCs w:val="24"/>
        </w:rPr>
        <w:t xml:space="preserve">, and </w:t>
      </w:r>
      <w:r w:rsidR="00447DA1">
        <w:rPr>
          <w:szCs w:val="24"/>
        </w:rPr>
        <w:t>Cheng et al., 2022</w:t>
      </w:r>
      <w:r w:rsidR="000B3DFB" w:rsidRPr="00163851">
        <w:rPr>
          <w:szCs w:val="24"/>
        </w:rPr>
        <w:t>). In this paper, we do not provide an exhaustive overview of this pre- and post-pandemic literature on telework</w:t>
      </w:r>
      <w:r w:rsidR="003B0187" w:rsidRPr="00163851">
        <w:rPr>
          <w:szCs w:val="24"/>
        </w:rPr>
        <w:t xml:space="preserve"> adoption/frequency</w:t>
      </w:r>
      <w:r w:rsidR="000B3DFB" w:rsidRPr="00163851">
        <w:rPr>
          <w:szCs w:val="24"/>
        </w:rPr>
        <w:t>, except those that have expressly considered commute distance as an exogenous determinant</w:t>
      </w:r>
      <w:r w:rsidR="00792871" w:rsidRPr="00163851">
        <w:rPr>
          <w:szCs w:val="24"/>
        </w:rPr>
        <w:t xml:space="preserve"> of telework</w:t>
      </w:r>
      <w:r w:rsidR="00BA641F" w:rsidRPr="00163851">
        <w:rPr>
          <w:szCs w:val="24"/>
        </w:rPr>
        <w:t>. T</w:t>
      </w:r>
      <w:r w:rsidR="004F3CF9" w:rsidRPr="00163851">
        <w:rPr>
          <w:szCs w:val="24"/>
        </w:rPr>
        <w:t>he reader is referred to Asmussen et al., 202</w:t>
      </w:r>
      <w:r w:rsidR="002E200B">
        <w:rPr>
          <w:szCs w:val="24"/>
        </w:rPr>
        <w:t>4</w:t>
      </w:r>
      <w:r w:rsidR="004F3CF9" w:rsidRPr="00163851">
        <w:rPr>
          <w:szCs w:val="24"/>
        </w:rPr>
        <w:t xml:space="preserve"> for a </w:t>
      </w:r>
      <w:r w:rsidR="00BA641F" w:rsidRPr="00163851">
        <w:rPr>
          <w:szCs w:val="24"/>
        </w:rPr>
        <w:t xml:space="preserve">recent </w:t>
      </w:r>
      <w:r w:rsidR="004F3CF9" w:rsidRPr="00163851">
        <w:rPr>
          <w:szCs w:val="24"/>
        </w:rPr>
        <w:t>review of the broader telework adoption/frequency literature</w:t>
      </w:r>
      <w:r w:rsidR="000B3DFB" w:rsidRPr="00163851">
        <w:rPr>
          <w:szCs w:val="24"/>
        </w:rPr>
        <w:t xml:space="preserve">. Similarly, there has been </w:t>
      </w:r>
      <w:r w:rsidR="00792871" w:rsidRPr="00163851">
        <w:rPr>
          <w:szCs w:val="24"/>
        </w:rPr>
        <w:t xml:space="preserve">substantial research on </w:t>
      </w:r>
      <w:r w:rsidR="004F3CF9" w:rsidRPr="00163851">
        <w:rPr>
          <w:szCs w:val="24"/>
        </w:rPr>
        <w:t xml:space="preserve">the short-term </w:t>
      </w:r>
      <w:r w:rsidR="00792871" w:rsidRPr="00163851">
        <w:rPr>
          <w:szCs w:val="24"/>
        </w:rPr>
        <w:t xml:space="preserve">telework </w:t>
      </w:r>
      <w:r w:rsidR="004F3CF9" w:rsidRPr="00163851">
        <w:rPr>
          <w:szCs w:val="24"/>
        </w:rPr>
        <w:t xml:space="preserve">impacts </w:t>
      </w:r>
      <w:r w:rsidR="00792871" w:rsidRPr="00163851">
        <w:rPr>
          <w:szCs w:val="24"/>
        </w:rPr>
        <w:t xml:space="preserve">on overall travel </w:t>
      </w:r>
      <w:r w:rsidR="00432C88" w:rsidRPr="00163851">
        <w:rPr>
          <w:szCs w:val="24"/>
        </w:rPr>
        <w:t xml:space="preserve">(work plus non-work) over the entire day or over the peak period of the day </w:t>
      </w:r>
      <w:r w:rsidR="00792871" w:rsidRPr="00163851">
        <w:rPr>
          <w:szCs w:val="24"/>
        </w:rPr>
        <w:t>(see, for example, Pendyala et al., 1991</w:t>
      </w:r>
      <w:r w:rsidR="005154F7">
        <w:rPr>
          <w:szCs w:val="24"/>
        </w:rPr>
        <w:t xml:space="preserve">, </w:t>
      </w:r>
      <w:r w:rsidR="00792871" w:rsidRPr="00163851">
        <w:rPr>
          <w:szCs w:val="24"/>
        </w:rPr>
        <w:t xml:space="preserve">Walls and </w:t>
      </w:r>
      <w:proofErr w:type="spellStart"/>
      <w:r w:rsidR="00792871" w:rsidRPr="00163851">
        <w:rPr>
          <w:szCs w:val="24"/>
        </w:rPr>
        <w:t>Safirova</w:t>
      </w:r>
      <w:proofErr w:type="spellEnd"/>
      <w:r w:rsidR="00792871" w:rsidRPr="00163851">
        <w:rPr>
          <w:szCs w:val="24"/>
        </w:rPr>
        <w:t>, 2004</w:t>
      </w:r>
      <w:r w:rsidR="005154F7">
        <w:rPr>
          <w:szCs w:val="24"/>
        </w:rPr>
        <w:t xml:space="preserve">, </w:t>
      </w:r>
      <w:r w:rsidR="00432C88" w:rsidRPr="00163851">
        <w:rPr>
          <w:szCs w:val="24"/>
        </w:rPr>
        <w:t>Choo et al., 2005</w:t>
      </w:r>
      <w:r w:rsidR="005154F7">
        <w:rPr>
          <w:szCs w:val="24"/>
        </w:rPr>
        <w:t xml:space="preserve">, </w:t>
      </w:r>
      <w:r w:rsidR="00792871" w:rsidRPr="00163851">
        <w:rPr>
          <w:szCs w:val="24"/>
        </w:rPr>
        <w:t xml:space="preserve">Perch-Nielsen et al., 2014, </w:t>
      </w:r>
      <w:r w:rsidR="007E47D5" w:rsidRPr="00163851">
        <w:rPr>
          <w:szCs w:val="24"/>
        </w:rPr>
        <w:t xml:space="preserve">Kim, 2017, </w:t>
      </w:r>
      <w:proofErr w:type="spellStart"/>
      <w:r w:rsidR="007E47D5" w:rsidRPr="00163851">
        <w:rPr>
          <w:szCs w:val="24"/>
        </w:rPr>
        <w:t>Lachapelle</w:t>
      </w:r>
      <w:proofErr w:type="spellEnd"/>
      <w:r w:rsidR="007E47D5" w:rsidRPr="00163851">
        <w:rPr>
          <w:szCs w:val="24"/>
        </w:rPr>
        <w:t xml:space="preserve"> et al., 201</w:t>
      </w:r>
      <w:r w:rsidR="00E700F0">
        <w:rPr>
          <w:szCs w:val="24"/>
        </w:rPr>
        <w:t>8</w:t>
      </w:r>
      <w:r w:rsidR="007E47D5" w:rsidRPr="00163851">
        <w:rPr>
          <w:szCs w:val="24"/>
        </w:rPr>
        <w:t xml:space="preserve">, </w:t>
      </w:r>
      <w:r w:rsidR="00E700F0">
        <w:rPr>
          <w:szCs w:val="24"/>
        </w:rPr>
        <w:t xml:space="preserve">de Abreu </w:t>
      </w:r>
      <w:r w:rsidR="007E47D5" w:rsidRPr="00163851">
        <w:rPr>
          <w:szCs w:val="24"/>
        </w:rPr>
        <w:t>e Silva and Melo, 2018</w:t>
      </w:r>
      <w:r w:rsidR="005154F7">
        <w:rPr>
          <w:szCs w:val="24"/>
        </w:rPr>
        <w:t xml:space="preserve">, </w:t>
      </w:r>
      <w:r w:rsidR="00432C88" w:rsidRPr="00163851">
        <w:rPr>
          <w:szCs w:val="24"/>
        </w:rPr>
        <w:t xml:space="preserve">Hook et al., 2020, </w:t>
      </w:r>
      <w:proofErr w:type="spellStart"/>
      <w:r w:rsidR="00432C88" w:rsidRPr="00163851">
        <w:rPr>
          <w:szCs w:val="24"/>
        </w:rPr>
        <w:t>W</w:t>
      </w:r>
      <w:r w:rsidR="005E10A5" w:rsidRPr="00733550">
        <w:rPr>
          <w:bCs/>
          <w:color w:val="222222"/>
          <w:szCs w:val="24"/>
          <w:shd w:val="clear" w:color="auto" w:fill="FFFFFF"/>
        </w:rPr>
        <w:t>ö</w:t>
      </w:r>
      <w:r w:rsidR="00432C88" w:rsidRPr="00163851">
        <w:rPr>
          <w:szCs w:val="24"/>
        </w:rPr>
        <w:t>hner</w:t>
      </w:r>
      <w:proofErr w:type="spellEnd"/>
      <w:r w:rsidR="00432C88" w:rsidRPr="00163851">
        <w:rPr>
          <w:szCs w:val="24"/>
        </w:rPr>
        <w:t>, 2022</w:t>
      </w:r>
      <w:r w:rsidR="005154F7">
        <w:rPr>
          <w:szCs w:val="24"/>
        </w:rPr>
        <w:t>, and</w:t>
      </w:r>
      <w:r w:rsidR="00432C88" w:rsidRPr="00163851">
        <w:rPr>
          <w:szCs w:val="24"/>
        </w:rPr>
        <w:t xml:space="preserve"> </w:t>
      </w:r>
      <w:proofErr w:type="spellStart"/>
      <w:r w:rsidR="00432C88" w:rsidRPr="00163851">
        <w:rPr>
          <w:szCs w:val="24"/>
        </w:rPr>
        <w:t>Caldarola</w:t>
      </w:r>
      <w:proofErr w:type="spellEnd"/>
      <w:r w:rsidR="00432C88" w:rsidRPr="00163851">
        <w:rPr>
          <w:szCs w:val="24"/>
        </w:rPr>
        <w:t xml:space="preserve"> and Sorrel</w:t>
      </w:r>
      <w:r w:rsidR="00FE0965">
        <w:rPr>
          <w:szCs w:val="24"/>
        </w:rPr>
        <w:t>l</w:t>
      </w:r>
      <w:r w:rsidR="00432C88" w:rsidRPr="00163851">
        <w:rPr>
          <w:szCs w:val="24"/>
        </w:rPr>
        <w:t>, 2022</w:t>
      </w:r>
      <w:r w:rsidR="007E47D5" w:rsidRPr="00163851">
        <w:rPr>
          <w:szCs w:val="24"/>
        </w:rPr>
        <w:t>)</w:t>
      </w:r>
      <w:r w:rsidR="00432C88" w:rsidRPr="00163851">
        <w:rPr>
          <w:szCs w:val="24"/>
        </w:rPr>
        <w:t xml:space="preserve">. Some studies </w:t>
      </w:r>
      <w:r w:rsidR="004F3CF9" w:rsidRPr="00163851">
        <w:rPr>
          <w:szCs w:val="24"/>
        </w:rPr>
        <w:t>have also focused on</w:t>
      </w:r>
      <w:r w:rsidR="00792871" w:rsidRPr="00163851">
        <w:rPr>
          <w:szCs w:val="24"/>
        </w:rPr>
        <w:t xml:space="preserve"> </w:t>
      </w:r>
      <w:r w:rsidR="004F3CF9" w:rsidRPr="00163851">
        <w:rPr>
          <w:szCs w:val="24"/>
        </w:rPr>
        <w:t xml:space="preserve"> the short-term </w:t>
      </w:r>
      <w:r w:rsidR="00792871" w:rsidRPr="00163851">
        <w:rPr>
          <w:szCs w:val="24"/>
        </w:rPr>
        <w:t xml:space="preserve">mobile-source emissions </w:t>
      </w:r>
      <w:r w:rsidR="004F3CF9" w:rsidRPr="00163851">
        <w:rPr>
          <w:szCs w:val="24"/>
        </w:rPr>
        <w:t xml:space="preserve">impacts of teleworking </w:t>
      </w:r>
      <w:r w:rsidR="00792871" w:rsidRPr="00163851">
        <w:rPr>
          <w:szCs w:val="24"/>
        </w:rPr>
        <w:t xml:space="preserve">(see, for example, </w:t>
      </w:r>
      <w:proofErr w:type="spellStart"/>
      <w:r w:rsidR="00432C88" w:rsidRPr="00163851">
        <w:rPr>
          <w:szCs w:val="24"/>
        </w:rPr>
        <w:t>Giovanis</w:t>
      </w:r>
      <w:proofErr w:type="spellEnd"/>
      <w:r w:rsidR="00432C88" w:rsidRPr="00163851">
        <w:rPr>
          <w:szCs w:val="24"/>
        </w:rPr>
        <w:t xml:space="preserve">, 2018, </w:t>
      </w:r>
      <w:proofErr w:type="spellStart"/>
      <w:r w:rsidR="00432C88" w:rsidRPr="00163851">
        <w:rPr>
          <w:szCs w:val="24"/>
        </w:rPr>
        <w:t>Shabanpour</w:t>
      </w:r>
      <w:proofErr w:type="spellEnd"/>
      <w:r w:rsidR="00432C88" w:rsidRPr="00163851">
        <w:rPr>
          <w:szCs w:val="24"/>
        </w:rPr>
        <w:t xml:space="preserve"> et al., 2018, </w:t>
      </w:r>
      <w:proofErr w:type="spellStart"/>
      <w:r w:rsidR="00432C88" w:rsidRPr="00163851">
        <w:rPr>
          <w:szCs w:val="24"/>
        </w:rPr>
        <w:t>Cerqueira</w:t>
      </w:r>
      <w:proofErr w:type="spellEnd"/>
      <w:r w:rsidR="00432C88" w:rsidRPr="00163851">
        <w:rPr>
          <w:szCs w:val="24"/>
        </w:rPr>
        <w:t xml:space="preserve"> et al., 2020, </w:t>
      </w:r>
      <w:proofErr w:type="spellStart"/>
      <w:r w:rsidR="00792871" w:rsidRPr="00163851">
        <w:rPr>
          <w:szCs w:val="24"/>
        </w:rPr>
        <w:t>Tenailleau</w:t>
      </w:r>
      <w:proofErr w:type="spellEnd"/>
      <w:r w:rsidR="00792871" w:rsidRPr="00163851">
        <w:rPr>
          <w:szCs w:val="24"/>
        </w:rPr>
        <w:t xml:space="preserve"> et al., 2021, and </w:t>
      </w:r>
      <w:proofErr w:type="spellStart"/>
      <w:r w:rsidR="00792871" w:rsidRPr="00163851">
        <w:rPr>
          <w:szCs w:val="24"/>
        </w:rPr>
        <w:t>Krasilnikova</w:t>
      </w:r>
      <w:proofErr w:type="spellEnd"/>
      <w:r w:rsidR="00792871" w:rsidRPr="00163851">
        <w:rPr>
          <w:szCs w:val="24"/>
        </w:rPr>
        <w:t xml:space="preserve"> and Levin-Keitel, 2022)</w:t>
      </w:r>
      <w:r w:rsidR="00432C88" w:rsidRPr="00163851">
        <w:rPr>
          <w:szCs w:val="24"/>
        </w:rPr>
        <w:t xml:space="preserve">. </w:t>
      </w:r>
      <w:r w:rsidR="00BA641F" w:rsidRPr="00163851">
        <w:rPr>
          <w:szCs w:val="24"/>
        </w:rPr>
        <w:t>Recent reviews of</w:t>
      </w:r>
      <w:r w:rsidR="00236A2D" w:rsidRPr="00163851">
        <w:rPr>
          <w:szCs w:val="24"/>
        </w:rPr>
        <w:t xml:space="preserve"> such</w:t>
      </w:r>
      <w:r w:rsidR="00BA641F" w:rsidRPr="00163851">
        <w:rPr>
          <w:szCs w:val="24"/>
        </w:rPr>
        <w:t xml:space="preserve"> short-term telework impacts on travel are available in </w:t>
      </w:r>
      <w:r w:rsidR="007A33F3">
        <w:rPr>
          <w:szCs w:val="24"/>
        </w:rPr>
        <w:t>O’Bri</w:t>
      </w:r>
      <w:r w:rsidR="005E10A5">
        <w:rPr>
          <w:szCs w:val="24"/>
        </w:rPr>
        <w:t>e</w:t>
      </w:r>
      <w:r w:rsidR="007A33F3">
        <w:rPr>
          <w:szCs w:val="24"/>
        </w:rPr>
        <w:t xml:space="preserve">n </w:t>
      </w:r>
      <w:r w:rsidR="00E700F0">
        <w:rPr>
          <w:szCs w:val="24"/>
        </w:rPr>
        <w:t xml:space="preserve">and </w:t>
      </w:r>
      <w:proofErr w:type="spellStart"/>
      <w:r w:rsidR="00E700F0">
        <w:rPr>
          <w:szCs w:val="24"/>
        </w:rPr>
        <w:t>Aliabadi</w:t>
      </w:r>
      <w:proofErr w:type="spellEnd"/>
      <w:r w:rsidR="007A33F3">
        <w:rPr>
          <w:szCs w:val="24"/>
        </w:rPr>
        <w:t xml:space="preserve"> (2020) and </w:t>
      </w:r>
      <w:r w:rsidR="007A33F3" w:rsidRPr="00163851">
        <w:rPr>
          <w:szCs w:val="24"/>
        </w:rPr>
        <w:t xml:space="preserve">Hostettler Macias et al. (2022). </w:t>
      </w:r>
      <w:r w:rsidR="00BA641F" w:rsidRPr="00163851">
        <w:rPr>
          <w:szCs w:val="24"/>
        </w:rPr>
        <w:t>Some o</w:t>
      </w:r>
      <w:r w:rsidR="004F3CF9" w:rsidRPr="00163851">
        <w:rPr>
          <w:szCs w:val="24"/>
        </w:rPr>
        <w:t>ther</w:t>
      </w:r>
      <w:r w:rsidR="00BA641F" w:rsidRPr="00163851">
        <w:rPr>
          <w:szCs w:val="24"/>
        </w:rPr>
        <w:t xml:space="preserve"> studies have examined the longer-term telework impacts on significant life decisions such as vehicle purchasing, dwelling unit choice, occupation, and family planning (see, for example, Andrey et al., 2004</w:t>
      </w:r>
      <w:r w:rsidR="0036154B">
        <w:rPr>
          <w:szCs w:val="24"/>
        </w:rPr>
        <w:t>,</w:t>
      </w:r>
      <w:r w:rsidR="00BA641F" w:rsidRPr="00163851">
        <w:rPr>
          <w:szCs w:val="24"/>
        </w:rPr>
        <w:t xml:space="preserve"> White et al., 2007</w:t>
      </w:r>
      <w:r w:rsidR="0036154B">
        <w:rPr>
          <w:szCs w:val="24"/>
        </w:rPr>
        <w:t>,</w:t>
      </w:r>
      <w:r w:rsidR="00BA641F" w:rsidRPr="00163851">
        <w:rPr>
          <w:szCs w:val="24"/>
        </w:rPr>
        <w:t xml:space="preserve"> </w:t>
      </w:r>
      <w:proofErr w:type="spellStart"/>
      <w:r w:rsidR="00BA641F" w:rsidRPr="00163851">
        <w:rPr>
          <w:szCs w:val="24"/>
        </w:rPr>
        <w:t>Blumenberg</w:t>
      </w:r>
      <w:proofErr w:type="spellEnd"/>
      <w:r w:rsidR="00BA641F" w:rsidRPr="00163851">
        <w:rPr>
          <w:szCs w:val="24"/>
        </w:rPr>
        <w:t xml:space="preserve"> and King, 2019</w:t>
      </w:r>
      <w:r w:rsidR="0036154B">
        <w:rPr>
          <w:szCs w:val="24"/>
        </w:rPr>
        <w:t>,</w:t>
      </w:r>
      <w:r w:rsidR="00BA641F" w:rsidRPr="00163851">
        <w:rPr>
          <w:szCs w:val="24"/>
        </w:rPr>
        <w:t xml:space="preserve"> O’Brien and </w:t>
      </w:r>
      <w:proofErr w:type="spellStart"/>
      <w:r w:rsidR="00BA641F" w:rsidRPr="00163851">
        <w:rPr>
          <w:szCs w:val="24"/>
        </w:rPr>
        <w:t>Aliabadi</w:t>
      </w:r>
      <w:proofErr w:type="spellEnd"/>
      <w:r w:rsidR="00BA641F" w:rsidRPr="00163851">
        <w:rPr>
          <w:szCs w:val="24"/>
        </w:rPr>
        <w:t>, 2020</w:t>
      </w:r>
      <w:r w:rsidR="0036154B">
        <w:rPr>
          <w:szCs w:val="24"/>
        </w:rPr>
        <w:t>,</w:t>
      </w:r>
      <w:r w:rsidR="00BA641F" w:rsidRPr="00163851">
        <w:rPr>
          <w:szCs w:val="24"/>
        </w:rPr>
        <w:t xml:space="preserve"> </w:t>
      </w:r>
      <w:proofErr w:type="spellStart"/>
      <w:r w:rsidR="00BA641F" w:rsidRPr="00163851">
        <w:rPr>
          <w:szCs w:val="24"/>
        </w:rPr>
        <w:t>Cuerdo-Vilches</w:t>
      </w:r>
      <w:proofErr w:type="spellEnd"/>
      <w:r w:rsidR="00BA641F" w:rsidRPr="00163851">
        <w:rPr>
          <w:szCs w:val="24"/>
        </w:rPr>
        <w:t xml:space="preserve"> et al., 2021</w:t>
      </w:r>
      <w:r w:rsidR="0036154B">
        <w:rPr>
          <w:szCs w:val="24"/>
        </w:rPr>
        <w:t xml:space="preserve">, and </w:t>
      </w:r>
      <w:proofErr w:type="spellStart"/>
      <w:r w:rsidR="00BA641F" w:rsidRPr="00163851">
        <w:rPr>
          <w:szCs w:val="24"/>
        </w:rPr>
        <w:t>Torbacki</w:t>
      </w:r>
      <w:proofErr w:type="spellEnd"/>
      <w:r w:rsidR="00412422">
        <w:rPr>
          <w:szCs w:val="24"/>
        </w:rPr>
        <w:t xml:space="preserve">, </w:t>
      </w:r>
      <w:r w:rsidR="00BA641F" w:rsidRPr="00163851">
        <w:rPr>
          <w:szCs w:val="24"/>
        </w:rPr>
        <w:t>2021)</w:t>
      </w:r>
      <w:r w:rsidR="00236A2D" w:rsidRPr="00163851">
        <w:rPr>
          <w:szCs w:val="24"/>
        </w:rPr>
        <w:t xml:space="preserve">. </w:t>
      </w:r>
      <w:r w:rsidR="00E769E3">
        <w:rPr>
          <w:szCs w:val="24"/>
        </w:rPr>
        <w:t xml:space="preserve">But, of </w:t>
      </w:r>
      <w:r w:rsidR="00BA641F" w:rsidRPr="00163851">
        <w:rPr>
          <w:szCs w:val="24"/>
        </w:rPr>
        <w:t xml:space="preserve">most </w:t>
      </w:r>
      <w:r w:rsidR="00E769E3">
        <w:rPr>
          <w:szCs w:val="24"/>
        </w:rPr>
        <w:t>relevance</w:t>
      </w:r>
      <w:r w:rsidR="00BA641F" w:rsidRPr="00163851">
        <w:rPr>
          <w:szCs w:val="24"/>
        </w:rPr>
        <w:t xml:space="preserve"> to the current study </w:t>
      </w:r>
      <w:r w:rsidR="00236A2D" w:rsidRPr="00163851">
        <w:rPr>
          <w:szCs w:val="24"/>
        </w:rPr>
        <w:t>is the interplay between telework choices and residential location choices, with the latter being proxied by commute distance</w:t>
      </w:r>
      <w:r w:rsidR="007F03CB" w:rsidRPr="00163851">
        <w:rPr>
          <w:szCs w:val="24"/>
        </w:rPr>
        <w:t xml:space="preserve">. Accordingly, </w:t>
      </w:r>
      <w:r w:rsidR="00ED42CD" w:rsidRPr="00163851">
        <w:rPr>
          <w:szCs w:val="24"/>
        </w:rPr>
        <w:t>in the next two sections, we focus on these telework-commute distance studies</w:t>
      </w:r>
      <w:r w:rsidR="00247077" w:rsidRPr="00163851">
        <w:rPr>
          <w:szCs w:val="24"/>
        </w:rPr>
        <w:t xml:space="preserve">. However, as already discussed, the land-use structure in most cities is such that workplaces </w:t>
      </w:r>
      <w:r w:rsidR="00920393" w:rsidRPr="00163851">
        <w:rPr>
          <w:szCs w:val="24"/>
        </w:rPr>
        <w:t xml:space="preserve">continue to </w:t>
      </w:r>
      <w:r w:rsidR="00247077" w:rsidRPr="00163851">
        <w:rPr>
          <w:szCs w:val="24"/>
        </w:rPr>
        <w:t xml:space="preserve">be </w:t>
      </w:r>
      <w:r w:rsidR="00920393" w:rsidRPr="00163851">
        <w:rPr>
          <w:szCs w:val="24"/>
        </w:rPr>
        <w:t xml:space="preserve">clustered </w:t>
      </w:r>
      <w:r w:rsidR="00247077" w:rsidRPr="00163851">
        <w:rPr>
          <w:szCs w:val="24"/>
        </w:rPr>
        <w:t xml:space="preserve">in dense urban areas and commute distances are longer for those residing in suburb/rural areas, with the net result that there is a strong positive association between commute distance and suburb/rural area living. Thus, even if not explicitly considering commute distance, we will also present an overview of studies that consider residential built-environment </w:t>
      </w:r>
      <w:r w:rsidR="005154F7">
        <w:rPr>
          <w:szCs w:val="24"/>
        </w:rPr>
        <w:t xml:space="preserve">associations with teleworking </w:t>
      </w:r>
      <w:r w:rsidR="00247077" w:rsidRPr="00163851">
        <w:rPr>
          <w:szCs w:val="24"/>
        </w:rPr>
        <w:t xml:space="preserve">through the characterization of residential neighborhoods as urban, suburban, or rural. </w:t>
      </w:r>
    </w:p>
    <w:p w14:paraId="78685C16" w14:textId="12F81249" w:rsidR="005154F7" w:rsidRPr="00163851" w:rsidRDefault="00247077" w:rsidP="00EB63F2">
      <w:pPr>
        <w:spacing w:after="0" w:line="240" w:lineRule="auto"/>
        <w:ind w:firstLine="720"/>
        <w:rPr>
          <w:szCs w:val="24"/>
        </w:rPr>
      </w:pPr>
      <w:r w:rsidRPr="00163851">
        <w:rPr>
          <w:szCs w:val="24"/>
        </w:rPr>
        <w:t>T</w:t>
      </w:r>
      <w:r w:rsidR="00ED42CD" w:rsidRPr="00163851">
        <w:rPr>
          <w:szCs w:val="24"/>
        </w:rPr>
        <w:t>he next section (Section 2.1) provid</w:t>
      </w:r>
      <w:r w:rsidR="007C2CD5" w:rsidRPr="00163851">
        <w:rPr>
          <w:szCs w:val="24"/>
        </w:rPr>
        <w:t>es</w:t>
      </w:r>
      <w:r w:rsidR="00ED42CD" w:rsidRPr="00163851">
        <w:rPr>
          <w:szCs w:val="24"/>
        </w:rPr>
        <w:t xml:space="preserve"> an overview of the majority of </w:t>
      </w:r>
      <w:r w:rsidR="007C2CD5" w:rsidRPr="00163851">
        <w:rPr>
          <w:szCs w:val="24"/>
        </w:rPr>
        <w:t xml:space="preserve">telework-commute distance </w:t>
      </w:r>
      <w:r w:rsidR="00ED42CD" w:rsidRPr="00163851">
        <w:rPr>
          <w:szCs w:val="24"/>
        </w:rPr>
        <w:t xml:space="preserve">studies that </w:t>
      </w:r>
      <w:r w:rsidR="00ED42CD" w:rsidRPr="00163851">
        <w:rPr>
          <w:szCs w:val="24"/>
          <w:shd w:val="clear" w:color="auto" w:fill="FFFFFF"/>
        </w:rPr>
        <w:t>assume a specific unidirectional causal structure by treating one of the dimensions (telework adoption/frequency or commute distance) as the endogenous outcome and the other as an exogenous var</w:t>
      </w:r>
      <w:r w:rsidR="0069284B" w:rsidRPr="00163851">
        <w:rPr>
          <w:szCs w:val="24"/>
          <w:shd w:val="clear" w:color="auto" w:fill="FFFFFF"/>
        </w:rPr>
        <w:t>iable</w:t>
      </w:r>
      <w:r w:rsidR="00ED42CD" w:rsidRPr="00163851">
        <w:rPr>
          <w:szCs w:val="24"/>
          <w:shd w:val="clear" w:color="auto" w:fill="FFFFFF"/>
        </w:rPr>
        <w:t xml:space="preserve">. </w:t>
      </w:r>
      <w:r w:rsidR="0069284B" w:rsidRPr="00163851">
        <w:rPr>
          <w:szCs w:val="24"/>
          <w:shd w:val="clear" w:color="auto" w:fill="FFFFFF"/>
        </w:rPr>
        <w:t xml:space="preserve">Subsequently, </w:t>
      </w:r>
      <w:r w:rsidR="00ED42CD" w:rsidRPr="00163851">
        <w:rPr>
          <w:szCs w:val="24"/>
          <w:shd w:val="clear" w:color="auto" w:fill="FFFFFF"/>
        </w:rPr>
        <w:t xml:space="preserve">Section 2.2 </w:t>
      </w:r>
      <w:r w:rsidR="0069284B" w:rsidRPr="00163851">
        <w:rPr>
          <w:szCs w:val="24"/>
          <w:shd w:val="clear" w:color="auto" w:fill="FFFFFF"/>
        </w:rPr>
        <w:t xml:space="preserve">points out the distinct gap in the literature on considering the potential package and bi-directional nature of the telework-commute distance linkage. </w:t>
      </w:r>
      <w:r w:rsidR="0069284B" w:rsidRPr="00163851">
        <w:rPr>
          <w:szCs w:val="24"/>
        </w:rPr>
        <w:t xml:space="preserve">Section 2.3 identifies the salient aspects of the current study. </w:t>
      </w:r>
    </w:p>
    <w:p w14:paraId="40C62841" w14:textId="692D1FC5" w:rsidR="000457F5" w:rsidRDefault="000457F5" w:rsidP="000457F5">
      <w:pPr>
        <w:spacing w:after="0" w:line="240" w:lineRule="auto"/>
        <w:rPr>
          <w:szCs w:val="24"/>
        </w:rPr>
      </w:pPr>
    </w:p>
    <w:p w14:paraId="13ED86A5" w14:textId="5E2C4856" w:rsidR="009418AE" w:rsidRPr="00612440" w:rsidRDefault="007C2CD5" w:rsidP="00EB63F2">
      <w:pPr>
        <w:spacing w:after="0" w:line="240" w:lineRule="auto"/>
        <w:rPr>
          <w:b/>
          <w:szCs w:val="24"/>
        </w:rPr>
      </w:pPr>
      <w:r w:rsidRPr="00612440">
        <w:rPr>
          <w:b/>
          <w:szCs w:val="24"/>
        </w:rPr>
        <w:lastRenderedPageBreak/>
        <w:t xml:space="preserve">2.1. </w:t>
      </w:r>
      <w:r w:rsidR="0069284B" w:rsidRPr="00612440">
        <w:rPr>
          <w:b/>
          <w:szCs w:val="24"/>
        </w:rPr>
        <w:t>Unidirectional Causal Linkage</w:t>
      </w:r>
    </w:p>
    <w:p w14:paraId="0057563E" w14:textId="36342D86" w:rsidR="0069284B" w:rsidRPr="00163851" w:rsidRDefault="0069284B" w:rsidP="00617C0C">
      <w:pPr>
        <w:spacing w:after="0" w:line="240" w:lineRule="auto"/>
        <w:rPr>
          <w:szCs w:val="24"/>
        </w:rPr>
      </w:pPr>
      <w:r w:rsidRPr="00163851">
        <w:rPr>
          <w:szCs w:val="24"/>
          <w:shd w:val="clear" w:color="auto" w:fill="FFFFFF"/>
        </w:rPr>
        <w:t xml:space="preserve">Almost all </w:t>
      </w:r>
      <w:r w:rsidR="005154F7">
        <w:rPr>
          <w:szCs w:val="24"/>
          <w:shd w:val="clear" w:color="auto" w:fill="FFFFFF"/>
        </w:rPr>
        <w:t xml:space="preserve">previous </w:t>
      </w:r>
      <w:r w:rsidR="009418AE" w:rsidRPr="00163851">
        <w:rPr>
          <w:szCs w:val="24"/>
          <w:shd w:val="clear" w:color="auto" w:fill="FFFFFF"/>
        </w:rPr>
        <w:t>studies</w:t>
      </w:r>
      <w:r w:rsidR="00212915" w:rsidRPr="00163851">
        <w:rPr>
          <w:szCs w:val="24"/>
          <w:shd w:val="clear" w:color="auto" w:fill="FFFFFF"/>
        </w:rPr>
        <w:t xml:space="preserve"> </w:t>
      </w:r>
      <w:r w:rsidRPr="00163851">
        <w:rPr>
          <w:szCs w:val="24"/>
          <w:shd w:val="clear" w:color="auto" w:fill="FFFFFF"/>
        </w:rPr>
        <w:t xml:space="preserve">either consider </w:t>
      </w:r>
      <w:r w:rsidR="00246597" w:rsidRPr="00163851">
        <w:rPr>
          <w:szCs w:val="24"/>
        </w:rPr>
        <w:t>teleworking as being predetermined before residential choice (t</w:t>
      </w:r>
      <w:r w:rsidR="007C2CD5" w:rsidRPr="00163851">
        <w:rPr>
          <w:szCs w:val="24"/>
        </w:rPr>
        <w:t>h</w:t>
      </w:r>
      <w:r w:rsidR="00246597" w:rsidRPr="00163851">
        <w:rPr>
          <w:szCs w:val="24"/>
        </w:rPr>
        <w:t xml:space="preserve">at is, uses teleworking adoption/frequency as an exogenous variable in predicting commute distance), </w:t>
      </w:r>
      <w:r w:rsidRPr="00163851">
        <w:rPr>
          <w:szCs w:val="24"/>
        </w:rPr>
        <w:t xml:space="preserve">or consider residential location as being made rather independently of telework arrangements and then commute distance influencing telework choices (that is, uses commute distance as an exogenous variable in predicting telework decisions). In the rest of this paper, for brevity, we will refer to the </w:t>
      </w:r>
      <w:r w:rsidR="00247077" w:rsidRPr="00163851">
        <w:rPr>
          <w:szCs w:val="24"/>
        </w:rPr>
        <w:t>first causal direction of effect as TC (teleworking first, commute distance next) and the second as CT (commute distance first, teleworking next).</w:t>
      </w:r>
      <w:r w:rsidR="00031A7E">
        <w:rPr>
          <w:rStyle w:val="FootnoteReference"/>
          <w:szCs w:val="24"/>
        </w:rPr>
        <w:footnoteReference w:id="4"/>
      </w:r>
      <w:r w:rsidR="00247077" w:rsidRPr="00163851">
        <w:rPr>
          <w:szCs w:val="24"/>
        </w:rPr>
        <w:t xml:space="preserve"> </w:t>
      </w:r>
      <w:r w:rsidRPr="00163851">
        <w:rPr>
          <w:szCs w:val="24"/>
        </w:rPr>
        <w:t xml:space="preserve"> </w:t>
      </w:r>
    </w:p>
    <w:p w14:paraId="483A8048" w14:textId="71349830" w:rsidR="00246597" w:rsidRPr="00163851" w:rsidRDefault="0069284B" w:rsidP="00612440">
      <w:pPr>
        <w:autoSpaceDE w:val="0"/>
        <w:autoSpaceDN w:val="0"/>
        <w:adjustRightInd w:val="0"/>
        <w:spacing w:after="0" w:line="240" w:lineRule="auto"/>
        <w:ind w:firstLine="720"/>
        <w:rPr>
          <w:szCs w:val="24"/>
        </w:rPr>
      </w:pPr>
      <w:r w:rsidRPr="00163851">
        <w:rPr>
          <w:szCs w:val="24"/>
        </w:rPr>
        <w:t xml:space="preserve">Within the </w:t>
      </w:r>
      <w:r w:rsidR="00247077" w:rsidRPr="00163851">
        <w:rPr>
          <w:szCs w:val="24"/>
        </w:rPr>
        <w:t xml:space="preserve">group of TC studies, </w:t>
      </w:r>
      <w:r w:rsidR="00246597" w:rsidRPr="00163851">
        <w:rPr>
          <w:szCs w:val="24"/>
        </w:rPr>
        <w:t xml:space="preserve">the general consensus is that higher rates of teleworking adoption/frequency </w:t>
      </w:r>
      <w:proofErr w:type="gramStart"/>
      <w:r w:rsidR="00246597" w:rsidRPr="00163851">
        <w:rPr>
          <w:szCs w:val="24"/>
        </w:rPr>
        <w:t>lead</w:t>
      </w:r>
      <w:proofErr w:type="gramEnd"/>
      <w:r w:rsidR="00246597" w:rsidRPr="00163851">
        <w:rPr>
          <w:szCs w:val="24"/>
        </w:rPr>
        <w:t xml:space="preserve"> to longer commute distances and higher propensities to live in suburbs/rural areas (</w:t>
      </w:r>
      <w:proofErr w:type="spellStart"/>
      <w:r w:rsidR="00920393" w:rsidRPr="00163851">
        <w:rPr>
          <w:szCs w:val="24"/>
        </w:rPr>
        <w:t>Nilles</w:t>
      </w:r>
      <w:proofErr w:type="spellEnd"/>
      <w:r w:rsidR="00920393" w:rsidRPr="00163851">
        <w:rPr>
          <w:szCs w:val="24"/>
        </w:rPr>
        <w:t>, 1991; Mokhtarian, 199</w:t>
      </w:r>
      <w:r w:rsidR="00CE0B23">
        <w:rPr>
          <w:szCs w:val="24"/>
        </w:rPr>
        <w:t>1</w:t>
      </w:r>
      <w:r w:rsidR="00920393" w:rsidRPr="00163851">
        <w:rPr>
          <w:szCs w:val="24"/>
        </w:rPr>
        <w:t xml:space="preserve">; </w:t>
      </w:r>
      <w:r w:rsidR="00246597" w:rsidRPr="00163851">
        <w:rPr>
          <w:szCs w:val="24"/>
        </w:rPr>
        <w:t xml:space="preserve">Melo and de Abreu e Silva, 2017; Lennox, 2020; </w:t>
      </w:r>
      <w:r w:rsidR="00CE0B23">
        <w:rPr>
          <w:szCs w:val="24"/>
        </w:rPr>
        <w:t>De</w:t>
      </w:r>
      <w:r w:rsidR="00246597" w:rsidRPr="00163851">
        <w:rPr>
          <w:szCs w:val="24"/>
        </w:rPr>
        <w:t xml:space="preserve">Vos et al., 2018; </w:t>
      </w:r>
      <w:r w:rsidR="00E700F0">
        <w:rPr>
          <w:szCs w:val="24"/>
        </w:rPr>
        <w:t>De</w:t>
      </w:r>
      <w:r w:rsidR="00246597" w:rsidRPr="00163851">
        <w:rPr>
          <w:szCs w:val="24"/>
        </w:rPr>
        <w:t>Vos et al., 2019; Chakrabarti, 2018).</w:t>
      </w:r>
      <w:r w:rsidR="00920393" w:rsidRPr="00163851">
        <w:rPr>
          <w:szCs w:val="24"/>
        </w:rPr>
        <w:t xml:space="preserve"> </w:t>
      </w:r>
      <w:proofErr w:type="spellStart"/>
      <w:r w:rsidR="00920393" w:rsidRPr="00163851">
        <w:rPr>
          <w:szCs w:val="24"/>
        </w:rPr>
        <w:t>Nilles</w:t>
      </w:r>
      <w:proofErr w:type="spellEnd"/>
      <w:r w:rsidR="00920393" w:rsidRPr="00163851">
        <w:rPr>
          <w:szCs w:val="24"/>
        </w:rPr>
        <w:t xml:space="preserve"> (1991)</w:t>
      </w:r>
      <w:r w:rsidR="00847760" w:rsidRPr="00163851">
        <w:rPr>
          <w:szCs w:val="24"/>
        </w:rPr>
        <w:t xml:space="preserve"> and Mokhtarian (199</w:t>
      </w:r>
      <w:r w:rsidR="00CE0B23">
        <w:rPr>
          <w:szCs w:val="24"/>
        </w:rPr>
        <w:t>1</w:t>
      </w:r>
      <w:r w:rsidR="00847760" w:rsidRPr="00163851">
        <w:rPr>
          <w:szCs w:val="24"/>
        </w:rPr>
        <w:t>),</w:t>
      </w:r>
      <w:r w:rsidR="00920393" w:rsidRPr="00163851">
        <w:rPr>
          <w:szCs w:val="24"/>
        </w:rPr>
        <w:t xml:space="preserve"> in </w:t>
      </w:r>
      <w:r w:rsidR="00847760" w:rsidRPr="00163851">
        <w:rPr>
          <w:szCs w:val="24"/>
        </w:rPr>
        <w:t xml:space="preserve">two </w:t>
      </w:r>
      <w:r w:rsidR="00920393" w:rsidRPr="00163851">
        <w:rPr>
          <w:szCs w:val="24"/>
        </w:rPr>
        <w:t>of the earliest empirical studies on the topic</w:t>
      </w:r>
      <w:r w:rsidR="00847760" w:rsidRPr="00163851">
        <w:rPr>
          <w:szCs w:val="24"/>
        </w:rPr>
        <w:t>,</w:t>
      </w:r>
      <w:r w:rsidR="00920393" w:rsidRPr="00163851">
        <w:rPr>
          <w:szCs w:val="24"/>
        </w:rPr>
        <w:t xml:space="preserve"> us</w:t>
      </w:r>
      <w:r w:rsidR="00847760" w:rsidRPr="00163851">
        <w:rPr>
          <w:szCs w:val="24"/>
        </w:rPr>
        <w:t>ed</w:t>
      </w:r>
      <w:r w:rsidR="00920393" w:rsidRPr="00163851">
        <w:rPr>
          <w:szCs w:val="24"/>
        </w:rPr>
        <w:t xml:space="preserve"> data from California in the US</w:t>
      </w:r>
      <w:r w:rsidR="00847760" w:rsidRPr="00163851">
        <w:rPr>
          <w:szCs w:val="24"/>
        </w:rPr>
        <w:t xml:space="preserve"> to study the teleworking effects on commute distance. Both the studies </w:t>
      </w:r>
      <w:r w:rsidR="00920393" w:rsidRPr="00163851">
        <w:rPr>
          <w:szCs w:val="24"/>
        </w:rPr>
        <w:t xml:space="preserve">observed that </w:t>
      </w:r>
      <w:r w:rsidR="00847760" w:rsidRPr="00163851">
        <w:rPr>
          <w:szCs w:val="24"/>
        </w:rPr>
        <w:t xml:space="preserve">about 6% of teleworkers </w:t>
      </w:r>
      <w:r w:rsidR="00C73224">
        <w:rPr>
          <w:szCs w:val="24"/>
        </w:rPr>
        <w:t>(that is, who had at least one day of remote work</w:t>
      </w:r>
      <w:r w:rsidR="000E218C">
        <w:rPr>
          <w:szCs w:val="24"/>
        </w:rPr>
        <w:t xml:space="preserve"> per </w:t>
      </w:r>
      <w:r w:rsidR="007A33F3">
        <w:rPr>
          <w:szCs w:val="24"/>
        </w:rPr>
        <w:t xml:space="preserve">month (for the </w:t>
      </w:r>
      <w:proofErr w:type="spellStart"/>
      <w:r w:rsidR="007A33F3">
        <w:rPr>
          <w:szCs w:val="24"/>
        </w:rPr>
        <w:t>Nilles</w:t>
      </w:r>
      <w:proofErr w:type="spellEnd"/>
      <w:r w:rsidR="007A33F3">
        <w:rPr>
          <w:szCs w:val="24"/>
        </w:rPr>
        <w:t xml:space="preserve"> (1991) study </w:t>
      </w:r>
      <w:r w:rsidR="009D7858">
        <w:rPr>
          <w:szCs w:val="24"/>
        </w:rPr>
        <w:t>or</w:t>
      </w:r>
      <w:r w:rsidR="007A33F3">
        <w:rPr>
          <w:szCs w:val="24"/>
        </w:rPr>
        <w:t xml:space="preserve"> per </w:t>
      </w:r>
      <w:r w:rsidR="000E218C" w:rsidRPr="00CE0B23">
        <w:rPr>
          <w:szCs w:val="24"/>
        </w:rPr>
        <w:t>week</w:t>
      </w:r>
      <w:r w:rsidR="009D7858" w:rsidRPr="00CE0B23">
        <w:rPr>
          <w:szCs w:val="24"/>
        </w:rPr>
        <w:t xml:space="preserve"> (for the </w:t>
      </w:r>
      <w:r w:rsidR="005F5B3D" w:rsidRPr="00CE0B23">
        <w:rPr>
          <w:szCs w:val="24"/>
        </w:rPr>
        <w:t>Mokhtarian (199</w:t>
      </w:r>
      <w:r w:rsidR="00CE0B23" w:rsidRPr="00CE0B23">
        <w:rPr>
          <w:szCs w:val="24"/>
        </w:rPr>
        <w:t>1</w:t>
      </w:r>
      <w:r w:rsidR="005F5B3D" w:rsidRPr="00CE0B23">
        <w:rPr>
          <w:szCs w:val="24"/>
        </w:rPr>
        <w:t>) study)</w:t>
      </w:r>
      <w:r w:rsidR="005F5B3D">
        <w:rPr>
          <w:szCs w:val="24"/>
        </w:rPr>
        <w:t xml:space="preserve"> </w:t>
      </w:r>
      <w:r w:rsidR="00847760" w:rsidRPr="00163851">
        <w:rPr>
          <w:szCs w:val="24"/>
        </w:rPr>
        <w:t>had moved or had plans to move farther away from work after beginning to telework, though the sample size of teleworkers in both studies was small (less than 75 teleworkers). In more recent studies,</w:t>
      </w:r>
      <w:r w:rsidR="00246597" w:rsidRPr="00163851">
        <w:rPr>
          <w:szCs w:val="24"/>
        </w:rPr>
        <w:t xml:space="preserve"> </w:t>
      </w:r>
      <w:r w:rsidR="005D75FB" w:rsidRPr="00163851">
        <w:rPr>
          <w:szCs w:val="24"/>
        </w:rPr>
        <w:t>using data from the Netherlands</w:t>
      </w:r>
      <w:r w:rsidR="00246597" w:rsidRPr="00163851">
        <w:rPr>
          <w:szCs w:val="24"/>
        </w:rPr>
        <w:t xml:space="preserve">, </w:t>
      </w:r>
      <w:r w:rsidR="00E700F0">
        <w:rPr>
          <w:szCs w:val="24"/>
        </w:rPr>
        <w:t>De</w:t>
      </w:r>
      <w:r w:rsidR="00246597" w:rsidRPr="00163851">
        <w:rPr>
          <w:szCs w:val="24"/>
        </w:rPr>
        <w:t>Vos et al. (2019) employ</w:t>
      </w:r>
      <w:r w:rsidR="00847760" w:rsidRPr="00163851">
        <w:rPr>
          <w:szCs w:val="24"/>
        </w:rPr>
        <w:t>ed</w:t>
      </w:r>
      <w:r w:rsidR="00246597" w:rsidRPr="00163851">
        <w:rPr>
          <w:szCs w:val="24"/>
        </w:rPr>
        <w:t xml:space="preserve"> an</w:t>
      </w:r>
      <w:r w:rsidR="005D75FB" w:rsidRPr="00163851">
        <w:rPr>
          <w:szCs w:val="24"/>
        </w:rPr>
        <w:t xml:space="preserve"> ordinary least squares (OLS) </w:t>
      </w:r>
      <w:r w:rsidR="00246597" w:rsidRPr="00163851">
        <w:rPr>
          <w:szCs w:val="24"/>
        </w:rPr>
        <w:t>regression to explore the impact of telework adoption</w:t>
      </w:r>
      <w:r w:rsidR="000457F5">
        <w:rPr>
          <w:szCs w:val="24"/>
        </w:rPr>
        <w:t xml:space="preserve"> </w:t>
      </w:r>
      <w:r w:rsidR="000E218C">
        <w:rPr>
          <w:szCs w:val="24"/>
        </w:rPr>
        <w:t xml:space="preserve">(telework at least once a week) </w:t>
      </w:r>
      <w:r w:rsidR="00246597" w:rsidRPr="00163851">
        <w:rPr>
          <w:szCs w:val="24"/>
        </w:rPr>
        <w:t xml:space="preserve">on the commute length </w:t>
      </w:r>
      <w:r w:rsidR="00847760" w:rsidRPr="00163851">
        <w:rPr>
          <w:szCs w:val="24"/>
        </w:rPr>
        <w:t xml:space="preserve">(though in time and not distance) </w:t>
      </w:r>
      <w:r w:rsidR="00246597" w:rsidRPr="00163851">
        <w:rPr>
          <w:szCs w:val="24"/>
        </w:rPr>
        <w:t xml:space="preserve">and </w:t>
      </w:r>
      <w:r w:rsidR="00847760" w:rsidRPr="00163851">
        <w:rPr>
          <w:szCs w:val="24"/>
        </w:rPr>
        <w:t>noted</w:t>
      </w:r>
      <w:r w:rsidR="00246597" w:rsidRPr="00163851">
        <w:rPr>
          <w:szCs w:val="24"/>
        </w:rPr>
        <w:t xml:space="preserve"> that, on average, </w:t>
      </w:r>
      <w:r w:rsidR="000E218C">
        <w:rPr>
          <w:szCs w:val="24"/>
        </w:rPr>
        <w:t xml:space="preserve">the commute time of </w:t>
      </w:r>
      <w:r w:rsidR="00246597" w:rsidRPr="00163851">
        <w:rPr>
          <w:szCs w:val="24"/>
        </w:rPr>
        <w:t>tele</w:t>
      </w:r>
      <w:r w:rsidR="000E218C">
        <w:rPr>
          <w:szCs w:val="24"/>
        </w:rPr>
        <w:t xml:space="preserve">workers </w:t>
      </w:r>
      <w:r w:rsidR="00246597" w:rsidRPr="00163851">
        <w:rPr>
          <w:szCs w:val="24"/>
        </w:rPr>
        <w:t xml:space="preserve">is 12% longer than </w:t>
      </w:r>
      <w:r w:rsidR="000E218C">
        <w:rPr>
          <w:szCs w:val="24"/>
        </w:rPr>
        <w:t xml:space="preserve">that of </w:t>
      </w:r>
      <w:r w:rsidR="00246597" w:rsidRPr="00163851">
        <w:rPr>
          <w:szCs w:val="24"/>
        </w:rPr>
        <w:t>non-teleworkers.</w:t>
      </w:r>
      <w:r w:rsidR="00F614E3">
        <w:rPr>
          <w:szCs w:val="24"/>
        </w:rPr>
        <w:t xml:space="preserve"> They also observe that the effect of telework on commute distance varies by occupation sector and residential neighborhood. In the context of the latter, </w:t>
      </w:r>
      <w:r w:rsidR="00F614E3" w:rsidRPr="00D70F70">
        <w:rPr>
          <w:szCs w:val="24"/>
        </w:rPr>
        <w:t xml:space="preserve">they conclude that </w:t>
      </w:r>
      <w:r w:rsidR="00F614E3" w:rsidRPr="00FF45AA">
        <w:rPr>
          <w:szCs w:val="24"/>
        </w:rPr>
        <w:t>the effects of teleworking on commuting time is most pronounced in moderately dense urban areas, and decreases as one moves toward more dense urban areas.</w:t>
      </w:r>
      <w:r w:rsidR="00D70F70" w:rsidRPr="00D70F70">
        <w:rPr>
          <w:szCs w:val="24"/>
        </w:rPr>
        <w:t xml:space="preserve"> </w:t>
      </w:r>
      <w:r w:rsidR="00E700F0">
        <w:rPr>
          <w:szCs w:val="24"/>
        </w:rPr>
        <w:t>De</w:t>
      </w:r>
      <w:r w:rsidR="00D24E1C" w:rsidRPr="00FF45AA">
        <w:rPr>
          <w:szCs w:val="24"/>
        </w:rPr>
        <w:t xml:space="preserve">Vos et al., 2019 </w:t>
      </w:r>
      <w:r w:rsidR="00E769E3">
        <w:rPr>
          <w:szCs w:val="24"/>
        </w:rPr>
        <w:t xml:space="preserve">also </w:t>
      </w:r>
      <w:r w:rsidR="00246597" w:rsidRPr="00D70F70">
        <w:rPr>
          <w:szCs w:val="24"/>
        </w:rPr>
        <w:t>observe that</w:t>
      </w:r>
      <w:r w:rsidR="00246597" w:rsidRPr="00163851">
        <w:rPr>
          <w:szCs w:val="24"/>
        </w:rPr>
        <w:t xml:space="preserve"> employees who transition to teleworking from a completely non-teleworking arrangement experience an increase in commute </w:t>
      </w:r>
      <w:r w:rsidR="00934F04">
        <w:rPr>
          <w:szCs w:val="24"/>
        </w:rPr>
        <w:t>time</w:t>
      </w:r>
      <w:r w:rsidR="00934F04" w:rsidRPr="00163851">
        <w:rPr>
          <w:szCs w:val="24"/>
        </w:rPr>
        <w:t xml:space="preserve"> </w:t>
      </w:r>
      <w:r w:rsidR="00246597" w:rsidRPr="00163851">
        <w:rPr>
          <w:szCs w:val="24"/>
        </w:rPr>
        <w:t>of up to 24%. Furthermore, those who telework once a week see an increase of 16%, while those who telework more frequently may experience an even longer commute of up to 17% (</w:t>
      </w:r>
      <w:r w:rsidR="00E700F0">
        <w:rPr>
          <w:szCs w:val="24"/>
        </w:rPr>
        <w:t>De</w:t>
      </w:r>
      <w:r w:rsidR="00246597" w:rsidRPr="00163851">
        <w:rPr>
          <w:szCs w:val="24"/>
        </w:rPr>
        <w:t>Vos et al., 2019</w:t>
      </w:r>
      <w:r w:rsidR="00D24E1C">
        <w:rPr>
          <w:szCs w:val="24"/>
        </w:rPr>
        <w:t xml:space="preserve">). </w:t>
      </w:r>
      <w:r w:rsidR="005D75FB" w:rsidRPr="00163851">
        <w:rPr>
          <w:szCs w:val="24"/>
        </w:rPr>
        <w:t>In a</w:t>
      </w:r>
      <w:r w:rsidR="007C370F" w:rsidRPr="00163851">
        <w:rPr>
          <w:szCs w:val="24"/>
        </w:rPr>
        <w:t>nother relatively recent</w:t>
      </w:r>
      <w:r w:rsidR="005D75FB" w:rsidRPr="00163851">
        <w:rPr>
          <w:szCs w:val="24"/>
        </w:rPr>
        <w:t xml:space="preserve"> study from data in </w:t>
      </w:r>
      <w:r w:rsidR="00246597" w:rsidRPr="00163851">
        <w:rPr>
          <w:szCs w:val="24"/>
        </w:rPr>
        <w:t>the U</w:t>
      </w:r>
      <w:r w:rsidR="005D75FB" w:rsidRPr="00163851">
        <w:rPr>
          <w:szCs w:val="24"/>
        </w:rPr>
        <w:t>S</w:t>
      </w:r>
      <w:r w:rsidR="00246597" w:rsidRPr="00163851">
        <w:rPr>
          <w:szCs w:val="24"/>
        </w:rPr>
        <w:t>, Chakrabarti (2018) reports that</w:t>
      </w:r>
      <w:r w:rsidR="000E218C">
        <w:rPr>
          <w:szCs w:val="24"/>
        </w:rPr>
        <w:t xml:space="preserve"> the </w:t>
      </w:r>
      <w:r w:rsidR="00246597" w:rsidRPr="00163851">
        <w:rPr>
          <w:szCs w:val="24"/>
        </w:rPr>
        <w:t xml:space="preserve">one-way commute distance </w:t>
      </w:r>
      <w:r w:rsidR="000E218C">
        <w:rPr>
          <w:szCs w:val="24"/>
        </w:rPr>
        <w:t xml:space="preserve">of individuals who adopt teleworking (telework at least one day a month) </w:t>
      </w:r>
      <w:r w:rsidR="00246597" w:rsidRPr="00163851">
        <w:rPr>
          <w:szCs w:val="24"/>
        </w:rPr>
        <w:t>is, on average</w:t>
      </w:r>
      <w:r w:rsidR="005D75FB" w:rsidRPr="00163851">
        <w:rPr>
          <w:szCs w:val="24"/>
        </w:rPr>
        <w:t>,</w:t>
      </w:r>
      <w:r w:rsidR="00246597" w:rsidRPr="00163851">
        <w:rPr>
          <w:szCs w:val="24"/>
        </w:rPr>
        <w:t xml:space="preserve"> four miles longer than a traditional non-telework commuter. </w:t>
      </w:r>
      <w:r w:rsidR="007C370F" w:rsidRPr="00163851">
        <w:rPr>
          <w:szCs w:val="24"/>
        </w:rPr>
        <w:t>Also, i</w:t>
      </w:r>
      <w:r w:rsidR="00172746" w:rsidRPr="00163851">
        <w:rPr>
          <w:szCs w:val="24"/>
        </w:rPr>
        <w:t xml:space="preserve">n </w:t>
      </w:r>
      <w:r w:rsidR="007C370F" w:rsidRPr="00163851">
        <w:rPr>
          <w:szCs w:val="24"/>
        </w:rPr>
        <w:t>a</w:t>
      </w:r>
      <w:r w:rsidR="00172746" w:rsidRPr="00163851">
        <w:rPr>
          <w:szCs w:val="24"/>
        </w:rPr>
        <w:t xml:space="preserve"> study in Switzerland, </w:t>
      </w:r>
      <w:proofErr w:type="spellStart"/>
      <w:r w:rsidR="00246597" w:rsidRPr="00163851">
        <w:rPr>
          <w:szCs w:val="24"/>
        </w:rPr>
        <w:t>Ravalet</w:t>
      </w:r>
      <w:proofErr w:type="spellEnd"/>
      <w:r w:rsidR="00246597" w:rsidRPr="00163851">
        <w:rPr>
          <w:szCs w:val="24"/>
        </w:rPr>
        <w:t xml:space="preserve"> and </w:t>
      </w:r>
      <w:proofErr w:type="spellStart"/>
      <w:r w:rsidR="00CF4B2B" w:rsidRPr="00733550">
        <w:rPr>
          <w:bCs/>
          <w:color w:val="222222"/>
          <w:szCs w:val="24"/>
          <w:shd w:val="clear" w:color="auto" w:fill="FFFFFF"/>
        </w:rPr>
        <w:t>Rérat</w:t>
      </w:r>
      <w:proofErr w:type="spellEnd"/>
      <w:r w:rsidR="00246597" w:rsidRPr="00163851">
        <w:rPr>
          <w:szCs w:val="24"/>
        </w:rPr>
        <w:t xml:space="preserve"> (2019) </w:t>
      </w:r>
      <w:r w:rsidR="005D75FB" w:rsidRPr="00163851">
        <w:rPr>
          <w:szCs w:val="24"/>
        </w:rPr>
        <w:t xml:space="preserve">examined </w:t>
      </w:r>
      <w:r w:rsidR="00172746" w:rsidRPr="00163851">
        <w:rPr>
          <w:szCs w:val="24"/>
        </w:rPr>
        <w:t>data over a five year period</w:t>
      </w:r>
      <w:r w:rsidR="00F01B27">
        <w:rPr>
          <w:szCs w:val="24"/>
        </w:rPr>
        <w:t xml:space="preserve"> (2010-2015)</w:t>
      </w:r>
      <w:r w:rsidR="00172746" w:rsidRPr="00163851">
        <w:rPr>
          <w:szCs w:val="24"/>
        </w:rPr>
        <w:t xml:space="preserve">, and </w:t>
      </w:r>
      <w:r w:rsidR="00F01B27">
        <w:rPr>
          <w:szCs w:val="24"/>
        </w:rPr>
        <w:t xml:space="preserve">again </w:t>
      </w:r>
      <w:r w:rsidR="00172746" w:rsidRPr="00163851">
        <w:rPr>
          <w:szCs w:val="24"/>
        </w:rPr>
        <w:t xml:space="preserve">observed </w:t>
      </w:r>
      <w:r w:rsidR="00246597" w:rsidRPr="00163851">
        <w:rPr>
          <w:szCs w:val="24"/>
        </w:rPr>
        <w:t>that</w:t>
      </w:r>
      <w:r w:rsidR="00F614E3">
        <w:rPr>
          <w:szCs w:val="24"/>
        </w:rPr>
        <w:t>, in 2010,</w:t>
      </w:r>
      <w:r w:rsidR="00246597" w:rsidRPr="00163851">
        <w:rPr>
          <w:szCs w:val="24"/>
        </w:rPr>
        <w:t xml:space="preserve"> </w:t>
      </w:r>
      <w:r w:rsidR="00177378">
        <w:rPr>
          <w:szCs w:val="24"/>
        </w:rPr>
        <w:t xml:space="preserve">those who </w:t>
      </w:r>
      <w:r w:rsidR="00F614E3">
        <w:rPr>
          <w:szCs w:val="24"/>
        </w:rPr>
        <w:t xml:space="preserve">worked remotely </w:t>
      </w:r>
      <w:r w:rsidR="00177378">
        <w:rPr>
          <w:szCs w:val="24"/>
        </w:rPr>
        <w:t>at least one day</w:t>
      </w:r>
      <w:r w:rsidR="00F614E3">
        <w:rPr>
          <w:szCs w:val="24"/>
        </w:rPr>
        <w:t xml:space="preserve"> </w:t>
      </w:r>
      <w:r w:rsidR="00177378">
        <w:rPr>
          <w:szCs w:val="24"/>
        </w:rPr>
        <w:t>during the week ha</w:t>
      </w:r>
      <w:r w:rsidR="00F614E3">
        <w:rPr>
          <w:szCs w:val="24"/>
        </w:rPr>
        <w:t>d</w:t>
      </w:r>
      <w:r w:rsidR="00177378">
        <w:rPr>
          <w:szCs w:val="24"/>
        </w:rPr>
        <w:t xml:space="preserve"> a </w:t>
      </w:r>
      <w:r w:rsidR="00F01B27">
        <w:rPr>
          <w:szCs w:val="24"/>
        </w:rPr>
        <w:t xml:space="preserve">one-way commute distance </w:t>
      </w:r>
      <w:r w:rsidR="00177378">
        <w:rPr>
          <w:szCs w:val="24"/>
        </w:rPr>
        <w:t xml:space="preserve">that </w:t>
      </w:r>
      <w:r w:rsidR="00F01B27">
        <w:rPr>
          <w:szCs w:val="24"/>
        </w:rPr>
        <w:t>is, on average</w:t>
      </w:r>
      <w:r w:rsidR="00C73224">
        <w:rPr>
          <w:szCs w:val="24"/>
        </w:rPr>
        <w:t>, 4.3</w:t>
      </w:r>
      <w:r w:rsidR="00177378">
        <w:rPr>
          <w:szCs w:val="24"/>
        </w:rPr>
        <w:t xml:space="preserve"> kilometers</w:t>
      </w:r>
      <w:r w:rsidR="00C73224">
        <w:rPr>
          <w:szCs w:val="24"/>
        </w:rPr>
        <w:t xml:space="preserve"> longer than a non-teleworker</w:t>
      </w:r>
      <w:r w:rsidR="00177378">
        <w:rPr>
          <w:szCs w:val="24"/>
        </w:rPr>
        <w:t xml:space="preserve">. This difference increased to 8.5 kilometers in 2015. </w:t>
      </w:r>
      <w:r w:rsidR="00C73224">
        <w:rPr>
          <w:szCs w:val="24"/>
        </w:rPr>
        <w:t xml:space="preserve"> </w:t>
      </w:r>
      <w:r w:rsidR="00F01B27">
        <w:rPr>
          <w:szCs w:val="24"/>
        </w:rPr>
        <w:t xml:space="preserve"> </w:t>
      </w:r>
    </w:p>
    <w:p w14:paraId="042C229D" w14:textId="4359916E" w:rsidR="00582E76" w:rsidRDefault="007C2CD5" w:rsidP="00612440">
      <w:pPr>
        <w:spacing w:after="0" w:line="240" w:lineRule="auto"/>
        <w:rPr>
          <w:szCs w:val="24"/>
        </w:rPr>
      </w:pPr>
      <w:r w:rsidRPr="00163851">
        <w:rPr>
          <w:szCs w:val="24"/>
          <w:shd w:val="clear" w:color="auto" w:fill="FFFFFF"/>
        </w:rPr>
        <w:tab/>
      </w:r>
      <w:r w:rsidR="004A0854" w:rsidRPr="00163851">
        <w:rPr>
          <w:szCs w:val="24"/>
        </w:rPr>
        <w:t xml:space="preserve">Within </w:t>
      </w:r>
      <w:r w:rsidRPr="00163851">
        <w:rPr>
          <w:szCs w:val="24"/>
        </w:rPr>
        <w:t>the</w:t>
      </w:r>
      <w:r w:rsidR="00172746" w:rsidRPr="00163851">
        <w:rPr>
          <w:szCs w:val="24"/>
        </w:rPr>
        <w:t xml:space="preserve"> </w:t>
      </w:r>
      <w:r w:rsidR="00FD259F" w:rsidRPr="00163851">
        <w:rPr>
          <w:szCs w:val="24"/>
        </w:rPr>
        <w:t xml:space="preserve">larger </w:t>
      </w:r>
      <w:r w:rsidR="00172746" w:rsidRPr="00163851">
        <w:rPr>
          <w:szCs w:val="24"/>
        </w:rPr>
        <w:t xml:space="preserve">second </w:t>
      </w:r>
      <w:r w:rsidR="004A0854" w:rsidRPr="00163851">
        <w:rPr>
          <w:szCs w:val="24"/>
        </w:rPr>
        <w:t xml:space="preserve">set of </w:t>
      </w:r>
      <w:r w:rsidRPr="00163851">
        <w:rPr>
          <w:szCs w:val="24"/>
        </w:rPr>
        <w:t xml:space="preserve">CT </w:t>
      </w:r>
      <w:r w:rsidR="004A0854" w:rsidRPr="00163851">
        <w:rPr>
          <w:szCs w:val="24"/>
        </w:rPr>
        <w:t xml:space="preserve">studies, the general consensus is that </w:t>
      </w:r>
      <w:r w:rsidR="003B0187" w:rsidRPr="00163851">
        <w:rPr>
          <w:szCs w:val="24"/>
        </w:rPr>
        <w:t>individuals residing far</w:t>
      </w:r>
      <w:r w:rsidRPr="00163851">
        <w:rPr>
          <w:szCs w:val="24"/>
        </w:rPr>
        <w:t>ther</w:t>
      </w:r>
      <w:r w:rsidR="008B5B2C" w:rsidRPr="00163851">
        <w:rPr>
          <w:szCs w:val="24"/>
        </w:rPr>
        <w:t xml:space="preserve"> </w:t>
      </w:r>
      <w:r w:rsidR="003B0187" w:rsidRPr="00163851">
        <w:rPr>
          <w:szCs w:val="24"/>
        </w:rPr>
        <w:t>from their office are more likely to adopt telework</w:t>
      </w:r>
      <w:r w:rsidR="008B5B2C" w:rsidRPr="00163851">
        <w:rPr>
          <w:szCs w:val="24"/>
        </w:rPr>
        <w:t>ing</w:t>
      </w:r>
      <w:r w:rsidR="003B0187" w:rsidRPr="00163851">
        <w:rPr>
          <w:szCs w:val="24"/>
        </w:rPr>
        <w:t xml:space="preserve"> and with higher frequency</w:t>
      </w:r>
      <w:r w:rsidRPr="00163851">
        <w:rPr>
          <w:szCs w:val="24"/>
        </w:rPr>
        <w:t>, with the view</w:t>
      </w:r>
      <w:r w:rsidR="003B0187" w:rsidRPr="00163851">
        <w:rPr>
          <w:szCs w:val="24"/>
        </w:rPr>
        <w:t xml:space="preserve"> </w:t>
      </w:r>
      <w:r w:rsidRPr="00163851">
        <w:rPr>
          <w:szCs w:val="24"/>
        </w:rPr>
        <w:t xml:space="preserve">to </w:t>
      </w:r>
      <w:r w:rsidR="003B0187" w:rsidRPr="00163851">
        <w:rPr>
          <w:szCs w:val="24"/>
        </w:rPr>
        <w:t xml:space="preserve">appropriate </w:t>
      </w:r>
      <w:r w:rsidRPr="00163851">
        <w:rPr>
          <w:szCs w:val="24"/>
        </w:rPr>
        <w:t xml:space="preserve">long commute </w:t>
      </w:r>
      <w:r w:rsidR="003B0187" w:rsidRPr="00163851">
        <w:rPr>
          <w:szCs w:val="24"/>
        </w:rPr>
        <w:t>time</w:t>
      </w:r>
      <w:r w:rsidRPr="00163851">
        <w:rPr>
          <w:szCs w:val="24"/>
        </w:rPr>
        <w:t>s</w:t>
      </w:r>
      <w:r w:rsidR="003B0187" w:rsidRPr="00163851">
        <w:rPr>
          <w:szCs w:val="24"/>
        </w:rPr>
        <w:t xml:space="preserve"> for other </w:t>
      </w:r>
      <w:r w:rsidR="008B5B2C" w:rsidRPr="00163851">
        <w:rPr>
          <w:szCs w:val="24"/>
        </w:rPr>
        <w:t>uses</w:t>
      </w:r>
      <w:r w:rsidR="000B4C21" w:rsidRPr="00163851">
        <w:rPr>
          <w:szCs w:val="24"/>
        </w:rPr>
        <w:t>,</w:t>
      </w:r>
      <w:r w:rsidR="003B0187" w:rsidRPr="00163851">
        <w:rPr>
          <w:szCs w:val="24"/>
        </w:rPr>
        <w:t xml:space="preserve"> as well </w:t>
      </w:r>
      <w:r w:rsidR="008B7817" w:rsidRPr="00163851">
        <w:rPr>
          <w:szCs w:val="24"/>
        </w:rPr>
        <w:t xml:space="preserve">as </w:t>
      </w:r>
      <w:r w:rsidRPr="00163851">
        <w:rPr>
          <w:szCs w:val="24"/>
        </w:rPr>
        <w:t xml:space="preserve">to </w:t>
      </w:r>
      <w:r w:rsidR="008B7817" w:rsidRPr="00163851">
        <w:rPr>
          <w:szCs w:val="24"/>
        </w:rPr>
        <w:t xml:space="preserve">save on </w:t>
      </w:r>
      <w:r w:rsidR="003B0187" w:rsidRPr="00163851">
        <w:rPr>
          <w:szCs w:val="24"/>
        </w:rPr>
        <w:t xml:space="preserve">high </w:t>
      </w:r>
      <w:r w:rsidR="003B0187" w:rsidRPr="00163851">
        <w:rPr>
          <w:szCs w:val="24"/>
        </w:rPr>
        <w:lastRenderedPageBreak/>
        <w:t xml:space="preserve">commuting costs </w:t>
      </w:r>
      <w:r w:rsidR="00C2349C" w:rsidRPr="00163851">
        <w:rPr>
          <w:szCs w:val="24"/>
        </w:rPr>
        <w:t xml:space="preserve">(see for example, </w:t>
      </w:r>
      <w:r w:rsidR="003B0187" w:rsidRPr="00163851">
        <w:rPr>
          <w:szCs w:val="24"/>
        </w:rPr>
        <w:t xml:space="preserve">Helminen and </w:t>
      </w:r>
      <w:proofErr w:type="spellStart"/>
      <w:r w:rsidR="003B0187" w:rsidRPr="00163851">
        <w:rPr>
          <w:szCs w:val="24"/>
        </w:rPr>
        <w:t>Ristimäki</w:t>
      </w:r>
      <w:proofErr w:type="spellEnd"/>
      <w:r w:rsidR="003B0187" w:rsidRPr="00163851">
        <w:rPr>
          <w:szCs w:val="24"/>
        </w:rPr>
        <w:t xml:space="preserve">, 2007, </w:t>
      </w:r>
      <w:r w:rsidR="00C2349C" w:rsidRPr="00163851">
        <w:rPr>
          <w:szCs w:val="24"/>
        </w:rPr>
        <w:t>Asmussen et al., 2023</w:t>
      </w:r>
      <w:r w:rsidR="002E200B">
        <w:rPr>
          <w:szCs w:val="24"/>
        </w:rPr>
        <w:t>,</w:t>
      </w:r>
      <w:r w:rsidR="00C2349C" w:rsidRPr="00163851">
        <w:rPr>
          <w:szCs w:val="24"/>
        </w:rPr>
        <w:t xml:space="preserve"> </w:t>
      </w:r>
      <w:r w:rsidR="002E200B">
        <w:rPr>
          <w:szCs w:val="24"/>
        </w:rPr>
        <w:t xml:space="preserve">Asmussen et al., 2024, </w:t>
      </w:r>
      <w:proofErr w:type="spellStart"/>
      <w:r w:rsidR="00C2349C" w:rsidRPr="00163851">
        <w:rPr>
          <w:szCs w:val="24"/>
        </w:rPr>
        <w:t>Mergener</w:t>
      </w:r>
      <w:proofErr w:type="spellEnd"/>
      <w:r w:rsidR="00C2349C" w:rsidRPr="00163851">
        <w:rPr>
          <w:szCs w:val="24"/>
        </w:rPr>
        <w:t xml:space="preserve"> and </w:t>
      </w:r>
      <w:proofErr w:type="spellStart"/>
      <w:r w:rsidR="00C2349C" w:rsidRPr="00163851">
        <w:rPr>
          <w:szCs w:val="24"/>
        </w:rPr>
        <w:t>Mansfeld</w:t>
      </w:r>
      <w:proofErr w:type="spellEnd"/>
      <w:r w:rsidR="00C2349C" w:rsidRPr="00163851">
        <w:rPr>
          <w:szCs w:val="24"/>
        </w:rPr>
        <w:t>, 2021</w:t>
      </w:r>
      <w:r w:rsidR="002E200B">
        <w:rPr>
          <w:szCs w:val="24"/>
        </w:rPr>
        <w:t>,</w:t>
      </w:r>
      <w:r w:rsidR="00C2349C" w:rsidRPr="00163851">
        <w:rPr>
          <w:szCs w:val="24"/>
        </w:rPr>
        <w:t xml:space="preserve"> </w:t>
      </w:r>
      <w:proofErr w:type="spellStart"/>
      <w:r w:rsidR="00C2349C" w:rsidRPr="00163851">
        <w:rPr>
          <w:szCs w:val="24"/>
        </w:rPr>
        <w:t>Adobati</w:t>
      </w:r>
      <w:proofErr w:type="spellEnd"/>
      <w:r w:rsidR="00C2349C" w:rsidRPr="00163851">
        <w:rPr>
          <w:szCs w:val="24"/>
        </w:rPr>
        <w:t xml:space="preserve"> and </w:t>
      </w:r>
      <w:proofErr w:type="spellStart"/>
      <w:r w:rsidR="00C2349C" w:rsidRPr="00163851">
        <w:rPr>
          <w:szCs w:val="24"/>
        </w:rPr>
        <w:t>Debernardi</w:t>
      </w:r>
      <w:proofErr w:type="spellEnd"/>
      <w:r w:rsidR="00C2349C" w:rsidRPr="00163851">
        <w:rPr>
          <w:szCs w:val="24"/>
        </w:rPr>
        <w:t>, 2022</w:t>
      </w:r>
      <w:r w:rsidR="00A7776F" w:rsidRPr="00163851">
        <w:rPr>
          <w:szCs w:val="24"/>
        </w:rPr>
        <w:t>)</w:t>
      </w:r>
      <w:r w:rsidR="00D86439" w:rsidRPr="00163851">
        <w:rPr>
          <w:szCs w:val="24"/>
        </w:rPr>
        <w:t xml:space="preserve">. </w:t>
      </w:r>
      <w:r w:rsidR="00B95C3D" w:rsidRPr="00163851">
        <w:rPr>
          <w:szCs w:val="24"/>
        </w:rPr>
        <w:t xml:space="preserve">Along similar lines, </w:t>
      </w:r>
      <w:r w:rsidR="00635B50" w:rsidRPr="00163851">
        <w:rPr>
          <w:szCs w:val="24"/>
        </w:rPr>
        <w:t>s</w:t>
      </w:r>
      <w:r w:rsidR="008B7817" w:rsidRPr="00163851">
        <w:rPr>
          <w:szCs w:val="24"/>
        </w:rPr>
        <w:t xml:space="preserve">ome </w:t>
      </w:r>
      <w:r w:rsidR="00635B50" w:rsidRPr="00163851">
        <w:rPr>
          <w:szCs w:val="24"/>
        </w:rPr>
        <w:t xml:space="preserve">studies </w:t>
      </w:r>
      <w:r w:rsidR="008B7817" w:rsidRPr="00163851">
        <w:rPr>
          <w:szCs w:val="24"/>
        </w:rPr>
        <w:t xml:space="preserve">have </w:t>
      </w:r>
      <w:r w:rsidR="00635B50" w:rsidRPr="00163851">
        <w:rPr>
          <w:szCs w:val="24"/>
        </w:rPr>
        <w:t>investigate</w:t>
      </w:r>
      <w:r w:rsidR="008B7817" w:rsidRPr="00163851">
        <w:rPr>
          <w:szCs w:val="24"/>
        </w:rPr>
        <w:t>d</w:t>
      </w:r>
      <w:r w:rsidR="00635B50" w:rsidRPr="00163851">
        <w:rPr>
          <w:szCs w:val="24"/>
        </w:rPr>
        <w:t xml:space="preserve"> the impact of </w:t>
      </w:r>
      <w:r w:rsidR="0089525E" w:rsidRPr="00163851">
        <w:rPr>
          <w:szCs w:val="24"/>
        </w:rPr>
        <w:t xml:space="preserve">the </w:t>
      </w:r>
      <w:r w:rsidR="00635B50" w:rsidRPr="00163851">
        <w:rPr>
          <w:szCs w:val="24"/>
        </w:rPr>
        <w:t>residential built-environment</w:t>
      </w:r>
      <w:r w:rsidRPr="00163851">
        <w:rPr>
          <w:szCs w:val="24"/>
        </w:rPr>
        <w:t>.</w:t>
      </w:r>
      <w:r w:rsidR="00FD259F" w:rsidRPr="00163851">
        <w:rPr>
          <w:szCs w:val="24"/>
        </w:rPr>
        <w:t xml:space="preserve"> </w:t>
      </w:r>
      <w:r w:rsidR="00635B50" w:rsidRPr="00163851">
        <w:rPr>
          <w:szCs w:val="24"/>
        </w:rPr>
        <w:t xml:space="preserve">The </w:t>
      </w:r>
      <w:r w:rsidR="00012037" w:rsidRPr="00163851">
        <w:rPr>
          <w:szCs w:val="24"/>
        </w:rPr>
        <w:t xml:space="preserve">findings from such </w:t>
      </w:r>
      <w:r w:rsidR="00635B50" w:rsidRPr="00163851">
        <w:rPr>
          <w:szCs w:val="24"/>
        </w:rPr>
        <w:t xml:space="preserve">studies </w:t>
      </w:r>
      <w:proofErr w:type="gramStart"/>
      <w:r w:rsidR="00012037" w:rsidRPr="00163851">
        <w:rPr>
          <w:szCs w:val="24"/>
        </w:rPr>
        <w:t>has</w:t>
      </w:r>
      <w:proofErr w:type="gramEnd"/>
      <w:r w:rsidR="00012037" w:rsidRPr="00163851">
        <w:rPr>
          <w:szCs w:val="24"/>
        </w:rPr>
        <w:t xml:space="preserve"> not been </w:t>
      </w:r>
      <w:r w:rsidR="00FD259F" w:rsidRPr="00163851">
        <w:rPr>
          <w:szCs w:val="24"/>
        </w:rPr>
        <w:t>a</w:t>
      </w:r>
      <w:r w:rsidR="007F03CB" w:rsidRPr="00163851">
        <w:rPr>
          <w:szCs w:val="24"/>
        </w:rPr>
        <w:t>lways</w:t>
      </w:r>
      <w:r w:rsidR="00FD259F" w:rsidRPr="00163851">
        <w:rPr>
          <w:szCs w:val="24"/>
        </w:rPr>
        <w:t xml:space="preserve"> </w:t>
      </w:r>
      <w:r w:rsidR="00012037" w:rsidRPr="00163851">
        <w:rPr>
          <w:szCs w:val="24"/>
        </w:rPr>
        <w:t xml:space="preserve">consistent. </w:t>
      </w:r>
      <w:r w:rsidR="005E4965" w:rsidRPr="00163851">
        <w:rPr>
          <w:szCs w:val="24"/>
        </w:rPr>
        <w:t>Most</w:t>
      </w:r>
      <w:r w:rsidR="00012037" w:rsidRPr="00163851">
        <w:rPr>
          <w:szCs w:val="24"/>
        </w:rPr>
        <w:t xml:space="preserve"> </w:t>
      </w:r>
      <w:r w:rsidR="00FD259F" w:rsidRPr="00163851">
        <w:rPr>
          <w:szCs w:val="24"/>
        </w:rPr>
        <w:t xml:space="preserve">such </w:t>
      </w:r>
      <w:r w:rsidR="00012037" w:rsidRPr="00163851">
        <w:rPr>
          <w:szCs w:val="24"/>
        </w:rPr>
        <w:t xml:space="preserve">studies conclude </w:t>
      </w:r>
      <w:r w:rsidR="0089525E" w:rsidRPr="00163851">
        <w:rPr>
          <w:szCs w:val="24"/>
        </w:rPr>
        <w:t>that those residing in suburbs/outskirts of cities</w:t>
      </w:r>
      <w:r w:rsidR="007F03CB" w:rsidRPr="00163851">
        <w:rPr>
          <w:szCs w:val="24"/>
        </w:rPr>
        <w:t xml:space="preserve"> (that is, generally those with long commute distances) are </w:t>
      </w:r>
      <w:r w:rsidR="0089525E" w:rsidRPr="00163851">
        <w:rPr>
          <w:szCs w:val="24"/>
        </w:rPr>
        <w:t xml:space="preserve">more likely </w:t>
      </w:r>
      <w:r w:rsidR="007F03CB" w:rsidRPr="00163851">
        <w:rPr>
          <w:szCs w:val="24"/>
        </w:rPr>
        <w:t xml:space="preserve">to </w:t>
      </w:r>
      <w:r w:rsidR="0089525E" w:rsidRPr="00163851">
        <w:rPr>
          <w:szCs w:val="24"/>
        </w:rPr>
        <w:t xml:space="preserve">be </w:t>
      </w:r>
      <w:r w:rsidR="00946D40" w:rsidRPr="00163851">
        <w:rPr>
          <w:szCs w:val="24"/>
        </w:rPr>
        <w:t>high-frequency</w:t>
      </w:r>
      <w:r w:rsidR="00635B50" w:rsidRPr="00163851">
        <w:rPr>
          <w:szCs w:val="24"/>
        </w:rPr>
        <w:t xml:space="preserve"> teleworkers (</w:t>
      </w:r>
      <w:r w:rsidR="0089525E" w:rsidRPr="00163851">
        <w:rPr>
          <w:szCs w:val="24"/>
        </w:rPr>
        <w:t xml:space="preserve">see, for example, </w:t>
      </w:r>
      <w:proofErr w:type="spellStart"/>
      <w:r w:rsidR="0089525E" w:rsidRPr="00163851">
        <w:rPr>
          <w:szCs w:val="24"/>
        </w:rPr>
        <w:t>Ettema</w:t>
      </w:r>
      <w:proofErr w:type="spellEnd"/>
      <w:r w:rsidR="0089525E" w:rsidRPr="00163851">
        <w:rPr>
          <w:szCs w:val="24"/>
        </w:rPr>
        <w:t>, 2010</w:t>
      </w:r>
      <w:r w:rsidR="002E200B">
        <w:rPr>
          <w:szCs w:val="24"/>
        </w:rPr>
        <w:t>,</w:t>
      </w:r>
      <w:r w:rsidR="0089525E" w:rsidRPr="00163851">
        <w:rPr>
          <w:szCs w:val="24"/>
        </w:rPr>
        <w:t xml:space="preserve"> Fu et al., 2012</w:t>
      </w:r>
      <w:r w:rsidR="002E200B">
        <w:rPr>
          <w:szCs w:val="24"/>
        </w:rPr>
        <w:t>,</w:t>
      </w:r>
      <w:r w:rsidR="0089525E" w:rsidRPr="00163851">
        <w:rPr>
          <w:szCs w:val="24"/>
        </w:rPr>
        <w:t xml:space="preserve"> </w:t>
      </w:r>
      <w:r w:rsidR="00635B50" w:rsidRPr="00163851">
        <w:rPr>
          <w:szCs w:val="24"/>
        </w:rPr>
        <w:t>Bhuiyan et al., 2020</w:t>
      </w:r>
      <w:r w:rsidR="002E200B">
        <w:rPr>
          <w:szCs w:val="24"/>
        </w:rPr>
        <w:t>,</w:t>
      </w:r>
      <w:r w:rsidR="00635B50" w:rsidRPr="00163851">
        <w:rPr>
          <w:szCs w:val="24"/>
        </w:rPr>
        <w:t xml:space="preserve"> Kim </w:t>
      </w:r>
      <w:r w:rsidR="00E700F0">
        <w:rPr>
          <w:szCs w:val="24"/>
        </w:rPr>
        <w:t>and Long,</w:t>
      </w:r>
      <w:r w:rsidR="00635B50" w:rsidRPr="00163851">
        <w:rPr>
          <w:szCs w:val="24"/>
        </w:rPr>
        <w:t xml:space="preserve"> 2022</w:t>
      </w:r>
      <w:r w:rsidR="002E200B">
        <w:rPr>
          <w:szCs w:val="24"/>
        </w:rPr>
        <w:t>,</w:t>
      </w:r>
      <w:r w:rsidR="0089525E" w:rsidRPr="00163851">
        <w:rPr>
          <w:szCs w:val="24"/>
        </w:rPr>
        <w:t xml:space="preserve"> </w:t>
      </w:r>
      <w:r w:rsidR="00635B50" w:rsidRPr="00163851">
        <w:rPr>
          <w:szCs w:val="24"/>
        </w:rPr>
        <w:t>de Abreu e Silva, 2022</w:t>
      </w:r>
      <w:r w:rsidR="002E200B">
        <w:rPr>
          <w:szCs w:val="24"/>
        </w:rPr>
        <w:t>,</w:t>
      </w:r>
      <w:r w:rsidR="00635B50" w:rsidRPr="00163851">
        <w:rPr>
          <w:szCs w:val="24"/>
        </w:rPr>
        <w:t xml:space="preserve"> Tahlyan et al., 2022)</w:t>
      </w:r>
      <w:r w:rsidR="0089525E" w:rsidRPr="00163851">
        <w:rPr>
          <w:szCs w:val="24"/>
        </w:rPr>
        <w:t xml:space="preserve">, in part because the </w:t>
      </w:r>
      <w:r w:rsidR="00FD259F" w:rsidRPr="00163851">
        <w:rPr>
          <w:szCs w:val="24"/>
        </w:rPr>
        <w:t xml:space="preserve">typically </w:t>
      </w:r>
      <w:r w:rsidR="0089525E" w:rsidRPr="00163851">
        <w:rPr>
          <w:szCs w:val="24"/>
        </w:rPr>
        <w:t xml:space="preserve">larger homes in suburbs makes </w:t>
      </w:r>
      <w:r w:rsidR="00FD259F" w:rsidRPr="00163851">
        <w:rPr>
          <w:szCs w:val="24"/>
        </w:rPr>
        <w:t xml:space="preserve">things </w:t>
      </w:r>
      <w:r w:rsidR="0089525E" w:rsidRPr="00163851">
        <w:rPr>
          <w:szCs w:val="24"/>
        </w:rPr>
        <w:t xml:space="preserve">more conducive to </w:t>
      </w:r>
      <w:r w:rsidR="00FD259F" w:rsidRPr="00163851">
        <w:rPr>
          <w:szCs w:val="24"/>
        </w:rPr>
        <w:t>home-</w:t>
      </w:r>
      <w:r w:rsidR="0089525E" w:rsidRPr="00163851">
        <w:rPr>
          <w:szCs w:val="24"/>
        </w:rPr>
        <w:t xml:space="preserve">teleworking </w:t>
      </w:r>
      <w:r w:rsidR="00635B50" w:rsidRPr="00163851">
        <w:rPr>
          <w:szCs w:val="24"/>
        </w:rPr>
        <w:t>(</w:t>
      </w:r>
      <w:proofErr w:type="spellStart"/>
      <w:r w:rsidR="00635B50" w:rsidRPr="00163851">
        <w:rPr>
          <w:szCs w:val="24"/>
        </w:rPr>
        <w:t>Isono</w:t>
      </w:r>
      <w:proofErr w:type="spellEnd"/>
      <w:r w:rsidR="00635B50" w:rsidRPr="00163851">
        <w:rPr>
          <w:szCs w:val="24"/>
        </w:rPr>
        <w:t xml:space="preserve"> and Nara, 2022). </w:t>
      </w:r>
      <w:proofErr w:type="spellStart"/>
      <w:r w:rsidR="00E6123D" w:rsidRPr="00163851">
        <w:rPr>
          <w:szCs w:val="24"/>
        </w:rPr>
        <w:t>Mariotti</w:t>
      </w:r>
      <w:proofErr w:type="spellEnd"/>
      <w:r w:rsidR="00E6123D" w:rsidRPr="00163851">
        <w:rPr>
          <w:szCs w:val="24"/>
        </w:rPr>
        <w:t xml:space="preserve"> et al. (2022) f</w:t>
      </w:r>
      <w:r w:rsidR="00EF3FAD" w:rsidRPr="00163851">
        <w:rPr>
          <w:szCs w:val="24"/>
        </w:rPr>
        <w:t>ound</w:t>
      </w:r>
      <w:r w:rsidR="00E6123D" w:rsidRPr="00163851">
        <w:rPr>
          <w:szCs w:val="24"/>
        </w:rPr>
        <w:t xml:space="preserve"> </w:t>
      </w:r>
      <w:r w:rsidR="00012037" w:rsidRPr="00163851">
        <w:rPr>
          <w:szCs w:val="24"/>
        </w:rPr>
        <w:t xml:space="preserve">this </w:t>
      </w:r>
      <w:r w:rsidR="00E769E3">
        <w:rPr>
          <w:szCs w:val="24"/>
        </w:rPr>
        <w:t xml:space="preserve">to be </w:t>
      </w:r>
      <w:r w:rsidR="00012037" w:rsidRPr="00163851">
        <w:rPr>
          <w:szCs w:val="24"/>
        </w:rPr>
        <w:t xml:space="preserve">particularly the </w:t>
      </w:r>
      <w:r w:rsidR="00E769E3">
        <w:rPr>
          <w:szCs w:val="24"/>
        </w:rPr>
        <w:t>case</w:t>
      </w:r>
      <w:r w:rsidR="00012037" w:rsidRPr="00163851">
        <w:rPr>
          <w:szCs w:val="24"/>
        </w:rPr>
        <w:t xml:space="preserve"> with </w:t>
      </w:r>
      <w:r w:rsidR="00EF3FAD" w:rsidRPr="00163851">
        <w:rPr>
          <w:szCs w:val="24"/>
        </w:rPr>
        <w:t>“</w:t>
      </w:r>
      <w:r w:rsidR="00E6123D" w:rsidRPr="00163851">
        <w:rPr>
          <w:szCs w:val="24"/>
        </w:rPr>
        <w:t>knowledge</w:t>
      </w:r>
      <w:r w:rsidR="00EF3FAD" w:rsidRPr="00163851">
        <w:rPr>
          <w:szCs w:val="24"/>
        </w:rPr>
        <w:t>”</w:t>
      </w:r>
      <w:r w:rsidR="00E6123D" w:rsidRPr="00163851">
        <w:rPr>
          <w:szCs w:val="24"/>
        </w:rPr>
        <w:t xml:space="preserve"> workers</w:t>
      </w:r>
      <w:r w:rsidR="00012037" w:rsidRPr="00163851">
        <w:rPr>
          <w:szCs w:val="24"/>
        </w:rPr>
        <w:t xml:space="preserve"> (as opposed to “essential workers” whose jobs require physical presence at the work site), though they also note that </w:t>
      </w:r>
      <w:r w:rsidR="005E4965" w:rsidRPr="00163851">
        <w:rPr>
          <w:szCs w:val="24"/>
        </w:rPr>
        <w:t xml:space="preserve">“knowledge workers” </w:t>
      </w:r>
      <w:r w:rsidR="00012037" w:rsidRPr="00163851">
        <w:rPr>
          <w:szCs w:val="24"/>
        </w:rPr>
        <w:t xml:space="preserve">residing in </w:t>
      </w:r>
      <w:r w:rsidR="005E4965" w:rsidRPr="00163851">
        <w:rPr>
          <w:szCs w:val="24"/>
        </w:rPr>
        <w:t xml:space="preserve">very </w:t>
      </w:r>
      <w:r w:rsidR="00012037" w:rsidRPr="00163851">
        <w:rPr>
          <w:szCs w:val="24"/>
        </w:rPr>
        <w:t>rural areas are not particularly inclined to telework</w:t>
      </w:r>
      <w:r w:rsidR="005E4965" w:rsidRPr="00163851">
        <w:rPr>
          <w:szCs w:val="24"/>
        </w:rPr>
        <w:t xml:space="preserve"> because of less accessibility to reliable and fast broadband networks in remote areas. </w:t>
      </w:r>
      <w:r w:rsidR="00E3558B" w:rsidRPr="00163851">
        <w:rPr>
          <w:szCs w:val="24"/>
        </w:rPr>
        <w:t>Contrary to the findings discussed above, a handful of studies</w:t>
      </w:r>
      <w:r w:rsidR="00E6123D" w:rsidRPr="00163851">
        <w:rPr>
          <w:szCs w:val="24"/>
        </w:rPr>
        <w:t xml:space="preserve"> </w:t>
      </w:r>
      <w:r w:rsidR="00E3558B" w:rsidRPr="00163851">
        <w:rPr>
          <w:szCs w:val="24"/>
        </w:rPr>
        <w:t xml:space="preserve">have reported </w:t>
      </w:r>
      <w:r w:rsidR="005E4965" w:rsidRPr="00163851">
        <w:rPr>
          <w:szCs w:val="24"/>
        </w:rPr>
        <w:t xml:space="preserve">that it is those who live in urban and densely populated areas </w:t>
      </w:r>
      <w:r w:rsidR="007F03CB" w:rsidRPr="00163851">
        <w:rPr>
          <w:szCs w:val="24"/>
        </w:rPr>
        <w:t xml:space="preserve">(that is, those with typically short commute distances) </w:t>
      </w:r>
      <w:r w:rsidR="005E4965" w:rsidRPr="00163851">
        <w:rPr>
          <w:szCs w:val="24"/>
        </w:rPr>
        <w:t xml:space="preserve">who are more likely to adopt telework and do so frequently </w:t>
      </w:r>
      <w:r w:rsidR="00E6123D" w:rsidRPr="00163851">
        <w:rPr>
          <w:szCs w:val="24"/>
        </w:rPr>
        <w:t>(</w:t>
      </w:r>
      <w:r w:rsidR="005E4965" w:rsidRPr="00163851">
        <w:rPr>
          <w:szCs w:val="24"/>
        </w:rPr>
        <w:t xml:space="preserve">see </w:t>
      </w:r>
      <w:r w:rsidR="00E6123D" w:rsidRPr="00163851">
        <w:rPr>
          <w:szCs w:val="24"/>
        </w:rPr>
        <w:t>Beck et al., 2020</w:t>
      </w:r>
      <w:r w:rsidR="002E200B">
        <w:rPr>
          <w:szCs w:val="24"/>
        </w:rPr>
        <w:t>,</w:t>
      </w:r>
      <w:r w:rsidR="00E6123D" w:rsidRPr="00163851">
        <w:rPr>
          <w:szCs w:val="24"/>
        </w:rPr>
        <w:t xml:space="preserve"> Haider and Anwar, 2023</w:t>
      </w:r>
      <w:r w:rsidR="002E200B">
        <w:rPr>
          <w:szCs w:val="24"/>
        </w:rPr>
        <w:t>,</w:t>
      </w:r>
      <w:r w:rsidR="00E6123D" w:rsidRPr="00163851">
        <w:rPr>
          <w:szCs w:val="24"/>
        </w:rPr>
        <w:t xml:space="preserve"> </w:t>
      </w:r>
      <w:r w:rsidR="00637483" w:rsidRPr="00733550">
        <w:rPr>
          <w:bCs/>
          <w:szCs w:val="24"/>
        </w:rPr>
        <w:t>López</w:t>
      </w:r>
      <w:r w:rsidR="00E6123D" w:rsidRPr="00163851">
        <w:rPr>
          <w:szCs w:val="24"/>
        </w:rPr>
        <w:t xml:space="preserve"> Soler et al., 2021). </w:t>
      </w:r>
      <w:r w:rsidR="00493889" w:rsidRPr="00163851">
        <w:rPr>
          <w:szCs w:val="24"/>
        </w:rPr>
        <w:t xml:space="preserve">These studies </w:t>
      </w:r>
      <w:r w:rsidR="00844C41" w:rsidRPr="00163851">
        <w:rPr>
          <w:szCs w:val="24"/>
        </w:rPr>
        <w:t xml:space="preserve">argue that the urbanization of telework is influenced by social factors rather than purely spatial ones, as is commonly discussed in relation to commute distance. For instance, urban employees may feel they have sufficient social interactions outside of work due to the lively and dynamic nature of city life; therefore, these employees may not need to derive </w:t>
      </w:r>
      <w:r w:rsidR="00023D7E" w:rsidRPr="00163851">
        <w:rPr>
          <w:szCs w:val="24"/>
        </w:rPr>
        <w:t xml:space="preserve">additional </w:t>
      </w:r>
      <w:r w:rsidR="00844C41" w:rsidRPr="00163851">
        <w:rPr>
          <w:szCs w:val="24"/>
        </w:rPr>
        <w:t>utility</w:t>
      </w:r>
      <w:r w:rsidR="00023D7E" w:rsidRPr="00163851">
        <w:rPr>
          <w:szCs w:val="24"/>
        </w:rPr>
        <w:t xml:space="preserve"> from social interactions in their</w:t>
      </w:r>
      <w:r w:rsidR="00844C41" w:rsidRPr="00163851">
        <w:rPr>
          <w:szCs w:val="24"/>
        </w:rPr>
        <w:t xml:space="preserve"> in-person work office</w:t>
      </w:r>
      <w:r w:rsidR="00023D7E" w:rsidRPr="00163851">
        <w:rPr>
          <w:szCs w:val="24"/>
        </w:rPr>
        <w:t>,</w:t>
      </w:r>
      <w:r w:rsidR="00844C41" w:rsidRPr="00163851">
        <w:rPr>
          <w:szCs w:val="24"/>
        </w:rPr>
        <w:t xml:space="preserve"> leading them to have a higher preference for remote work</w:t>
      </w:r>
      <w:r w:rsidR="00E6123D" w:rsidRPr="00163851">
        <w:rPr>
          <w:szCs w:val="24"/>
        </w:rPr>
        <w:t xml:space="preserve"> (</w:t>
      </w:r>
      <w:proofErr w:type="spellStart"/>
      <w:r w:rsidR="00E6123D" w:rsidRPr="00163851">
        <w:rPr>
          <w:szCs w:val="24"/>
        </w:rPr>
        <w:t>Castrillon</w:t>
      </w:r>
      <w:proofErr w:type="spellEnd"/>
      <w:r w:rsidR="00E6123D" w:rsidRPr="00163851">
        <w:rPr>
          <w:szCs w:val="24"/>
        </w:rPr>
        <w:t xml:space="preserve"> et al., 2020). </w:t>
      </w:r>
      <w:r w:rsidR="00844C41" w:rsidRPr="00163851">
        <w:rPr>
          <w:szCs w:val="24"/>
        </w:rPr>
        <w:t xml:space="preserve">Researchers also highlight the digital divide between urban and rural residents, with remote work being more feasible in urban areas where jobs tend to offer greater flexibility, in contrast to rural areas where more hands-on positions, such as manufacturing, require in-person work </w:t>
      </w:r>
      <w:r w:rsidR="00E6123D" w:rsidRPr="00163851">
        <w:rPr>
          <w:szCs w:val="24"/>
        </w:rPr>
        <w:t>(Davies, 2021).</w:t>
      </w:r>
      <w:r w:rsidR="00844C41" w:rsidRPr="00163851">
        <w:rPr>
          <w:szCs w:val="24"/>
        </w:rPr>
        <w:t xml:space="preserve"> </w:t>
      </w:r>
    </w:p>
    <w:p w14:paraId="23581B39" w14:textId="2C38A6A5" w:rsidR="007A57CF" w:rsidRPr="00163851" w:rsidRDefault="001E521E" w:rsidP="00612440">
      <w:pPr>
        <w:spacing w:after="0" w:line="240" w:lineRule="auto"/>
        <w:rPr>
          <w:szCs w:val="24"/>
        </w:rPr>
      </w:pPr>
      <w:r>
        <w:rPr>
          <w:szCs w:val="24"/>
        </w:rPr>
        <w:t xml:space="preserve"> </w:t>
      </w:r>
    </w:p>
    <w:p w14:paraId="2A34AE47" w14:textId="4C75B020" w:rsidR="006C5D56" w:rsidRPr="002C1F02" w:rsidRDefault="007C2CD5" w:rsidP="00612440">
      <w:pPr>
        <w:pStyle w:val="Heading3"/>
        <w:numPr>
          <w:ilvl w:val="0"/>
          <w:numId w:val="0"/>
        </w:numPr>
        <w:spacing w:before="0" w:line="240" w:lineRule="auto"/>
        <w:ind w:left="720" w:hanging="720"/>
        <w:rPr>
          <w:b/>
          <w:i w:val="0"/>
          <w:szCs w:val="24"/>
        </w:rPr>
      </w:pPr>
      <w:r w:rsidRPr="002C1F02">
        <w:rPr>
          <w:b/>
          <w:i w:val="0"/>
          <w:szCs w:val="24"/>
        </w:rPr>
        <w:t xml:space="preserve">2.2. Package/Bidirectional </w:t>
      </w:r>
      <w:r w:rsidR="006C5D56" w:rsidRPr="002C1F02">
        <w:rPr>
          <w:b/>
          <w:i w:val="0"/>
          <w:szCs w:val="24"/>
        </w:rPr>
        <w:t>Causal</w:t>
      </w:r>
      <w:r w:rsidRPr="002C1F02">
        <w:rPr>
          <w:b/>
          <w:i w:val="0"/>
          <w:szCs w:val="24"/>
        </w:rPr>
        <w:t xml:space="preserve"> </w:t>
      </w:r>
      <w:r w:rsidR="005B6162" w:rsidRPr="002C1F02">
        <w:rPr>
          <w:b/>
          <w:i w:val="0"/>
          <w:szCs w:val="24"/>
        </w:rPr>
        <w:t>Linkage</w:t>
      </w:r>
    </w:p>
    <w:p w14:paraId="6D440EC3" w14:textId="44E189F9" w:rsidR="00022E2B" w:rsidRPr="00163851" w:rsidRDefault="006C5D56" w:rsidP="00617C0C">
      <w:pPr>
        <w:spacing w:after="0" w:line="240" w:lineRule="auto"/>
        <w:rPr>
          <w:szCs w:val="24"/>
        </w:rPr>
      </w:pPr>
      <w:r w:rsidRPr="00163851">
        <w:rPr>
          <w:szCs w:val="24"/>
        </w:rPr>
        <w:t xml:space="preserve">There is </w:t>
      </w:r>
      <w:r w:rsidR="00023D7E" w:rsidRPr="00163851">
        <w:rPr>
          <w:szCs w:val="24"/>
        </w:rPr>
        <w:t xml:space="preserve">an </w:t>
      </w:r>
      <w:r w:rsidRPr="00163851">
        <w:rPr>
          <w:szCs w:val="24"/>
        </w:rPr>
        <w:t xml:space="preserve">ongoing debate on the direction of causality between telework </w:t>
      </w:r>
      <w:r w:rsidR="007C2CD5" w:rsidRPr="00163851">
        <w:rPr>
          <w:szCs w:val="24"/>
        </w:rPr>
        <w:t xml:space="preserve">choices </w:t>
      </w:r>
      <w:r w:rsidRPr="00163851">
        <w:rPr>
          <w:szCs w:val="24"/>
        </w:rPr>
        <w:t>and commuting distance</w:t>
      </w:r>
      <w:r w:rsidR="007C2CD5" w:rsidRPr="00163851">
        <w:rPr>
          <w:szCs w:val="24"/>
        </w:rPr>
        <w:t xml:space="preserve">, as should be obvious from the </w:t>
      </w:r>
      <w:r w:rsidR="00022E2B" w:rsidRPr="00163851">
        <w:rPr>
          <w:szCs w:val="24"/>
        </w:rPr>
        <w:t xml:space="preserve">discussion in the </w:t>
      </w:r>
      <w:r w:rsidR="007C2CD5" w:rsidRPr="00163851">
        <w:rPr>
          <w:szCs w:val="24"/>
        </w:rPr>
        <w:t xml:space="preserve">previous </w:t>
      </w:r>
      <w:r w:rsidR="00022E2B" w:rsidRPr="00163851">
        <w:rPr>
          <w:szCs w:val="24"/>
        </w:rPr>
        <w:t xml:space="preserve">section. </w:t>
      </w:r>
      <w:r w:rsidR="007C2CD5" w:rsidRPr="00163851">
        <w:rPr>
          <w:szCs w:val="24"/>
        </w:rPr>
        <w:t>Even</w:t>
      </w:r>
      <w:r w:rsidR="00B9200D" w:rsidRPr="00163851">
        <w:rPr>
          <w:szCs w:val="24"/>
        </w:rPr>
        <w:t xml:space="preserve"> </w:t>
      </w:r>
      <w:r w:rsidR="007C2CD5" w:rsidRPr="00163851">
        <w:rPr>
          <w:szCs w:val="24"/>
        </w:rPr>
        <w:t>as they adopt a specific causal direction of effect, s</w:t>
      </w:r>
      <w:r w:rsidR="00022E2B" w:rsidRPr="00163851">
        <w:rPr>
          <w:szCs w:val="24"/>
        </w:rPr>
        <w:t xml:space="preserve">everal studies in the literature have </w:t>
      </w:r>
      <w:r w:rsidR="007C2CD5" w:rsidRPr="00163851">
        <w:rPr>
          <w:szCs w:val="24"/>
        </w:rPr>
        <w:t>acknowledged</w:t>
      </w:r>
      <w:r w:rsidR="00022E2B" w:rsidRPr="00163851">
        <w:rPr>
          <w:szCs w:val="24"/>
        </w:rPr>
        <w:t xml:space="preserve"> the lack of literature exploring </w:t>
      </w:r>
      <w:r w:rsidR="007673C6">
        <w:rPr>
          <w:szCs w:val="24"/>
        </w:rPr>
        <w:t xml:space="preserve">potential bidirectional </w:t>
      </w:r>
      <w:r w:rsidR="00022E2B" w:rsidRPr="00163851">
        <w:rPr>
          <w:szCs w:val="24"/>
        </w:rPr>
        <w:t>causality (</w:t>
      </w:r>
      <w:r w:rsidR="007C370F" w:rsidRPr="00163851">
        <w:rPr>
          <w:szCs w:val="24"/>
        </w:rPr>
        <w:t xml:space="preserve">see, for example, </w:t>
      </w:r>
      <w:r w:rsidR="007C2CD5" w:rsidRPr="00163851">
        <w:rPr>
          <w:szCs w:val="24"/>
        </w:rPr>
        <w:t>Mokhtarian</w:t>
      </w:r>
      <w:r w:rsidR="00B9200D" w:rsidRPr="00163851">
        <w:rPr>
          <w:szCs w:val="24"/>
        </w:rPr>
        <w:t xml:space="preserve"> et al.</w:t>
      </w:r>
      <w:r w:rsidR="007C2CD5" w:rsidRPr="00163851">
        <w:rPr>
          <w:szCs w:val="24"/>
        </w:rPr>
        <w:t xml:space="preserve">, 2004; </w:t>
      </w:r>
      <w:r w:rsidR="00B9200D" w:rsidRPr="00163851">
        <w:rPr>
          <w:szCs w:val="24"/>
        </w:rPr>
        <w:t xml:space="preserve">Muhammad et al., 2007; </w:t>
      </w:r>
      <w:r w:rsidR="00EC298F">
        <w:rPr>
          <w:szCs w:val="24"/>
        </w:rPr>
        <w:t>De</w:t>
      </w:r>
      <w:r w:rsidR="00022E2B" w:rsidRPr="00163851">
        <w:rPr>
          <w:szCs w:val="24"/>
        </w:rPr>
        <w:t xml:space="preserve">Vos et al., 2019; </w:t>
      </w:r>
      <w:proofErr w:type="spellStart"/>
      <w:r w:rsidR="00B9200D" w:rsidRPr="00163851">
        <w:rPr>
          <w:szCs w:val="24"/>
        </w:rPr>
        <w:t>Ravalet</w:t>
      </w:r>
      <w:proofErr w:type="spellEnd"/>
      <w:r w:rsidR="00B9200D" w:rsidRPr="00163851">
        <w:rPr>
          <w:szCs w:val="24"/>
        </w:rPr>
        <w:t xml:space="preserve"> and </w:t>
      </w:r>
      <w:proofErr w:type="spellStart"/>
      <w:r w:rsidR="00CF4B2B" w:rsidRPr="00733550">
        <w:rPr>
          <w:bCs/>
          <w:color w:val="222222"/>
          <w:szCs w:val="24"/>
          <w:shd w:val="clear" w:color="auto" w:fill="FFFFFF"/>
        </w:rPr>
        <w:t>Rérat</w:t>
      </w:r>
      <w:proofErr w:type="spellEnd"/>
      <w:r w:rsidR="00B9200D" w:rsidRPr="00163851">
        <w:rPr>
          <w:szCs w:val="24"/>
        </w:rPr>
        <w:t xml:space="preserve">, 2019; </w:t>
      </w:r>
      <w:proofErr w:type="spellStart"/>
      <w:r w:rsidR="005E10A5" w:rsidRPr="00733550">
        <w:rPr>
          <w:bCs/>
          <w:color w:val="222222"/>
          <w:szCs w:val="24"/>
          <w:shd w:val="clear" w:color="auto" w:fill="FFFFFF"/>
        </w:rPr>
        <w:t>Elldér</w:t>
      </w:r>
      <w:proofErr w:type="spellEnd"/>
      <w:r w:rsidR="005E10A5" w:rsidRPr="00163851">
        <w:rPr>
          <w:szCs w:val="24"/>
        </w:rPr>
        <w:t>, 20</w:t>
      </w:r>
      <w:r w:rsidR="005E10A5">
        <w:rPr>
          <w:szCs w:val="24"/>
        </w:rPr>
        <w:t>20</w:t>
      </w:r>
      <w:r w:rsidR="005E10A5" w:rsidRPr="00163851">
        <w:rPr>
          <w:szCs w:val="24"/>
        </w:rPr>
        <w:t xml:space="preserve">; </w:t>
      </w:r>
      <w:r w:rsidR="00022E2B" w:rsidRPr="00163851">
        <w:rPr>
          <w:szCs w:val="24"/>
        </w:rPr>
        <w:t>Hostettler Macias et al.</w:t>
      </w:r>
      <w:r w:rsidR="00CF4B2B">
        <w:rPr>
          <w:szCs w:val="24"/>
        </w:rPr>
        <w:t>,</w:t>
      </w:r>
      <w:r w:rsidR="00022E2B" w:rsidRPr="00163851">
        <w:rPr>
          <w:szCs w:val="24"/>
        </w:rPr>
        <w:t xml:space="preserve"> 2022).</w:t>
      </w:r>
      <w:r w:rsidR="007C2CD5" w:rsidRPr="00163851">
        <w:rPr>
          <w:szCs w:val="24"/>
        </w:rPr>
        <w:t xml:space="preserve"> </w:t>
      </w:r>
      <w:r w:rsidR="007C370F" w:rsidRPr="00163851">
        <w:rPr>
          <w:szCs w:val="24"/>
        </w:rPr>
        <w:t xml:space="preserve">To exemplify this, </w:t>
      </w:r>
      <w:r w:rsidR="00022E2B" w:rsidRPr="00163851">
        <w:rPr>
          <w:szCs w:val="24"/>
        </w:rPr>
        <w:t xml:space="preserve">O’Brien and </w:t>
      </w:r>
      <w:proofErr w:type="spellStart"/>
      <w:r w:rsidR="00022E2B" w:rsidRPr="00163851">
        <w:rPr>
          <w:szCs w:val="24"/>
        </w:rPr>
        <w:t>Aliabadi</w:t>
      </w:r>
      <w:proofErr w:type="spellEnd"/>
      <w:r w:rsidR="00022E2B" w:rsidRPr="00163851">
        <w:rPr>
          <w:szCs w:val="24"/>
        </w:rPr>
        <w:t xml:space="preserve"> (2020) </w:t>
      </w:r>
      <w:r w:rsidR="00023D7E" w:rsidRPr="00163851">
        <w:rPr>
          <w:szCs w:val="24"/>
        </w:rPr>
        <w:t xml:space="preserve">state </w:t>
      </w:r>
      <w:r w:rsidR="00022E2B" w:rsidRPr="00163851">
        <w:rPr>
          <w:szCs w:val="24"/>
        </w:rPr>
        <w:t xml:space="preserve">that existing studies cannot easily distinguish between the </w:t>
      </w:r>
      <w:r w:rsidR="007C370F" w:rsidRPr="00163851">
        <w:rPr>
          <w:szCs w:val="24"/>
        </w:rPr>
        <w:t xml:space="preserve">following </w:t>
      </w:r>
      <w:r w:rsidR="00022E2B" w:rsidRPr="00163851">
        <w:rPr>
          <w:szCs w:val="24"/>
        </w:rPr>
        <w:t xml:space="preserve">two possibilities: </w:t>
      </w:r>
      <w:r w:rsidR="007C370F" w:rsidRPr="00163851">
        <w:rPr>
          <w:szCs w:val="24"/>
        </w:rPr>
        <w:t>(</w:t>
      </w:r>
      <w:r w:rsidR="00022E2B" w:rsidRPr="00163851">
        <w:rPr>
          <w:szCs w:val="24"/>
        </w:rPr>
        <w:t xml:space="preserve">1) an employee </w:t>
      </w:r>
      <w:r w:rsidR="007C370F" w:rsidRPr="00163851">
        <w:rPr>
          <w:szCs w:val="24"/>
        </w:rPr>
        <w:t>in</w:t>
      </w:r>
      <w:r w:rsidR="00022E2B" w:rsidRPr="00163851">
        <w:rPr>
          <w:szCs w:val="24"/>
        </w:rPr>
        <w:t xml:space="preserve"> a large suburban home </w:t>
      </w:r>
      <w:r w:rsidR="007C370F" w:rsidRPr="00163851">
        <w:rPr>
          <w:szCs w:val="24"/>
        </w:rPr>
        <w:t xml:space="preserve">being </w:t>
      </w:r>
      <w:r w:rsidR="00022E2B" w:rsidRPr="00163851">
        <w:rPr>
          <w:szCs w:val="24"/>
        </w:rPr>
        <w:t xml:space="preserve">more likely to telework due to </w:t>
      </w:r>
      <w:r w:rsidR="00023D7E" w:rsidRPr="00163851">
        <w:rPr>
          <w:szCs w:val="24"/>
        </w:rPr>
        <w:t xml:space="preserve">the </w:t>
      </w:r>
      <w:r w:rsidR="007C370F" w:rsidRPr="00163851">
        <w:rPr>
          <w:szCs w:val="24"/>
        </w:rPr>
        <w:t xml:space="preserve">long commute </w:t>
      </w:r>
      <w:r w:rsidR="00022E2B" w:rsidRPr="00163851">
        <w:rPr>
          <w:szCs w:val="24"/>
        </w:rPr>
        <w:t>distance office</w:t>
      </w:r>
      <w:r w:rsidR="007C370F" w:rsidRPr="00163851">
        <w:rPr>
          <w:szCs w:val="24"/>
        </w:rPr>
        <w:t xml:space="preserve">, </w:t>
      </w:r>
      <w:r w:rsidR="00022E2B" w:rsidRPr="00163851">
        <w:rPr>
          <w:szCs w:val="24"/>
        </w:rPr>
        <w:t xml:space="preserve">and, </w:t>
      </w:r>
      <w:r w:rsidR="007C370F" w:rsidRPr="00163851">
        <w:rPr>
          <w:szCs w:val="24"/>
        </w:rPr>
        <w:t>(</w:t>
      </w:r>
      <w:r w:rsidR="00022E2B" w:rsidRPr="00163851">
        <w:rPr>
          <w:szCs w:val="24"/>
        </w:rPr>
        <w:t>2) an employee</w:t>
      </w:r>
      <w:r w:rsidR="007C370F" w:rsidRPr="00163851">
        <w:rPr>
          <w:szCs w:val="24"/>
        </w:rPr>
        <w:t xml:space="preserve"> </w:t>
      </w:r>
      <w:r w:rsidR="00022E2B" w:rsidRPr="00163851">
        <w:rPr>
          <w:szCs w:val="24"/>
        </w:rPr>
        <w:t>buy</w:t>
      </w:r>
      <w:r w:rsidR="007C370F" w:rsidRPr="00163851">
        <w:rPr>
          <w:szCs w:val="24"/>
        </w:rPr>
        <w:t>ing</w:t>
      </w:r>
      <w:r w:rsidR="00022E2B" w:rsidRPr="00163851">
        <w:rPr>
          <w:szCs w:val="24"/>
        </w:rPr>
        <w:t xml:space="preserve"> a large suburban home because they have the opportunity to telework and the need for </w:t>
      </w:r>
      <w:r w:rsidR="007C370F" w:rsidRPr="00163851">
        <w:rPr>
          <w:szCs w:val="24"/>
        </w:rPr>
        <w:t>larger</w:t>
      </w:r>
      <w:r w:rsidR="00022E2B" w:rsidRPr="00163851">
        <w:rPr>
          <w:szCs w:val="24"/>
        </w:rPr>
        <w:t xml:space="preserve"> space (e.g., a home office). </w:t>
      </w:r>
    </w:p>
    <w:p w14:paraId="3CF58FA6" w14:textId="0803AF75" w:rsidR="00491162" w:rsidRPr="00163851" w:rsidRDefault="007C370F" w:rsidP="00612440">
      <w:pPr>
        <w:autoSpaceDE w:val="0"/>
        <w:autoSpaceDN w:val="0"/>
        <w:adjustRightInd w:val="0"/>
        <w:spacing w:after="0" w:line="240" w:lineRule="auto"/>
        <w:ind w:firstLine="720"/>
        <w:rPr>
          <w:szCs w:val="24"/>
        </w:rPr>
      </w:pPr>
      <w:r w:rsidRPr="00163851">
        <w:rPr>
          <w:szCs w:val="24"/>
        </w:rPr>
        <w:t>However, t</w:t>
      </w:r>
      <w:r w:rsidR="006C5D56" w:rsidRPr="00163851">
        <w:rPr>
          <w:szCs w:val="24"/>
        </w:rPr>
        <w:t xml:space="preserve">o our knowledge, </w:t>
      </w:r>
      <w:r w:rsidR="00022E2B" w:rsidRPr="00163851">
        <w:rPr>
          <w:szCs w:val="24"/>
        </w:rPr>
        <w:t xml:space="preserve">only one study in the literature has </w:t>
      </w:r>
      <w:r w:rsidRPr="00163851">
        <w:rPr>
          <w:szCs w:val="24"/>
        </w:rPr>
        <w:t xml:space="preserve">attempted to </w:t>
      </w:r>
      <w:r w:rsidR="00031A7E">
        <w:rPr>
          <w:szCs w:val="24"/>
        </w:rPr>
        <w:t>address</w:t>
      </w:r>
      <w:r w:rsidRPr="00163851">
        <w:rPr>
          <w:szCs w:val="24"/>
        </w:rPr>
        <w:t xml:space="preserve"> thi</w:t>
      </w:r>
      <w:r w:rsidR="00031A7E">
        <w:rPr>
          <w:szCs w:val="24"/>
        </w:rPr>
        <w:t xml:space="preserve">s </w:t>
      </w:r>
      <w:r w:rsidR="00F04ECF" w:rsidRPr="00163851">
        <w:rPr>
          <w:szCs w:val="24"/>
        </w:rPr>
        <w:t xml:space="preserve">telework-commute distance </w:t>
      </w:r>
      <w:r w:rsidR="007673C6">
        <w:rPr>
          <w:szCs w:val="24"/>
        </w:rPr>
        <w:t xml:space="preserve">causal </w:t>
      </w:r>
      <w:r w:rsidR="00F04ECF" w:rsidRPr="00163851">
        <w:rPr>
          <w:szCs w:val="24"/>
        </w:rPr>
        <w:t>relationship</w:t>
      </w:r>
      <w:r w:rsidR="00031A7E">
        <w:rPr>
          <w:szCs w:val="24"/>
        </w:rPr>
        <w:t xml:space="preserve"> </w:t>
      </w:r>
      <w:r w:rsidR="007673C6">
        <w:rPr>
          <w:szCs w:val="24"/>
        </w:rPr>
        <w:t xml:space="preserve">direction </w:t>
      </w:r>
      <w:r w:rsidR="00031A7E">
        <w:rPr>
          <w:szCs w:val="24"/>
        </w:rPr>
        <w:t>head-on</w:t>
      </w:r>
      <w:r w:rsidR="00E46DD4" w:rsidRPr="00163851">
        <w:rPr>
          <w:szCs w:val="24"/>
        </w:rPr>
        <w:t xml:space="preserve">. </w:t>
      </w:r>
      <w:r w:rsidR="00FF67D8" w:rsidRPr="00163851">
        <w:rPr>
          <w:szCs w:val="24"/>
        </w:rPr>
        <w:t xml:space="preserve">Ory and Mokhtarian (2006) </w:t>
      </w:r>
      <w:r w:rsidR="00FE0A0F" w:rsidRPr="00163851">
        <w:rPr>
          <w:szCs w:val="24"/>
        </w:rPr>
        <w:t xml:space="preserve">(OM for short) </w:t>
      </w:r>
      <w:r w:rsidR="00E46DD4" w:rsidRPr="00163851">
        <w:rPr>
          <w:szCs w:val="24"/>
        </w:rPr>
        <w:t xml:space="preserve">used data from </w:t>
      </w:r>
      <w:r w:rsidR="0011337F" w:rsidRPr="00163851">
        <w:rPr>
          <w:szCs w:val="24"/>
        </w:rPr>
        <w:t xml:space="preserve">a 10-year retrospective survey </w:t>
      </w:r>
      <w:r w:rsidR="00023D7E" w:rsidRPr="00163851">
        <w:rPr>
          <w:szCs w:val="24"/>
        </w:rPr>
        <w:t xml:space="preserve">of </w:t>
      </w:r>
      <w:r w:rsidR="0011337F" w:rsidRPr="00163851">
        <w:rPr>
          <w:szCs w:val="24"/>
        </w:rPr>
        <w:t>California workers that included current, former</w:t>
      </w:r>
      <w:r w:rsidR="00023D7E" w:rsidRPr="00163851">
        <w:rPr>
          <w:szCs w:val="24"/>
        </w:rPr>
        <w:t>,</w:t>
      </w:r>
      <w:r w:rsidR="0011337F" w:rsidRPr="00163851">
        <w:rPr>
          <w:szCs w:val="24"/>
        </w:rPr>
        <w:t xml:space="preserve"> and non-teleworkers (at the time of the survey). </w:t>
      </w:r>
      <w:r w:rsidR="00931617">
        <w:rPr>
          <w:szCs w:val="24"/>
        </w:rPr>
        <w:t xml:space="preserve">They defined a teleworker as any individual who </w:t>
      </w:r>
      <w:r w:rsidR="00931617" w:rsidRPr="005039AE">
        <w:rPr>
          <w:szCs w:val="24"/>
        </w:rPr>
        <w:t>work</w:t>
      </w:r>
      <w:r w:rsidR="00931617">
        <w:rPr>
          <w:szCs w:val="24"/>
        </w:rPr>
        <w:t xml:space="preserve">ed remotely </w:t>
      </w:r>
      <w:r w:rsidR="00931617" w:rsidRPr="005039AE">
        <w:rPr>
          <w:szCs w:val="24"/>
        </w:rPr>
        <w:t>at least two days a month on average, for at least three consecutive months.</w:t>
      </w:r>
      <w:r w:rsidR="00931617">
        <w:rPr>
          <w:szCs w:val="24"/>
        </w:rPr>
        <w:t xml:space="preserve"> </w:t>
      </w:r>
      <w:r w:rsidR="0011337F" w:rsidRPr="00163851">
        <w:rPr>
          <w:szCs w:val="24"/>
        </w:rPr>
        <w:t>Through a set of detailed temporal</w:t>
      </w:r>
      <w:r w:rsidR="00F04ECF" w:rsidRPr="00163851">
        <w:rPr>
          <w:szCs w:val="24"/>
        </w:rPr>
        <w:t xml:space="preserve"> ordering-based</w:t>
      </w:r>
      <w:r w:rsidR="0011337F" w:rsidRPr="00163851">
        <w:rPr>
          <w:szCs w:val="24"/>
        </w:rPr>
        <w:t xml:space="preserve"> descriptive analyses, they attempt to understand how telework impacted </w:t>
      </w:r>
      <w:r w:rsidR="00A3207D" w:rsidRPr="00163851">
        <w:rPr>
          <w:szCs w:val="24"/>
        </w:rPr>
        <w:t>one-way commute lengths</w:t>
      </w:r>
      <w:r w:rsidR="00F9417C" w:rsidRPr="00163851">
        <w:rPr>
          <w:szCs w:val="24"/>
        </w:rPr>
        <w:t xml:space="preserve">, and vice-versa. </w:t>
      </w:r>
      <w:r w:rsidR="000B4C21" w:rsidRPr="00163851">
        <w:rPr>
          <w:szCs w:val="24"/>
        </w:rPr>
        <w:t>T</w:t>
      </w:r>
      <w:r w:rsidR="00A3207D" w:rsidRPr="00163851">
        <w:rPr>
          <w:szCs w:val="24"/>
        </w:rPr>
        <w:t xml:space="preserve">he suggestion from their results is that teleworkers who moved residences </w:t>
      </w:r>
      <w:r w:rsidR="000B4C21" w:rsidRPr="00163851">
        <w:rPr>
          <w:szCs w:val="24"/>
        </w:rPr>
        <w:t>(</w:t>
      </w:r>
      <w:r w:rsidR="00506AD3" w:rsidRPr="00163851">
        <w:rPr>
          <w:szCs w:val="24"/>
        </w:rPr>
        <w:t>that is</w:t>
      </w:r>
      <w:r w:rsidR="000B4C21" w:rsidRPr="00163851">
        <w:rPr>
          <w:szCs w:val="24"/>
        </w:rPr>
        <w:t>, these individuals</w:t>
      </w:r>
      <w:r w:rsidR="00506AD3" w:rsidRPr="00163851">
        <w:rPr>
          <w:szCs w:val="24"/>
        </w:rPr>
        <w:t xml:space="preserve"> may be considered to fall in the TC causal direction of linkage</w:t>
      </w:r>
      <w:r w:rsidR="00A3207D" w:rsidRPr="00163851">
        <w:rPr>
          <w:szCs w:val="24"/>
        </w:rPr>
        <w:t xml:space="preserve">) moved closer to their office by an </w:t>
      </w:r>
      <w:r w:rsidR="00A3207D" w:rsidRPr="00163851">
        <w:rPr>
          <w:szCs w:val="24"/>
        </w:rPr>
        <w:lastRenderedPageBreak/>
        <w:t xml:space="preserve">average commute distance of about </w:t>
      </w:r>
      <w:r w:rsidR="000228E9" w:rsidRPr="00163851">
        <w:rPr>
          <w:szCs w:val="24"/>
        </w:rPr>
        <w:t>4</w:t>
      </w:r>
      <w:r w:rsidR="00A3207D" w:rsidRPr="00163851">
        <w:rPr>
          <w:szCs w:val="24"/>
        </w:rPr>
        <w:t xml:space="preserve"> miles, while those </w:t>
      </w:r>
      <w:r w:rsidR="00506AD3" w:rsidRPr="00163851">
        <w:rPr>
          <w:szCs w:val="24"/>
        </w:rPr>
        <w:t xml:space="preserve">non-teleworkers </w:t>
      </w:r>
      <w:r w:rsidR="00A3207D" w:rsidRPr="00163851">
        <w:rPr>
          <w:szCs w:val="24"/>
        </w:rPr>
        <w:t xml:space="preserve">who moved residences and then started telework </w:t>
      </w:r>
      <w:r w:rsidR="00506AD3" w:rsidRPr="00163851">
        <w:rPr>
          <w:szCs w:val="24"/>
        </w:rPr>
        <w:t xml:space="preserve">(may be considered to fall in the CT causal direction of linkage) </w:t>
      </w:r>
      <w:r w:rsidR="00A3207D" w:rsidRPr="00163851">
        <w:rPr>
          <w:szCs w:val="24"/>
        </w:rPr>
        <w:t>moved farther from their office by an average commute distance of close to 15 miles</w:t>
      </w:r>
      <w:r w:rsidR="00506AD3" w:rsidRPr="00163851">
        <w:rPr>
          <w:szCs w:val="24"/>
        </w:rPr>
        <w:t xml:space="preserve"> (for non-teleworkers before and after a move, the average commute distance following a move increased by about 1.2 miles). These results clearly show the kind of obfuscation in the results that can happen if causal directions of effect are ignored. Specifically,</w:t>
      </w:r>
      <w:r w:rsidR="00C5034C" w:rsidRPr="00163851">
        <w:rPr>
          <w:szCs w:val="24"/>
        </w:rPr>
        <w:t xml:space="preserve"> the positive association between teleworking and commute distances, based on the O</w:t>
      </w:r>
      <w:r w:rsidR="00FE0A0F" w:rsidRPr="00163851">
        <w:rPr>
          <w:szCs w:val="24"/>
        </w:rPr>
        <w:t xml:space="preserve">M </w:t>
      </w:r>
      <w:r w:rsidR="00C5034C" w:rsidRPr="00163851">
        <w:rPr>
          <w:szCs w:val="24"/>
        </w:rPr>
        <w:t xml:space="preserve">study, appears to be driven primarily by the CT causal direction of effect rather than the TC causal direction of effect. If these two causal directions are not disentangled, and a strictly TC only causal direction is imposed (as in the TC studies identified in the earlier section), one would naturally get the biased result that teleworking is substantially responsible for longer commute distances and urban sprawl, while the reality may be that teleworking actually reduces commute distance. </w:t>
      </w:r>
      <w:r w:rsidR="00491162" w:rsidRPr="00163851">
        <w:rPr>
          <w:szCs w:val="24"/>
        </w:rPr>
        <w:t xml:space="preserve">Overall, </w:t>
      </w:r>
      <w:r w:rsidR="00031A7E">
        <w:rPr>
          <w:szCs w:val="24"/>
        </w:rPr>
        <w:t>OM’s</w:t>
      </w:r>
      <w:r w:rsidR="00491162" w:rsidRPr="00163851">
        <w:rPr>
          <w:szCs w:val="24"/>
        </w:rPr>
        <w:t xml:space="preserve"> results also suggest that telework itself does not play any substantial role in residential relocation, with a vast majority of relocation instances (about 84%) not preceded and not succeeded by teleworking, and only 6% of relocation instances in which teleworking ability was identified as an important reason for the relocation. </w:t>
      </w:r>
    </w:p>
    <w:p w14:paraId="7641687D" w14:textId="0C109603" w:rsidR="00931617" w:rsidRDefault="0034418B" w:rsidP="000D5F81">
      <w:pPr>
        <w:autoSpaceDE w:val="0"/>
        <w:autoSpaceDN w:val="0"/>
        <w:adjustRightInd w:val="0"/>
        <w:spacing w:after="0" w:line="240" w:lineRule="auto"/>
        <w:ind w:firstLine="720"/>
        <w:rPr>
          <w:szCs w:val="24"/>
        </w:rPr>
      </w:pPr>
      <w:r w:rsidRPr="00163851">
        <w:rPr>
          <w:szCs w:val="24"/>
        </w:rPr>
        <w:t>Of course, the O</w:t>
      </w:r>
      <w:r w:rsidR="00FE0A0F" w:rsidRPr="00163851">
        <w:rPr>
          <w:szCs w:val="24"/>
        </w:rPr>
        <w:t xml:space="preserve">M study </w:t>
      </w:r>
      <w:r w:rsidRPr="00163851">
        <w:rPr>
          <w:szCs w:val="24"/>
        </w:rPr>
        <w:t xml:space="preserve">was completed well before the pandemic at a time when teleworking adoption/frequency rates were low. </w:t>
      </w:r>
      <w:r w:rsidR="00FE0A0F" w:rsidRPr="00163851">
        <w:rPr>
          <w:szCs w:val="24"/>
        </w:rPr>
        <w:t>In fact, this is reflected in the OM study in which a person is designated as a teleworker based on a simple binary classification</w:t>
      </w:r>
      <w:r w:rsidR="00931617">
        <w:rPr>
          <w:szCs w:val="24"/>
        </w:rPr>
        <w:t xml:space="preserve">. </w:t>
      </w:r>
      <w:r w:rsidR="00FE0A0F" w:rsidRPr="00163851">
        <w:rPr>
          <w:szCs w:val="24"/>
        </w:rPr>
        <w:t xml:space="preserve">The total sample size (of teleworkers and non-teleworkers) was also low (218 individuals), </w:t>
      </w:r>
      <w:r w:rsidR="00931617">
        <w:rPr>
          <w:szCs w:val="24"/>
        </w:rPr>
        <w:t xml:space="preserve">which restricted their study to </w:t>
      </w:r>
      <w:r w:rsidR="00FE0A0F" w:rsidRPr="00163851">
        <w:rPr>
          <w:szCs w:val="24"/>
        </w:rPr>
        <w:t xml:space="preserve">a strictly </w:t>
      </w:r>
      <w:r w:rsidR="00686C4F" w:rsidRPr="00163851">
        <w:rPr>
          <w:szCs w:val="24"/>
        </w:rPr>
        <w:t xml:space="preserve">descriptive </w:t>
      </w:r>
      <w:r w:rsidR="00FE0A0F" w:rsidRPr="00163851">
        <w:rPr>
          <w:szCs w:val="24"/>
        </w:rPr>
        <w:t>analysis of the data</w:t>
      </w:r>
      <w:r w:rsidR="003E524A" w:rsidRPr="00163851">
        <w:rPr>
          <w:szCs w:val="24"/>
        </w:rPr>
        <w:t xml:space="preserve"> without considering heterogeneity across individuals in telework and residential choice</w:t>
      </w:r>
      <w:r w:rsidR="002A6BB2" w:rsidRPr="00163851">
        <w:rPr>
          <w:szCs w:val="24"/>
        </w:rPr>
        <w:t>s</w:t>
      </w:r>
      <w:r w:rsidR="00686C4F" w:rsidRPr="00163851">
        <w:rPr>
          <w:szCs w:val="24"/>
        </w:rPr>
        <w:t xml:space="preserve">. </w:t>
      </w:r>
      <w:r w:rsidR="00FE0A0F" w:rsidRPr="00163851">
        <w:rPr>
          <w:szCs w:val="24"/>
        </w:rPr>
        <w:t xml:space="preserve">Besides, even with the </w:t>
      </w:r>
      <w:r w:rsidR="003E524A" w:rsidRPr="00163851">
        <w:rPr>
          <w:szCs w:val="24"/>
        </w:rPr>
        <w:t xml:space="preserve">elegant </w:t>
      </w:r>
      <w:r w:rsidR="00FE0A0F" w:rsidRPr="00163851">
        <w:rPr>
          <w:szCs w:val="24"/>
        </w:rPr>
        <w:t xml:space="preserve">temporal ordering </w:t>
      </w:r>
      <w:r w:rsidR="003E524A" w:rsidRPr="00163851">
        <w:rPr>
          <w:szCs w:val="24"/>
        </w:rPr>
        <w:t xml:space="preserve">approach of the analysis, additional investigations into whether the inferred “causal” directions are actually associations based on unobserved factors or “true” causal effects remains an open question. In the current paper, </w:t>
      </w:r>
      <w:r w:rsidR="00FE0A0F" w:rsidRPr="00163851">
        <w:rPr>
          <w:szCs w:val="24"/>
        </w:rPr>
        <w:t xml:space="preserve">we revisit this </w:t>
      </w:r>
      <w:r w:rsidR="003E524A" w:rsidRPr="00163851">
        <w:rPr>
          <w:szCs w:val="24"/>
        </w:rPr>
        <w:t>package/</w:t>
      </w:r>
      <w:r w:rsidR="00FE0A0F" w:rsidRPr="00163851">
        <w:rPr>
          <w:szCs w:val="24"/>
        </w:rPr>
        <w:t xml:space="preserve">causality </w:t>
      </w:r>
      <w:r w:rsidR="003E524A" w:rsidRPr="00163851">
        <w:rPr>
          <w:szCs w:val="24"/>
        </w:rPr>
        <w:t xml:space="preserve">nature of the telework-commute distance linkage in a work arrangement landscape that has been altered by the pandemic, </w:t>
      </w:r>
      <w:r w:rsidR="00FE0A0F" w:rsidRPr="00163851">
        <w:rPr>
          <w:szCs w:val="24"/>
        </w:rPr>
        <w:t>using a multivariate statistical framework</w:t>
      </w:r>
      <w:r w:rsidR="003E524A" w:rsidRPr="00163851">
        <w:rPr>
          <w:szCs w:val="24"/>
        </w:rPr>
        <w:t xml:space="preserve"> that considers the cardinal frequency of telework choices over the period of a month from three different work place locations: home, office, and a third workplace.</w:t>
      </w:r>
    </w:p>
    <w:p w14:paraId="086D1ABF" w14:textId="77777777" w:rsidR="003E524A" w:rsidRPr="00163851" w:rsidRDefault="003E524A" w:rsidP="00303FC0">
      <w:pPr>
        <w:autoSpaceDE w:val="0"/>
        <w:autoSpaceDN w:val="0"/>
        <w:adjustRightInd w:val="0"/>
        <w:spacing w:after="0" w:line="240" w:lineRule="auto"/>
        <w:jc w:val="left"/>
        <w:rPr>
          <w:szCs w:val="24"/>
        </w:rPr>
      </w:pPr>
    </w:p>
    <w:p w14:paraId="7830797D" w14:textId="2ABA736F" w:rsidR="009418AE" w:rsidRPr="00163851" w:rsidRDefault="00B25484" w:rsidP="00303FC0">
      <w:pPr>
        <w:pStyle w:val="Heading2"/>
        <w:numPr>
          <w:ilvl w:val="1"/>
          <w:numId w:val="6"/>
        </w:numPr>
        <w:spacing w:before="0" w:line="240" w:lineRule="auto"/>
        <w:rPr>
          <w:szCs w:val="24"/>
        </w:rPr>
      </w:pPr>
      <w:r w:rsidRPr="00163851">
        <w:rPr>
          <w:szCs w:val="24"/>
        </w:rPr>
        <w:t xml:space="preserve"> </w:t>
      </w:r>
      <w:r w:rsidR="002A6BB2" w:rsidRPr="00163851">
        <w:rPr>
          <w:szCs w:val="24"/>
        </w:rPr>
        <w:t xml:space="preserve">The </w:t>
      </w:r>
      <w:r w:rsidR="009418AE" w:rsidRPr="00163851">
        <w:rPr>
          <w:szCs w:val="24"/>
        </w:rPr>
        <w:t xml:space="preserve">Current </w:t>
      </w:r>
      <w:r w:rsidR="00DB6578">
        <w:rPr>
          <w:szCs w:val="24"/>
        </w:rPr>
        <w:t>S</w:t>
      </w:r>
      <w:r w:rsidR="009418AE" w:rsidRPr="00163851">
        <w:rPr>
          <w:szCs w:val="24"/>
        </w:rPr>
        <w:t>tudy</w:t>
      </w:r>
    </w:p>
    <w:p w14:paraId="3BC4C7C4" w14:textId="68B9A2ED" w:rsidR="00924C61" w:rsidRPr="00163851" w:rsidRDefault="009418AE" w:rsidP="00303FC0">
      <w:pPr>
        <w:autoSpaceDE w:val="0"/>
        <w:autoSpaceDN w:val="0"/>
        <w:adjustRightInd w:val="0"/>
        <w:spacing w:after="0" w:line="240" w:lineRule="auto"/>
        <w:rPr>
          <w:szCs w:val="24"/>
        </w:rPr>
      </w:pPr>
      <w:bookmarkStart w:id="9" w:name="_Hlk138225255"/>
      <w:r w:rsidRPr="00163851">
        <w:rPr>
          <w:szCs w:val="24"/>
        </w:rPr>
        <w:t xml:space="preserve">There are several novel aspects of the </w:t>
      </w:r>
      <w:r w:rsidR="00931617">
        <w:rPr>
          <w:szCs w:val="24"/>
        </w:rPr>
        <w:t>current study</w:t>
      </w:r>
      <w:r w:rsidRPr="00163851">
        <w:rPr>
          <w:szCs w:val="24"/>
        </w:rPr>
        <w:t xml:space="preserve">. </w:t>
      </w:r>
      <w:r w:rsidRPr="00163851">
        <w:rPr>
          <w:szCs w:val="24"/>
          <w:u w:val="single"/>
        </w:rPr>
        <w:t>First</w:t>
      </w:r>
      <w:r w:rsidRPr="00163851">
        <w:rPr>
          <w:szCs w:val="24"/>
        </w:rPr>
        <w:t xml:space="preserve">, </w:t>
      </w:r>
      <w:r w:rsidR="00E14E62" w:rsidRPr="00163851">
        <w:rPr>
          <w:szCs w:val="24"/>
        </w:rPr>
        <w:t xml:space="preserve">we employ a latent segmentation model to </w:t>
      </w:r>
      <w:r w:rsidR="00051F0A" w:rsidRPr="00163851">
        <w:rPr>
          <w:szCs w:val="24"/>
        </w:rPr>
        <w:t xml:space="preserve">acknowledge that </w:t>
      </w:r>
      <w:r w:rsidR="001D63E6" w:rsidRPr="00163851">
        <w:rPr>
          <w:szCs w:val="24"/>
        </w:rPr>
        <w:t xml:space="preserve">one section of the population may have one causal structure, while the other may have the other. Our </w:t>
      </w:r>
      <w:r w:rsidR="00E14E62" w:rsidRPr="00163851">
        <w:rPr>
          <w:szCs w:val="24"/>
        </w:rPr>
        <w:t>investigat</w:t>
      </w:r>
      <w:r w:rsidR="001D63E6" w:rsidRPr="00163851">
        <w:rPr>
          <w:szCs w:val="24"/>
        </w:rPr>
        <w:t xml:space="preserve">ion also is able to reveal the relative magnitudes of </w:t>
      </w:r>
      <w:r w:rsidR="00E14E62" w:rsidRPr="00163851">
        <w:rPr>
          <w:szCs w:val="24"/>
        </w:rPr>
        <w:t xml:space="preserve">the </w:t>
      </w:r>
      <w:r w:rsidR="001D63E6" w:rsidRPr="00163851">
        <w:rPr>
          <w:szCs w:val="24"/>
        </w:rPr>
        <w:t xml:space="preserve">two groups. </w:t>
      </w:r>
      <w:r w:rsidR="005053C3" w:rsidRPr="00163851">
        <w:rPr>
          <w:szCs w:val="24"/>
        </w:rPr>
        <w:t>While earlier pre-COVID literature suggests</w:t>
      </w:r>
      <w:r w:rsidR="00475677" w:rsidRPr="00163851">
        <w:rPr>
          <w:szCs w:val="24"/>
        </w:rPr>
        <w:t xml:space="preserve"> that</w:t>
      </w:r>
      <w:r w:rsidR="00417154" w:rsidRPr="00163851">
        <w:rPr>
          <w:szCs w:val="24"/>
        </w:rPr>
        <w:t xml:space="preserve"> (or even assumes a priori that) </w:t>
      </w:r>
      <w:r w:rsidR="00475677" w:rsidRPr="00163851">
        <w:rPr>
          <w:szCs w:val="24"/>
        </w:rPr>
        <w:t xml:space="preserve">distant (from work) residential choices are made without much </w:t>
      </w:r>
      <w:r w:rsidR="00FD51F7" w:rsidRPr="00163851">
        <w:rPr>
          <w:szCs w:val="24"/>
        </w:rPr>
        <w:t xml:space="preserve">consideration </w:t>
      </w:r>
      <w:r w:rsidR="00475677" w:rsidRPr="00163851">
        <w:rPr>
          <w:szCs w:val="24"/>
        </w:rPr>
        <w:t xml:space="preserve">of telework </w:t>
      </w:r>
      <w:r w:rsidR="00FD51F7" w:rsidRPr="00163851">
        <w:rPr>
          <w:szCs w:val="24"/>
        </w:rPr>
        <w:t>ability/</w:t>
      </w:r>
      <w:r w:rsidR="00790918" w:rsidRPr="00163851">
        <w:rPr>
          <w:szCs w:val="24"/>
        </w:rPr>
        <w:t>choice</w:t>
      </w:r>
      <w:r w:rsidR="00FD51F7" w:rsidRPr="00163851">
        <w:rPr>
          <w:szCs w:val="24"/>
        </w:rPr>
        <w:t xml:space="preserve"> </w:t>
      </w:r>
      <w:r w:rsidR="00475677" w:rsidRPr="00163851">
        <w:rPr>
          <w:szCs w:val="24"/>
        </w:rPr>
        <w:t xml:space="preserve">(that is, that the TC causal direction of effect is rather small to non-existent, and that it is the CT causal direction </w:t>
      </w:r>
      <w:r w:rsidR="00FD51F7" w:rsidRPr="00163851">
        <w:rPr>
          <w:szCs w:val="24"/>
        </w:rPr>
        <w:t xml:space="preserve">primarily </w:t>
      </w:r>
      <w:r w:rsidR="00475677" w:rsidRPr="00163851">
        <w:rPr>
          <w:szCs w:val="24"/>
        </w:rPr>
        <w:t>at play; see</w:t>
      </w:r>
      <w:r w:rsidR="00790918" w:rsidRPr="00163851">
        <w:rPr>
          <w:szCs w:val="24"/>
        </w:rPr>
        <w:t>, for example,</w:t>
      </w:r>
      <w:r w:rsidR="00475677" w:rsidRPr="00163851">
        <w:rPr>
          <w:szCs w:val="24"/>
        </w:rPr>
        <w:t xml:space="preserve"> OM, 2006, </w:t>
      </w:r>
      <w:r w:rsidR="00A86DAB" w:rsidRPr="00163851">
        <w:rPr>
          <w:szCs w:val="24"/>
        </w:rPr>
        <w:t xml:space="preserve">Muhammad et al., 2007; </w:t>
      </w:r>
      <w:r w:rsidR="00475677" w:rsidRPr="00163851">
        <w:rPr>
          <w:szCs w:val="24"/>
        </w:rPr>
        <w:t>Kim</w:t>
      </w:r>
      <w:r w:rsidR="0036154B">
        <w:rPr>
          <w:szCs w:val="24"/>
        </w:rPr>
        <w:t>,</w:t>
      </w:r>
      <w:r w:rsidR="00475677" w:rsidRPr="00163851">
        <w:rPr>
          <w:szCs w:val="24"/>
        </w:rPr>
        <w:t xml:space="preserve"> </w:t>
      </w:r>
      <w:r w:rsidR="0036154B">
        <w:rPr>
          <w:szCs w:val="24"/>
        </w:rPr>
        <w:t>2017</w:t>
      </w:r>
      <w:r w:rsidR="00475677" w:rsidRPr="00163851">
        <w:rPr>
          <w:szCs w:val="24"/>
        </w:rPr>
        <w:t xml:space="preserve">; Mitra and </w:t>
      </w:r>
      <w:proofErr w:type="spellStart"/>
      <w:r w:rsidR="00475677" w:rsidRPr="00163851">
        <w:rPr>
          <w:szCs w:val="24"/>
        </w:rPr>
        <w:t>Saphores</w:t>
      </w:r>
      <w:proofErr w:type="spellEnd"/>
      <w:r w:rsidR="00475677" w:rsidRPr="00163851">
        <w:rPr>
          <w:szCs w:val="24"/>
        </w:rPr>
        <w:t xml:space="preserve">, 2019), there is some evidence </w:t>
      </w:r>
      <w:r w:rsidR="00790918" w:rsidRPr="00163851">
        <w:rPr>
          <w:szCs w:val="24"/>
        </w:rPr>
        <w:t xml:space="preserve">recently </w:t>
      </w:r>
      <w:r w:rsidR="00475677" w:rsidRPr="00163851">
        <w:rPr>
          <w:szCs w:val="24"/>
        </w:rPr>
        <w:t xml:space="preserve">that </w:t>
      </w:r>
      <w:r w:rsidR="00FD51F7" w:rsidRPr="00163851">
        <w:rPr>
          <w:szCs w:val="24"/>
        </w:rPr>
        <w:t>the increased prevalence/acceptance of teleworking brought on by the pandemic may indeed have generated</w:t>
      </w:r>
      <w:r w:rsidR="00B25484" w:rsidRPr="00163851">
        <w:rPr>
          <w:szCs w:val="24"/>
        </w:rPr>
        <w:t>, for a sizeable set of individuals,</w:t>
      </w:r>
      <w:r w:rsidR="00FD51F7" w:rsidRPr="00163851">
        <w:rPr>
          <w:szCs w:val="24"/>
        </w:rPr>
        <w:t xml:space="preserve"> new housing desires </w:t>
      </w:r>
      <w:r w:rsidR="00790918" w:rsidRPr="00163851">
        <w:rPr>
          <w:szCs w:val="24"/>
        </w:rPr>
        <w:t>and</w:t>
      </w:r>
      <w:r w:rsidR="00FD51F7" w:rsidRPr="00163851">
        <w:rPr>
          <w:szCs w:val="24"/>
        </w:rPr>
        <w:t xml:space="preserve"> a higher tolerance for longer commute distances (see</w:t>
      </w:r>
      <w:r w:rsidR="00B25484" w:rsidRPr="00163851">
        <w:rPr>
          <w:szCs w:val="24"/>
        </w:rPr>
        <w:t xml:space="preserve"> </w:t>
      </w:r>
      <w:r w:rsidR="00A86DAB" w:rsidRPr="00163851">
        <w:rPr>
          <w:szCs w:val="24"/>
        </w:rPr>
        <w:t>Lei and Liu, 2022).</w:t>
      </w:r>
      <w:r w:rsidR="00417154" w:rsidRPr="00163851">
        <w:rPr>
          <w:szCs w:val="24"/>
        </w:rPr>
        <w:t xml:space="preserve"> </w:t>
      </w:r>
      <w:r w:rsidR="00A86DAB" w:rsidRPr="00163851">
        <w:rPr>
          <w:szCs w:val="24"/>
        </w:rPr>
        <w:t>In this context, t</w:t>
      </w:r>
      <w:r w:rsidR="004E646C" w:rsidRPr="00163851">
        <w:rPr>
          <w:szCs w:val="24"/>
        </w:rPr>
        <w:t xml:space="preserve">o our knowledge, this is the first study to </w:t>
      </w:r>
      <w:r w:rsidR="00A86DAB" w:rsidRPr="00163851">
        <w:rPr>
          <w:szCs w:val="24"/>
        </w:rPr>
        <w:t xml:space="preserve">propose </w:t>
      </w:r>
      <w:r w:rsidR="004E646C" w:rsidRPr="00163851">
        <w:rPr>
          <w:szCs w:val="24"/>
        </w:rPr>
        <w:t xml:space="preserve">a </w:t>
      </w:r>
      <w:r w:rsidR="00A86DAB" w:rsidRPr="00163851">
        <w:rPr>
          <w:szCs w:val="24"/>
        </w:rPr>
        <w:t xml:space="preserve">formal latent segmentation statistical </w:t>
      </w:r>
      <w:r w:rsidR="004E646C" w:rsidRPr="00163851">
        <w:rPr>
          <w:szCs w:val="24"/>
        </w:rPr>
        <w:t xml:space="preserve">methodology </w:t>
      </w:r>
      <w:r w:rsidR="00A86DAB" w:rsidRPr="00163851">
        <w:rPr>
          <w:szCs w:val="24"/>
        </w:rPr>
        <w:t xml:space="preserve">to capture the market size of each of the TC and CT causal </w:t>
      </w:r>
      <w:r w:rsidR="00B25484" w:rsidRPr="00163851">
        <w:rPr>
          <w:szCs w:val="24"/>
        </w:rPr>
        <w:t xml:space="preserve">effect </w:t>
      </w:r>
      <w:r w:rsidR="00A86DAB" w:rsidRPr="00163851">
        <w:rPr>
          <w:szCs w:val="24"/>
        </w:rPr>
        <w:t>directions, and apply it in a</w:t>
      </w:r>
      <w:r w:rsidR="00B25484" w:rsidRPr="00163851">
        <w:rPr>
          <w:szCs w:val="24"/>
        </w:rPr>
        <w:t xml:space="preserve">n </w:t>
      </w:r>
      <w:r w:rsidR="00A86DAB" w:rsidRPr="00163851">
        <w:rPr>
          <w:szCs w:val="24"/>
        </w:rPr>
        <w:t>altered environment after the onset of the pandemic.</w:t>
      </w:r>
      <w:r w:rsidR="00417154" w:rsidRPr="00163851">
        <w:rPr>
          <w:szCs w:val="24"/>
        </w:rPr>
        <w:t xml:space="preserve"> </w:t>
      </w:r>
      <w:r w:rsidR="00B10769" w:rsidRPr="00163851">
        <w:rPr>
          <w:szCs w:val="24"/>
          <w:u w:val="single"/>
        </w:rPr>
        <w:t>Second</w:t>
      </w:r>
      <w:r w:rsidR="00B10769" w:rsidRPr="00163851">
        <w:rPr>
          <w:szCs w:val="24"/>
        </w:rPr>
        <w:t>,</w:t>
      </w:r>
      <w:r w:rsidR="001D63E6" w:rsidRPr="00163851">
        <w:rPr>
          <w:szCs w:val="24"/>
        </w:rPr>
        <w:t xml:space="preserve"> the telework choice outcome takes the form of a multiple discrete-continuous (MDC) variable in our analysis that expressly allows the possibility of hybrid work arrangements </w:t>
      </w:r>
      <w:r w:rsidR="00914A54" w:rsidRPr="00163851">
        <w:rPr>
          <w:szCs w:val="24"/>
        </w:rPr>
        <w:t xml:space="preserve">over the period of an entire month, </w:t>
      </w:r>
      <w:r w:rsidR="001D63E6" w:rsidRPr="00163851">
        <w:rPr>
          <w:szCs w:val="24"/>
        </w:rPr>
        <w:t xml:space="preserve">with a cardinal representation of telework frequency associated </w:t>
      </w:r>
      <w:r w:rsidR="001D63E6" w:rsidRPr="00163851">
        <w:rPr>
          <w:szCs w:val="24"/>
        </w:rPr>
        <w:lastRenderedPageBreak/>
        <w:t xml:space="preserve">with the number of days of work from a remote work place location as well as the office. </w:t>
      </w:r>
      <w:r w:rsidR="00A86DAB" w:rsidRPr="00163851">
        <w:rPr>
          <w:szCs w:val="24"/>
        </w:rPr>
        <w:t xml:space="preserve">In contrast, few earlier studies have considered telework frequency at all, and those that have </w:t>
      </w:r>
      <w:r w:rsidR="001D63E6" w:rsidRPr="00163851">
        <w:rPr>
          <w:szCs w:val="24"/>
        </w:rPr>
        <w:t xml:space="preserve">consider it </w:t>
      </w:r>
      <w:r w:rsidR="00A86DAB" w:rsidRPr="00163851">
        <w:rPr>
          <w:szCs w:val="24"/>
        </w:rPr>
        <w:t xml:space="preserve">primarily in </w:t>
      </w:r>
      <w:r w:rsidR="001D63E6" w:rsidRPr="00163851">
        <w:rPr>
          <w:szCs w:val="24"/>
        </w:rPr>
        <w:t xml:space="preserve">an ordinal form (such as </w:t>
      </w:r>
      <w:r w:rsidR="00914A54" w:rsidRPr="00163851">
        <w:rPr>
          <w:szCs w:val="24"/>
        </w:rPr>
        <w:t>“less than once per month”, “several times a month”, “once a week”, “2-4 times a week, and “a</w:t>
      </w:r>
      <w:r w:rsidR="000406FA" w:rsidRPr="00163851">
        <w:rPr>
          <w:szCs w:val="24"/>
        </w:rPr>
        <w:t xml:space="preserve">lways”, </w:t>
      </w:r>
      <w:r w:rsidR="00914A54" w:rsidRPr="00163851">
        <w:rPr>
          <w:szCs w:val="24"/>
        </w:rPr>
        <w:t xml:space="preserve">or similar ordinal categorizations) or use a strict time frame of one week that may not fully capture </w:t>
      </w:r>
      <w:r w:rsidR="00342136" w:rsidRPr="00163851">
        <w:rPr>
          <w:szCs w:val="24"/>
        </w:rPr>
        <w:t>teleworking arrangements over longer p</w:t>
      </w:r>
      <w:r w:rsidR="0052107F" w:rsidRPr="00163851">
        <w:rPr>
          <w:szCs w:val="24"/>
        </w:rPr>
        <w:t>eriod</w:t>
      </w:r>
      <w:r w:rsidR="00A86DAB" w:rsidRPr="00163851">
        <w:rPr>
          <w:szCs w:val="24"/>
        </w:rPr>
        <w:t>s</w:t>
      </w:r>
      <w:r w:rsidR="00342136" w:rsidRPr="00163851">
        <w:rPr>
          <w:szCs w:val="24"/>
        </w:rPr>
        <w:t xml:space="preserve"> (</w:t>
      </w:r>
      <w:r w:rsidR="000406FA" w:rsidRPr="00163851">
        <w:rPr>
          <w:szCs w:val="24"/>
        </w:rPr>
        <w:t xml:space="preserve">see, for example, </w:t>
      </w:r>
      <w:r w:rsidR="00914A54" w:rsidRPr="00163851">
        <w:rPr>
          <w:szCs w:val="24"/>
        </w:rPr>
        <w:t xml:space="preserve">Popuri and Bhat, 2003, Sener and Bhat, 2011; </w:t>
      </w:r>
      <w:r w:rsidR="00EC298F">
        <w:rPr>
          <w:szCs w:val="24"/>
        </w:rPr>
        <w:t xml:space="preserve">de Abreu e </w:t>
      </w:r>
      <w:r w:rsidR="000406FA" w:rsidRPr="00163851">
        <w:rPr>
          <w:szCs w:val="24"/>
        </w:rPr>
        <w:t>Silva and Melo, 2018</w:t>
      </w:r>
      <w:r w:rsidR="00914A54" w:rsidRPr="00163851">
        <w:rPr>
          <w:szCs w:val="24"/>
        </w:rPr>
        <w:t xml:space="preserve">; </w:t>
      </w:r>
      <w:proofErr w:type="spellStart"/>
      <w:r w:rsidR="000406FA" w:rsidRPr="00163851">
        <w:rPr>
          <w:szCs w:val="24"/>
        </w:rPr>
        <w:t>Shabanpour</w:t>
      </w:r>
      <w:proofErr w:type="spellEnd"/>
      <w:r w:rsidR="000406FA" w:rsidRPr="00163851">
        <w:rPr>
          <w:szCs w:val="24"/>
        </w:rPr>
        <w:t xml:space="preserve"> et al., 2018</w:t>
      </w:r>
      <w:r w:rsidR="00914A54" w:rsidRPr="00163851">
        <w:rPr>
          <w:szCs w:val="24"/>
        </w:rPr>
        <w:t xml:space="preserve">; </w:t>
      </w:r>
      <w:r w:rsidR="00342136" w:rsidRPr="00163851">
        <w:rPr>
          <w:szCs w:val="24"/>
        </w:rPr>
        <w:t>Beck et al., 2020; Zhang et al., 2020</w:t>
      </w:r>
      <w:r w:rsidR="000406FA" w:rsidRPr="00163851">
        <w:rPr>
          <w:szCs w:val="24"/>
        </w:rPr>
        <w:t>)</w:t>
      </w:r>
      <w:r w:rsidR="007B4CA8" w:rsidRPr="00163851">
        <w:rPr>
          <w:szCs w:val="24"/>
        </w:rPr>
        <w:t>.</w:t>
      </w:r>
      <w:r w:rsidR="000406FA" w:rsidRPr="00163851">
        <w:rPr>
          <w:szCs w:val="24"/>
        </w:rPr>
        <w:t xml:space="preserve"> </w:t>
      </w:r>
      <w:r w:rsidR="00DB41EE" w:rsidRPr="00163851">
        <w:rPr>
          <w:szCs w:val="24"/>
        </w:rPr>
        <w:t xml:space="preserve">Our cardinal representation for frequency enables us to </w:t>
      </w:r>
      <w:r w:rsidR="005053C3" w:rsidRPr="00163851">
        <w:rPr>
          <w:szCs w:val="24"/>
        </w:rPr>
        <w:t xml:space="preserve">more precisely </w:t>
      </w:r>
      <w:r w:rsidR="00DB41EE" w:rsidRPr="00163851">
        <w:rPr>
          <w:szCs w:val="24"/>
        </w:rPr>
        <w:t xml:space="preserve">estimate the effect of teleworking on commute </w:t>
      </w:r>
      <w:r w:rsidR="005053C3" w:rsidRPr="00163851">
        <w:rPr>
          <w:szCs w:val="24"/>
        </w:rPr>
        <w:t>VMT.</w:t>
      </w:r>
      <w:r w:rsidR="009B0A6B">
        <w:rPr>
          <w:szCs w:val="24"/>
        </w:rPr>
        <w:t xml:space="preserve"> </w:t>
      </w:r>
      <w:r w:rsidR="007B4CA8" w:rsidRPr="00EB63F2">
        <w:rPr>
          <w:szCs w:val="24"/>
          <w:u w:val="single"/>
        </w:rPr>
        <w:t>Third</w:t>
      </w:r>
      <w:r w:rsidR="007B4CA8" w:rsidRPr="00163851">
        <w:rPr>
          <w:szCs w:val="24"/>
        </w:rPr>
        <w:t xml:space="preserve">, we </w:t>
      </w:r>
      <w:r w:rsidR="00C91304">
        <w:rPr>
          <w:szCs w:val="24"/>
        </w:rPr>
        <w:t>consider</w:t>
      </w:r>
      <w:r w:rsidR="007B4CA8" w:rsidRPr="00163851">
        <w:rPr>
          <w:szCs w:val="24"/>
        </w:rPr>
        <w:t xml:space="preserve"> “home” and “third workplace” (such as a coffee shop or a hotel</w:t>
      </w:r>
      <w:r w:rsidR="00C91304">
        <w:rPr>
          <w:szCs w:val="24"/>
        </w:rPr>
        <w:t xml:space="preserve"> room</w:t>
      </w:r>
      <w:r w:rsidR="007B4CA8" w:rsidRPr="00163851">
        <w:rPr>
          <w:szCs w:val="24"/>
        </w:rPr>
        <w:t xml:space="preserve">) as two distinct telework locations, and estimate the adoption/frequency of telework from each of these distinct locations. As discussed earlier, this enables us to </w:t>
      </w:r>
      <w:r w:rsidR="00417154" w:rsidRPr="00163851">
        <w:rPr>
          <w:szCs w:val="24"/>
        </w:rPr>
        <w:t xml:space="preserve">estimate </w:t>
      </w:r>
      <w:r w:rsidR="007B4CA8" w:rsidRPr="00163851">
        <w:rPr>
          <w:szCs w:val="24"/>
        </w:rPr>
        <w:t xml:space="preserve">a different kind of telework-commute distance relationship </w:t>
      </w:r>
      <w:r w:rsidR="00944D3E" w:rsidRPr="00163851">
        <w:rPr>
          <w:szCs w:val="24"/>
        </w:rPr>
        <w:t xml:space="preserve">for the third workplace </w:t>
      </w:r>
      <w:r w:rsidR="005053C3" w:rsidRPr="00163851">
        <w:rPr>
          <w:szCs w:val="24"/>
        </w:rPr>
        <w:t>(for the so-called digital nomads</w:t>
      </w:r>
      <w:r w:rsidR="00B53DE0" w:rsidRPr="00163851">
        <w:rPr>
          <w:szCs w:val="24"/>
        </w:rPr>
        <w:t xml:space="preserve">) </w:t>
      </w:r>
      <w:r w:rsidR="00944D3E" w:rsidRPr="00163851">
        <w:rPr>
          <w:szCs w:val="24"/>
        </w:rPr>
        <w:t>relative to home.</w:t>
      </w:r>
      <w:r w:rsidR="00B53DE0" w:rsidRPr="00163851">
        <w:rPr>
          <w:rStyle w:val="FootnoteReference"/>
          <w:szCs w:val="24"/>
        </w:rPr>
        <w:footnoteReference w:id="5"/>
      </w:r>
      <w:r w:rsidR="00B53DE0" w:rsidRPr="00163851">
        <w:rPr>
          <w:szCs w:val="24"/>
        </w:rPr>
        <w:t xml:space="preserve"> </w:t>
      </w:r>
      <w:r w:rsidR="00944D3E" w:rsidRPr="00EB63F2">
        <w:rPr>
          <w:szCs w:val="24"/>
          <w:u w:val="single"/>
        </w:rPr>
        <w:t>Fourth</w:t>
      </w:r>
      <w:r w:rsidR="001D63E6" w:rsidRPr="00163851">
        <w:rPr>
          <w:szCs w:val="24"/>
        </w:rPr>
        <w:t xml:space="preserve">, </w:t>
      </w:r>
      <w:r w:rsidR="00B10769" w:rsidRPr="00163851">
        <w:rPr>
          <w:szCs w:val="24"/>
        </w:rPr>
        <w:t>even within each latent segment, we consider the two outcomes of interes</w:t>
      </w:r>
      <w:r w:rsidR="000650B8" w:rsidRPr="00163851">
        <w:rPr>
          <w:szCs w:val="24"/>
        </w:rPr>
        <w:t>t</w:t>
      </w:r>
      <w:r w:rsidR="00417154" w:rsidRPr="00163851">
        <w:rPr>
          <w:szCs w:val="24"/>
        </w:rPr>
        <w:t>; telework adoption/frequency and commute distance;</w:t>
      </w:r>
      <w:r w:rsidR="000650B8" w:rsidRPr="00163851">
        <w:rPr>
          <w:szCs w:val="24"/>
        </w:rPr>
        <w:t xml:space="preserve"> </w:t>
      </w:r>
      <w:r w:rsidR="00417154" w:rsidRPr="00163851">
        <w:rPr>
          <w:szCs w:val="24"/>
        </w:rPr>
        <w:t xml:space="preserve">as resulting from </w:t>
      </w:r>
      <w:r w:rsidR="00B10769" w:rsidRPr="00163851">
        <w:rPr>
          <w:szCs w:val="24"/>
        </w:rPr>
        <w:t xml:space="preserve">a joint package </w:t>
      </w:r>
      <w:r w:rsidR="00417154" w:rsidRPr="00163851">
        <w:rPr>
          <w:szCs w:val="24"/>
        </w:rPr>
        <w:t xml:space="preserve">decision that is </w:t>
      </w:r>
      <w:r w:rsidR="00B10769" w:rsidRPr="00163851">
        <w:rPr>
          <w:szCs w:val="24"/>
        </w:rPr>
        <w:t>impacted by observed as well as unobserved individual personality/lifestyle characteristics</w:t>
      </w:r>
      <w:r w:rsidR="000650B8" w:rsidRPr="00163851">
        <w:rPr>
          <w:szCs w:val="24"/>
        </w:rPr>
        <w:t xml:space="preserve"> (that is, we account for error covariances between the </w:t>
      </w:r>
      <w:r w:rsidR="00417154" w:rsidRPr="00163851">
        <w:rPr>
          <w:szCs w:val="24"/>
        </w:rPr>
        <w:t xml:space="preserve">two </w:t>
      </w:r>
      <w:r w:rsidR="000650B8" w:rsidRPr="00163851">
        <w:rPr>
          <w:szCs w:val="24"/>
        </w:rPr>
        <w:t xml:space="preserve">outcome variables in </w:t>
      </w:r>
      <w:r w:rsidR="00417154" w:rsidRPr="00163851">
        <w:rPr>
          <w:szCs w:val="24"/>
        </w:rPr>
        <w:t xml:space="preserve">each </w:t>
      </w:r>
      <w:r w:rsidR="000650B8" w:rsidRPr="00163851">
        <w:rPr>
          <w:szCs w:val="24"/>
        </w:rPr>
        <w:t>latent segment)</w:t>
      </w:r>
      <w:r w:rsidR="00B10769" w:rsidRPr="00163851">
        <w:rPr>
          <w:szCs w:val="24"/>
        </w:rPr>
        <w:t>. After accommodating such observed and unobserved characteristics, the</w:t>
      </w:r>
      <w:r w:rsidR="000650B8" w:rsidRPr="00163851">
        <w:rPr>
          <w:szCs w:val="24"/>
        </w:rPr>
        <w:t xml:space="preserve"> direct endogenous effect (i.e., the effect of one dependent outcome on the other) may be considered </w:t>
      </w:r>
      <w:r w:rsidR="00B10769" w:rsidRPr="00163851">
        <w:rPr>
          <w:szCs w:val="24"/>
        </w:rPr>
        <w:t>a “true” causal effect within the context of a joint package decision</w:t>
      </w:r>
      <w:r w:rsidR="000650B8" w:rsidRPr="00163851">
        <w:rPr>
          <w:szCs w:val="24"/>
        </w:rPr>
        <w:t>.</w:t>
      </w:r>
      <w:r w:rsidR="0032513D" w:rsidRPr="00163851">
        <w:rPr>
          <w:szCs w:val="24"/>
        </w:rPr>
        <w:t xml:space="preserve"> </w:t>
      </w:r>
      <w:r w:rsidR="0032513D" w:rsidRPr="00163851">
        <w:rPr>
          <w:szCs w:val="24"/>
          <w:u w:val="single"/>
        </w:rPr>
        <w:t>Fifth</w:t>
      </w:r>
      <w:r w:rsidR="0032513D" w:rsidRPr="00163851">
        <w:rPr>
          <w:szCs w:val="24"/>
        </w:rPr>
        <w:t xml:space="preserve">, </w:t>
      </w:r>
      <w:r w:rsidR="00B25484" w:rsidRPr="00163851">
        <w:rPr>
          <w:szCs w:val="24"/>
        </w:rPr>
        <w:t xml:space="preserve">and related to the above point, from an econometric standpoint, we formulate, for the first time to our knowledge in the econometric literature, a switching/sample selection model of commute distance based on an MDC selection choice. Further, we propose a methodology to compute treatment effects within this new model context, </w:t>
      </w:r>
      <w:r w:rsidR="00031A7E">
        <w:rPr>
          <w:szCs w:val="24"/>
        </w:rPr>
        <w:t xml:space="preserve">and </w:t>
      </w:r>
      <w:r w:rsidR="00B25484" w:rsidRPr="00163851">
        <w:rPr>
          <w:szCs w:val="24"/>
        </w:rPr>
        <w:t xml:space="preserve">implement </w:t>
      </w:r>
      <w:r w:rsidR="00031A7E">
        <w:rPr>
          <w:szCs w:val="24"/>
        </w:rPr>
        <w:t xml:space="preserve">it </w:t>
      </w:r>
      <w:r w:rsidR="00B25484" w:rsidRPr="00163851">
        <w:rPr>
          <w:szCs w:val="24"/>
        </w:rPr>
        <w:t>to estimate the net effect of telework on commute distance.</w:t>
      </w:r>
      <w:r w:rsidR="001901E6">
        <w:rPr>
          <w:szCs w:val="24"/>
        </w:rPr>
        <w:t xml:space="preserve"> </w:t>
      </w:r>
    </w:p>
    <w:bookmarkEnd w:id="9"/>
    <w:p w14:paraId="2201111D" w14:textId="23061E5C" w:rsidR="000406FA" w:rsidRPr="00163851" w:rsidRDefault="000406FA" w:rsidP="00303FC0">
      <w:pPr>
        <w:spacing w:after="0" w:line="240" w:lineRule="auto"/>
        <w:rPr>
          <w:szCs w:val="24"/>
        </w:rPr>
      </w:pPr>
    </w:p>
    <w:p w14:paraId="1A979FC9" w14:textId="169BE1C7" w:rsidR="009418AE" w:rsidRPr="006E1902" w:rsidRDefault="00F070AE" w:rsidP="00303FC0">
      <w:pPr>
        <w:pStyle w:val="Heading1"/>
        <w:spacing w:line="240" w:lineRule="auto"/>
        <w:ind w:left="360" w:hanging="360"/>
      </w:pPr>
      <w:r w:rsidRPr="006E1902">
        <w:t xml:space="preserve">DATA </w:t>
      </w:r>
    </w:p>
    <w:p w14:paraId="45D9ABAD" w14:textId="2B117022" w:rsidR="009418AE" w:rsidRPr="006E1902" w:rsidRDefault="009418AE" w:rsidP="00303FC0">
      <w:pPr>
        <w:pStyle w:val="Heading2"/>
        <w:spacing w:line="240" w:lineRule="auto"/>
        <w:ind w:hanging="396"/>
      </w:pPr>
      <w:r w:rsidRPr="006E1902">
        <w:t xml:space="preserve">The Survey </w:t>
      </w:r>
    </w:p>
    <w:p w14:paraId="16709832" w14:textId="64C409E0" w:rsidR="00D115C4" w:rsidRDefault="008F4F84" w:rsidP="00303FC0">
      <w:pPr>
        <w:spacing w:after="0" w:line="240" w:lineRule="auto"/>
        <w:rPr>
          <w:szCs w:val="24"/>
        </w:rPr>
      </w:pPr>
      <w:r w:rsidRPr="00163851">
        <w:rPr>
          <w:szCs w:val="24"/>
        </w:rPr>
        <w:t xml:space="preserve">The primary source of data </w:t>
      </w:r>
      <w:r w:rsidR="00C91304">
        <w:rPr>
          <w:szCs w:val="24"/>
        </w:rPr>
        <w:t xml:space="preserve">for the study </w:t>
      </w:r>
      <w:r w:rsidR="00356AE1" w:rsidRPr="00163851">
        <w:rPr>
          <w:szCs w:val="24"/>
        </w:rPr>
        <w:t xml:space="preserve">originated from </w:t>
      </w:r>
      <w:r w:rsidRPr="00163851">
        <w:rPr>
          <w:szCs w:val="24"/>
        </w:rPr>
        <w:t>a</w:t>
      </w:r>
      <w:r w:rsidR="009418AE" w:rsidRPr="00163851">
        <w:rPr>
          <w:szCs w:val="24"/>
        </w:rPr>
        <w:t xml:space="preserve"> </w:t>
      </w:r>
      <w:r w:rsidR="00F146D2" w:rsidRPr="00163851">
        <w:rPr>
          <w:szCs w:val="24"/>
        </w:rPr>
        <w:t>workplace</w:t>
      </w:r>
      <w:r w:rsidR="009418AE" w:rsidRPr="00163851">
        <w:rPr>
          <w:szCs w:val="24"/>
        </w:rPr>
        <w:t xml:space="preserve"> location (WPL) choice survey </w:t>
      </w:r>
      <w:r w:rsidRPr="00163851">
        <w:rPr>
          <w:szCs w:val="24"/>
        </w:rPr>
        <w:t xml:space="preserve">undertaken by the authors as part of a </w:t>
      </w:r>
      <w:r w:rsidR="00C91304">
        <w:rPr>
          <w:szCs w:val="24"/>
        </w:rPr>
        <w:t xml:space="preserve">project </w:t>
      </w:r>
      <w:r w:rsidR="009418AE" w:rsidRPr="00163851">
        <w:rPr>
          <w:szCs w:val="24"/>
        </w:rPr>
        <w:t>funded by the Texas Department of Transportation</w:t>
      </w:r>
      <w:r w:rsidR="00356AE1" w:rsidRPr="00163851">
        <w:rPr>
          <w:szCs w:val="24"/>
        </w:rPr>
        <w:t xml:space="preserve">. </w:t>
      </w:r>
      <w:r w:rsidR="009418AE" w:rsidRPr="00163851">
        <w:rPr>
          <w:szCs w:val="24"/>
        </w:rPr>
        <w:t xml:space="preserve">The </w:t>
      </w:r>
      <w:r w:rsidR="00356AE1" w:rsidRPr="00163851">
        <w:rPr>
          <w:szCs w:val="24"/>
        </w:rPr>
        <w:t xml:space="preserve">survey </w:t>
      </w:r>
      <w:r w:rsidR="009418AE" w:rsidRPr="00163851">
        <w:rPr>
          <w:szCs w:val="24"/>
        </w:rPr>
        <w:t xml:space="preserve">administration process included a </w:t>
      </w:r>
      <w:r w:rsidR="00356AE1" w:rsidRPr="00163851">
        <w:rPr>
          <w:szCs w:val="24"/>
        </w:rPr>
        <w:t xml:space="preserve">suite </w:t>
      </w:r>
      <w:r w:rsidR="009418AE" w:rsidRPr="00163851">
        <w:rPr>
          <w:szCs w:val="24"/>
        </w:rPr>
        <w:t xml:space="preserve">of recruitment strategies: e-mails to </w:t>
      </w:r>
      <w:r w:rsidR="00356AE1" w:rsidRPr="00163851">
        <w:rPr>
          <w:szCs w:val="24"/>
        </w:rPr>
        <w:t xml:space="preserve">city </w:t>
      </w:r>
      <w:r w:rsidR="009418AE" w:rsidRPr="00163851">
        <w:rPr>
          <w:szCs w:val="24"/>
        </w:rPr>
        <w:t>chambers of commerce across the state of Texas, professional organizations, media outlets, and a database of roughly 55,000 Texas residents’ email addresses. Th</w:t>
      </w:r>
      <w:r w:rsidR="00356AE1" w:rsidRPr="00163851">
        <w:rPr>
          <w:szCs w:val="24"/>
        </w:rPr>
        <w:t>is multi-pronged r</w:t>
      </w:r>
      <w:r w:rsidR="009418AE" w:rsidRPr="00163851">
        <w:rPr>
          <w:szCs w:val="24"/>
        </w:rPr>
        <w:t>ecruitment effort</w:t>
      </w:r>
      <w:r w:rsidR="00356AE1" w:rsidRPr="00163851">
        <w:rPr>
          <w:szCs w:val="24"/>
        </w:rPr>
        <w:t xml:space="preserve"> enabled us to reach </w:t>
      </w:r>
      <w:r w:rsidR="009418AE" w:rsidRPr="00163851">
        <w:rPr>
          <w:szCs w:val="24"/>
        </w:rPr>
        <w:t xml:space="preserve">employees in a range of industries and </w:t>
      </w:r>
      <w:r w:rsidR="00356AE1" w:rsidRPr="00163851">
        <w:rPr>
          <w:szCs w:val="24"/>
        </w:rPr>
        <w:t>sectors</w:t>
      </w:r>
      <w:r w:rsidR="009418AE" w:rsidRPr="00163851">
        <w:rPr>
          <w:szCs w:val="24"/>
        </w:rPr>
        <w:t xml:space="preserve">. </w:t>
      </w:r>
      <w:r w:rsidR="00356AE1" w:rsidRPr="00163851">
        <w:rPr>
          <w:szCs w:val="24"/>
        </w:rPr>
        <w:t xml:space="preserve">Survey access was restricted to individuals who were employed Texas </w:t>
      </w:r>
      <w:r w:rsidR="00370470" w:rsidRPr="00163851">
        <w:rPr>
          <w:szCs w:val="24"/>
        </w:rPr>
        <w:t>residents</w:t>
      </w:r>
      <w:r w:rsidR="00D115C4">
        <w:rPr>
          <w:szCs w:val="24"/>
        </w:rPr>
        <w:t xml:space="preserve">, </w:t>
      </w:r>
      <w:r w:rsidR="00370470" w:rsidRPr="00163851">
        <w:rPr>
          <w:szCs w:val="24"/>
        </w:rPr>
        <w:t xml:space="preserve">had a designated physical office </w:t>
      </w:r>
      <w:r w:rsidR="0060740B">
        <w:rPr>
          <w:szCs w:val="24"/>
        </w:rPr>
        <w:t xml:space="preserve">in the local area </w:t>
      </w:r>
      <w:r w:rsidR="00370470" w:rsidRPr="00163851">
        <w:rPr>
          <w:szCs w:val="24"/>
        </w:rPr>
        <w:t>at the time of the survey (even if they never commuted to that location)</w:t>
      </w:r>
      <w:r w:rsidR="00D115C4">
        <w:rPr>
          <w:szCs w:val="24"/>
        </w:rPr>
        <w:t>, and had no specific mandatory requirement to be at the office all days of the month (except during periods of absence from work due to sick leave or other sanctioned leaves)</w:t>
      </w:r>
      <w:r w:rsidR="00370470" w:rsidRPr="00163851">
        <w:rPr>
          <w:szCs w:val="24"/>
        </w:rPr>
        <w:t xml:space="preserve">. </w:t>
      </w:r>
      <w:r w:rsidR="009418AE" w:rsidRPr="00163851">
        <w:rPr>
          <w:szCs w:val="24"/>
        </w:rPr>
        <w:t xml:space="preserve">Of the 1,400 respondents from the target population (workers in Texas), 463 individuals did not adequately respond to commute and current workplace-related questions. </w:t>
      </w:r>
      <w:r w:rsidR="00D34242" w:rsidRPr="00163851">
        <w:rPr>
          <w:szCs w:val="24"/>
        </w:rPr>
        <w:t>We also removed</w:t>
      </w:r>
      <w:r w:rsidR="00370470" w:rsidRPr="00163851">
        <w:rPr>
          <w:szCs w:val="24"/>
        </w:rPr>
        <w:t xml:space="preserve"> </w:t>
      </w:r>
      <w:r w:rsidR="00D34242" w:rsidRPr="00163851">
        <w:rPr>
          <w:szCs w:val="24"/>
        </w:rPr>
        <w:t xml:space="preserve">113 individuals who reported to have </w:t>
      </w:r>
      <w:r w:rsidR="00E60810" w:rsidRPr="00163851">
        <w:rPr>
          <w:szCs w:val="24"/>
        </w:rPr>
        <w:t>switched employers</w:t>
      </w:r>
      <w:r w:rsidR="00D34242" w:rsidRPr="00163851">
        <w:rPr>
          <w:szCs w:val="24"/>
        </w:rPr>
        <w:t xml:space="preserve"> during COVID</w:t>
      </w:r>
      <w:r w:rsidR="00370470" w:rsidRPr="00163851">
        <w:rPr>
          <w:szCs w:val="24"/>
        </w:rPr>
        <w:t>, just to maintain stability of the office location so that the final sample for analysis included only those who worked in the same firm and with the same office</w:t>
      </w:r>
      <w:r w:rsidR="00A52FA4">
        <w:rPr>
          <w:szCs w:val="24"/>
        </w:rPr>
        <w:t xml:space="preserve"> location</w:t>
      </w:r>
      <w:r w:rsidR="00E60810" w:rsidRPr="00163851">
        <w:rPr>
          <w:szCs w:val="24"/>
        </w:rPr>
        <w:t xml:space="preserve">. </w:t>
      </w:r>
      <w:r w:rsidR="00D115C4">
        <w:rPr>
          <w:szCs w:val="24"/>
        </w:rPr>
        <w:t xml:space="preserve"> This left us with a </w:t>
      </w:r>
      <w:r w:rsidR="009418AE" w:rsidRPr="00163851">
        <w:rPr>
          <w:szCs w:val="24"/>
        </w:rPr>
        <w:t xml:space="preserve">final sample </w:t>
      </w:r>
      <w:r w:rsidR="00D115C4">
        <w:rPr>
          <w:szCs w:val="24"/>
        </w:rPr>
        <w:t xml:space="preserve">of </w:t>
      </w:r>
      <w:r w:rsidR="00D34242" w:rsidRPr="00163851">
        <w:rPr>
          <w:szCs w:val="24"/>
        </w:rPr>
        <w:t xml:space="preserve">824 </w:t>
      </w:r>
      <w:r w:rsidR="009418AE" w:rsidRPr="00163851">
        <w:rPr>
          <w:szCs w:val="24"/>
        </w:rPr>
        <w:t xml:space="preserve">respondents. </w:t>
      </w:r>
    </w:p>
    <w:p w14:paraId="498F7E15" w14:textId="6997FE62" w:rsidR="00A52FA4" w:rsidRDefault="00D115C4" w:rsidP="00303FC0">
      <w:pPr>
        <w:spacing w:after="0" w:line="240" w:lineRule="auto"/>
        <w:ind w:firstLine="720"/>
        <w:rPr>
          <w:szCs w:val="24"/>
        </w:rPr>
      </w:pPr>
      <w:r w:rsidRPr="00837F9C">
        <w:rPr>
          <w:szCs w:val="24"/>
        </w:rPr>
        <w:t>The survey elicit</w:t>
      </w:r>
      <w:r>
        <w:rPr>
          <w:szCs w:val="24"/>
        </w:rPr>
        <w:t>ed</w:t>
      </w:r>
      <w:r w:rsidRPr="00837F9C">
        <w:rPr>
          <w:szCs w:val="24"/>
        </w:rPr>
        <w:t xml:space="preserve"> information about travel behavior and mobility choices, mode usage, and activity engagement. Pertinent to this study, the survey </w:t>
      </w:r>
      <w:r>
        <w:rPr>
          <w:szCs w:val="24"/>
        </w:rPr>
        <w:t xml:space="preserve">elicited information on </w:t>
      </w:r>
      <w:r w:rsidRPr="00837F9C">
        <w:rPr>
          <w:szCs w:val="24"/>
        </w:rPr>
        <w:t xml:space="preserve">work </w:t>
      </w:r>
      <w:r w:rsidRPr="00837F9C">
        <w:rPr>
          <w:szCs w:val="24"/>
        </w:rPr>
        <w:lastRenderedPageBreak/>
        <w:t xml:space="preserve">arrangements </w:t>
      </w:r>
      <w:r>
        <w:rPr>
          <w:szCs w:val="24"/>
        </w:rPr>
        <w:t xml:space="preserve">at the time of the survey, including the number of workdays in </w:t>
      </w:r>
      <w:r w:rsidR="00FE2BCE">
        <w:rPr>
          <w:szCs w:val="24"/>
        </w:rPr>
        <w:t>the past</w:t>
      </w:r>
      <w:r>
        <w:rPr>
          <w:szCs w:val="24"/>
        </w:rPr>
        <w:t xml:space="preserve"> month, and the number of workdays worked at each of three </w:t>
      </w:r>
      <w:r w:rsidR="00FE2BCE">
        <w:rPr>
          <w:szCs w:val="24"/>
        </w:rPr>
        <w:t>workplace locations: home, office, and a third workplace</w:t>
      </w:r>
      <w:r>
        <w:rPr>
          <w:szCs w:val="24"/>
        </w:rPr>
        <w:t xml:space="preserve">. </w:t>
      </w:r>
      <w:r w:rsidR="009418AE" w:rsidRPr="00163851">
        <w:rPr>
          <w:szCs w:val="24"/>
        </w:rPr>
        <w:t xml:space="preserve">Additionally, </w:t>
      </w:r>
      <w:r w:rsidR="00BC4126">
        <w:rPr>
          <w:szCs w:val="24"/>
        </w:rPr>
        <w:t xml:space="preserve">individual and household </w:t>
      </w:r>
      <w:r w:rsidR="009418AE" w:rsidRPr="00163851">
        <w:rPr>
          <w:szCs w:val="24"/>
        </w:rPr>
        <w:t>socio-demographics</w:t>
      </w:r>
      <w:r w:rsidR="00BC4126">
        <w:rPr>
          <w:szCs w:val="24"/>
        </w:rPr>
        <w:t>,</w:t>
      </w:r>
      <w:r w:rsidR="009418AE" w:rsidRPr="00163851">
        <w:rPr>
          <w:szCs w:val="24"/>
        </w:rPr>
        <w:t xml:space="preserve"> </w:t>
      </w:r>
      <w:r w:rsidR="0073331F">
        <w:rPr>
          <w:szCs w:val="24"/>
        </w:rPr>
        <w:t xml:space="preserve">and </w:t>
      </w:r>
      <w:r w:rsidR="00BC4126">
        <w:rPr>
          <w:szCs w:val="24"/>
        </w:rPr>
        <w:t xml:space="preserve">information on the </w:t>
      </w:r>
      <w:r w:rsidR="009418AE" w:rsidRPr="00163851">
        <w:rPr>
          <w:szCs w:val="24"/>
        </w:rPr>
        <w:t>current office and home location</w:t>
      </w:r>
      <w:r w:rsidR="007673C6">
        <w:rPr>
          <w:szCs w:val="24"/>
        </w:rPr>
        <w:t>, were obtained</w:t>
      </w:r>
      <w:r w:rsidR="0073331F">
        <w:rPr>
          <w:szCs w:val="24"/>
        </w:rPr>
        <w:t>.</w:t>
      </w:r>
      <w:r w:rsidR="009418AE" w:rsidRPr="00163851">
        <w:rPr>
          <w:szCs w:val="24"/>
        </w:rPr>
        <w:t xml:space="preserve"> </w:t>
      </w:r>
      <w:r w:rsidR="0073331F">
        <w:rPr>
          <w:szCs w:val="24"/>
        </w:rPr>
        <w:t xml:space="preserve">Finally, respondents were asked to report both the distance and time between their residence and in-person work office. </w:t>
      </w:r>
    </w:p>
    <w:p w14:paraId="108A22BD" w14:textId="77777777" w:rsidR="00BC4126" w:rsidRPr="00163851" w:rsidRDefault="00BC4126" w:rsidP="00303FC0">
      <w:pPr>
        <w:spacing w:after="0" w:line="240" w:lineRule="auto"/>
        <w:ind w:firstLine="720"/>
        <w:rPr>
          <w:szCs w:val="24"/>
        </w:rPr>
      </w:pPr>
    </w:p>
    <w:p w14:paraId="46FDAF91" w14:textId="353EE362" w:rsidR="00006DE7" w:rsidRPr="00163851" w:rsidRDefault="002C1F02" w:rsidP="00303FC0">
      <w:pPr>
        <w:pStyle w:val="Heading2"/>
        <w:spacing w:before="0" w:line="240" w:lineRule="auto"/>
        <w:rPr>
          <w:szCs w:val="24"/>
        </w:rPr>
      </w:pPr>
      <w:r>
        <w:rPr>
          <w:szCs w:val="24"/>
        </w:rPr>
        <w:t xml:space="preserve"> </w:t>
      </w:r>
      <w:r w:rsidR="00006DE7" w:rsidRPr="00163851">
        <w:rPr>
          <w:szCs w:val="24"/>
        </w:rPr>
        <w:t>Data Description</w:t>
      </w:r>
    </w:p>
    <w:p w14:paraId="6323FBE2" w14:textId="77777777" w:rsidR="009418AE" w:rsidRPr="00163851" w:rsidRDefault="009418AE" w:rsidP="00303FC0">
      <w:pPr>
        <w:pStyle w:val="Heading3"/>
        <w:spacing w:before="0" w:line="240" w:lineRule="auto"/>
        <w:ind w:left="540" w:hanging="540"/>
        <w:rPr>
          <w:szCs w:val="24"/>
        </w:rPr>
      </w:pPr>
      <w:r w:rsidRPr="00163851">
        <w:rPr>
          <w:szCs w:val="24"/>
        </w:rPr>
        <w:t>Sample Description</w:t>
      </w:r>
    </w:p>
    <w:p w14:paraId="40BED28E" w14:textId="7D8E4366" w:rsidR="00806E16" w:rsidRDefault="000562D6" w:rsidP="00303FC0">
      <w:pPr>
        <w:spacing w:after="0" w:line="240" w:lineRule="auto"/>
        <w:rPr>
          <w:szCs w:val="24"/>
        </w:rPr>
      </w:pPr>
      <w:r w:rsidRPr="00837F9C">
        <w:rPr>
          <w:szCs w:val="24"/>
        </w:rPr>
        <w:t xml:space="preserve">Table 1 </w:t>
      </w:r>
      <w:r>
        <w:rPr>
          <w:szCs w:val="24"/>
        </w:rPr>
        <w:t>provides information on the</w:t>
      </w:r>
      <w:r w:rsidRPr="00837F9C">
        <w:rPr>
          <w:szCs w:val="24"/>
        </w:rPr>
        <w:t xml:space="preserve"> </w:t>
      </w:r>
      <w:r w:rsidR="00EE2F68">
        <w:rPr>
          <w:szCs w:val="24"/>
        </w:rPr>
        <w:t xml:space="preserve">individual/household </w:t>
      </w:r>
      <w:r w:rsidRPr="00837F9C">
        <w:rPr>
          <w:szCs w:val="24"/>
        </w:rPr>
        <w:t>characteristics</w:t>
      </w:r>
      <w:r>
        <w:rPr>
          <w:szCs w:val="24"/>
        </w:rPr>
        <w:t xml:space="preserve"> of the sample of 824 individuals used in our analysis. </w:t>
      </w:r>
      <w:r w:rsidR="00F0650A">
        <w:rPr>
          <w:color w:val="222222"/>
          <w:szCs w:val="24"/>
        </w:rPr>
        <w:t xml:space="preserve">Our sample consists of only Texas employed individuals, which </w:t>
      </w:r>
      <w:r w:rsidR="00DB4BA0">
        <w:rPr>
          <w:color w:val="222222"/>
          <w:szCs w:val="24"/>
        </w:rPr>
        <w:t xml:space="preserve">we are able to </w:t>
      </w:r>
      <w:r w:rsidR="00F0650A">
        <w:rPr>
          <w:color w:val="222222"/>
          <w:szCs w:val="24"/>
        </w:rPr>
        <w:t xml:space="preserve">compare with </w:t>
      </w:r>
      <w:r w:rsidR="00F0650A">
        <w:t xml:space="preserve">the </w:t>
      </w:r>
      <w:r w:rsidR="00DB4BA0">
        <w:t>gender, age, and income f</w:t>
      </w:r>
      <w:r w:rsidR="00F0650A">
        <w:t>rom the Census Bureau</w:t>
      </w:r>
      <w:r w:rsidR="00233ACA">
        <w:t>’s</w:t>
      </w:r>
      <w:r w:rsidR="00DB4BA0">
        <w:t xml:space="preserve"> </w:t>
      </w:r>
      <w:r w:rsidR="00F0650A">
        <w:t>five-year American Community Survey (ACS)</w:t>
      </w:r>
      <w:r w:rsidR="00DB4BA0">
        <w:t xml:space="preserve"> data</w:t>
      </w:r>
      <w:r w:rsidR="00F0650A">
        <w:rPr>
          <w:color w:val="222222"/>
          <w:szCs w:val="24"/>
        </w:rPr>
        <w:t xml:space="preserve">. </w:t>
      </w:r>
      <w:r w:rsidR="00DB4BA0">
        <w:rPr>
          <w:color w:val="222222"/>
          <w:szCs w:val="24"/>
        </w:rPr>
        <w:t>T</w:t>
      </w:r>
      <w:r w:rsidR="00F0650A">
        <w:rPr>
          <w:color w:val="222222"/>
          <w:szCs w:val="24"/>
        </w:rPr>
        <w:t xml:space="preserve">he ACS </w:t>
      </w:r>
      <w:r w:rsidR="00DB4BA0">
        <w:rPr>
          <w:color w:val="222222"/>
          <w:szCs w:val="24"/>
        </w:rPr>
        <w:t xml:space="preserve">also </w:t>
      </w:r>
      <w:r w:rsidR="00F0650A">
        <w:rPr>
          <w:color w:val="222222"/>
          <w:szCs w:val="24"/>
        </w:rPr>
        <w:t xml:space="preserve">does </w:t>
      </w:r>
      <w:r w:rsidR="00DB4BA0">
        <w:rPr>
          <w:color w:val="222222"/>
          <w:szCs w:val="24"/>
        </w:rPr>
        <w:t xml:space="preserve">provide </w:t>
      </w:r>
      <w:r w:rsidR="00F0650A">
        <w:rPr>
          <w:color w:val="222222"/>
          <w:szCs w:val="24"/>
        </w:rPr>
        <w:t>Texas worker</w:t>
      </w:r>
      <w:r w:rsidR="00DB4BA0">
        <w:rPr>
          <w:color w:val="222222"/>
          <w:szCs w:val="24"/>
        </w:rPr>
        <w:t>-specific</w:t>
      </w:r>
      <w:r w:rsidR="00F0650A">
        <w:rPr>
          <w:color w:val="222222"/>
          <w:szCs w:val="24"/>
        </w:rPr>
        <w:t xml:space="preserve"> </w:t>
      </w:r>
      <w:r w:rsidR="00DB4BA0">
        <w:rPr>
          <w:color w:val="222222"/>
          <w:szCs w:val="24"/>
        </w:rPr>
        <w:t xml:space="preserve">descriptive </w:t>
      </w:r>
      <w:r w:rsidR="00F0650A">
        <w:rPr>
          <w:color w:val="222222"/>
          <w:szCs w:val="24"/>
        </w:rPr>
        <w:t>data related to the formal education level, presence of children (by age) and occupation split in Texas, but groups them differently than in our survey</w:t>
      </w:r>
      <w:r w:rsidR="00DB4BA0">
        <w:rPr>
          <w:color w:val="222222"/>
          <w:szCs w:val="24"/>
        </w:rPr>
        <w:t xml:space="preserve">, so we are unable to compare these descriptive statistics from those from our sample. </w:t>
      </w:r>
      <w:r w:rsidR="00C21EBB">
        <w:rPr>
          <w:color w:val="222222"/>
          <w:szCs w:val="24"/>
        </w:rPr>
        <w:t>Additionally</w:t>
      </w:r>
      <w:r w:rsidR="00806E16">
        <w:rPr>
          <w:color w:val="222222"/>
          <w:szCs w:val="24"/>
        </w:rPr>
        <w:t xml:space="preserve">, </w:t>
      </w:r>
      <w:r w:rsidR="00DB4BA0">
        <w:rPr>
          <w:color w:val="222222"/>
          <w:szCs w:val="24"/>
        </w:rPr>
        <w:t xml:space="preserve">the </w:t>
      </w:r>
      <w:r w:rsidR="00806E16">
        <w:rPr>
          <w:color w:val="222222"/>
          <w:szCs w:val="24"/>
        </w:rPr>
        <w:t xml:space="preserve">household structure </w:t>
      </w:r>
      <w:r w:rsidR="00430632">
        <w:rPr>
          <w:color w:val="222222"/>
          <w:szCs w:val="24"/>
        </w:rPr>
        <w:t xml:space="preserve">and residential attributes </w:t>
      </w:r>
      <w:r w:rsidR="00DB4BA0">
        <w:rPr>
          <w:color w:val="222222"/>
          <w:szCs w:val="24"/>
        </w:rPr>
        <w:t xml:space="preserve">in Table 1 are </w:t>
      </w:r>
      <w:r w:rsidR="00430632">
        <w:rPr>
          <w:color w:val="222222"/>
          <w:szCs w:val="24"/>
        </w:rPr>
        <w:t xml:space="preserve">not available </w:t>
      </w:r>
      <w:r w:rsidR="00DB4BA0">
        <w:rPr>
          <w:color w:val="222222"/>
          <w:szCs w:val="24"/>
        </w:rPr>
        <w:t xml:space="preserve">specific to Texas workers </w:t>
      </w:r>
      <w:r w:rsidR="00430632">
        <w:rPr>
          <w:color w:val="222222"/>
          <w:szCs w:val="24"/>
        </w:rPr>
        <w:t xml:space="preserve">in the ACS. </w:t>
      </w:r>
      <w:r w:rsidR="00F0650A">
        <w:rPr>
          <w:color w:val="222222"/>
          <w:szCs w:val="24"/>
        </w:rPr>
        <w:t>So, Table 1 only shows the comparable ACS-based Texas worker percentages for gender, age, and income</w:t>
      </w:r>
      <w:r w:rsidR="00806E16">
        <w:rPr>
          <w:color w:val="222222"/>
          <w:szCs w:val="24"/>
        </w:rPr>
        <w:t xml:space="preserve">. </w:t>
      </w:r>
      <w:r w:rsidR="00233ACA">
        <w:rPr>
          <w:color w:val="222222"/>
          <w:szCs w:val="24"/>
        </w:rPr>
        <w:t xml:space="preserve">Clearly, the comparison with the ACS data shows that </w:t>
      </w:r>
      <w:r w:rsidR="00F0650A">
        <w:rPr>
          <w:szCs w:val="24"/>
        </w:rPr>
        <w:t xml:space="preserve">our sample </w:t>
      </w:r>
      <w:r w:rsidRPr="00837F9C">
        <w:rPr>
          <w:szCs w:val="24"/>
        </w:rPr>
        <w:t xml:space="preserve">exhibits a </w:t>
      </w:r>
      <w:r w:rsidR="007143A2">
        <w:rPr>
          <w:szCs w:val="24"/>
        </w:rPr>
        <w:t xml:space="preserve">high </w:t>
      </w:r>
      <w:r w:rsidRPr="00837F9C">
        <w:rPr>
          <w:szCs w:val="24"/>
        </w:rPr>
        <w:t xml:space="preserve">proportion of </w:t>
      </w:r>
      <w:r>
        <w:rPr>
          <w:szCs w:val="24"/>
        </w:rPr>
        <w:t>women</w:t>
      </w:r>
      <w:r w:rsidRPr="00837F9C">
        <w:rPr>
          <w:szCs w:val="24"/>
        </w:rPr>
        <w:t xml:space="preserve">, </w:t>
      </w:r>
      <w:r w:rsidR="000A6B2F">
        <w:rPr>
          <w:szCs w:val="24"/>
        </w:rPr>
        <w:t xml:space="preserve">those aged 50-64 years, </w:t>
      </w:r>
      <w:r w:rsidR="007143A2">
        <w:rPr>
          <w:szCs w:val="24"/>
        </w:rPr>
        <w:t xml:space="preserve">and </w:t>
      </w:r>
      <w:r w:rsidR="00F0650A">
        <w:rPr>
          <w:szCs w:val="24"/>
        </w:rPr>
        <w:t>those with</w:t>
      </w:r>
      <w:r w:rsidR="007143A2">
        <w:rPr>
          <w:szCs w:val="24"/>
        </w:rPr>
        <w:t xml:space="preserve"> </w:t>
      </w:r>
      <w:r w:rsidR="00F0650A">
        <w:rPr>
          <w:szCs w:val="24"/>
        </w:rPr>
        <w:t xml:space="preserve">a </w:t>
      </w:r>
      <w:r w:rsidR="007143A2">
        <w:rPr>
          <w:szCs w:val="24"/>
        </w:rPr>
        <w:t>household annual income in the range of $100-150K</w:t>
      </w:r>
      <w:r w:rsidR="00286700">
        <w:rPr>
          <w:szCs w:val="24"/>
        </w:rPr>
        <w:t>, relative to the Texas working population (</w:t>
      </w:r>
      <w:r w:rsidR="009927B7" w:rsidRPr="009927B7">
        <w:rPr>
          <w:szCs w:val="24"/>
        </w:rPr>
        <w:t>U.S. Census Bureau</w:t>
      </w:r>
      <w:r w:rsidR="009927B7">
        <w:rPr>
          <w:szCs w:val="24"/>
        </w:rPr>
        <w:t xml:space="preserve">, </w:t>
      </w:r>
      <w:r w:rsidR="009927B7" w:rsidRPr="009927B7">
        <w:rPr>
          <w:szCs w:val="24"/>
        </w:rPr>
        <w:t>2022</w:t>
      </w:r>
      <w:r w:rsidR="00286700">
        <w:rPr>
          <w:szCs w:val="24"/>
        </w:rPr>
        <w:t>)</w:t>
      </w:r>
      <w:r w:rsidR="007143A2">
        <w:rPr>
          <w:szCs w:val="24"/>
        </w:rPr>
        <w:t xml:space="preserve">. </w:t>
      </w:r>
    </w:p>
    <w:p w14:paraId="6A1BD1DD" w14:textId="26992A5F" w:rsidR="000562D6" w:rsidRPr="00837F9C" w:rsidRDefault="000562D6" w:rsidP="004817C2">
      <w:pPr>
        <w:spacing w:after="0" w:line="240" w:lineRule="auto"/>
        <w:ind w:firstLine="720"/>
        <w:rPr>
          <w:szCs w:val="24"/>
        </w:rPr>
      </w:pPr>
      <w:r w:rsidRPr="00837F9C">
        <w:rPr>
          <w:szCs w:val="24"/>
        </w:rPr>
        <w:t xml:space="preserve">In terms of residential </w:t>
      </w:r>
      <w:r w:rsidR="008E26F5">
        <w:rPr>
          <w:szCs w:val="24"/>
        </w:rPr>
        <w:t>attributes</w:t>
      </w:r>
      <w:r w:rsidRPr="00837F9C">
        <w:rPr>
          <w:szCs w:val="24"/>
        </w:rPr>
        <w:t xml:space="preserve">, </w:t>
      </w:r>
      <w:r w:rsidR="007143A2">
        <w:rPr>
          <w:szCs w:val="24"/>
        </w:rPr>
        <w:t xml:space="preserve">about </w:t>
      </w:r>
      <w:r w:rsidRPr="00837F9C">
        <w:rPr>
          <w:szCs w:val="24"/>
        </w:rPr>
        <w:t>one</w:t>
      </w:r>
      <w:r w:rsidR="007143A2">
        <w:rPr>
          <w:szCs w:val="24"/>
        </w:rPr>
        <w:t xml:space="preserve">-fifth of </w:t>
      </w:r>
      <w:r w:rsidR="00430632">
        <w:rPr>
          <w:szCs w:val="24"/>
        </w:rPr>
        <w:t xml:space="preserve">sample </w:t>
      </w:r>
      <w:r w:rsidR="007143A2">
        <w:rPr>
          <w:szCs w:val="24"/>
        </w:rPr>
        <w:t xml:space="preserve">respondents report </w:t>
      </w:r>
      <w:r w:rsidRPr="00837F9C">
        <w:rPr>
          <w:szCs w:val="24"/>
        </w:rPr>
        <w:t>resid</w:t>
      </w:r>
      <w:r w:rsidR="007143A2">
        <w:rPr>
          <w:szCs w:val="24"/>
        </w:rPr>
        <w:t>ing</w:t>
      </w:r>
      <w:r w:rsidRPr="00837F9C">
        <w:rPr>
          <w:szCs w:val="24"/>
        </w:rPr>
        <w:t xml:space="preserve"> in </w:t>
      </w:r>
      <w:r w:rsidR="007143A2">
        <w:rPr>
          <w:szCs w:val="24"/>
        </w:rPr>
        <w:t xml:space="preserve">an </w:t>
      </w:r>
      <w:r w:rsidRPr="00837F9C">
        <w:rPr>
          <w:szCs w:val="24"/>
        </w:rPr>
        <w:t>urban area</w:t>
      </w:r>
      <w:r w:rsidR="007143A2">
        <w:rPr>
          <w:szCs w:val="24"/>
        </w:rPr>
        <w:t xml:space="preserve"> and a similar percentage report residing in a rural area, </w:t>
      </w:r>
      <w:r w:rsidRPr="00837F9C">
        <w:rPr>
          <w:szCs w:val="24"/>
        </w:rPr>
        <w:t xml:space="preserve">while </w:t>
      </w:r>
      <w:r w:rsidR="007143A2">
        <w:rPr>
          <w:szCs w:val="24"/>
        </w:rPr>
        <w:t>a vast majority (</w:t>
      </w:r>
      <w:r w:rsidRPr="00837F9C">
        <w:rPr>
          <w:szCs w:val="24"/>
        </w:rPr>
        <w:t>57.</w:t>
      </w:r>
      <w:r w:rsidR="007143A2">
        <w:rPr>
          <w:szCs w:val="24"/>
        </w:rPr>
        <w:t>2%)</w:t>
      </w:r>
      <w:r w:rsidRPr="00837F9C">
        <w:rPr>
          <w:szCs w:val="24"/>
        </w:rPr>
        <w:t xml:space="preserve"> </w:t>
      </w:r>
      <w:r w:rsidR="007143A2">
        <w:rPr>
          <w:szCs w:val="24"/>
        </w:rPr>
        <w:t xml:space="preserve">report </w:t>
      </w:r>
      <w:r w:rsidRPr="00837F9C">
        <w:rPr>
          <w:szCs w:val="24"/>
        </w:rPr>
        <w:t>resid</w:t>
      </w:r>
      <w:r w:rsidR="007143A2">
        <w:rPr>
          <w:szCs w:val="24"/>
        </w:rPr>
        <w:t>ing</w:t>
      </w:r>
      <w:r w:rsidRPr="00837F9C">
        <w:rPr>
          <w:szCs w:val="24"/>
        </w:rPr>
        <w:t xml:space="preserve"> in suburban areas</w:t>
      </w:r>
      <w:r w:rsidR="007143A2">
        <w:rPr>
          <w:szCs w:val="24"/>
        </w:rPr>
        <w:t xml:space="preserve"> (respondents were asked to </w:t>
      </w:r>
      <w:r w:rsidR="00D51CE4">
        <w:rPr>
          <w:szCs w:val="24"/>
        </w:rPr>
        <w:t>characterize their neighborhood of living in one of these three categories)</w:t>
      </w:r>
      <w:r w:rsidRPr="00837F9C">
        <w:rPr>
          <w:szCs w:val="24"/>
        </w:rPr>
        <w:t>.</w:t>
      </w:r>
      <w:r>
        <w:rPr>
          <w:szCs w:val="24"/>
        </w:rPr>
        <w:t xml:space="preserve"> </w:t>
      </w:r>
      <w:r w:rsidR="00D51CE4">
        <w:rPr>
          <w:szCs w:val="24"/>
        </w:rPr>
        <w:t xml:space="preserve">Most </w:t>
      </w:r>
      <w:r w:rsidR="00430632">
        <w:rPr>
          <w:szCs w:val="24"/>
        </w:rPr>
        <w:t xml:space="preserve">sample </w:t>
      </w:r>
      <w:r w:rsidR="00D51CE4">
        <w:rPr>
          <w:szCs w:val="24"/>
        </w:rPr>
        <w:t xml:space="preserve">respondents </w:t>
      </w:r>
      <w:r w:rsidR="00731F88">
        <w:rPr>
          <w:szCs w:val="24"/>
        </w:rPr>
        <w:t xml:space="preserve">also report </w:t>
      </w:r>
      <w:r w:rsidR="00D51CE4">
        <w:rPr>
          <w:szCs w:val="24"/>
        </w:rPr>
        <w:t>own</w:t>
      </w:r>
      <w:r w:rsidR="00731F88">
        <w:rPr>
          <w:szCs w:val="24"/>
        </w:rPr>
        <w:t>ing</w:t>
      </w:r>
      <w:r w:rsidR="00D51CE4">
        <w:rPr>
          <w:szCs w:val="24"/>
        </w:rPr>
        <w:t xml:space="preserve"> their home, </w:t>
      </w:r>
      <w:r w:rsidR="00615283">
        <w:rPr>
          <w:szCs w:val="24"/>
        </w:rPr>
        <w:t xml:space="preserve">and </w:t>
      </w:r>
      <w:r w:rsidR="00D51CE4">
        <w:rPr>
          <w:szCs w:val="24"/>
        </w:rPr>
        <w:t xml:space="preserve">indicate that they have a private study </w:t>
      </w:r>
      <w:r w:rsidR="00731F88">
        <w:rPr>
          <w:szCs w:val="24"/>
        </w:rPr>
        <w:t xml:space="preserve">in their home. </w:t>
      </w:r>
      <w:r w:rsidR="008E26F5">
        <w:rPr>
          <w:szCs w:val="24"/>
        </w:rPr>
        <w:t>Finally, in terms of job characteristics, t</w:t>
      </w:r>
      <w:r w:rsidR="00731F88">
        <w:rPr>
          <w:szCs w:val="24"/>
        </w:rPr>
        <w:t>he office location variables indicate an expected skew toward high density locations.</w:t>
      </w:r>
      <w:r w:rsidR="00731F88">
        <w:rPr>
          <w:rStyle w:val="FootnoteReference"/>
          <w:szCs w:val="24"/>
        </w:rPr>
        <w:footnoteReference w:id="6"/>
      </w:r>
      <w:r w:rsidR="00731F88">
        <w:rPr>
          <w:szCs w:val="24"/>
        </w:rPr>
        <w:t xml:space="preserve"> </w:t>
      </w:r>
      <w:r w:rsidR="008E26F5">
        <w:rPr>
          <w:szCs w:val="24"/>
        </w:rPr>
        <w:t>N</w:t>
      </w:r>
      <w:r w:rsidR="006D193E">
        <w:rPr>
          <w:szCs w:val="24"/>
        </w:rPr>
        <w:t xml:space="preserve">ot surprisingly, a high proportion of respondents are </w:t>
      </w:r>
      <w:r w:rsidR="006D193E" w:rsidRPr="0021633B">
        <w:rPr>
          <w:szCs w:val="24"/>
        </w:rPr>
        <w:t xml:space="preserve">full-time </w:t>
      </w:r>
      <w:r w:rsidR="006D193E" w:rsidRPr="00FF45AA">
        <w:rPr>
          <w:szCs w:val="24"/>
        </w:rPr>
        <w:t xml:space="preserve">(working </w:t>
      </w:r>
      <w:r w:rsidR="006265FE">
        <w:rPr>
          <w:szCs w:val="24"/>
        </w:rPr>
        <w:t>30 or more hours per week</w:t>
      </w:r>
      <w:r w:rsidR="006D193E" w:rsidRPr="00FF45AA">
        <w:rPr>
          <w:szCs w:val="24"/>
        </w:rPr>
        <w:t>)</w:t>
      </w:r>
      <w:r w:rsidR="006D193E" w:rsidRPr="00837F9C">
        <w:rPr>
          <w:szCs w:val="24"/>
        </w:rPr>
        <w:t xml:space="preserve"> </w:t>
      </w:r>
      <w:r w:rsidR="006D193E">
        <w:rPr>
          <w:szCs w:val="24"/>
        </w:rPr>
        <w:t xml:space="preserve">and not self-employed. </w:t>
      </w:r>
      <w:r w:rsidR="007673C6">
        <w:rPr>
          <w:szCs w:val="24"/>
        </w:rPr>
        <w:t>A substantial percentage (80.7%) of respondents work 20-24 days of the month, with a non-insignificant 13.0% working 25 days or more in the month.</w:t>
      </w:r>
      <w:r w:rsidR="00C91304">
        <w:rPr>
          <w:szCs w:val="24"/>
        </w:rPr>
        <w:t xml:space="preserve"> </w:t>
      </w:r>
      <w:r w:rsidR="006D193E">
        <w:rPr>
          <w:szCs w:val="24"/>
        </w:rPr>
        <w:t>Also, r</w:t>
      </w:r>
      <w:r w:rsidR="006D193E" w:rsidRPr="00837F9C">
        <w:rPr>
          <w:szCs w:val="24"/>
        </w:rPr>
        <w:t xml:space="preserve">espondents are largely employed in occupations that are remote-work friendly (e.g., education/social services, </w:t>
      </w:r>
      <w:r w:rsidR="006D193E">
        <w:rPr>
          <w:szCs w:val="24"/>
        </w:rPr>
        <w:t xml:space="preserve">managerial/technical, and </w:t>
      </w:r>
      <w:r w:rsidR="006D193E" w:rsidRPr="00837F9C">
        <w:rPr>
          <w:szCs w:val="24"/>
        </w:rPr>
        <w:t>professional</w:t>
      </w:r>
      <w:r w:rsidR="006D193E">
        <w:rPr>
          <w:szCs w:val="24"/>
        </w:rPr>
        <w:t xml:space="preserve"> services</w:t>
      </w:r>
      <w:r w:rsidR="006D193E" w:rsidRPr="00837F9C">
        <w:rPr>
          <w:szCs w:val="24"/>
        </w:rPr>
        <w:t>).</w:t>
      </w:r>
      <w:r w:rsidR="006D193E">
        <w:rPr>
          <w:szCs w:val="24"/>
        </w:rPr>
        <w:t xml:space="preserve"> Very </w:t>
      </w:r>
      <w:r w:rsidR="006D193E" w:rsidRPr="00837F9C">
        <w:rPr>
          <w:szCs w:val="24"/>
        </w:rPr>
        <w:t xml:space="preserve">small percentages are employed in occupations that may be viewed as more of </w:t>
      </w:r>
      <w:r w:rsidR="006D193E">
        <w:rPr>
          <w:szCs w:val="24"/>
        </w:rPr>
        <w:t xml:space="preserve">“essential” </w:t>
      </w:r>
      <w:r w:rsidR="006D193E" w:rsidRPr="00837F9C">
        <w:rPr>
          <w:szCs w:val="24"/>
        </w:rPr>
        <w:t>in-</w:t>
      </w:r>
      <w:r w:rsidR="006D193E" w:rsidRPr="004D5DF9">
        <w:rPr>
          <w:szCs w:val="24"/>
        </w:rPr>
        <w:t xml:space="preserve">person in nature </w:t>
      </w:r>
      <w:r w:rsidR="00460E90">
        <w:rPr>
          <w:szCs w:val="24"/>
        </w:rPr>
        <w:t xml:space="preserve">(such as </w:t>
      </w:r>
      <w:r w:rsidR="006D193E">
        <w:rPr>
          <w:szCs w:val="24"/>
        </w:rPr>
        <w:t xml:space="preserve">retail </w:t>
      </w:r>
      <w:r w:rsidR="006D193E" w:rsidRPr="00A15909">
        <w:rPr>
          <w:szCs w:val="24"/>
        </w:rPr>
        <w:t>sales/food service</w:t>
      </w:r>
      <w:r w:rsidR="006D193E">
        <w:rPr>
          <w:szCs w:val="24"/>
        </w:rPr>
        <w:t>s</w:t>
      </w:r>
      <w:r w:rsidR="006D193E" w:rsidRPr="00A15909">
        <w:rPr>
          <w:szCs w:val="24"/>
        </w:rPr>
        <w:t xml:space="preserve"> </w:t>
      </w:r>
      <w:r w:rsidR="006D193E">
        <w:rPr>
          <w:szCs w:val="24"/>
        </w:rPr>
        <w:t xml:space="preserve">and </w:t>
      </w:r>
      <w:r w:rsidR="006D193E" w:rsidRPr="00A15909">
        <w:rPr>
          <w:szCs w:val="24"/>
        </w:rPr>
        <w:t>healthcare</w:t>
      </w:r>
      <w:r w:rsidR="006D193E" w:rsidRPr="004D5DF9">
        <w:rPr>
          <w:szCs w:val="24"/>
        </w:rPr>
        <w:t xml:space="preserve">). </w:t>
      </w:r>
      <w:r w:rsidR="006D193E">
        <w:rPr>
          <w:szCs w:val="24"/>
        </w:rPr>
        <w:t xml:space="preserve"> </w:t>
      </w:r>
    </w:p>
    <w:p w14:paraId="6B306B70" w14:textId="6484E3CD" w:rsidR="00404F3F" w:rsidRDefault="00430632" w:rsidP="00303FC0">
      <w:pPr>
        <w:spacing w:after="0" w:line="240" w:lineRule="auto"/>
        <w:ind w:firstLine="720"/>
        <w:rPr>
          <w:szCs w:val="24"/>
        </w:rPr>
      </w:pPr>
      <w:r>
        <w:t>As indicated earlier, we are unable to compare many demographic/residential attributes with the population characteristics of Texas workers. However, we are able to examine the</w:t>
      </w:r>
      <w:r w:rsidR="00404F3F">
        <w:t xml:space="preserve"> </w:t>
      </w:r>
      <w:r>
        <w:t>representativeness of our sample o</w:t>
      </w:r>
      <w:r w:rsidR="00404F3F">
        <w:t xml:space="preserve">n work characteristics by comparing with </w:t>
      </w:r>
      <w:r w:rsidR="00404F3F">
        <w:rPr>
          <w:szCs w:val="24"/>
        </w:rPr>
        <w:t xml:space="preserve">the </w:t>
      </w:r>
      <w:r w:rsidR="00404F3F" w:rsidRPr="00163851">
        <w:rPr>
          <w:szCs w:val="24"/>
        </w:rPr>
        <w:t>2020 Texas Census (Texas Demographic Center, 2022</w:t>
      </w:r>
      <w:r w:rsidR="00404F3F">
        <w:rPr>
          <w:szCs w:val="24"/>
        </w:rPr>
        <w:t>).</w:t>
      </w:r>
      <w:r w:rsidR="00FD4926">
        <w:rPr>
          <w:rStyle w:val="FootnoteReference"/>
        </w:rPr>
        <w:footnoteReference w:id="7"/>
      </w:r>
      <w:r w:rsidR="00FD4926">
        <w:t xml:space="preserve"> </w:t>
      </w:r>
      <w:r w:rsidR="00404F3F">
        <w:t xml:space="preserve">In fact, we also considered an alternative weighted approach for presenting the descriptive statistics in Table 1, by developing weights based on the ACS-based Texas worker population splits of age, gender, and income. </w:t>
      </w:r>
      <w:r w:rsidR="0003015F">
        <w:t xml:space="preserve">But, the resulting weighted </w:t>
      </w:r>
      <w:r w:rsidR="0003015F">
        <w:lastRenderedPageBreak/>
        <w:t xml:space="preserve">sample descriptive statistics for work characteristics are generally worse </w:t>
      </w:r>
      <w:r w:rsidR="00DB4BA0">
        <w:t xml:space="preserve">(when compared to the 2020 Texas Census) </w:t>
      </w:r>
      <w:r w:rsidR="0003015F">
        <w:t xml:space="preserve">than those from our unweighted sample. </w:t>
      </w:r>
      <w:r w:rsidR="00AB4E26">
        <w:t xml:space="preserve">In particular, </w:t>
      </w:r>
      <w:r w:rsidR="00AB4E26">
        <w:rPr>
          <w:szCs w:val="24"/>
        </w:rPr>
        <w:t xml:space="preserve">while </w:t>
      </w:r>
      <w:r w:rsidR="00AB4E26" w:rsidRPr="00163851">
        <w:rPr>
          <w:szCs w:val="24"/>
        </w:rPr>
        <w:t xml:space="preserve">there is an underrepresentation of part-time employees </w:t>
      </w:r>
      <w:r w:rsidR="004A699F">
        <w:rPr>
          <w:szCs w:val="24"/>
        </w:rPr>
        <w:t xml:space="preserve">(work hours per week &lt; 30 hours) </w:t>
      </w:r>
      <w:r w:rsidR="00AB4E26" w:rsidRPr="00163851">
        <w:rPr>
          <w:szCs w:val="24"/>
        </w:rPr>
        <w:t>in our sample (4.4% of the sample relative to 11.4% of the Texas population</w:t>
      </w:r>
      <w:r w:rsidR="00AB4E26">
        <w:rPr>
          <w:szCs w:val="24"/>
        </w:rPr>
        <w:t xml:space="preserve">), </w:t>
      </w:r>
      <w:r w:rsidR="0003015F">
        <w:rPr>
          <w:szCs w:val="24"/>
        </w:rPr>
        <w:t xml:space="preserve">the weighted sample reflects an overrepresentation by about an equal amount. Both the weighted and unweighted samples are </w:t>
      </w:r>
      <w:r w:rsidR="00AB4E26" w:rsidRPr="00163851">
        <w:rPr>
          <w:szCs w:val="24"/>
        </w:rPr>
        <w:t xml:space="preserve">fairly </w:t>
      </w:r>
      <w:r w:rsidR="00AB4E26" w:rsidRPr="0074589D">
        <w:rPr>
          <w:szCs w:val="24"/>
        </w:rPr>
        <w:t xml:space="preserve">representative of </w:t>
      </w:r>
      <w:r w:rsidR="00123D42">
        <w:rPr>
          <w:szCs w:val="24"/>
        </w:rPr>
        <w:t xml:space="preserve">the professional services and information/finance </w:t>
      </w:r>
      <w:r w:rsidR="00AB4E26" w:rsidRPr="0074589D">
        <w:rPr>
          <w:szCs w:val="24"/>
        </w:rPr>
        <w:t xml:space="preserve">industry </w:t>
      </w:r>
      <w:r w:rsidR="00AB4E26" w:rsidRPr="00FF45AA">
        <w:rPr>
          <w:szCs w:val="24"/>
        </w:rPr>
        <w:t>sectors</w:t>
      </w:r>
      <w:r w:rsidR="00B93AFD" w:rsidRPr="00FF45AA">
        <w:rPr>
          <w:szCs w:val="24"/>
        </w:rPr>
        <w:t xml:space="preserve"> </w:t>
      </w:r>
      <w:r w:rsidR="00123D42">
        <w:rPr>
          <w:szCs w:val="24"/>
        </w:rPr>
        <w:t>that we are able to compare with the 2020 Texas Census, being off by less than 3.5% from the population values (</w:t>
      </w:r>
      <w:r w:rsidR="004C13AD" w:rsidRPr="00FF45AA">
        <w:rPr>
          <w:szCs w:val="24"/>
        </w:rPr>
        <w:t>1</w:t>
      </w:r>
      <w:r w:rsidR="0003015F">
        <w:rPr>
          <w:szCs w:val="24"/>
        </w:rPr>
        <w:t>1</w:t>
      </w:r>
      <w:r w:rsidR="004C13AD" w:rsidRPr="00FF45AA">
        <w:rPr>
          <w:szCs w:val="24"/>
        </w:rPr>
        <w:t>.</w:t>
      </w:r>
      <w:r w:rsidR="0003015F">
        <w:rPr>
          <w:szCs w:val="24"/>
        </w:rPr>
        <w:t>9</w:t>
      </w:r>
      <w:r w:rsidR="004C13AD" w:rsidRPr="00FF45AA">
        <w:rPr>
          <w:szCs w:val="24"/>
        </w:rPr>
        <w:t xml:space="preserve">% of </w:t>
      </w:r>
      <w:r w:rsidR="0003015F">
        <w:rPr>
          <w:szCs w:val="24"/>
        </w:rPr>
        <w:t xml:space="preserve">the Texas population </w:t>
      </w:r>
      <w:r w:rsidR="004C13AD" w:rsidRPr="00FF45AA">
        <w:rPr>
          <w:szCs w:val="24"/>
        </w:rPr>
        <w:t>works in the professional services industry,</w:t>
      </w:r>
      <w:r w:rsidR="00123D42">
        <w:rPr>
          <w:szCs w:val="24"/>
        </w:rPr>
        <w:t xml:space="preserve"> </w:t>
      </w:r>
      <w:r w:rsidR="0074589D" w:rsidRPr="00FF45AA">
        <w:rPr>
          <w:szCs w:val="24"/>
        </w:rPr>
        <w:t xml:space="preserve">while 8.5% of the Texas population </w:t>
      </w:r>
      <w:r w:rsidR="00123D42">
        <w:rPr>
          <w:szCs w:val="24"/>
        </w:rPr>
        <w:t>works in the information/finance sectors</w:t>
      </w:r>
      <w:r w:rsidR="0074589D" w:rsidRPr="00FF45AA">
        <w:rPr>
          <w:szCs w:val="24"/>
        </w:rPr>
        <w:t>).</w:t>
      </w:r>
      <w:r w:rsidR="00AB4E26" w:rsidRPr="00163851">
        <w:rPr>
          <w:szCs w:val="24"/>
        </w:rPr>
        <w:t xml:space="preserve"> With regard to commute time, in Texas, the average commute time </w:t>
      </w:r>
      <w:r w:rsidR="000E4C71">
        <w:rPr>
          <w:szCs w:val="24"/>
        </w:rPr>
        <w:t xml:space="preserve">from the Census data </w:t>
      </w:r>
      <w:r w:rsidR="00AB4E26" w:rsidRPr="00163851">
        <w:rPr>
          <w:szCs w:val="24"/>
        </w:rPr>
        <w:t xml:space="preserve">is 26.4 minutes, while </w:t>
      </w:r>
      <w:r w:rsidR="00B93AFD">
        <w:rPr>
          <w:szCs w:val="24"/>
        </w:rPr>
        <w:t xml:space="preserve">that </w:t>
      </w:r>
      <w:r w:rsidR="00123D42">
        <w:rPr>
          <w:szCs w:val="24"/>
        </w:rPr>
        <w:t>from</w:t>
      </w:r>
      <w:r w:rsidR="00B93AFD">
        <w:rPr>
          <w:szCs w:val="24"/>
        </w:rPr>
        <w:t xml:space="preserve"> </w:t>
      </w:r>
      <w:r w:rsidR="00AB4E26" w:rsidRPr="00163851">
        <w:rPr>
          <w:szCs w:val="24"/>
        </w:rPr>
        <w:t xml:space="preserve">our </w:t>
      </w:r>
      <w:r w:rsidR="00123D42">
        <w:rPr>
          <w:szCs w:val="24"/>
        </w:rPr>
        <w:t xml:space="preserve">unweighted </w:t>
      </w:r>
      <w:r w:rsidR="00AB4E26" w:rsidRPr="00163851">
        <w:rPr>
          <w:szCs w:val="24"/>
        </w:rPr>
        <w:t>sample is 24.0 minutes</w:t>
      </w:r>
      <w:r w:rsidR="000E4C71">
        <w:rPr>
          <w:szCs w:val="24"/>
        </w:rPr>
        <w:t>,</w:t>
      </w:r>
      <w:r w:rsidR="00123D42">
        <w:rPr>
          <w:szCs w:val="24"/>
        </w:rPr>
        <w:t xml:space="preserve"> compared to </w:t>
      </w:r>
      <w:r w:rsidR="000E4C71">
        <w:rPr>
          <w:szCs w:val="24"/>
        </w:rPr>
        <w:t xml:space="preserve">a substantial underestimation from the weighted sample of 14.7 minutes. </w:t>
      </w:r>
      <w:r w:rsidR="00AB4E26" w:rsidRPr="00163851">
        <w:rPr>
          <w:szCs w:val="24"/>
        </w:rPr>
        <w:t xml:space="preserve">Additionally, </w:t>
      </w:r>
      <w:r w:rsidR="008C1833">
        <w:rPr>
          <w:szCs w:val="24"/>
        </w:rPr>
        <w:t>t</w:t>
      </w:r>
      <w:r w:rsidR="00AB4E26" w:rsidRPr="00163851">
        <w:rPr>
          <w:szCs w:val="24"/>
        </w:rPr>
        <w:t xml:space="preserve">he average number of days an employee works in a month </w:t>
      </w:r>
      <w:r w:rsidR="000E4C71">
        <w:rPr>
          <w:szCs w:val="24"/>
        </w:rPr>
        <w:t xml:space="preserve">from the Census data </w:t>
      </w:r>
      <w:r w:rsidR="00AB4E26" w:rsidRPr="00163851">
        <w:rPr>
          <w:szCs w:val="24"/>
        </w:rPr>
        <w:t>is 22 days</w:t>
      </w:r>
      <w:r w:rsidR="008C1833">
        <w:rPr>
          <w:szCs w:val="24"/>
        </w:rPr>
        <w:t xml:space="preserve">; the </w:t>
      </w:r>
      <w:r w:rsidR="000E4C71">
        <w:rPr>
          <w:szCs w:val="24"/>
        </w:rPr>
        <w:t>unweighted sample</w:t>
      </w:r>
      <w:r w:rsidR="008C1833">
        <w:rPr>
          <w:szCs w:val="24"/>
        </w:rPr>
        <w:t xml:space="preserve"> mean is very close at 21.8 days </w:t>
      </w:r>
      <w:r w:rsidR="000E4C71">
        <w:rPr>
          <w:szCs w:val="24"/>
        </w:rPr>
        <w:t>relative to 2</w:t>
      </w:r>
      <w:r w:rsidR="008C1833">
        <w:rPr>
          <w:szCs w:val="24"/>
        </w:rPr>
        <w:t>0</w:t>
      </w:r>
      <w:r w:rsidR="000E4C71">
        <w:rPr>
          <w:szCs w:val="24"/>
        </w:rPr>
        <w:t>.</w:t>
      </w:r>
      <w:r w:rsidR="008C1833">
        <w:rPr>
          <w:szCs w:val="24"/>
        </w:rPr>
        <w:t>8</w:t>
      </w:r>
      <w:r w:rsidR="000E4C71">
        <w:rPr>
          <w:szCs w:val="24"/>
        </w:rPr>
        <w:t xml:space="preserve"> days from the weighted</w:t>
      </w:r>
      <w:r w:rsidR="008C1833">
        <w:rPr>
          <w:szCs w:val="24"/>
        </w:rPr>
        <w:t xml:space="preserve"> sample</w:t>
      </w:r>
      <w:r w:rsidR="000E4C71">
        <w:rPr>
          <w:szCs w:val="24"/>
        </w:rPr>
        <w:t>)</w:t>
      </w:r>
      <w:r w:rsidR="00AB4E26" w:rsidRPr="00163851">
        <w:rPr>
          <w:szCs w:val="24"/>
        </w:rPr>
        <w:t>.</w:t>
      </w:r>
      <w:r w:rsidR="00BA3C16">
        <w:rPr>
          <w:szCs w:val="24"/>
        </w:rPr>
        <w:t xml:space="preserve"> </w:t>
      </w:r>
      <w:r w:rsidR="00C21EBB">
        <w:rPr>
          <w:szCs w:val="24"/>
        </w:rPr>
        <w:t>Also</w:t>
      </w:r>
      <w:r w:rsidR="008C1833">
        <w:rPr>
          <w:szCs w:val="24"/>
        </w:rPr>
        <w:t>,</w:t>
      </w:r>
      <w:r w:rsidR="000E4C71">
        <w:rPr>
          <w:szCs w:val="24"/>
        </w:rPr>
        <w:t xml:space="preserve"> relative to the </w:t>
      </w:r>
      <w:r w:rsidR="00BA3C16">
        <w:rPr>
          <w:szCs w:val="24"/>
        </w:rPr>
        <w:t xml:space="preserve">75.4% of employees </w:t>
      </w:r>
      <w:r w:rsidR="000E4C71">
        <w:rPr>
          <w:szCs w:val="24"/>
        </w:rPr>
        <w:t xml:space="preserve">with </w:t>
      </w:r>
      <w:r w:rsidR="00BA3C16">
        <w:rPr>
          <w:szCs w:val="24"/>
        </w:rPr>
        <w:t xml:space="preserve">a commute </w:t>
      </w:r>
      <w:r w:rsidR="000E4C71">
        <w:rPr>
          <w:szCs w:val="24"/>
        </w:rPr>
        <w:t>time</w:t>
      </w:r>
      <w:r w:rsidR="00BA3C16">
        <w:rPr>
          <w:szCs w:val="24"/>
        </w:rPr>
        <w:t xml:space="preserve"> longer than 15 minutes, </w:t>
      </w:r>
      <w:r w:rsidR="000E4C71">
        <w:rPr>
          <w:szCs w:val="24"/>
        </w:rPr>
        <w:t xml:space="preserve">our unweighted sample statistic of </w:t>
      </w:r>
      <w:r w:rsidR="00BA3C16">
        <w:rPr>
          <w:szCs w:val="24"/>
        </w:rPr>
        <w:t>74.3%</w:t>
      </w:r>
      <w:r w:rsidR="000E4C71">
        <w:rPr>
          <w:szCs w:val="24"/>
        </w:rPr>
        <w:t xml:space="preserve"> is far better than the corresponding weighted sample statistic of only 44%</w:t>
      </w:r>
      <w:r w:rsidR="00BA3C16">
        <w:rPr>
          <w:szCs w:val="24"/>
        </w:rPr>
        <w:t xml:space="preserve">. </w:t>
      </w:r>
      <w:r w:rsidR="00AB4E26" w:rsidRPr="00163851">
        <w:rPr>
          <w:szCs w:val="24"/>
        </w:rPr>
        <w:t xml:space="preserve"> </w:t>
      </w:r>
    </w:p>
    <w:p w14:paraId="454C8EBB" w14:textId="1D464340" w:rsidR="00031A7E" w:rsidRDefault="00AB4E26" w:rsidP="00303FC0">
      <w:pPr>
        <w:spacing w:after="0" w:line="240" w:lineRule="auto"/>
        <w:ind w:firstLine="720"/>
        <w:rPr>
          <w:szCs w:val="24"/>
        </w:rPr>
      </w:pPr>
      <w:r w:rsidRPr="00163851">
        <w:rPr>
          <w:szCs w:val="24"/>
        </w:rPr>
        <w:t>Overall,</w:t>
      </w:r>
      <w:r w:rsidR="005B4685">
        <w:rPr>
          <w:szCs w:val="24"/>
        </w:rPr>
        <w:t xml:space="preserve"> while we could have presented the weighted statistics in Table 1 rather than the unweighted statistics, we choose the latter because weighting just based on age, gender, and income actually makes the descriptive statistics for the work characteristics generally worse off. This is because the combination of the variables in our unweighted sample is such that it reflects the employment characteristics of the Texas population better than the restrictive weighting scheme dominated by just three demographic variables. </w:t>
      </w:r>
      <w:r w:rsidR="00F06FAC">
        <w:rPr>
          <w:szCs w:val="24"/>
        </w:rPr>
        <w:t>Thus, we stick with the unweighted sample statistics in Table 1 as well as present the descriptive statistics of the main work-related outcome variables in the next section too based on the unweighted sa</w:t>
      </w:r>
      <w:r w:rsidR="00040A53">
        <w:rPr>
          <w:szCs w:val="24"/>
        </w:rPr>
        <w:t xml:space="preserve">mple (but </w:t>
      </w:r>
      <w:r w:rsidR="00DB4BA0">
        <w:rPr>
          <w:szCs w:val="24"/>
        </w:rPr>
        <w:t xml:space="preserve">we </w:t>
      </w:r>
      <w:r w:rsidR="00040A53">
        <w:rPr>
          <w:szCs w:val="24"/>
        </w:rPr>
        <w:t>provid</w:t>
      </w:r>
      <w:r w:rsidR="00DB4BA0">
        <w:rPr>
          <w:szCs w:val="24"/>
        </w:rPr>
        <w:t>e</w:t>
      </w:r>
      <w:r w:rsidR="00040A53">
        <w:rPr>
          <w:szCs w:val="24"/>
        </w:rPr>
        <w:t xml:space="preserve"> the weighted statistics too for comparison purposes).</w:t>
      </w:r>
    </w:p>
    <w:p w14:paraId="6E30A7FF" w14:textId="77777777" w:rsidR="00615283" w:rsidRDefault="00615283" w:rsidP="00303FC0">
      <w:pPr>
        <w:pStyle w:val="Heading3"/>
        <w:numPr>
          <w:ilvl w:val="0"/>
          <w:numId w:val="0"/>
        </w:numPr>
        <w:spacing w:before="0" w:line="240" w:lineRule="auto"/>
        <w:ind w:left="720"/>
        <w:rPr>
          <w:szCs w:val="24"/>
        </w:rPr>
      </w:pPr>
    </w:p>
    <w:p w14:paraId="42F92869" w14:textId="44D65967" w:rsidR="009418AE" w:rsidRPr="00163851" w:rsidRDefault="009418AE" w:rsidP="00303FC0">
      <w:pPr>
        <w:pStyle w:val="Heading3"/>
        <w:spacing w:before="0" w:line="240" w:lineRule="auto"/>
        <w:ind w:left="540" w:hanging="540"/>
        <w:rPr>
          <w:szCs w:val="24"/>
        </w:rPr>
      </w:pPr>
      <w:r w:rsidRPr="00163851">
        <w:rPr>
          <w:szCs w:val="24"/>
        </w:rPr>
        <w:t>Main Outcome Variable</w:t>
      </w:r>
      <w:r w:rsidR="00110135" w:rsidRPr="00163851">
        <w:rPr>
          <w:szCs w:val="24"/>
        </w:rPr>
        <w:t>s</w:t>
      </w:r>
      <w:r w:rsidRPr="00163851">
        <w:rPr>
          <w:szCs w:val="24"/>
        </w:rPr>
        <w:t xml:space="preserve"> Description</w:t>
      </w:r>
    </w:p>
    <w:p w14:paraId="4297E105" w14:textId="77777777" w:rsidR="007A7302" w:rsidRDefault="00A82FCC" w:rsidP="00303FC0">
      <w:pPr>
        <w:spacing w:after="0" w:line="240" w:lineRule="auto"/>
        <w:rPr>
          <w:szCs w:val="24"/>
        </w:rPr>
      </w:pPr>
      <w:r w:rsidRPr="00163851">
        <w:rPr>
          <w:szCs w:val="24"/>
        </w:rPr>
        <w:t>There are two main outcome variables in this study. The first outcome of interest</w:t>
      </w:r>
      <w:r w:rsidR="00615283">
        <w:rPr>
          <w:szCs w:val="24"/>
        </w:rPr>
        <w:t xml:space="preserve"> relates to teleworking </w:t>
      </w:r>
      <w:r w:rsidRPr="00163851">
        <w:rPr>
          <w:szCs w:val="24"/>
        </w:rPr>
        <w:t xml:space="preserve">choice and the second is the commute distance (from </w:t>
      </w:r>
      <w:r w:rsidR="00F146D2" w:rsidRPr="00163851">
        <w:rPr>
          <w:szCs w:val="24"/>
        </w:rPr>
        <w:t xml:space="preserve">the </w:t>
      </w:r>
      <w:r w:rsidRPr="00163851">
        <w:rPr>
          <w:szCs w:val="24"/>
        </w:rPr>
        <w:t xml:space="preserve">individual’s home to </w:t>
      </w:r>
      <w:r w:rsidR="00615283">
        <w:rPr>
          <w:szCs w:val="24"/>
        </w:rPr>
        <w:t xml:space="preserve">the </w:t>
      </w:r>
      <w:r w:rsidRPr="00163851">
        <w:rPr>
          <w:szCs w:val="24"/>
        </w:rPr>
        <w:t xml:space="preserve">office). </w:t>
      </w:r>
      <w:r w:rsidR="00F06FAC">
        <w:rPr>
          <w:szCs w:val="24"/>
        </w:rPr>
        <w:t xml:space="preserve">There is no good information to compare the teleworking adoption/frequency outcome from our survey with what was on the ground in 2022, and the Texas Census does not provide </w:t>
      </w:r>
      <w:r w:rsidR="007A7302">
        <w:rPr>
          <w:szCs w:val="24"/>
        </w:rPr>
        <w:t>information on commute distance among Texas workers (only provides information on commute time)</w:t>
      </w:r>
      <w:r w:rsidR="00F06FAC">
        <w:rPr>
          <w:szCs w:val="24"/>
        </w:rPr>
        <w:t xml:space="preserve">. </w:t>
      </w:r>
    </w:p>
    <w:p w14:paraId="35A96F2A" w14:textId="13BAC1E1" w:rsidR="00D224F1" w:rsidRPr="00A85D82" w:rsidRDefault="00A82FCC" w:rsidP="004817C2">
      <w:pPr>
        <w:spacing w:after="0" w:line="240" w:lineRule="auto"/>
        <w:ind w:firstLine="720"/>
      </w:pPr>
      <w:r w:rsidRPr="00163851">
        <w:rPr>
          <w:szCs w:val="24"/>
        </w:rPr>
        <w:t xml:space="preserve">The first </w:t>
      </w:r>
      <w:r w:rsidR="00615283">
        <w:rPr>
          <w:szCs w:val="24"/>
        </w:rPr>
        <w:t>telework choice dimension</w:t>
      </w:r>
      <w:r w:rsidRPr="00163851">
        <w:rPr>
          <w:szCs w:val="24"/>
        </w:rPr>
        <w:t xml:space="preserve"> takes the form of a multiple discrete-continuous (MDC) variable (see Bhat 2008 for further details about such variables). Essentially, </w:t>
      </w:r>
      <w:r w:rsidR="00202DF1" w:rsidRPr="00163851">
        <w:rPr>
          <w:szCs w:val="24"/>
        </w:rPr>
        <w:t xml:space="preserve">an MDC type variable is </w:t>
      </w:r>
      <w:r w:rsidR="00202DF1" w:rsidRPr="00163851">
        <w:rPr>
          <w:color w:val="000000" w:themeColor="text1"/>
          <w:szCs w:val="24"/>
        </w:rPr>
        <w:t>characterized by the discrete choice of multiple alternatives (i.e., whether or not an alternative is chosen)</w:t>
      </w:r>
      <w:r w:rsidR="009964E3">
        <w:rPr>
          <w:color w:val="000000" w:themeColor="text1"/>
          <w:szCs w:val="24"/>
        </w:rPr>
        <w:t>,</w:t>
      </w:r>
      <w:r w:rsidR="00202DF1" w:rsidRPr="00163851">
        <w:rPr>
          <w:color w:val="000000" w:themeColor="text1"/>
          <w:szCs w:val="24"/>
        </w:rPr>
        <w:t xml:space="preserve"> along with </w:t>
      </w:r>
      <w:r w:rsidR="009964E3">
        <w:rPr>
          <w:color w:val="000000" w:themeColor="text1"/>
          <w:szCs w:val="24"/>
        </w:rPr>
        <w:t>a</w:t>
      </w:r>
      <w:r w:rsidR="00202DF1" w:rsidRPr="00163851">
        <w:rPr>
          <w:color w:val="000000" w:themeColor="text1"/>
          <w:szCs w:val="24"/>
        </w:rPr>
        <w:t xml:space="preserve"> </w:t>
      </w:r>
      <w:r w:rsidR="009964E3">
        <w:rPr>
          <w:color w:val="000000" w:themeColor="text1"/>
          <w:szCs w:val="24"/>
        </w:rPr>
        <w:t xml:space="preserve">continuous quantity allocated to each </w:t>
      </w:r>
      <w:r w:rsidR="00202DF1" w:rsidRPr="00163851">
        <w:rPr>
          <w:color w:val="000000" w:themeColor="text1"/>
          <w:szCs w:val="24"/>
        </w:rPr>
        <w:t xml:space="preserve">chosen alternative. In the context of the survey used in this study, individuals were asked to provide the distribution of their </w:t>
      </w:r>
      <w:r w:rsidR="009C50E8">
        <w:rPr>
          <w:color w:val="000000" w:themeColor="text1"/>
          <w:szCs w:val="24"/>
        </w:rPr>
        <w:t xml:space="preserve">“days of work over the past month” </w:t>
      </w:r>
      <w:r w:rsidR="00202DF1" w:rsidRPr="00163851">
        <w:rPr>
          <w:color w:val="000000" w:themeColor="text1"/>
          <w:szCs w:val="24"/>
        </w:rPr>
        <w:t>a</w:t>
      </w:r>
      <w:r w:rsidR="009C50E8">
        <w:rPr>
          <w:color w:val="000000" w:themeColor="text1"/>
          <w:szCs w:val="24"/>
        </w:rPr>
        <w:t>cross</w:t>
      </w:r>
      <w:r w:rsidR="00202DF1" w:rsidRPr="00163851">
        <w:rPr>
          <w:color w:val="000000" w:themeColor="text1"/>
          <w:szCs w:val="24"/>
        </w:rPr>
        <w:t xml:space="preserve"> three </w:t>
      </w:r>
      <w:r w:rsidR="009C50E8">
        <w:rPr>
          <w:color w:val="000000" w:themeColor="text1"/>
          <w:szCs w:val="24"/>
        </w:rPr>
        <w:t xml:space="preserve">work place location (WPL) </w:t>
      </w:r>
      <w:r w:rsidR="00202DF1" w:rsidRPr="00163851">
        <w:rPr>
          <w:color w:val="000000" w:themeColor="text1"/>
          <w:szCs w:val="24"/>
        </w:rPr>
        <w:t>alternatives – “Work from home”, “Work from the</w:t>
      </w:r>
      <w:r w:rsidR="009964E3">
        <w:rPr>
          <w:color w:val="000000" w:themeColor="text1"/>
          <w:szCs w:val="24"/>
        </w:rPr>
        <w:t xml:space="preserve"> </w:t>
      </w:r>
      <w:r w:rsidR="00202DF1" w:rsidRPr="00163851">
        <w:rPr>
          <w:color w:val="000000" w:themeColor="text1"/>
          <w:szCs w:val="24"/>
        </w:rPr>
        <w:t xml:space="preserve">office”, and “Work from a third workplace”. </w:t>
      </w:r>
      <w:r w:rsidR="00460E90">
        <w:rPr>
          <w:color w:val="000000" w:themeColor="text1"/>
          <w:szCs w:val="24"/>
        </w:rPr>
        <w:t>Here</w:t>
      </w:r>
      <w:r w:rsidR="009964E3">
        <w:rPr>
          <w:color w:val="000000" w:themeColor="text1"/>
          <w:szCs w:val="24"/>
        </w:rPr>
        <w:t xml:space="preserve">, the discrete dimension refers to whether or not each of these </w:t>
      </w:r>
      <w:r w:rsidR="009C50E8">
        <w:rPr>
          <w:color w:val="000000" w:themeColor="text1"/>
          <w:szCs w:val="24"/>
        </w:rPr>
        <w:t xml:space="preserve">WPL </w:t>
      </w:r>
      <w:r w:rsidR="009964E3">
        <w:rPr>
          <w:color w:val="000000" w:themeColor="text1"/>
          <w:szCs w:val="24"/>
        </w:rPr>
        <w:t xml:space="preserve">alternatives is chosen at least once during the month, and the continuous dimension refers to the </w:t>
      </w:r>
      <w:r w:rsidR="00A85D82">
        <w:rPr>
          <w:color w:val="000000" w:themeColor="text1"/>
          <w:szCs w:val="24"/>
        </w:rPr>
        <w:t xml:space="preserve">(cardinal) </w:t>
      </w:r>
      <w:r w:rsidR="009964E3">
        <w:rPr>
          <w:color w:val="000000" w:themeColor="text1"/>
          <w:szCs w:val="24"/>
        </w:rPr>
        <w:t>number of workdays in the month</w:t>
      </w:r>
      <w:r w:rsidR="009C50E8">
        <w:rPr>
          <w:color w:val="000000" w:themeColor="text1"/>
          <w:szCs w:val="24"/>
        </w:rPr>
        <w:t xml:space="preserve"> </w:t>
      </w:r>
      <w:r w:rsidR="009964E3">
        <w:rPr>
          <w:color w:val="000000" w:themeColor="text1"/>
          <w:szCs w:val="24"/>
        </w:rPr>
        <w:t xml:space="preserve">allocated to each </w:t>
      </w:r>
      <w:r w:rsidR="009C50E8">
        <w:rPr>
          <w:color w:val="000000" w:themeColor="text1"/>
          <w:szCs w:val="24"/>
        </w:rPr>
        <w:t xml:space="preserve">WPL </w:t>
      </w:r>
      <w:r w:rsidR="00460E90">
        <w:rPr>
          <w:color w:val="000000" w:themeColor="text1"/>
          <w:szCs w:val="24"/>
        </w:rPr>
        <w:t>that has</w:t>
      </w:r>
      <w:r w:rsidR="009C50E8">
        <w:rPr>
          <w:color w:val="000000" w:themeColor="text1"/>
          <w:szCs w:val="24"/>
        </w:rPr>
        <w:t xml:space="preserve"> a </w:t>
      </w:r>
      <w:r w:rsidR="009964E3">
        <w:rPr>
          <w:color w:val="000000" w:themeColor="text1"/>
          <w:szCs w:val="24"/>
        </w:rPr>
        <w:t>non-</w:t>
      </w:r>
      <w:r w:rsidR="009C50E8">
        <w:rPr>
          <w:color w:val="000000" w:themeColor="text1"/>
          <w:szCs w:val="24"/>
        </w:rPr>
        <w:t>zero allocation</w:t>
      </w:r>
      <w:r w:rsidR="009964E3">
        <w:rPr>
          <w:color w:val="000000" w:themeColor="text1"/>
          <w:szCs w:val="24"/>
        </w:rPr>
        <w:t>. Strictly speaking, th</w:t>
      </w:r>
      <w:r w:rsidR="00A85D82">
        <w:rPr>
          <w:color w:val="000000" w:themeColor="text1"/>
          <w:szCs w:val="24"/>
        </w:rPr>
        <w:t>e alternatives in the</w:t>
      </w:r>
      <w:r w:rsidR="009964E3">
        <w:rPr>
          <w:color w:val="000000" w:themeColor="text1"/>
          <w:szCs w:val="24"/>
        </w:rPr>
        <w:t xml:space="preserve"> MDC </w:t>
      </w:r>
      <w:r w:rsidR="00A85D82">
        <w:rPr>
          <w:color w:val="000000" w:themeColor="text1"/>
          <w:szCs w:val="24"/>
        </w:rPr>
        <w:t xml:space="preserve">outcome </w:t>
      </w:r>
      <w:r w:rsidR="009964E3">
        <w:rPr>
          <w:color w:val="000000" w:themeColor="text1"/>
          <w:szCs w:val="24"/>
        </w:rPr>
        <w:t xml:space="preserve">represent </w:t>
      </w:r>
      <w:r w:rsidR="00A85D82">
        <w:rPr>
          <w:color w:val="000000" w:themeColor="text1"/>
          <w:szCs w:val="24"/>
        </w:rPr>
        <w:t>WPL alternatives</w:t>
      </w:r>
      <w:r w:rsidR="009964E3">
        <w:rPr>
          <w:color w:val="000000" w:themeColor="text1"/>
          <w:szCs w:val="24"/>
        </w:rPr>
        <w:t xml:space="preserve">, </w:t>
      </w:r>
      <w:r w:rsidR="00A85D82">
        <w:rPr>
          <w:color w:val="000000" w:themeColor="text1"/>
          <w:szCs w:val="24"/>
        </w:rPr>
        <w:t xml:space="preserve">though we </w:t>
      </w:r>
      <w:r w:rsidR="009964E3">
        <w:rPr>
          <w:color w:val="000000" w:themeColor="text1"/>
          <w:szCs w:val="24"/>
        </w:rPr>
        <w:t>will refer to th</w:t>
      </w:r>
      <w:r w:rsidR="00A85D82">
        <w:rPr>
          <w:color w:val="000000" w:themeColor="text1"/>
          <w:szCs w:val="24"/>
        </w:rPr>
        <w:t xml:space="preserve">e MDC outcome itself </w:t>
      </w:r>
      <w:r w:rsidR="009964E3">
        <w:rPr>
          <w:color w:val="000000" w:themeColor="text1"/>
          <w:szCs w:val="24"/>
        </w:rPr>
        <w:t xml:space="preserve">as the telework </w:t>
      </w:r>
      <w:r w:rsidR="00A85D82">
        <w:rPr>
          <w:color w:val="000000" w:themeColor="text1"/>
          <w:szCs w:val="24"/>
        </w:rPr>
        <w:t>choice,</w:t>
      </w:r>
      <w:r w:rsidR="009964E3">
        <w:rPr>
          <w:color w:val="000000" w:themeColor="text1"/>
          <w:szCs w:val="24"/>
        </w:rPr>
        <w:t xml:space="preserve"> because, given a certain number of workdays in a month</w:t>
      </w:r>
      <w:r w:rsidR="00A26D22">
        <w:rPr>
          <w:color w:val="000000" w:themeColor="text1"/>
          <w:szCs w:val="24"/>
        </w:rPr>
        <w:t xml:space="preserve"> (considered exogenous)</w:t>
      </w:r>
      <w:r w:rsidR="009964E3">
        <w:rPr>
          <w:color w:val="000000" w:themeColor="text1"/>
          <w:szCs w:val="24"/>
        </w:rPr>
        <w:t xml:space="preserve">, the number of office location days can be obtained immediately from the number of home and </w:t>
      </w:r>
      <w:r w:rsidR="009964E3">
        <w:rPr>
          <w:color w:val="000000" w:themeColor="text1"/>
          <w:szCs w:val="24"/>
        </w:rPr>
        <w:lastRenderedPageBreak/>
        <w:t xml:space="preserve">third </w:t>
      </w:r>
      <w:r w:rsidR="00460E90">
        <w:rPr>
          <w:color w:val="000000" w:themeColor="text1"/>
          <w:szCs w:val="24"/>
        </w:rPr>
        <w:t>WPL</w:t>
      </w:r>
      <w:r w:rsidR="009964E3">
        <w:rPr>
          <w:color w:val="000000" w:themeColor="text1"/>
          <w:szCs w:val="24"/>
        </w:rPr>
        <w:t xml:space="preserve"> days</w:t>
      </w:r>
      <w:r w:rsidR="00A85D82">
        <w:rPr>
          <w:color w:val="000000" w:themeColor="text1"/>
          <w:szCs w:val="24"/>
        </w:rPr>
        <w:t xml:space="preserve"> (that is, we will refer to the MDC outcome as telework choice, though the alternatives of this telework choice will include all the three WPL alternatives of home, office, and third workplace)</w:t>
      </w:r>
      <w:r w:rsidR="009964E3">
        <w:rPr>
          <w:color w:val="000000" w:themeColor="text1"/>
          <w:szCs w:val="24"/>
        </w:rPr>
        <w:t>. In</w:t>
      </w:r>
      <w:r w:rsidR="009C50E8">
        <w:rPr>
          <w:color w:val="000000" w:themeColor="text1"/>
          <w:szCs w:val="24"/>
        </w:rPr>
        <w:t xml:space="preserve"> this context</w:t>
      </w:r>
      <w:r w:rsidR="009964E3">
        <w:rPr>
          <w:color w:val="000000" w:themeColor="text1"/>
          <w:szCs w:val="24"/>
        </w:rPr>
        <w:t xml:space="preserve">, in our MDC representation of the </w:t>
      </w:r>
      <w:r w:rsidR="00A85D82">
        <w:rPr>
          <w:color w:val="000000" w:themeColor="text1"/>
          <w:szCs w:val="24"/>
        </w:rPr>
        <w:t xml:space="preserve">telework </w:t>
      </w:r>
      <w:r w:rsidR="009964E3">
        <w:rPr>
          <w:color w:val="000000" w:themeColor="text1"/>
          <w:szCs w:val="24"/>
        </w:rPr>
        <w:t xml:space="preserve">decision, we </w:t>
      </w:r>
      <w:r w:rsidR="00A802F6">
        <w:rPr>
          <w:color w:val="000000" w:themeColor="text1"/>
          <w:szCs w:val="24"/>
        </w:rPr>
        <w:t xml:space="preserve">use the </w:t>
      </w:r>
      <w:r w:rsidR="00A85D82">
        <w:rPr>
          <w:color w:val="000000" w:themeColor="text1"/>
          <w:szCs w:val="24"/>
        </w:rPr>
        <w:t xml:space="preserve">(cardinal) </w:t>
      </w:r>
      <w:r w:rsidR="00A802F6" w:rsidRPr="00EB63F2">
        <w:rPr>
          <w:color w:val="000000" w:themeColor="text1"/>
          <w:szCs w:val="24"/>
          <w:u w:val="single"/>
        </w:rPr>
        <w:t>fraction</w:t>
      </w:r>
      <w:r w:rsidR="00A802F6">
        <w:rPr>
          <w:color w:val="000000" w:themeColor="text1"/>
          <w:szCs w:val="24"/>
        </w:rPr>
        <w:t xml:space="preserve"> of days of the month worked at each</w:t>
      </w:r>
      <w:r w:rsidR="00A85D82">
        <w:rPr>
          <w:color w:val="000000" w:themeColor="text1"/>
          <w:szCs w:val="24"/>
        </w:rPr>
        <w:t xml:space="preserve"> WPL </w:t>
      </w:r>
      <w:r w:rsidR="00A802F6">
        <w:rPr>
          <w:color w:val="000000" w:themeColor="text1"/>
          <w:szCs w:val="24"/>
        </w:rPr>
        <w:t>as the actual dependent outcome</w:t>
      </w:r>
      <w:r w:rsidR="00A26D22">
        <w:rPr>
          <w:color w:val="000000" w:themeColor="text1"/>
          <w:szCs w:val="24"/>
        </w:rPr>
        <w:t xml:space="preserve"> (rather than the actual number of days of month worked at each WPL)</w:t>
      </w:r>
      <w:r w:rsidR="00A802F6">
        <w:rPr>
          <w:color w:val="000000" w:themeColor="text1"/>
          <w:szCs w:val="24"/>
        </w:rPr>
        <w:t>, with the fractions having to necessarily sum to one</w:t>
      </w:r>
      <w:r w:rsidR="00514541">
        <w:rPr>
          <w:color w:val="000000" w:themeColor="text1"/>
          <w:szCs w:val="24"/>
        </w:rPr>
        <w:t xml:space="preserve"> </w:t>
      </w:r>
      <w:r w:rsidR="00A26D22">
        <w:rPr>
          <w:color w:val="000000" w:themeColor="text1"/>
          <w:szCs w:val="24"/>
        </w:rPr>
        <w:t xml:space="preserve">across the three WPLs </w:t>
      </w:r>
      <w:r w:rsidR="00514541">
        <w:rPr>
          <w:color w:val="000000" w:themeColor="text1"/>
          <w:szCs w:val="24"/>
        </w:rPr>
        <w:t>for each respondent</w:t>
      </w:r>
      <w:r w:rsidR="00A802F6">
        <w:rPr>
          <w:color w:val="000000" w:themeColor="text1"/>
          <w:szCs w:val="24"/>
        </w:rPr>
        <w:t xml:space="preserve">. </w:t>
      </w:r>
      <w:r w:rsidR="004808CD">
        <w:rPr>
          <w:color w:val="000000" w:themeColor="text1"/>
          <w:szCs w:val="24"/>
        </w:rPr>
        <w:t xml:space="preserve">This </w:t>
      </w:r>
      <w:r w:rsidR="00A26D22">
        <w:rPr>
          <w:color w:val="000000" w:themeColor="text1"/>
          <w:szCs w:val="24"/>
        </w:rPr>
        <w:t xml:space="preserve">fractional-split </w:t>
      </w:r>
      <w:r w:rsidR="004808CD">
        <w:rPr>
          <w:color w:val="000000" w:themeColor="text1"/>
          <w:szCs w:val="24"/>
        </w:rPr>
        <w:t>MDC outcome is modeled using the approach proposed by Bhat (2008), which expressly acknowledges that e</w:t>
      </w:r>
      <w:r w:rsidR="004808CD" w:rsidRPr="001272C7">
        <w:t xml:space="preserve">ach </w:t>
      </w:r>
      <w:r w:rsidR="00A26D22">
        <w:t>WPL</w:t>
      </w:r>
      <w:r w:rsidR="004808CD" w:rsidRPr="001272C7">
        <w:t xml:space="preserve"> may satisfy specific functional, social, productivity, emotional, privacy, visibility, networking, financial </w:t>
      </w:r>
      <w:r w:rsidR="004808CD">
        <w:t xml:space="preserve">and other personal/professional </w:t>
      </w:r>
      <w:r w:rsidR="004808CD" w:rsidRPr="00AA1EC4">
        <w:t>objectives</w:t>
      </w:r>
      <w:r w:rsidR="004808CD" w:rsidRPr="001272C7">
        <w:t xml:space="preserve"> to different extents. </w:t>
      </w:r>
      <w:r w:rsidR="004808CD">
        <w:t>As a consequence, individuals will choose, over a certain period of time and within the context of their chosen/current career, a combination of the three different</w:t>
      </w:r>
      <w:r w:rsidR="00A26D22">
        <w:t xml:space="preserve"> WPLs </w:t>
      </w:r>
      <w:r w:rsidR="004808CD">
        <w:t>to satisfy their respective personal and professional desires</w:t>
      </w:r>
      <w:r w:rsidR="004808CD" w:rsidRPr="001272C7">
        <w:t>.</w:t>
      </w:r>
      <w:r w:rsidR="004808CD">
        <w:t xml:space="preserve"> As discussed at length by Asmussen et al. (2023), telework decisions today may be better characterized as a utility-maximizing multiple discrete “horizontal” choice situation in which individuals balance the many pros and cons of each </w:t>
      </w:r>
      <w:r w:rsidR="00A26D22">
        <w:t>WPL</w:t>
      </w:r>
      <w:r w:rsidR="004808CD">
        <w:t xml:space="preserve"> to determine an ideal mix of </w:t>
      </w:r>
      <w:r w:rsidR="00A26D22">
        <w:t xml:space="preserve">WPLs </w:t>
      </w:r>
      <w:r w:rsidR="004808CD">
        <w:t xml:space="preserve">over </w:t>
      </w:r>
      <w:r w:rsidR="00A26D22">
        <w:t>the period of a month (or other specific time periods)</w:t>
      </w:r>
      <w:r w:rsidR="004808CD">
        <w:t>.</w:t>
      </w:r>
      <w:r w:rsidR="00514541">
        <w:rPr>
          <w:color w:val="000000" w:themeColor="text1"/>
          <w:szCs w:val="24"/>
        </w:rPr>
        <w:t xml:space="preserve"> </w:t>
      </w:r>
    </w:p>
    <w:p w14:paraId="79707657" w14:textId="6493290A" w:rsidR="006F2875" w:rsidRPr="00163851" w:rsidRDefault="00F06FAC" w:rsidP="003C2018">
      <w:pPr>
        <w:spacing w:after="0" w:line="240" w:lineRule="auto"/>
        <w:ind w:firstLine="720"/>
        <w:rPr>
          <w:szCs w:val="24"/>
        </w:rPr>
      </w:pPr>
      <w:r>
        <w:rPr>
          <w:szCs w:val="24"/>
        </w:rPr>
        <w:t>Figure 1</w:t>
      </w:r>
      <w:r w:rsidR="00636C07" w:rsidRPr="00163851">
        <w:rPr>
          <w:szCs w:val="24"/>
        </w:rPr>
        <w:t xml:space="preserve"> provides the descriptive </w:t>
      </w:r>
      <w:r w:rsidR="00040A53">
        <w:rPr>
          <w:szCs w:val="24"/>
        </w:rPr>
        <w:t xml:space="preserve">(unweighted) </w:t>
      </w:r>
      <w:r w:rsidR="00636C07" w:rsidRPr="00163851">
        <w:rPr>
          <w:szCs w:val="24"/>
        </w:rPr>
        <w:t xml:space="preserve">statistics of the </w:t>
      </w:r>
      <w:r w:rsidR="00202DF1" w:rsidRPr="00163851">
        <w:rPr>
          <w:szCs w:val="24"/>
        </w:rPr>
        <w:t>MDC</w:t>
      </w:r>
      <w:r w:rsidR="00636C07" w:rsidRPr="00163851">
        <w:rPr>
          <w:szCs w:val="24"/>
        </w:rPr>
        <w:t xml:space="preserve"> </w:t>
      </w:r>
      <w:r w:rsidR="00A85D82">
        <w:rPr>
          <w:szCs w:val="24"/>
        </w:rPr>
        <w:t>telework</w:t>
      </w:r>
      <w:r w:rsidR="00636C07" w:rsidRPr="00163851">
        <w:rPr>
          <w:szCs w:val="24"/>
        </w:rPr>
        <w:t xml:space="preserve"> dimension across the </w:t>
      </w:r>
      <w:r w:rsidR="00D34242" w:rsidRPr="00163851">
        <w:rPr>
          <w:szCs w:val="24"/>
        </w:rPr>
        <w:t xml:space="preserve">824 </w:t>
      </w:r>
      <w:r w:rsidR="00202DF1" w:rsidRPr="00163851">
        <w:rPr>
          <w:szCs w:val="24"/>
        </w:rPr>
        <w:t>individuals</w:t>
      </w:r>
      <w:r>
        <w:rPr>
          <w:szCs w:val="24"/>
        </w:rPr>
        <w:t>, using a Venn diagram for ease in understanding</w:t>
      </w:r>
      <w:r w:rsidR="00636C07" w:rsidRPr="00163851">
        <w:rPr>
          <w:szCs w:val="24"/>
        </w:rPr>
        <w:t xml:space="preserve">. </w:t>
      </w:r>
      <w:r w:rsidR="00EA5B0E">
        <w:rPr>
          <w:szCs w:val="24"/>
        </w:rPr>
        <w:t xml:space="preserve">The results show that, over the course of a month, 47.5% of respondents have at least one working day from home, while 93.8% have at least one working day from the office and only 5.2% </w:t>
      </w:r>
      <w:r w:rsidR="005C60B1">
        <w:rPr>
          <w:szCs w:val="24"/>
        </w:rPr>
        <w:t xml:space="preserve">with at least one </w:t>
      </w:r>
      <w:r w:rsidR="00A26D22">
        <w:rPr>
          <w:szCs w:val="24"/>
        </w:rPr>
        <w:t>workplace</w:t>
      </w:r>
      <w:r w:rsidR="00EA5B0E">
        <w:rPr>
          <w:szCs w:val="24"/>
        </w:rPr>
        <w:t xml:space="preserve"> instance</w:t>
      </w:r>
      <w:r w:rsidR="005C60B1">
        <w:rPr>
          <w:szCs w:val="24"/>
        </w:rPr>
        <w:t>. These percentages are shown at the outer edges of each of the WPL circles (the corresponding weighted statistics are 41.2% with at least one working</w:t>
      </w:r>
      <w:r w:rsidR="000A26DB">
        <w:rPr>
          <w:szCs w:val="24"/>
        </w:rPr>
        <w:t xml:space="preserve"> day</w:t>
      </w:r>
      <w:r w:rsidR="005C60B1">
        <w:rPr>
          <w:szCs w:val="24"/>
        </w:rPr>
        <w:t xml:space="preserve"> from home, 9</w:t>
      </w:r>
      <w:r w:rsidR="004F7738">
        <w:rPr>
          <w:szCs w:val="24"/>
        </w:rPr>
        <w:t>5</w:t>
      </w:r>
      <w:r w:rsidR="005C60B1">
        <w:rPr>
          <w:szCs w:val="24"/>
        </w:rPr>
        <w:t>.3% with at least one working day from the office, and 7.3% with at least one third workplace instance)</w:t>
      </w:r>
      <w:r w:rsidR="00EA5B0E">
        <w:rPr>
          <w:szCs w:val="24"/>
        </w:rPr>
        <w:t xml:space="preserve">. </w:t>
      </w:r>
      <w:r w:rsidR="00522C5D">
        <w:rPr>
          <w:szCs w:val="24"/>
        </w:rPr>
        <w:t xml:space="preserve">Further, and also shown at the outer edges, the mean number of days of participation from home across those who have at least one day of home-based work in a month is 9.8 days (weighted value is 10.7 days). The corresponding mean for those with at least one day of work from office is 17.9 days (weighted value is 16.9 days) and for work from the third workplace is 4.4 days (weighted value if 4.3 days). Figure 1 also </w:t>
      </w:r>
      <w:r w:rsidR="00040A53">
        <w:rPr>
          <w:szCs w:val="24"/>
        </w:rPr>
        <w:t xml:space="preserve">shows that </w:t>
      </w:r>
      <w:r w:rsidR="00EA5B0E">
        <w:rPr>
          <w:szCs w:val="24"/>
        </w:rPr>
        <w:t>fully remote work, as was the</w:t>
      </w:r>
      <w:r w:rsidR="000666F8">
        <w:rPr>
          <w:szCs w:val="24"/>
        </w:rPr>
        <w:t xml:space="preserve"> work arrangement</w:t>
      </w:r>
      <w:r w:rsidR="00EA5B0E">
        <w:rPr>
          <w:szCs w:val="24"/>
        </w:rPr>
        <w:t xml:space="preserve"> during the height of the pandemic for a significant percentage of workers, is no longer the case today, with only </w:t>
      </w:r>
      <w:r w:rsidR="00040A53">
        <w:rPr>
          <w:szCs w:val="24"/>
        </w:rPr>
        <w:t>51</w:t>
      </w:r>
      <w:r w:rsidR="00B33AEF">
        <w:rPr>
          <w:szCs w:val="24"/>
        </w:rPr>
        <w:t xml:space="preserve"> (=47+3+1)</w:t>
      </w:r>
      <w:r w:rsidR="00040A53">
        <w:rPr>
          <w:szCs w:val="24"/>
        </w:rPr>
        <w:t xml:space="preserve"> of the 824 </w:t>
      </w:r>
      <w:r w:rsidR="00EA5B0E">
        <w:rPr>
          <w:szCs w:val="24"/>
        </w:rPr>
        <w:t xml:space="preserve">workers </w:t>
      </w:r>
      <w:r w:rsidR="00040A53">
        <w:rPr>
          <w:szCs w:val="24"/>
        </w:rPr>
        <w:t xml:space="preserve">(constituting 6.2% of the unweighted sample) </w:t>
      </w:r>
      <w:r w:rsidR="00EA5B0E">
        <w:rPr>
          <w:szCs w:val="24"/>
        </w:rPr>
        <w:t>working fully remote</w:t>
      </w:r>
      <w:r w:rsidR="00040A53">
        <w:rPr>
          <w:szCs w:val="24"/>
        </w:rPr>
        <w:t xml:space="preserve"> (the corresponding weighted sample percentage of fully remote workers is </w:t>
      </w:r>
      <w:r w:rsidR="00B33AEF">
        <w:rPr>
          <w:szCs w:val="24"/>
        </w:rPr>
        <w:t>6</w:t>
      </w:r>
      <w:r w:rsidR="00040A53">
        <w:rPr>
          <w:szCs w:val="24"/>
        </w:rPr>
        <w:t>.5%)</w:t>
      </w:r>
      <w:r w:rsidR="00EA5B0E">
        <w:rPr>
          <w:szCs w:val="24"/>
        </w:rPr>
        <w:t xml:space="preserve">. </w:t>
      </w:r>
      <w:r w:rsidR="00DA38F9">
        <w:rPr>
          <w:szCs w:val="24"/>
        </w:rPr>
        <w:t xml:space="preserve">But, also important to note is that </w:t>
      </w:r>
      <w:r w:rsidR="004F7738">
        <w:rPr>
          <w:szCs w:val="24"/>
        </w:rPr>
        <w:t xml:space="preserve">only 427 individuals (51.8% of individuals) work all days of the month from the work office with no remote work whatsoever (that is, 48.2% work </w:t>
      </w:r>
      <w:r w:rsidR="003B2037">
        <w:rPr>
          <w:szCs w:val="24"/>
        </w:rPr>
        <w:t xml:space="preserve">remotely </w:t>
      </w:r>
      <w:r w:rsidR="00C5671D">
        <w:rPr>
          <w:szCs w:val="24"/>
        </w:rPr>
        <w:t>at least once a month</w:t>
      </w:r>
      <w:r w:rsidR="004F7738">
        <w:rPr>
          <w:szCs w:val="24"/>
        </w:rPr>
        <w:t xml:space="preserve">; the corresponding weighted statistic </w:t>
      </w:r>
      <w:r w:rsidR="00B33AEF">
        <w:rPr>
          <w:szCs w:val="24"/>
        </w:rPr>
        <w:t xml:space="preserve">shows a lower amount of </w:t>
      </w:r>
      <w:r w:rsidR="00B01A62">
        <w:rPr>
          <w:szCs w:val="24"/>
        </w:rPr>
        <w:t>“</w:t>
      </w:r>
      <w:r w:rsidR="00B33AEF">
        <w:rPr>
          <w:szCs w:val="24"/>
        </w:rPr>
        <w:t>at-least-once-a-month remote work</w:t>
      </w:r>
      <w:r w:rsidR="00B01A62">
        <w:rPr>
          <w:szCs w:val="24"/>
        </w:rPr>
        <w:t>”</w:t>
      </w:r>
      <w:r w:rsidR="00B33AEF">
        <w:rPr>
          <w:szCs w:val="24"/>
        </w:rPr>
        <w:t xml:space="preserve"> at </w:t>
      </w:r>
      <w:r w:rsidR="004F7738">
        <w:rPr>
          <w:szCs w:val="24"/>
        </w:rPr>
        <w:t>41.6%)</w:t>
      </w:r>
      <w:r w:rsidR="00C5671D">
        <w:rPr>
          <w:szCs w:val="24"/>
        </w:rPr>
        <w:t xml:space="preserve">. </w:t>
      </w:r>
    </w:p>
    <w:p w14:paraId="4411E829" w14:textId="7DB71485" w:rsidR="00636C07" w:rsidRPr="00163851" w:rsidRDefault="00B33AEF" w:rsidP="00A627E9">
      <w:pPr>
        <w:spacing w:after="0" w:line="240" w:lineRule="auto"/>
        <w:ind w:firstLine="720"/>
        <w:rPr>
          <w:szCs w:val="24"/>
        </w:rPr>
      </w:pPr>
      <w:r>
        <w:rPr>
          <w:szCs w:val="24"/>
        </w:rPr>
        <w:t xml:space="preserve">Other numbers in the Venn diagram provide the number </w:t>
      </w:r>
      <w:r w:rsidR="00522C5D">
        <w:rPr>
          <w:szCs w:val="24"/>
        </w:rPr>
        <w:t xml:space="preserve">(percentage) </w:t>
      </w:r>
      <w:r>
        <w:rPr>
          <w:szCs w:val="24"/>
        </w:rPr>
        <w:t xml:space="preserve">of individuals in </w:t>
      </w:r>
      <w:r w:rsidR="00522C5D">
        <w:rPr>
          <w:szCs w:val="24"/>
        </w:rPr>
        <w:t>other</w:t>
      </w:r>
      <w:r>
        <w:rPr>
          <w:szCs w:val="24"/>
        </w:rPr>
        <w:t xml:space="preserve"> combination</w:t>
      </w:r>
      <w:r w:rsidR="00522C5D">
        <w:rPr>
          <w:szCs w:val="24"/>
        </w:rPr>
        <w:t>s</w:t>
      </w:r>
      <w:r>
        <w:rPr>
          <w:szCs w:val="24"/>
        </w:rPr>
        <w:t xml:space="preserve"> of WPL locations. </w:t>
      </w:r>
      <w:r w:rsidR="00636C07" w:rsidRPr="00163851">
        <w:rPr>
          <w:szCs w:val="24"/>
        </w:rPr>
        <w:t>The</w:t>
      </w:r>
      <w:r>
        <w:rPr>
          <w:szCs w:val="24"/>
        </w:rPr>
        <w:t xml:space="preserve"> </w:t>
      </w:r>
      <w:r w:rsidR="00B01A62">
        <w:rPr>
          <w:szCs w:val="24"/>
        </w:rPr>
        <w:t xml:space="preserve">significant overlap in the circles (that is, individuals </w:t>
      </w:r>
      <w:r>
        <w:rPr>
          <w:szCs w:val="24"/>
        </w:rPr>
        <w:t>working from more than one WPL</w:t>
      </w:r>
      <w:r w:rsidR="00B01A62">
        <w:rPr>
          <w:szCs w:val="24"/>
        </w:rPr>
        <w:t>)</w:t>
      </w:r>
      <w:r>
        <w:rPr>
          <w:szCs w:val="24"/>
        </w:rPr>
        <w:t xml:space="preserve"> is obvious </w:t>
      </w:r>
      <w:r w:rsidR="00B01A62">
        <w:rPr>
          <w:szCs w:val="24"/>
        </w:rPr>
        <w:t xml:space="preserve">and </w:t>
      </w:r>
      <w:r w:rsidR="00D55C21" w:rsidRPr="00163851">
        <w:rPr>
          <w:szCs w:val="24"/>
        </w:rPr>
        <w:t>reinforce</w:t>
      </w:r>
      <w:r w:rsidR="00B01A62">
        <w:rPr>
          <w:szCs w:val="24"/>
        </w:rPr>
        <w:t>s</w:t>
      </w:r>
      <w:r w:rsidR="00D55C21" w:rsidRPr="00163851">
        <w:rPr>
          <w:szCs w:val="24"/>
        </w:rPr>
        <w:t xml:space="preserve"> the fact</w:t>
      </w:r>
      <w:r w:rsidR="00636C07" w:rsidRPr="00163851">
        <w:rPr>
          <w:szCs w:val="24"/>
        </w:rPr>
        <w:t xml:space="preserve"> that</w:t>
      </w:r>
      <w:r w:rsidR="00E245A8">
        <w:rPr>
          <w:szCs w:val="24"/>
        </w:rPr>
        <w:t xml:space="preserve"> telework </w:t>
      </w:r>
      <w:r w:rsidR="00636C07" w:rsidRPr="00163851">
        <w:rPr>
          <w:szCs w:val="24"/>
        </w:rPr>
        <w:t>choices over a period of a month is a multiple discrete</w:t>
      </w:r>
      <w:r w:rsidR="00D55C21" w:rsidRPr="00163851">
        <w:rPr>
          <w:szCs w:val="24"/>
        </w:rPr>
        <w:t>-continuous</w:t>
      </w:r>
      <w:r w:rsidR="00636C07" w:rsidRPr="00163851">
        <w:rPr>
          <w:szCs w:val="24"/>
        </w:rPr>
        <w:t xml:space="preserve"> </w:t>
      </w:r>
      <w:r w:rsidR="00F146D2" w:rsidRPr="00163851">
        <w:rPr>
          <w:szCs w:val="24"/>
        </w:rPr>
        <w:t>situation</w:t>
      </w:r>
      <w:r w:rsidR="00B01A62">
        <w:rPr>
          <w:szCs w:val="24"/>
        </w:rPr>
        <w:t xml:space="preserve">. Specifically, </w:t>
      </w:r>
      <w:r w:rsidR="00636C07" w:rsidRPr="00163851">
        <w:rPr>
          <w:szCs w:val="24"/>
        </w:rPr>
        <w:t xml:space="preserve">close to </w:t>
      </w:r>
      <w:r w:rsidR="00BE0CD6" w:rsidRPr="00163851">
        <w:rPr>
          <w:szCs w:val="24"/>
        </w:rPr>
        <w:t>42.</w:t>
      </w:r>
      <w:r w:rsidR="00B01A62">
        <w:rPr>
          <w:szCs w:val="24"/>
        </w:rPr>
        <w:t>4</w:t>
      </w:r>
      <w:r w:rsidR="00636C07" w:rsidRPr="00163851">
        <w:rPr>
          <w:szCs w:val="24"/>
        </w:rPr>
        <w:t>% of the occasions involv</w:t>
      </w:r>
      <w:r w:rsidR="00B01A62">
        <w:rPr>
          <w:szCs w:val="24"/>
        </w:rPr>
        <w:t>e</w:t>
      </w:r>
      <w:r w:rsidR="00636C07" w:rsidRPr="00163851">
        <w:rPr>
          <w:szCs w:val="24"/>
        </w:rPr>
        <w:t xml:space="preserve"> the choice of a hybrid of WPLs rather than a single WPL to work from (</w:t>
      </w:r>
      <w:r w:rsidR="00B01A62">
        <w:rPr>
          <w:szCs w:val="24"/>
        </w:rPr>
        <w:t xml:space="preserve">the corresponding weighted statistic is lower at 37.1%). </w:t>
      </w:r>
      <w:r w:rsidR="00125C34" w:rsidRPr="00163851">
        <w:rPr>
          <w:szCs w:val="24"/>
        </w:rPr>
        <w:t xml:space="preserve">The most popular WPL combination is only working from the work office (at </w:t>
      </w:r>
      <w:r w:rsidR="000B5B8F" w:rsidRPr="00163851">
        <w:rPr>
          <w:szCs w:val="24"/>
        </w:rPr>
        <w:t>51.8</w:t>
      </w:r>
      <w:r w:rsidR="00125C34" w:rsidRPr="00163851">
        <w:rPr>
          <w:szCs w:val="24"/>
        </w:rPr>
        <w:t>% of the entire sample), while the second most chosen option is working from both home and the office</w:t>
      </w:r>
      <w:r w:rsidR="00225956">
        <w:rPr>
          <w:szCs w:val="24"/>
        </w:rPr>
        <w:t xml:space="preserve"> </w:t>
      </w:r>
      <w:r w:rsidR="00125C34" w:rsidRPr="00163851">
        <w:rPr>
          <w:szCs w:val="24"/>
        </w:rPr>
        <w:t>(at 37.</w:t>
      </w:r>
      <w:r w:rsidR="000B5B8F" w:rsidRPr="00163851">
        <w:rPr>
          <w:szCs w:val="24"/>
        </w:rPr>
        <w:t>3</w:t>
      </w:r>
      <w:r w:rsidR="00125C34" w:rsidRPr="00163851">
        <w:rPr>
          <w:szCs w:val="24"/>
        </w:rPr>
        <w:t>%</w:t>
      </w:r>
      <w:r w:rsidR="0070405B">
        <w:rPr>
          <w:szCs w:val="24"/>
        </w:rPr>
        <w:t xml:space="preserve"> </w:t>
      </w:r>
      <w:r w:rsidR="00125C34" w:rsidRPr="00163851">
        <w:rPr>
          <w:szCs w:val="24"/>
        </w:rPr>
        <w:t xml:space="preserve">of the entire sample). </w:t>
      </w:r>
      <w:r w:rsidR="00225956">
        <w:rPr>
          <w:szCs w:val="24"/>
        </w:rPr>
        <w:t xml:space="preserve">The WPL combinations that include </w:t>
      </w:r>
      <w:r w:rsidR="00125C34" w:rsidRPr="00163851">
        <w:rPr>
          <w:szCs w:val="24"/>
        </w:rPr>
        <w:t>working f</w:t>
      </w:r>
      <w:r w:rsidR="00F146D2" w:rsidRPr="00163851">
        <w:rPr>
          <w:szCs w:val="24"/>
        </w:rPr>
        <w:t>rom</w:t>
      </w:r>
      <w:r w:rsidR="00125C34" w:rsidRPr="00163851">
        <w:rPr>
          <w:szCs w:val="24"/>
        </w:rPr>
        <w:t xml:space="preserve"> </w:t>
      </w:r>
      <w:r w:rsidR="00F146D2" w:rsidRPr="00163851">
        <w:rPr>
          <w:szCs w:val="24"/>
        </w:rPr>
        <w:t xml:space="preserve">the </w:t>
      </w:r>
      <w:r w:rsidR="00125C34" w:rsidRPr="00163851">
        <w:rPr>
          <w:szCs w:val="24"/>
        </w:rPr>
        <w:t>third</w:t>
      </w:r>
      <w:r w:rsidR="00225956">
        <w:rPr>
          <w:szCs w:val="24"/>
        </w:rPr>
        <w:t xml:space="preserve"> workplace</w:t>
      </w:r>
      <w:r w:rsidR="00125C34" w:rsidRPr="00163851">
        <w:rPr>
          <w:szCs w:val="24"/>
        </w:rPr>
        <w:t xml:space="preserve"> </w:t>
      </w:r>
      <w:r w:rsidR="00225956">
        <w:rPr>
          <w:szCs w:val="24"/>
        </w:rPr>
        <w:t>have the lowest share</w:t>
      </w:r>
      <w:r w:rsidR="00125C34" w:rsidRPr="00163851">
        <w:rPr>
          <w:szCs w:val="24"/>
        </w:rPr>
        <w:t xml:space="preserve">. </w:t>
      </w:r>
      <w:r w:rsidR="00225956">
        <w:rPr>
          <w:szCs w:val="24"/>
        </w:rPr>
        <w:t xml:space="preserve">Not surprisingly, the third workplace alternative, if teleworked from, is typically part of a hybrid work arrangement of participating in all three WPLs. </w:t>
      </w:r>
    </w:p>
    <w:p w14:paraId="26061341" w14:textId="5B54FFCC" w:rsidR="009418AE" w:rsidRPr="00163851" w:rsidRDefault="00D55C21" w:rsidP="00303FC0">
      <w:pPr>
        <w:spacing w:after="0" w:line="240" w:lineRule="auto"/>
        <w:ind w:firstLine="720"/>
        <w:rPr>
          <w:szCs w:val="24"/>
        </w:rPr>
      </w:pPr>
      <w:r w:rsidRPr="00163851">
        <w:rPr>
          <w:szCs w:val="24"/>
        </w:rPr>
        <w:lastRenderedPageBreak/>
        <w:t xml:space="preserve">The second outcome of interest, the commute distance, is used as a continuous variable in our analysis. </w:t>
      </w:r>
      <w:r w:rsidR="001803EB" w:rsidRPr="00163851">
        <w:rPr>
          <w:szCs w:val="24"/>
        </w:rPr>
        <w:t>T</w:t>
      </w:r>
      <w:r w:rsidRPr="00163851">
        <w:rPr>
          <w:szCs w:val="24"/>
        </w:rPr>
        <w:t xml:space="preserve">he median one-way commute distance </w:t>
      </w:r>
      <w:r w:rsidR="001803EB" w:rsidRPr="00163851">
        <w:rPr>
          <w:szCs w:val="24"/>
        </w:rPr>
        <w:t xml:space="preserve">reported in our sample </w:t>
      </w:r>
      <w:r w:rsidRPr="00163851">
        <w:rPr>
          <w:szCs w:val="24"/>
        </w:rPr>
        <w:t>is 10.0 miles</w:t>
      </w:r>
      <w:r w:rsidR="004E6E15">
        <w:rPr>
          <w:szCs w:val="24"/>
        </w:rPr>
        <w:t xml:space="preserve"> (much lower at 6.0 miles based for the weighted sample)</w:t>
      </w:r>
      <w:r w:rsidR="008873AB">
        <w:rPr>
          <w:szCs w:val="24"/>
        </w:rPr>
        <w:t>,</w:t>
      </w:r>
      <w:r w:rsidR="001803EB" w:rsidRPr="00163851">
        <w:rPr>
          <w:szCs w:val="24"/>
        </w:rPr>
        <w:t xml:space="preserve"> while the average one-way commute distance </w:t>
      </w:r>
      <w:r w:rsidR="008873AB">
        <w:rPr>
          <w:szCs w:val="24"/>
        </w:rPr>
        <w:t xml:space="preserve">is </w:t>
      </w:r>
      <w:r w:rsidR="00417278">
        <w:rPr>
          <w:szCs w:val="24"/>
        </w:rPr>
        <w:t>13.7</w:t>
      </w:r>
      <w:r w:rsidR="001803EB" w:rsidRPr="00163851">
        <w:rPr>
          <w:szCs w:val="24"/>
        </w:rPr>
        <w:t xml:space="preserve"> miles</w:t>
      </w:r>
      <w:r w:rsidR="004E6E15">
        <w:rPr>
          <w:szCs w:val="24"/>
        </w:rPr>
        <w:t xml:space="preserve"> (</w:t>
      </w:r>
      <w:r w:rsidR="008C1833">
        <w:rPr>
          <w:szCs w:val="24"/>
        </w:rPr>
        <w:t>lower at 11.3</w:t>
      </w:r>
      <w:r w:rsidR="004E6E15">
        <w:rPr>
          <w:szCs w:val="24"/>
        </w:rPr>
        <w:t xml:space="preserve"> miles in the weighted sample)</w:t>
      </w:r>
      <w:r w:rsidRPr="00163851">
        <w:rPr>
          <w:szCs w:val="24"/>
        </w:rPr>
        <w:t xml:space="preserve">. </w:t>
      </w:r>
      <w:r w:rsidR="001803EB" w:rsidRPr="00163851">
        <w:rPr>
          <w:szCs w:val="24"/>
        </w:rPr>
        <w:t xml:space="preserve">Note that we use the natural logarithm of the commute distance in our modeling analysis </w:t>
      </w:r>
      <w:r w:rsidR="008873AB">
        <w:rPr>
          <w:szCs w:val="24"/>
        </w:rPr>
        <w:t xml:space="preserve">as the endogenous outcome </w:t>
      </w:r>
      <w:r w:rsidR="001803EB" w:rsidRPr="00163851">
        <w:rPr>
          <w:szCs w:val="24"/>
        </w:rPr>
        <w:t xml:space="preserve">to </w:t>
      </w:r>
      <w:r w:rsidR="008873AB">
        <w:rPr>
          <w:szCs w:val="24"/>
        </w:rPr>
        <w:t xml:space="preserve">accommodate the rightward skew, and positivity, of the outcome. </w:t>
      </w:r>
    </w:p>
    <w:p w14:paraId="7FAAB289" w14:textId="3F04E0E3" w:rsidR="00AC5E00" w:rsidRDefault="00927124" w:rsidP="00303FC0">
      <w:pPr>
        <w:spacing w:after="0" w:line="240" w:lineRule="auto"/>
        <w:rPr>
          <w:szCs w:val="24"/>
        </w:rPr>
      </w:pPr>
      <w:r w:rsidRPr="00163851">
        <w:rPr>
          <w:szCs w:val="24"/>
        </w:rPr>
        <w:tab/>
      </w:r>
      <w:r w:rsidR="009418AE" w:rsidRPr="00163851">
        <w:rPr>
          <w:szCs w:val="24"/>
        </w:rPr>
        <w:t xml:space="preserve">Figure </w:t>
      </w:r>
      <w:r w:rsidR="0024054B">
        <w:rPr>
          <w:szCs w:val="24"/>
        </w:rPr>
        <w:t>2</w:t>
      </w:r>
      <w:r w:rsidR="00185E9F" w:rsidRPr="00163851">
        <w:rPr>
          <w:szCs w:val="24"/>
        </w:rPr>
        <w:t xml:space="preserve"> </w:t>
      </w:r>
      <w:r w:rsidR="009418AE" w:rsidRPr="00163851">
        <w:rPr>
          <w:szCs w:val="24"/>
        </w:rPr>
        <w:t xml:space="preserve">presents the </w:t>
      </w:r>
      <w:r w:rsidR="00F40CDB">
        <w:rPr>
          <w:szCs w:val="24"/>
        </w:rPr>
        <w:t xml:space="preserve">overall </w:t>
      </w:r>
      <w:r w:rsidR="009418AE" w:rsidRPr="00163851">
        <w:rPr>
          <w:szCs w:val="24"/>
        </w:rPr>
        <w:t xml:space="preserve">relationship between </w:t>
      </w:r>
      <w:r w:rsidR="00865232">
        <w:rPr>
          <w:szCs w:val="24"/>
        </w:rPr>
        <w:t>tele</w:t>
      </w:r>
      <w:r w:rsidR="009418AE" w:rsidRPr="00163851">
        <w:rPr>
          <w:szCs w:val="24"/>
        </w:rPr>
        <w:t>work (</w:t>
      </w:r>
      <w:r w:rsidR="001803EB" w:rsidRPr="00163851">
        <w:rPr>
          <w:szCs w:val="24"/>
        </w:rPr>
        <w:t xml:space="preserve">regardless of the location of </w:t>
      </w:r>
      <w:r w:rsidR="00865232">
        <w:rPr>
          <w:szCs w:val="24"/>
        </w:rPr>
        <w:t>tele</w:t>
      </w:r>
      <w:r w:rsidR="001803EB" w:rsidRPr="00163851">
        <w:rPr>
          <w:szCs w:val="24"/>
        </w:rPr>
        <w:t>work</w:t>
      </w:r>
      <w:r w:rsidR="00865232">
        <w:rPr>
          <w:szCs w:val="24"/>
        </w:rPr>
        <w:t>, whether home or the third workplace</w:t>
      </w:r>
      <w:r w:rsidR="009418AE" w:rsidRPr="00163851">
        <w:rPr>
          <w:szCs w:val="24"/>
        </w:rPr>
        <w:t>) and commute distance</w:t>
      </w:r>
      <w:r w:rsidR="00AC5E00" w:rsidRPr="00163851">
        <w:rPr>
          <w:szCs w:val="24"/>
        </w:rPr>
        <w:t xml:space="preserve"> (one-way)</w:t>
      </w:r>
      <w:r w:rsidR="009418AE" w:rsidRPr="00163851">
        <w:rPr>
          <w:szCs w:val="24"/>
        </w:rPr>
        <w:t xml:space="preserve">. </w:t>
      </w:r>
      <w:r w:rsidR="007B1BA9" w:rsidRPr="00163851">
        <w:rPr>
          <w:szCs w:val="24"/>
        </w:rPr>
        <w:t xml:space="preserve">From the figure, we observe a gradual increase in the </w:t>
      </w:r>
      <w:r w:rsidR="006C319C">
        <w:rPr>
          <w:szCs w:val="24"/>
        </w:rPr>
        <w:t xml:space="preserve">mean </w:t>
      </w:r>
      <w:r w:rsidRPr="00163851">
        <w:rPr>
          <w:szCs w:val="24"/>
        </w:rPr>
        <w:t xml:space="preserve">commute distance with </w:t>
      </w:r>
      <w:r w:rsidR="00F40CDB">
        <w:rPr>
          <w:szCs w:val="24"/>
        </w:rPr>
        <w:t xml:space="preserve">an </w:t>
      </w:r>
      <w:r w:rsidRPr="00163851">
        <w:rPr>
          <w:szCs w:val="24"/>
        </w:rPr>
        <w:t xml:space="preserve">increase in </w:t>
      </w:r>
      <w:r w:rsidR="00F40CDB">
        <w:rPr>
          <w:szCs w:val="24"/>
        </w:rPr>
        <w:t>telework, but only up to</w:t>
      </w:r>
      <w:r w:rsidRPr="00163851">
        <w:rPr>
          <w:szCs w:val="24"/>
        </w:rPr>
        <w:t xml:space="preserve"> </w:t>
      </w:r>
      <w:r w:rsidR="00AC5E00" w:rsidRPr="00163851">
        <w:rPr>
          <w:szCs w:val="24"/>
        </w:rPr>
        <w:t xml:space="preserve">75% </w:t>
      </w:r>
      <w:r w:rsidR="00F40CDB">
        <w:rPr>
          <w:szCs w:val="24"/>
        </w:rPr>
        <w:t>telework (in terms of number of days in the month</w:t>
      </w:r>
      <w:r w:rsidR="008E26F5">
        <w:rPr>
          <w:szCs w:val="24"/>
        </w:rPr>
        <w:t xml:space="preserve"> teleworked</w:t>
      </w:r>
      <w:r w:rsidR="00F40CDB">
        <w:rPr>
          <w:szCs w:val="24"/>
        </w:rPr>
        <w:t xml:space="preserve">). This is consistent with the general literature finding that teleworkers (and frequent teleworkers) are associated with longer commutes. However, those with the highest levels of teleworking (&gt;75% telework) are the ones with the shortest </w:t>
      </w:r>
      <w:r w:rsidR="006C319C">
        <w:rPr>
          <w:szCs w:val="24"/>
        </w:rPr>
        <w:t xml:space="preserve">mean </w:t>
      </w:r>
      <w:r w:rsidR="00F40CDB">
        <w:rPr>
          <w:szCs w:val="24"/>
        </w:rPr>
        <w:t>commute distances</w:t>
      </w:r>
      <w:r w:rsidR="006C319C">
        <w:rPr>
          <w:szCs w:val="24"/>
        </w:rPr>
        <w:t>, with those working fully remote associated with the shortest distance between their home and office</w:t>
      </w:r>
      <w:r w:rsidR="00F40CDB">
        <w:rPr>
          <w:szCs w:val="24"/>
        </w:rPr>
        <w:t xml:space="preserve">. </w:t>
      </w:r>
      <w:r w:rsidR="006C319C">
        <w:rPr>
          <w:szCs w:val="24"/>
        </w:rPr>
        <w:t xml:space="preserve">In fact, those working fully remote are associated with a mean commute distance that is close to 1.25 miles shorter than those working fully from the office. </w:t>
      </w:r>
      <w:r w:rsidR="007F7EC6">
        <w:rPr>
          <w:szCs w:val="24"/>
        </w:rPr>
        <w:t xml:space="preserve">Figure </w:t>
      </w:r>
      <w:r w:rsidR="0024054B">
        <w:rPr>
          <w:szCs w:val="24"/>
        </w:rPr>
        <w:t>3</w:t>
      </w:r>
      <w:r w:rsidR="00BA3C16">
        <w:rPr>
          <w:szCs w:val="24"/>
        </w:rPr>
        <w:t xml:space="preserve"> presents the relationship </w:t>
      </w:r>
      <w:r w:rsidR="006A2BBA">
        <w:rPr>
          <w:szCs w:val="24"/>
        </w:rPr>
        <w:t xml:space="preserve">in reverse, with teleworking as a function of commute distance. From this figure, we notice that the mean telework percentage (remote work days as a percentage of total work days) increases from 19.7% for those with </w:t>
      </w:r>
      <w:r w:rsidR="00460E90">
        <w:rPr>
          <w:szCs w:val="24"/>
        </w:rPr>
        <w:t xml:space="preserve">a </w:t>
      </w:r>
      <w:r w:rsidR="006A2BBA">
        <w:rPr>
          <w:szCs w:val="24"/>
        </w:rPr>
        <w:t xml:space="preserve">commute distance in the 0-8 mile range to 28.2% for those with </w:t>
      </w:r>
      <w:r w:rsidR="00460E90">
        <w:rPr>
          <w:szCs w:val="24"/>
        </w:rPr>
        <w:t xml:space="preserve">a </w:t>
      </w:r>
      <w:r w:rsidR="006A2BBA">
        <w:rPr>
          <w:szCs w:val="24"/>
        </w:rPr>
        <w:t xml:space="preserve">commute distance in the 8.01-15 miles range. However, there is a drop in mean telework percentage beyond the commute distance of 15 miles. </w:t>
      </w:r>
      <w:r w:rsidR="006C319C">
        <w:rPr>
          <w:szCs w:val="24"/>
        </w:rPr>
        <w:t>Of course, the</w:t>
      </w:r>
      <w:r w:rsidR="00D224F1">
        <w:rPr>
          <w:szCs w:val="24"/>
        </w:rPr>
        <w:t>se</w:t>
      </w:r>
      <w:r w:rsidR="006C319C">
        <w:rPr>
          <w:szCs w:val="24"/>
        </w:rPr>
        <w:t xml:space="preserve"> </w:t>
      </w:r>
      <w:r w:rsidR="00F40CDB">
        <w:rPr>
          <w:szCs w:val="24"/>
        </w:rPr>
        <w:t>figure</w:t>
      </w:r>
      <w:r w:rsidR="00D224F1">
        <w:rPr>
          <w:szCs w:val="24"/>
        </w:rPr>
        <w:t>s</w:t>
      </w:r>
      <w:r w:rsidR="00F40CDB">
        <w:rPr>
          <w:szCs w:val="24"/>
        </w:rPr>
        <w:t xml:space="preserve"> do not </w:t>
      </w:r>
      <w:r w:rsidR="006C319C">
        <w:rPr>
          <w:szCs w:val="24"/>
        </w:rPr>
        <w:t>account for heterogeneity across individuals, nor do</w:t>
      </w:r>
      <w:r w:rsidR="00D224F1">
        <w:rPr>
          <w:szCs w:val="24"/>
        </w:rPr>
        <w:t xml:space="preserve"> they</w:t>
      </w:r>
      <w:r w:rsidR="006C319C">
        <w:rPr>
          <w:szCs w:val="24"/>
        </w:rPr>
        <w:t xml:space="preserve"> </w:t>
      </w:r>
      <w:r w:rsidR="00F40CDB">
        <w:rPr>
          <w:szCs w:val="24"/>
        </w:rPr>
        <w:t>provide any sense of whether the</w:t>
      </w:r>
      <w:r w:rsidR="006C319C">
        <w:rPr>
          <w:szCs w:val="24"/>
        </w:rPr>
        <w:t xml:space="preserve"> relationships observed </w:t>
      </w:r>
      <w:r w:rsidR="00F40CDB">
        <w:rPr>
          <w:szCs w:val="24"/>
        </w:rPr>
        <w:t xml:space="preserve">are pure associations (through unobserved individual-related factors), or causal </w:t>
      </w:r>
      <w:r w:rsidR="008860CD">
        <w:rPr>
          <w:szCs w:val="24"/>
        </w:rPr>
        <w:t xml:space="preserve">TC or CT </w:t>
      </w:r>
      <w:r w:rsidR="00F40CDB">
        <w:rPr>
          <w:szCs w:val="24"/>
        </w:rPr>
        <w:t>effects</w:t>
      </w:r>
      <w:r w:rsidR="006C319C">
        <w:rPr>
          <w:szCs w:val="24"/>
        </w:rPr>
        <w:t>. But</w:t>
      </w:r>
      <w:r w:rsidR="008860CD">
        <w:rPr>
          <w:szCs w:val="24"/>
        </w:rPr>
        <w:t xml:space="preserve"> it </w:t>
      </w:r>
      <w:r w:rsidR="006C319C">
        <w:rPr>
          <w:szCs w:val="24"/>
        </w:rPr>
        <w:t xml:space="preserve">does </w:t>
      </w:r>
      <w:r w:rsidR="008860CD">
        <w:rPr>
          <w:szCs w:val="24"/>
        </w:rPr>
        <w:t xml:space="preserve">immediately raise the importance of considering </w:t>
      </w:r>
      <w:r w:rsidR="006A2BBA">
        <w:rPr>
          <w:szCs w:val="24"/>
        </w:rPr>
        <w:t>telework frequency in cardinal form and</w:t>
      </w:r>
      <w:r w:rsidR="006A2BBA" w:rsidRPr="006A2BBA">
        <w:rPr>
          <w:szCs w:val="24"/>
        </w:rPr>
        <w:t xml:space="preserve"> </w:t>
      </w:r>
      <w:r w:rsidR="006A2BBA">
        <w:rPr>
          <w:szCs w:val="24"/>
        </w:rPr>
        <w:t xml:space="preserve">over longer time periods than a week, rather than treating </w:t>
      </w:r>
      <w:r w:rsidR="008860CD">
        <w:rPr>
          <w:szCs w:val="24"/>
        </w:rPr>
        <w:t xml:space="preserve">telework </w:t>
      </w:r>
      <w:r w:rsidR="006A2BBA">
        <w:rPr>
          <w:szCs w:val="24"/>
        </w:rPr>
        <w:t xml:space="preserve">in </w:t>
      </w:r>
      <w:r w:rsidR="008860CD">
        <w:rPr>
          <w:szCs w:val="24"/>
        </w:rPr>
        <w:t xml:space="preserve">binary </w:t>
      </w:r>
      <w:r w:rsidR="006A2BBA">
        <w:rPr>
          <w:szCs w:val="24"/>
        </w:rPr>
        <w:t xml:space="preserve">form or in an ordinal form </w:t>
      </w:r>
      <w:r w:rsidR="008860CD">
        <w:rPr>
          <w:szCs w:val="24"/>
        </w:rPr>
        <w:t xml:space="preserve">within </w:t>
      </w:r>
      <w:r w:rsidR="006A2BBA">
        <w:rPr>
          <w:szCs w:val="24"/>
        </w:rPr>
        <w:t xml:space="preserve">a </w:t>
      </w:r>
      <w:r w:rsidR="008860CD">
        <w:rPr>
          <w:szCs w:val="24"/>
        </w:rPr>
        <w:t>short time frame such as a wee</w:t>
      </w:r>
      <w:r w:rsidR="006A2BBA">
        <w:rPr>
          <w:szCs w:val="24"/>
        </w:rPr>
        <w:t>k.</w:t>
      </w:r>
    </w:p>
    <w:p w14:paraId="7C9BDFA6" w14:textId="77777777" w:rsidR="006C319C" w:rsidRPr="00163851" w:rsidRDefault="006C319C" w:rsidP="00303FC0">
      <w:pPr>
        <w:spacing w:after="0" w:line="240" w:lineRule="auto"/>
        <w:rPr>
          <w:szCs w:val="24"/>
        </w:rPr>
      </w:pPr>
    </w:p>
    <w:p w14:paraId="480BE639" w14:textId="77777777" w:rsidR="000F34B3" w:rsidRPr="00163851" w:rsidRDefault="000F34B3" w:rsidP="00303FC0">
      <w:pPr>
        <w:pStyle w:val="Heading1"/>
        <w:spacing w:line="240" w:lineRule="auto"/>
        <w:ind w:left="360" w:hanging="342"/>
      </w:pPr>
      <w:r w:rsidRPr="00163851">
        <w:t>MODELING FRAMEWORK</w:t>
      </w:r>
    </w:p>
    <w:p w14:paraId="23CF33DF" w14:textId="365F5028" w:rsidR="00014181" w:rsidRDefault="000F34B3" w:rsidP="00303FC0">
      <w:pPr>
        <w:spacing w:after="0" w:line="240" w:lineRule="auto"/>
        <w:rPr>
          <w:szCs w:val="24"/>
        </w:rPr>
      </w:pPr>
      <w:r w:rsidRPr="00163851">
        <w:rPr>
          <w:szCs w:val="24"/>
        </w:rPr>
        <w:t>The joint modeling framework consists of a</w:t>
      </w:r>
      <w:r>
        <w:rPr>
          <w:szCs w:val="24"/>
        </w:rPr>
        <w:t>n</w:t>
      </w:r>
      <w:r w:rsidRPr="00163851">
        <w:rPr>
          <w:szCs w:val="24"/>
        </w:rPr>
        <w:t xml:space="preserve"> MDC variable for the workplace location dimension and a continuous outcome variable (in logarithmic form) for the commute distance dimension. </w:t>
      </w:r>
      <w:r w:rsidR="00855F90" w:rsidRPr="00855F90">
        <w:rPr>
          <w:szCs w:val="24"/>
        </w:rPr>
        <w:t xml:space="preserve">The model system consists of several components. </w:t>
      </w:r>
      <w:r w:rsidR="00855F90">
        <w:rPr>
          <w:szCs w:val="24"/>
        </w:rPr>
        <w:t>A</w:t>
      </w:r>
      <w:r w:rsidR="00855F90" w:rsidRPr="00855F90">
        <w:rPr>
          <w:szCs w:val="24"/>
        </w:rPr>
        <w:t xml:space="preserve"> latent segmentation model component is </w:t>
      </w:r>
      <w:r w:rsidR="00855F90">
        <w:rPr>
          <w:szCs w:val="24"/>
        </w:rPr>
        <w:t xml:space="preserve"> </w:t>
      </w:r>
      <w:r w:rsidR="00855F90" w:rsidRPr="00855F90">
        <w:rPr>
          <w:szCs w:val="24"/>
        </w:rPr>
        <w:t xml:space="preserve">employed to </w:t>
      </w:r>
      <w:r w:rsidR="006E4162">
        <w:rPr>
          <w:szCs w:val="24"/>
        </w:rPr>
        <w:t>probabilistically assign</w:t>
      </w:r>
      <w:r w:rsidR="00855F90" w:rsidRPr="00855F90">
        <w:rPr>
          <w:szCs w:val="24"/>
        </w:rPr>
        <w:t xml:space="preserve"> individuals into one of two causal segments, considering their individual and household-level attributes. Subsequently, within these segments, both </w:t>
      </w:r>
      <w:r w:rsidR="0093627C">
        <w:rPr>
          <w:szCs w:val="24"/>
        </w:rPr>
        <w:t>the workplace location and commute distance endogenous outcome</w:t>
      </w:r>
      <w:r w:rsidR="00BA42E8">
        <w:rPr>
          <w:szCs w:val="24"/>
        </w:rPr>
        <w:t xml:space="preserve">s </w:t>
      </w:r>
      <w:r w:rsidR="00855F90" w:rsidRPr="00855F90">
        <w:rPr>
          <w:szCs w:val="24"/>
        </w:rPr>
        <w:t xml:space="preserve">of interest are </w:t>
      </w:r>
      <w:r w:rsidR="00BA42E8">
        <w:rPr>
          <w:szCs w:val="24"/>
        </w:rPr>
        <w:t>jointly modeled</w:t>
      </w:r>
      <w:r w:rsidR="006E4162">
        <w:rPr>
          <w:szCs w:val="24"/>
        </w:rPr>
        <w:t xml:space="preserve"> (accommodating unobserved factors)</w:t>
      </w:r>
      <w:r w:rsidR="00855F90" w:rsidRPr="00855F90">
        <w:rPr>
          <w:szCs w:val="24"/>
        </w:rPr>
        <w:t>, incorporating socio-demographic, household, employment, residential, workplace</w:t>
      </w:r>
      <w:r w:rsidR="00855F90">
        <w:rPr>
          <w:szCs w:val="24"/>
        </w:rPr>
        <w:t xml:space="preserve"> and other</w:t>
      </w:r>
      <w:r w:rsidR="00855F90" w:rsidRPr="00855F90">
        <w:rPr>
          <w:szCs w:val="24"/>
        </w:rPr>
        <w:t xml:space="preserve"> </w:t>
      </w:r>
      <w:r w:rsidR="006E4162">
        <w:rPr>
          <w:szCs w:val="24"/>
        </w:rPr>
        <w:t xml:space="preserve">observed </w:t>
      </w:r>
      <w:r w:rsidR="00855F90" w:rsidRPr="00855F90">
        <w:rPr>
          <w:szCs w:val="24"/>
        </w:rPr>
        <w:t xml:space="preserve">variables. Furthermore, within each segment, the unidirectional effects </w:t>
      </w:r>
      <w:r w:rsidR="00BA42E8">
        <w:rPr>
          <w:szCs w:val="24"/>
        </w:rPr>
        <w:t xml:space="preserve">of one endogenous outcome on the other </w:t>
      </w:r>
      <w:r w:rsidR="00855F90" w:rsidRPr="00855F90">
        <w:rPr>
          <w:szCs w:val="24"/>
        </w:rPr>
        <w:t>are modeled.</w:t>
      </w:r>
      <w:r w:rsidR="00855F90">
        <w:rPr>
          <w:szCs w:val="24"/>
        </w:rPr>
        <w:t xml:space="preserve"> </w:t>
      </w:r>
      <w:r w:rsidR="00855F90" w:rsidRPr="00855F90">
        <w:rPr>
          <w:szCs w:val="24"/>
        </w:rPr>
        <w:t xml:space="preserve">Figure </w:t>
      </w:r>
      <w:r w:rsidR="00855F90">
        <w:rPr>
          <w:szCs w:val="24"/>
        </w:rPr>
        <w:t>4</w:t>
      </w:r>
      <w:r w:rsidR="00855F90" w:rsidRPr="00855F90">
        <w:rPr>
          <w:szCs w:val="24"/>
        </w:rPr>
        <w:t xml:space="preserve"> provides a simplified </w:t>
      </w:r>
      <w:r w:rsidR="00BA42E8">
        <w:rPr>
          <w:szCs w:val="24"/>
        </w:rPr>
        <w:t xml:space="preserve">conceptual visualization </w:t>
      </w:r>
      <w:r w:rsidR="00855F90" w:rsidRPr="00855F90">
        <w:rPr>
          <w:szCs w:val="24"/>
        </w:rPr>
        <w:t>of the model framework.</w:t>
      </w:r>
      <w:r w:rsidR="00855F90">
        <w:rPr>
          <w:szCs w:val="24"/>
        </w:rPr>
        <w:t xml:space="preserve"> </w:t>
      </w:r>
      <w:r w:rsidRPr="00163851">
        <w:rPr>
          <w:szCs w:val="24"/>
        </w:rPr>
        <w:t>In this section, we first provide the mathematical formulation for th</w:t>
      </w:r>
      <w:r>
        <w:rPr>
          <w:szCs w:val="24"/>
        </w:rPr>
        <w:t>is</w:t>
      </w:r>
      <w:r w:rsidRPr="00163851">
        <w:rPr>
          <w:szCs w:val="24"/>
        </w:rPr>
        <w:t xml:space="preserve"> joint model system</w:t>
      </w:r>
      <w:r>
        <w:rPr>
          <w:szCs w:val="24"/>
        </w:rPr>
        <w:t xml:space="preserve"> within each of the two </w:t>
      </w:r>
      <w:r w:rsidR="00BA42E8">
        <w:rPr>
          <w:szCs w:val="24"/>
        </w:rPr>
        <w:t xml:space="preserve">latent </w:t>
      </w:r>
      <w:r>
        <w:rPr>
          <w:szCs w:val="24"/>
        </w:rPr>
        <w:t>segments representing the TC and CT causal effect directions</w:t>
      </w:r>
      <w:r w:rsidRPr="00163851">
        <w:rPr>
          <w:szCs w:val="24"/>
        </w:rPr>
        <w:t xml:space="preserve">, and </w:t>
      </w:r>
      <w:r>
        <w:rPr>
          <w:szCs w:val="24"/>
        </w:rPr>
        <w:t xml:space="preserve">subsequently </w:t>
      </w:r>
      <w:r w:rsidRPr="00163851">
        <w:rPr>
          <w:szCs w:val="24"/>
        </w:rPr>
        <w:t>discuss the latent segmentation modeling approach.</w:t>
      </w:r>
    </w:p>
    <w:p w14:paraId="15BED5AF" w14:textId="77777777" w:rsidR="000F34B3" w:rsidRPr="00163851" w:rsidRDefault="000F34B3" w:rsidP="00303FC0">
      <w:pPr>
        <w:spacing w:after="0" w:line="240" w:lineRule="auto"/>
        <w:rPr>
          <w:szCs w:val="24"/>
        </w:rPr>
      </w:pPr>
    </w:p>
    <w:p w14:paraId="55186906" w14:textId="61B22116" w:rsidR="000F34B3" w:rsidRPr="00163851" w:rsidRDefault="000F34B3" w:rsidP="00303FC0">
      <w:pPr>
        <w:pStyle w:val="Heading2"/>
        <w:spacing w:line="240" w:lineRule="auto"/>
      </w:pPr>
      <w:r w:rsidRPr="00163851">
        <w:t xml:space="preserve"> Joint Model Framework</w:t>
      </w:r>
      <w:r>
        <w:t xml:space="preserve"> </w:t>
      </w:r>
      <w:r w:rsidR="00BB7DD2">
        <w:t>W</w:t>
      </w:r>
      <w:r w:rsidR="00DE4804">
        <w:t>ith</w:t>
      </w:r>
      <w:r w:rsidR="00BB7DD2">
        <w:t>in E</w:t>
      </w:r>
      <w:r w:rsidR="00DE4804">
        <w:t>ach Segment</w:t>
      </w:r>
    </w:p>
    <w:p w14:paraId="09B92AFA" w14:textId="6D7B1F0F" w:rsidR="00235117" w:rsidRDefault="000F34B3" w:rsidP="00303FC0">
      <w:pPr>
        <w:spacing w:after="0" w:line="240" w:lineRule="auto"/>
        <w:rPr>
          <w:szCs w:val="24"/>
        </w:rPr>
      </w:pPr>
      <w:r w:rsidRPr="00163851">
        <w:rPr>
          <w:szCs w:val="24"/>
        </w:rPr>
        <w:t xml:space="preserve">Consider an individual </w:t>
      </w:r>
      <w:r w:rsidRPr="00163851">
        <w:rPr>
          <w:i/>
          <w:szCs w:val="24"/>
        </w:rPr>
        <w:t>q</w:t>
      </w:r>
      <w:r w:rsidRPr="00163851">
        <w:rPr>
          <w:szCs w:val="24"/>
        </w:rPr>
        <w:t xml:space="preserve"> (</w:t>
      </w:r>
      <w:r w:rsidRPr="00163851">
        <w:rPr>
          <w:i/>
          <w:szCs w:val="24"/>
        </w:rPr>
        <w:t>q</w:t>
      </w:r>
      <w:r w:rsidRPr="00163851">
        <w:rPr>
          <w:szCs w:val="24"/>
        </w:rPr>
        <w:t xml:space="preserve">=1, 2, 3,…, </w:t>
      </w:r>
      <w:r w:rsidRPr="00163851">
        <w:rPr>
          <w:i/>
          <w:szCs w:val="24"/>
        </w:rPr>
        <w:t>Q</w:t>
      </w:r>
      <w:r w:rsidRPr="00163851">
        <w:rPr>
          <w:szCs w:val="24"/>
        </w:rPr>
        <w:t xml:space="preserve">) facing a multi-dimensional MDC and continuous outcome choice system, and assume that the individual belongs to a specific segment </w:t>
      </w:r>
      <w:r w:rsidRPr="00163851">
        <w:rPr>
          <w:i/>
          <w:szCs w:val="24"/>
        </w:rPr>
        <w:t>h</w:t>
      </w:r>
      <w:r w:rsidRPr="00163851">
        <w:rPr>
          <w:szCs w:val="24"/>
        </w:rPr>
        <w:t xml:space="preserve">. However, for the time being, we will drop the subscript </w:t>
      </w:r>
      <w:r w:rsidRPr="00163851">
        <w:rPr>
          <w:i/>
          <w:szCs w:val="24"/>
        </w:rPr>
        <w:t xml:space="preserve">h </w:t>
      </w:r>
      <w:r w:rsidRPr="00163851">
        <w:rPr>
          <w:szCs w:val="24"/>
        </w:rPr>
        <w:t xml:space="preserve">for </w:t>
      </w:r>
      <w:r>
        <w:rPr>
          <w:szCs w:val="24"/>
        </w:rPr>
        <w:t xml:space="preserve">presentation </w:t>
      </w:r>
      <w:r w:rsidRPr="00163851">
        <w:rPr>
          <w:szCs w:val="24"/>
        </w:rPr>
        <w:t>ease</w:t>
      </w:r>
      <w:r>
        <w:rPr>
          <w:szCs w:val="24"/>
        </w:rPr>
        <w:t xml:space="preserve"> and </w:t>
      </w:r>
      <w:r w:rsidRPr="00163851">
        <w:rPr>
          <w:szCs w:val="24"/>
        </w:rPr>
        <w:t>re-introduce th</w:t>
      </w:r>
      <w:r>
        <w:rPr>
          <w:szCs w:val="24"/>
        </w:rPr>
        <w:t>is</w:t>
      </w:r>
      <w:r w:rsidRPr="00163851">
        <w:rPr>
          <w:szCs w:val="24"/>
        </w:rPr>
        <w:t xml:space="preserve"> segment-</w:t>
      </w:r>
      <w:r w:rsidRPr="00163851">
        <w:rPr>
          <w:szCs w:val="24"/>
        </w:rPr>
        <w:lastRenderedPageBreak/>
        <w:t xml:space="preserve">based </w:t>
      </w:r>
      <w:r>
        <w:rPr>
          <w:szCs w:val="24"/>
        </w:rPr>
        <w:t xml:space="preserve">index </w:t>
      </w:r>
      <w:r w:rsidRPr="00163851">
        <w:rPr>
          <w:szCs w:val="24"/>
        </w:rPr>
        <w:t>later on in Section</w:t>
      </w:r>
      <w:r w:rsidR="00A03A3F">
        <w:rPr>
          <w:szCs w:val="24"/>
        </w:rPr>
        <w:t xml:space="preserve"> 4.</w:t>
      </w:r>
      <w:r w:rsidR="00BB7DD2">
        <w:rPr>
          <w:szCs w:val="24"/>
        </w:rPr>
        <w:t>2</w:t>
      </w:r>
      <w:r w:rsidRPr="00163851">
        <w:rPr>
          <w:szCs w:val="24"/>
        </w:rPr>
        <w:t>.</w:t>
      </w:r>
      <w:r>
        <w:rPr>
          <w:szCs w:val="24"/>
        </w:rPr>
        <w:t xml:space="preserve"> </w:t>
      </w:r>
      <w:r w:rsidR="00235117">
        <w:rPr>
          <w:szCs w:val="24"/>
        </w:rPr>
        <w:t>We will firs</w:t>
      </w:r>
      <w:r w:rsidR="00BF323D">
        <w:rPr>
          <w:szCs w:val="24"/>
        </w:rPr>
        <w:t>t</w:t>
      </w:r>
      <w:r w:rsidR="00235117">
        <w:rPr>
          <w:szCs w:val="24"/>
        </w:rPr>
        <w:t xml:space="preserve"> discuss the MDC component followed by the continuous outcome component.</w:t>
      </w:r>
      <w:r w:rsidR="0093627C">
        <w:rPr>
          <w:szCs w:val="24"/>
        </w:rPr>
        <w:t xml:space="preserve"> The MDC component discussion is based on </w:t>
      </w:r>
      <w:r w:rsidR="0093627C" w:rsidRPr="00B1771E">
        <w:rPr>
          <w:szCs w:val="24"/>
        </w:rPr>
        <w:t xml:space="preserve">Bhat (2008), </w:t>
      </w:r>
      <w:r w:rsidR="0093627C">
        <w:rPr>
          <w:szCs w:val="24"/>
        </w:rPr>
        <w:t xml:space="preserve">Bhat et al. (2013), </w:t>
      </w:r>
      <w:r w:rsidR="0093627C" w:rsidRPr="00B1771E">
        <w:rPr>
          <w:szCs w:val="24"/>
        </w:rPr>
        <w:t>Bhat et al. (2014), Bhat (2015), and Bhat et al. (2016)</w:t>
      </w:r>
    </w:p>
    <w:p w14:paraId="0D7B982A" w14:textId="086BD197" w:rsidR="005E6B2B" w:rsidRDefault="00235117" w:rsidP="00002517">
      <w:pPr>
        <w:spacing w:after="0" w:line="240" w:lineRule="auto"/>
        <w:ind w:firstLine="720"/>
        <w:rPr>
          <w:szCs w:val="24"/>
        </w:rPr>
      </w:pPr>
      <w:r>
        <w:rPr>
          <w:color w:val="000000"/>
        </w:rPr>
        <w:t>For the MDC component, l</w:t>
      </w:r>
      <w:r w:rsidR="000F34B3" w:rsidRPr="00F11C5E">
        <w:rPr>
          <w:color w:val="000000"/>
        </w:rPr>
        <w:t xml:space="preserve">et </w:t>
      </w:r>
      <w:r w:rsidR="006E1902" w:rsidRPr="00F11C5E">
        <w:rPr>
          <w:position w:val="-14"/>
        </w:rPr>
        <w:object w:dxaOrig="2040" w:dyaOrig="380" w14:anchorId="106012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85pt;height:18.85pt" o:ole="" o:preferrelative="f">
            <v:imagedata r:id="rId11" o:title=""/>
            <o:lock v:ext="edit" aspectratio="f"/>
          </v:shape>
          <o:OLEObject Type="Embed" ProgID="Equation.DSMT4" ShapeID="_x0000_i1025" DrawAspect="Content" ObjectID="_1778700856" r:id="rId12"/>
        </w:object>
      </w:r>
      <w:r w:rsidR="000F34B3">
        <w:t xml:space="preserve"> </w:t>
      </w:r>
      <w:r w:rsidR="000F34B3" w:rsidRPr="00F11C5E">
        <w:rPr>
          <w:color w:val="000000"/>
        </w:rPr>
        <w:t xml:space="preserve">be the </w:t>
      </w:r>
      <w:r w:rsidR="000F34B3" w:rsidRPr="00F11C5E">
        <w:t xml:space="preserve">vector </w:t>
      </w:r>
      <w:r w:rsidR="000F34B3">
        <w:t xml:space="preserve">containing the proportion of number of days of work from each WPL </w:t>
      </w:r>
      <w:r w:rsidR="000F34B3">
        <w:rPr>
          <w:i/>
        </w:rPr>
        <w:t xml:space="preserve">k </w:t>
      </w:r>
      <w:r w:rsidR="000F34B3">
        <w:t>(</w:t>
      </w:r>
      <w:r w:rsidR="000F34B3">
        <w:rPr>
          <w:i/>
        </w:rPr>
        <w:t>k</w:t>
      </w:r>
      <w:r w:rsidR="000F34B3">
        <w:t>=1,</w:t>
      </w:r>
      <w:r w:rsidR="002C1F02">
        <w:t xml:space="preserve"> </w:t>
      </w:r>
      <w:r w:rsidR="000F34B3">
        <w:t>2,</w:t>
      </w:r>
      <w:r w:rsidR="002C1F02">
        <w:t xml:space="preserve"> </w:t>
      </w:r>
      <w:r w:rsidR="000F34B3">
        <w:t>3,…</w:t>
      </w:r>
      <w:r w:rsidR="002C1F02">
        <w:t xml:space="preserve">, </w:t>
      </w:r>
      <w:r w:rsidR="000F34B3" w:rsidRPr="00FF45AA">
        <w:rPr>
          <w:i/>
        </w:rPr>
        <w:t>K</w:t>
      </w:r>
      <w:r w:rsidR="000F34B3" w:rsidRPr="002C1F02">
        <w:t>;</w:t>
      </w:r>
      <w:r w:rsidR="000F34B3">
        <w:rPr>
          <w:i/>
        </w:rPr>
        <w:t xml:space="preserve"> K</w:t>
      </w:r>
      <w:r w:rsidR="000F34B3" w:rsidRPr="002C1F02">
        <w:t>=3</w:t>
      </w:r>
      <w:r w:rsidR="000F34B3">
        <w:rPr>
          <w:i/>
        </w:rPr>
        <w:t xml:space="preserve"> </w:t>
      </w:r>
      <w:r w:rsidR="000F34B3" w:rsidRPr="00AD7FF8">
        <w:rPr>
          <w:iCs/>
        </w:rPr>
        <w:t>in our empirical application</w:t>
      </w:r>
      <w:r w:rsidR="000F34B3">
        <w:t>)</w:t>
      </w:r>
      <w:r w:rsidR="000F34B3">
        <w:rPr>
          <w:i/>
        </w:rPr>
        <w:t>.</w:t>
      </w:r>
      <w:r w:rsidR="000F34B3">
        <w:t xml:space="preserve"> Then, </w:t>
      </w:r>
      <w:r w:rsidR="000F34B3">
        <w:rPr>
          <w:szCs w:val="24"/>
        </w:rPr>
        <w:t xml:space="preserve">following Bhat (2008), consumer </w:t>
      </w:r>
      <w:r w:rsidR="000F34B3">
        <w:rPr>
          <w:i/>
          <w:szCs w:val="24"/>
        </w:rPr>
        <w:t>q</w:t>
      </w:r>
      <w:r w:rsidR="000F34B3">
        <w:rPr>
          <w:szCs w:val="24"/>
        </w:rPr>
        <w:t xml:space="preserve"> maximizes utility subject to a proportion binding constraint:</w:t>
      </w:r>
    </w:p>
    <w:p w14:paraId="2481EBD7" w14:textId="3A8BC5EA" w:rsidR="000F34B3" w:rsidRDefault="005E6B2B" w:rsidP="00303FC0">
      <w:pPr>
        <w:tabs>
          <w:tab w:val="right" w:pos="9360"/>
        </w:tabs>
        <w:spacing w:after="0" w:line="240" w:lineRule="auto"/>
        <w:rPr>
          <w:rFonts w:cs="Arial"/>
        </w:rPr>
      </w:pPr>
      <w:r w:rsidRPr="00064637">
        <w:rPr>
          <w:position w:val="-34"/>
        </w:rPr>
        <w:object w:dxaOrig="3660" w:dyaOrig="800" w14:anchorId="78B7BC1C">
          <v:shape id="_x0000_i1026" type="#_x0000_t75" style="width:183pt;height:40.7pt" o:ole="" o:preferrelative="f">
            <v:imagedata r:id="rId13" o:title=""/>
            <o:lock v:ext="edit" aspectratio="f"/>
          </v:shape>
          <o:OLEObject Type="Embed" ProgID="Equation.DSMT4" ShapeID="_x0000_i1026" DrawAspect="Content" ObjectID="_1778700857" r:id="rId14"/>
        </w:object>
      </w:r>
      <w:r w:rsidR="000F34B3">
        <w:rPr>
          <w:rFonts w:cs="Arial"/>
        </w:rPr>
        <w:tab/>
      </w:r>
      <w:r>
        <w:rPr>
          <w:rFonts w:cs="Arial"/>
        </w:rPr>
        <w:t>(1)</w:t>
      </w:r>
    </w:p>
    <w:p w14:paraId="6CBE5A16" w14:textId="7944653B" w:rsidR="005E6B2B" w:rsidRDefault="005E6B2B" w:rsidP="00303FC0">
      <w:pPr>
        <w:spacing w:after="0" w:line="240" w:lineRule="auto"/>
        <w:rPr>
          <w:rFonts w:cs="Arial"/>
        </w:rPr>
      </w:pPr>
      <w:proofErr w:type="spellStart"/>
      <w:r w:rsidRPr="005E6B2B">
        <w:rPr>
          <w:i/>
        </w:rPr>
        <w:t>s.t.</w:t>
      </w:r>
      <w:proofErr w:type="spellEnd"/>
      <w:r>
        <w:t xml:space="preserve"> </w:t>
      </w:r>
      <w:r w:rsidRPr="00064637">
        <w:rPr>
          <w:position w:val="-28"/>
        </w:rPr>
        <w:object w:dxaOrig="1020" w:dyaOrig="680" w14:anchorId="6E93BF2B">
          <v:shape id="_x0000_i1027" type="#_x0000_t75" style="width:51.85pt;height:33.85pt;mso-position-vertical:absolute" o:ole="" o:preferrelative="f">
            <v:imagedata r:id="rId15" o:title=""/>
            <o:lock v:ext="edit" aspectratio="f"/>
          </v:shape>
          <o:OLEObject Type="Embed" ProgID="Equation.DSMT4" ShapeID="_x0000_i1027" DrawAspect="Content" ObjectID="_1778700858" r:id="rId16"/>
        </w:object>
      </w:r>
    </w:p>
    <w:p w14:paraId="04A496D6" w14:textId="3901D5EE" w:rsidR="00122587" w:rsidRDefault="005E6B2B" w:rsidP="00303FC0">
      <w:pPr>
        <w:spacing w:after="0" w:line="240" w:lineRule="auto"/>
        <w:rPr>
          <w:szCs w:val="24"/>
        </w:rPr>
      </w:pPr>
      <w:r w:rsidRPr="00F11C5E">
        <w:rPr>
          <w:rFonts w:cs="Arial"/>
          <w:position w:val="-14"/>
        </w:rPr>
        <w:object w:dxaOrig="760" w:dyaOrig="380" w14:anchorId="7B428489">
          <v:shape id="_x0000_i1028" type="#_x0000_t75" style="width:38.15pt;height:18.85pt" o:ole="" o:preferrelative="f">
            <v:imagedata r:id="rId17" o:title=""/>
            <o:lock v:ext="edit" aspectratio="f"/>
          </v:shape>
          <o:OLEObject Type="Embed" ProgID="Equation.DSMT4" ShapeID="_x0000_i1028" DrawAspect="Content" ObjectID="_1778700859" r:id="rId18"/>
        </w:object>
      </w:r>
      <w:r w:rsidR="000F34B3" w:rsidRPr="00F11C5E">
        <w:rPr>
          <w:rFonts w:cs="Arial"/>
        </w:rPr>
        <w:t xml:space="preserve"> refers to the utility </w:t>
      </w:r>
      <w:r w:rsidR="000F34B3">
        <w:rPr>
          <w:rFonts w:cs="Arial"/>
        </w:rPr>
        <w:t xml:space="preserve">accrued by the individual in the allocation across WPLs as contained in vector </w:t>
      </w:r>
      <w:r w:rsidRPr="008C5521">
        <w:rPr>
          <w:position w:val="-14"/>
        </w:rPr>
        <w:object w:dxaOrig="300" w:dyaOrig="380" w14:anchorId="41E376A7">
          <v:shape id="_x0000_i1029" type="#_x0000_t75" style="width:15.85pt;height:18.85pt" o:ole="">
            <v:imagedata r:id="rId19" o:title=""/>
          </v:shape>
          <o:OLEObject Type="Embed" ProgID="Equation.DSMT4" ShapeID="_x0000_i1029" DrawAspect="Content" ObjectID="_1778700860" r:id="rId20"/>
        </w:object>
      </w:r>
      <w:r w:rsidR="000F34B3">
        <w:t xml:space="preserve">. </w:t>
      </w:r>
      <w:r w:rsidR="000D5F81" w:rsidRPr="008C5521">
        <w:rPr>
          <w:position w:val="-14"/>
        </w:rPr>
        <w:object w:dxaOrig="360" w:dyaOrig="380" w14:anchorId="4E4BBA4F">
          <v:shape id="_x0000_i1030" type="#_x0000_t75" style="width:18pt;height:18.85pt" o:ole="" o:preferrelative="f">
            <v:imagedata r:id="rId21" o:title=""/>
            <o:lock v:ext="edit" aspectratio="f"/>
          </v:shape>
          <o:OLEObject Type="Embed" ProgID="Equation.DSMT4" ShapeID="_x0000_i1030" DrawAspect="Content" ObjectID="_1778700861" r:id="rId22"/>
        </w:object>
      </w:r>
      <w:r w:rsidR="000F34B3">
        <w:rPr>
          <w:rFonts w:cs="Arial"/>
        </w:rPr>
        <w:t xml:space="preserve"> </w:t>
      </w:r>
      <w:r w:rsidR="00BA42E8">
        <w:rPr>
          <w:rFonts w:cs="Arial"/>
        </w:rPr>
        <w:t xml:space="preserve">is </w:t>
      </w:r>
      <w:r w:rsidR="000F34B3">
        <w:rPr>
          <w:rFonts w:cs="Arial"/>
        </w:rPr>
        <w:t xml:space="preserve">the baseline preference of WPL </w:t>
      </w:r>
      <w:r w:rsidR="000F34B3" w:rsidRPr="00AD7FF8">
        <w:rPr>
          <w:rFonts w:cs="Arial"/>
          <w:i/>
          <w:iCs/>
        </w:rPr>
        <w:t>k</w:t>
      </w:r>
      <w:r w:rsidR="00BA42E8">
        <w:rPr>
          <w:rFonts w:cs="Arial"/>
        </w:rPr>
        <w:t xml:space="preserve">, determining participation </w:t>
      </w:r>
      <w:r w:rsidR="000F34B3">
        <w:t>and</w:t>
      </w:r>
      <w:r w:rsidR="000F34B3" w:rsidRPr="00F11C5E">
        <w:t xml:space="preserve"> in </w:t>
      </w:r>
      <w:r w:rsidR="000F34B3">
        <w:t>the</w:t>
      </w:r>
      <w:r w:rsidR="000F34B3" w:rsidRPr="00F11C5E">
        <w:t xml:space="preserve"> alternative </w:t>
      </w:r>
      <w:r w:rsidR="000F34B3" w:rsidRPr="00F11C5E">
        <w:rPr>
          <w:i/>
        </w:rPr>
        <w:t>k</w:t>
      </w:r>
      <w:r w:rsidR="000F34B3">
        <w:t xml:space="preserve"> </w:t>
      </w:r>
      <w:r w:rsidR="000F34B3" w:rsidRPr="00F11C5E">
        <w:t xml:space="preserve">for </w:t>
      </w:r>
      <w:r w:rsidR="000F34B3" w:rsidRPr="00F11C5E">
        <w:rPr>
          <w:rFonts w:cs="Arial"/>
        </w:rPr>
        <w:t xml:space="preserve">individual </w:t>
      </w:r>
      <w:r w:rsidR="000F34B3" w:rsidRPr="00F11C5E">
        <w:rPr>
          <w:rFonts w:cs="Arial"/>
          <w:i/>
        </w:rPr>
        <w:t>q</w:t>
      </w:r>
      <w:r w:rsidR="00BA42E8">
        <w:rPr>
          <w:rFonts w:cs="Arial"/>
        </w:rPr>
        <w:t xml:space="preserve">, while </w:t>
      </w:r>
      <w:r w:rsidR="000F34B3" w:rsidRPr="00064637">
        <w:rPr>
          <w:position w:val="-14"/>
        </w:rPr>
        <w:object w:dxaOrig="340" w:dyaOrig="380" w14:anchorId="4A375A24">
          <v:shape id="_x0000_i1031" type="#_x0000_t75" style="width:17.15pt;height:18.85pt" o:ole="">
            <v:imagedata r:id="rId23" o:title=""/>
          </v:shape>
          <o:OLEObject Type="Embed" ProgID="Equation.DSMT4" ShapeID="_x0000_i1031" DrawAspect="Content" ObjectID="_1778700862" r:id="rId24"/>
        </w:object>
      </w:r>
      <w:r w:rsidR="000F34B3" w:rsidRPr="00F11C5E">
        <w:rPr>
          <w:rFonts w:cs="Arial"/>
        </w:rPr>
        <w:t xml:space="preserve"> (</w:t>
      </w:r>
      <w:r w:rsidR="000F34B3" w:rsidRPr="00064637">
        <w:rPr>
          <w:position w:val="-14"/>
        </w:rPr>
        <w:object w:dxaOrig="340" w:dyaOrig="380" w14:anchorId="4889F111">
          <v:shape id="_x0000_i1032" type="#_x0000_t75" style="width:17.15pt;height:18.85pt" o:ole="">
            <v:imagedata r:id="rId23" o:title=""/>
          </v:shape>
          <o:OLEObject Type="Embed" ProgID="Equation.DSMT4" ShapeID="_x0000_i1032" DrawAspect="Content" ObjectID="_1778700863" r:id="rId25"/>
        </w:object>
      </w:r>
      <w:r w:rsidR="000F34B3" w:rsidRPr="00F11C5E">
        <w:rPr>
          <w:rFonts w:cs="Arial"/>
        </w:rPr>
        <w:t xml:space="preserve">&gt;0) is a translation parameter that serves </w:t>
      </w:r>
      <w:r w:rsidR="00BA42E8">
        <w:rPr>
          <w:rFonts w:cs="Arial"/>
        </w:rPr>
        <w:t xml:space="preserve">the dual role of enabling zero allocations (that is, </w:t>
      </w:r>
      <w:r w:rsidR="000F34B3" w:rsidRPr="00F11C5E">
        <w:rPr>
          <w:rFonts w:cs="Arial"/>
        </w:rPr>
        <w:t>corner solutions</w:t>
      </w:r>
      <w:r w:rsidR="00BA42E8">
        <w:rPr>
          <w:rFonts w:cs="Arial"/>
        </w:rPr>
        <w:t>)</w:t>
      </w:r>
      <w:r w:rsidR="000F34B3" w:rsidRPr="00F11C5E">
        <w:rPr>
          <w:rFonts w:cs="Arial"/>
        </w:rPr>
        <w:t xml:space="preserve"> </w:t>
      </w:r>
      <w:r w:rsidR="000F34B3">
        <w:rPr>
          <w:rFonts w:cs="Arial"/>
        </w:rPr>
        <w:t>as well as</w:t>
      </w:r>
      <w:r w:rsidR="000F34B3" w:rsidRPr="00F11C5E">
        <w:rPr>
          <w:rFonts w:cs="Arial"/>
        </w:rPr>
        <w:t xml:space="preserve"> </w:t>
      </w:r>
      <w:r w:rsidR="000F34B3">
        <w:rPr>
          <w:rFonts w:cs="Arial"/>
        </w:rPr>
        <w:t>accommodat</w:t>
      </w:r>
      <w:r w:rsidR="00BA42E8">
        <w:rPr>
          <w:rFonts w:cs="Arial"/>
        </w:rPr>
        <w:t>ing</w:t>
      </w:r>
      <w:r w:rsidR="000F34B3">
        <w:rPr>
          <w:rFonts w:cs="Arial"/>
        </w:rPr>
        <w:t xml:space="preserve"> </w:t>
      </w:r>
      <w:r w:rsidR="000F34B3" w:rsidRPr="00F11C5E">
        <w:rPr>
          <w:rFonts w:cs="Arial"/>
        </w:rPr>
        <w:t>satiation effects</w:t>
      </w:r>
      <w:r w:rsidR="00BA42E8">
        <w:rPr>
          <w:rFonts w:cs="Arial"/>
        </w:rPr>
        <w:t>. Lower</w:t>
      </w:r>
      <w:r w:rsidR="000F34B3">
        <w:rPr>
          <w:rFonts w:cs="Arial"/>
        </w:rPr>
        <w:t xml:space="preserve"> </w:t>
      </w:r>
      <w:r w:rsidR="000F34B3" w:rsidRPr="00F11C5E">
        <w:rPr>
          <w:rFonts w:cs="Arial"/>
        </w:rPr>
        <w:t>values of</w:t>
      </w:r>
      <w:r w:rsidR="000F34B3">
        <w:rPr>
          <w:rFonts w:cs="Arial"/>
        </w:rPr>
        <w:t xml:space="preserve"> </w:t>
      </w:r>
      <w:r w:rsidR="000F34B3" w:rsidRPr="00064637">
        <w:rPr>
          <w:position w:val="-14"/>
        </w:rPr>
        <w:object w:dxaOrig="340" w:dyaOrig="380" w14:anchorId="6EF1F8C8">
          <v:shape id="_x0000_i1033" type="#_x0000_t75" style="width:17.15pt;height:18.85pt" o:ole="">
            <v:imagedata r:id="rId23" o:title=""/>
          </v:shape>
          <o:OLEObject Type="Embed" ProgID="Equation.DSMT4" ShapeID="_x0000_i1033" DrawAspect="Content" ObjectID="_1778700864" r:id="rId26"/>
        </w:object>
      </w:r>
      <w:r w:rsidR="000F34B3">
        <w:t xml:space="preserve"> </w:t>
      </w:r>
      <w:r w:rsidR="000F34B3" w:rsidRPr="00F11C5E">
        <w:rPr>
          <w:rFonts w:cs="Arial"/>
        </w:rPr>
        <w:t xml:space="preserve">imply higher satiation </w:t>
      </w:r>
      <w:r w:rsidR="000F34B3">
        <w:rPr>
          <w:rFonts w:cs="Arial"/>
        </w:rPr>
        <w:t xml:space="preserve">for WPL </w:t>
      </w:r>
      <w:r w:rsidR="000F34B3" w:rsidRPr="00AD7FF8">
        <w:rPr>
          <w:rFonts w:cs="Arial"/>
          <w:i/>
          <w:iCs/>
        </w:rPr>
        <w:t>k</w:t>
      </w:r>
      <w:r w:rsidR="000F34B3">
        <w:rPr>
          <w:rFonts w:cs="Arial"/>
        </w:rPr>
        <w:t xml:space="preserve"> </w:t>
      </w:r>
      <w:r w:rsidR="000F34B3" w:rsidRPr="00F11C5E">
        <w:rPr>
          <w:rFonts w:cs="Arial"/>
        </w:rPr>
        <w:t>(or</w:t>
      </w:r>
      <w:r w:rsidR="000F34B3">
        <w:rPr>
          <w:rFonts w:cs="Arial"/>
        </w:rPr>
        <w:t xml:space="preserve"> lower proportion of number of days of work from WPL </w:t>
      </w:r>
      <w:r w:rsidR="000F34B3" w:rsidRPr="00AD7FF8">
        <w:rPr>
          <w:rFonts w:cs="Arial"/>
          <w:i/>
          <w:iCs/>
        </w:rPr>
        <w:t>k</w:t>
      </w:r>
      <w:r w:rsidR="000F34B3">
        <w:rPr>
          <w:rFonts w:cs="Arial"/>
        </w:rPr>
        <w:t xml:space="preserve">; </w:t>
      </w:r>
      <w:r w:rsidR="000F34B3" w:rsidRPr="00F11C5E">
        <w:rPr>
          <w:rFonts w:cs="Arial"/>
        </w:rPr>
        <w:t xml:space="preserve">see Bhat, 2008 for details). </w:t>
      </w:r>
      <w:r w:rsidR="000F34B3" w:rsidRPr="00163851">
        <w:rPr>
          <w:szCs w:val="24"/>
        </w:rPr>
        <w:t xml:space="preserve">To </w:t>
      </w:r>
      <w:r w:rsidR="00BA42E8">
        <w:rPr>
          <w:szCs w:val="24"/>
        </w:rPr>
        <w:t xml:space="preserve">develop an econometric model, we parameterize </w:t>
      </w:r>
      <w:r w:rsidR="00BA42E8" w:rsidRPr="008C5521">
        <w:rPr>
          <w:position w:val="-14"/>
        </w:rPr>
        <w:object w:dxaOrig="360" w:dyaOrig="380" w14:anchorId="4E88A638">
          <v:shape id="_x0000_i1034" type="#_x0000_t75" style="width:18pt;height:18.85pt" o:ole="" o:preferrelative="f">
            <v:imagedata r:id="rId21" o:title=""/>
            <o:lock v:ext="edit" aspectratio="f"/>
          </v:shape>
          <o:OLEObject Type="Embed" ProgID="Equation.DSMT4" ShapeID="_x0000_i1034" DrawAspect="Content" ObjectID="_1778700865" r:id="rId27"/>
        </w:object>
      </w:r>
      <w:r w:rsidR="00BA42E8">
        <w:t xml:space="preserve"> and </w:t>
      </w:r>
      <w:r w:rsidR="00BA42E8">
        <w:rPr>
          <w:szCs w:val="24"/>
        </w:rPr>
        <w:t xml:space="preserve">add </w:t>
      </w:r>
      <w:r w:rsidR="000F34B3" w:rsidRPr="00163851">
        <w:rPr>
          <w:szCs w:val="24"/>
        </w:rPr>
        <w:t xml:space="preserve">stochasticity </w:t>
      </w:r>
      <w:r w:rsidR="00BA42E8">
        <w:rPr>
          <w:szCs w:val="24"/>
        </w:rPr>
        <w:t>as follows:</w:t>
      </w:r>
    </w:p>
    <w:p w14:paraId="459940CE" w14:textId="79F3147B" w:rsidR="002C1F02" w:rsidRPr="00163851" w:rsidRDefault="006E1902" w:rsidP="00303FC0">
      <w:pPr>
        <w:tabs>
          <w:tab w:val="right" w:pos="9360"/>
        </w:tabs>
        <w:spacing w:before="60" w:after="60" w:line="240" w:lineRule="auto"/>
        <w:rPr>
          <w:szCs w:val="24"/>
        </w:rPr>
      </w:pPr>
      <w:r w:rsidRPr="00163851">
        <w:rPr>
          <w:rFonts w:eastAsia="Calibri"/>
          <w:position w:val="-14"/>
          <w:szCs w:val="24"/>
        </w:rPr>
        <w:object w:dxaOrig="2180" w:dyaOrig="380" w14:anchorId="6B022139">
          <v:shape id="_x0000_i1035" type="#_x0000_t75" style="width:108.85pt;height:18.85pt" o:ole="" o:preferrelative="f">
            <v:imagedata r:id="rId28" o:title=""/>
            <o:lock v:ext="edit" aspectratio="f"/>
          </v:shape>
          <o:OLEObject Type="Embed" ProgID="Equation.DSMT4" ShapeID="_x0000_i1035" DrawAspect="Content" ObjectID="_1778700866" r:id="rId29"/>
        </w:object>
      </w:r>
      <w:r w:rsidR="002C1F02">
        <w:rPr>
          <w:rFonts w:eastAsia="Calibri"/>
          <w:szCs w:val="24"/>
        </w:rPr>
        <w:tab/>
        <w:t>(2)</w:t>
      </w:r>
    </w:p>
    <w:p w14:paraId="48DF1984" w14:textId="1429B8A0" w:rsidR="000F34B3" w:rsidRPr="003C1B1E" w:rsidRDefault="000F34B3" w:rsidP="00303FC0">
      <w:pPr>
        <w:pStyle w:val="FootnoteText"/>
        <w:rPr>
          <w:rFonts w:eastAsia="Calibri"/>
          <w:sz w:val="24"/>
          <w:szCs w:val="24"/>
        </w:rPr>
      </w:pPr>
      <w:r w:rsidRPr="00163851">
        <w:rPr>
          <w:sz w:val="24"/>
          <w:szCs w:val="24"/>
        </w:rPr>
        <w:t xml:space="preserve">where </w:t>
      </w:r>
      <w:r w:rsidR="005E6B2B" w:rsidRPr="00163851">
        <w:rPr>
          <w:rFonts w:eastAsia="Calibri"/>
          <w:position w:val="-14"/>
          <w:sz w:val="24"/>
          <w:szCs w:val="24"/>
          <w:lang w:val="x-none" w:eastAsia="x-none"/>
        </w:rPr>
        <w:object w:dxaOrig="330" w:dyaOrig="375" w14:anchorId="216028AC">
          <v:shape id="_x0000_i1036" type="#_x0000_t75" style="width:17.15pt;height:18.85pt" o:ole="" o:preferrelative="f">
            <v:imagedata r:id="rId30" o:title=""/>
            <o:lock v:ext="edit" aspectratio="f"/>
          </v:shape>
          <o:OLEObject Type="Embed" ProgID="Equation.3" ShapeID="_x0000_i1036" DrawAspect="Content" ObjectID="_1778700867" r:id="rId31"/>
        </w:object>
      </w:r>
      <w:r w:rsidRPr="00163851">
        <w:rPr>
          <w:sz w:val="24"/>
          <w:szCs w:val="24"/>
        </w:rPr>
        <w:t xml:space="preserve"> is a</w:t>
      </w:r>
      <w:r w:rsidR="00C57F68">
        <w:rPr>
          <w:sz w:val="24"/>
          <w:szCs w:val="24"/>
        </w:rPr>
        <w:t>n</w:t>
      </w:r>
      <w:r w:rsidRPr="00163851">
        <w:rPr>
          <w:sz w:val="24"/>
          <w:szCs w:val="24"/>
        </w:rPr>
        <w:t xml:space="preserve"> </w:t>
      </w:r>
      <w:r w:rsidR="00C57F68">
        <w:rPr>
          <w:i/>
          <w:sz w:val="24"/>
          <w:szCs w:val="24"/>
        </w:rPr>
        <w:t>E</w:t>
      </w:r>
      <w:r w:rsidRPr="00163851">
        <w:rPr>
          <w:sz w:val="24"/>
          <w:szCs w:val="24"/>
        </w:rPr>
        <w:t xml:space="preserve">-dimensional </w:t>
      </w:r>
      <w:r>
        <w:rPr>
          <w:sz w:val="24"/>
          <w:szCs w:val="24"/>
        </w:rPr>
        <w:t>exogenous variable</w:t>
      </w:r>
      <w:r w:rsidR="00BA42E8">
        <w:rPr>
          <w:sz w:val="24"/>
          <w:szCs w:val="24"/>
        </w:rPr>
        <w:t xml:space="preserve"> vector</w:t>
      </w:r>
      <w:r>
        <w:rPr>
          <w:sz w:val="24"/>
          <w:szCs w:val="24"/>
        </w:rPr>
        <w:t xml:space="preserve"> </w:t>
      </w:r>
      <w:r w:rsidR="00BA42E8">
        <w:rPr>
          <w:sz w:val="24"/>
          <w:szCs w:val="24"/>
        </w:rPr>
        <w:t xml:space="preserve">corresponding </w:t>
      </w:r>
      <w:r>
        <w:rPr>
          <w:sz w:val="24"/>
          <w:szCs w:val="24"/>
        </w:rPr>
        <w:t xml:space="preserve">to individual </w:t>
      </w:r>
      <w:r w:rsidRPr="00AD7FF8">
        <w:rPr>
          <w:i/>
          <w:iCs/>
          <w:sz w:val="24"/>
          <w:szCs w:val="24"/>
        </w:rPr>
        <w:t>q</w:t>
      </w:r>
      <w:r>
        <w:rPr>
          <w:sz w:val="24"/>
          <w:szCs w:val="24"/>
        </w:rPr>
        <w:t xml:space="preserve"> and alternative </w:t>
      </w:r>
      <w:r w:rsidRPr="00AD7FF8">
        <w:rPr>
          <w:i/>
          <w:iCs/>
          <w:sz w:val="24"/>
          <w:szCs w:val="24"/>
        </w:rPr>
        <w:t>k</w:t>
      </w:r>
      <w:r>
        <w:rPr>
          <w:sz w:val="24"/>
          <w:szCs w:val="24"/>
        </w:rPr>
        <w:t xml:space="preserve"> </w:t>
      </w:r>
      <w:r w:rsidRPr="00163851">
        <w:rPr>
          <w:sz w:val="24"/>
          <w:szCs w:val="24"/>
        </w:rPr>
        <w:t xml:space="preserve">(including a </w:t>
      </w:r>
      <w:r>
        <w:rPr>
          <w:sz w:val="24"/>
          <w:szCs w:val="24"/>
        </w:rPr>
        <w:t>constant</w:t>
      </w:r>
      <w:r w:rsidRPr="00163851">
        <w:rPr>
          <w:sz w:val="24"/>
          <w:szCs w:val="24"/>
        </w:rPr>
        <w:t>)</w:t>
      </w:r>
      <w:r>
        <w:rPr>
          <w:sz w:val="24"/>
          <w:szCs w:val="24"/>
        </w:rPr>
        <w:t>,</w:t>
      </w:r>
      <w:r w:rsidRPr="00163851">
        <w:rPr>
          <w:sz w:val="24"/>
          <w:szCs w:val="24"/>
        </w:rPr>
        <w:t xml:space="preserve"> as well as</w:t>
      </w:r>
      <w:r w:rsidR="00C933B7">
        <w:rPr>
          <w:sz w:val="24"/>
          <w:szCs w:val="24"/>
        </w:rPr>
        <w:t>, for the CT segment (but not for the TC segment),</w:t>
      </w:r>
      <w:r w:rsidRPr="00163851">
        <w:rPr>
          <w:sz w:val="24"/>
          <w:szCs w:val="24"/>
        </w:rPr>
        <w:t xml:space="preserve"> </w:t>
      </w:r>
      <w:r w:rsidR="00C933B7">
        <w:rPr>
          <w:sz w:val="24"/>
          <w:szCs w:val="24"/>
        </w:rPr>
        <w:t xml:space="preserve">the commute distance </w:t>
      </w:r>
      <w:r>
        <w:rPr>
          <w:sz w:val="24"/>
          <w:szCs w:val="24"/>
        </w:rPr>
        <w:t>endogenou</w:t>
      </w:r>
      <w:r w:rsidR="00C10567">
        <w:rPr>
          <w:sz w:val="24"/>
          <w:szCs w:val="24"/>
        </w:rPr>
        <w:t>s</w:t>
      </w:r>
      <w:r w:rsidR="00C933B7">
        <w:rPr>
          <w:sz w:val="24"/>
          <w:szCs w:val="24"/>
        </w:rPr>
        <w:t xml:space="preserve"> outcome</w:t>
      </w:r>
      <w:r>
        <w:rPr>
          <w:sz w:val="24"/>
          <w:szCs w:val="24"/>
        </w:rPr>
        <w:t>.</w:t>
      </w:r>
      <w:r w:rsidR="005E6B2B">
        <w:rPr>
          <w:sz w:val="24"/>
          <w:szCs w:val="24"/>
        </w:rPr>
        <w:t xml:space="preserve"> </w:t>
      </w:r>
      <w:r w:rsidR="005E6B2B" w:rsidRPr="005E6B2B">
        <w:rPr>
          <w:b/>
          <w:i/>
          <w:sz w:val="24"/>
          <w:szCs w:val="24"/>
        </w:rPr>
        <w:t>β</w:t>
      </w:r>
      <w:r w:rsidR="005E6B2B">
        <w:rPr>
          <w:sz w:val="24"/>
          <w:szCs w:val="24"/>
        </w:rPr>
        <w:t xml:space="preserve"> </w:t>
      </w:r>
      <w:r w:rsidRPr="00163851">
        <w:rPr>
          <w:sz w:val="24"/>
          <w:szCs w:val="24"/>
        </w:rPr>
        <w:t xml:space="preserve">is a </w:t>
      </w:r>
      <w:r>
        <w:rPr>
          <w:sz w:val="24"/>
          <w:szCs w:val="24"/>
        </w:rPr>
        <w:t xml:space="preserve">corresponding </w:t>
      </w:r>
      <w:r w:rsidR="00BA42E8">
        <w:rPr>
          <w:sz w:val="24"/>
          <w:szCs w:val="24"/>
        </w:rPr>
        <w:t xml:space="preserve">coefficient </w:t>
      </w:r>
      <w:r w:rsidRPr="00163851">
        <w:rPr>
          <w:sz w:val="24"/>
          <w:szCs w:val="24"/>
        </w:rPr>
        <w:t xml:space="preserve">vector  (of dimension </w:t>
      </w:r>
      <w:r w:rsidR="00C57F68">
        <w:rPr>
          <w:i/>
          <w:sz w:val="24"/>
          <w:szCs w:val="24"/>
        </w:rPr>
        <w:t>E</w:t>
      </w:r>
      <w:r w:rsidRPr="00163851">
        <w:rPr>
          <w:sz w:val="24"/>
          <w:szCs w:val="24"/>
        </w:rPr>
        <w:t xml:space="preserve">×1), and </w:t>
      </w:r>
      <w:r w:rsidR="006E1902" w:rsidRPr="00163851">
        <w:rPr>
          <w:rFonts w:eastAsia="Calibri"/>
          <w:position w:val="-14"/>
          <w:sz w:val="24"/>
          <w:szCs w:val="24"/>
          <w:lang w:val="x-none" w:eastAsia="x-none"/>
        </w:rPr>
        <w:object w:dxaOrig="330" w:dyaOrig="405" w14:anchorId="3BC98244">
          <v:shape id="_x0000_i1037" type="#_x0000_t75" style="width:17.15pt;height:18.85pt" o:ole="" o:preferrelative="f">
            <v:imagedata r:id="rId32" o:title=""/>
            <o:lock v:ext="edit" aspectratio="f"/>
          </v:shape>
          <o:OLEObject Type="Embed" ProgID="Equation.3" ShapeID="_x0000_i1037" DrawAspect="Content" ObjectID="_1778700868" r:id="rId33"/>
        </w:object>
      </w:r>
      <w:r w:rsidRPr="00163851">
        <w:rPr>
          <w:sz w:val="24"/>
          <w:szCs w:val="24"/>
        </w:rPr>
        <w:t xml:space="preserve"> captures idiosyncratic (unobserved) characteristics</w:t>
      </w:r>
      <w:r>
        <w:rPr>
          <w:sz w:val="24"/>
          <w:szCs w:val="24"/>
        </w:rPr>
        <w:t>.</w:t>
      </w:r>
      <w:r w:rsidRPr="00163851">
        <w:rPr>
          <w:sz w:val="24"/>
          <w:szCs w:val="24"/>
        </w:rPr>
        <w:t xml:space="preserve"> </w:t>
      </w:r>
      <w:r w:rsidR="00BA42E8">
        <w:rPr>
          <w:sz w:val="24"/>
          <w:szCs w:val="24"/>
        </w:rPr>
        <w:t xml:space="preserve">For each consumer, across </w:t>
      </w:r>
      <w:r w:rsidRPr="00163851">
        <w:rPr>
          <w:sz w:val="24"/>
          <w:szCs w:val="24"/>
        </w:rPr>
        <w:t xml:space="preserve"> the error terms </w:t>
      </w:r>
      <w:r w:rsidR="006E1902" w:rsidRPr="00163851">
        <w:rPr>
          <w:rFonts w:eastAsia="Calibri"/>
          <w:position w:val="-14"/>
          <w:sz w:val="24"/>
          <w:szCs w:val="24"/>
          <w:lang w:val="x-none" w:eastAsia="x-none"/>
        </w:rPr>
        <w:object w:dxaOrig="330" w:dyaOrig="405" w14:anchorId="3C974FB5">
          <v:shape id="_x0000_i1038" type="#_x0000_t75" style="width:17.15pt;height:18.85pt" o:ole="" o:preferrelative="f">
            <v:imagedata r:id="rId34" o:title=""/>
            <o:lock v:ext="edit" aspectratio="f"/>
          </v:shape>
          <o:OLEObject Type="Embed" ProgID="Equation.3" ShapeID="_x0000_i1038" DrawAspect="Content" ObjectID="_1778700869" r:id="rId35"/>
        </w:object>
      </w:r>
      <w:r w:rsidR="00BA42E8">
        <w:rPr>
          <w:rFonts w:eastAsia="Calibri"/>
          <w:sz w:val="24"/>
          <w:szCs w:val="24"/>
          <w:lang w:eastAsia="x-none"/>
        </w:rPr>
        <w:t>, we assume</w:t>
      </w:r>
      <w:r w:rsidRPr="00163851">
        <w:rPr>
          <w:sz w:val="24"/>
          <w:szCs w:val="24"/>
        </w:rPr>
        <w:t xml:space="preserve"> a</w:t>
      </w:r>
      <w:r w:rsidR="00BA42E8">
        <w:rPr>
          <w:sz w:val="24"/>
          <w:szCs w:val="24"/>
        </w:rPr>
        <w:t xml:space="preserve"> </w:t>
      </w:r>
      <w:r w:rsidRPr="00163851">
        <w:rPr>
          <w:sz w:val="24"/>
          <w:szCs w:val="24"/>
        </w:rPr>
        <w:t>multivariate normal distribut</w:t>
      </w:r>
      <w:r w:rsidR="00BA42E8">
        <w:rPr>
          <w:sz w:val="24"/>
          <w:szCs w:val="24"/>
        </w:rPr>
        <w:t>ion</w:t>
      </w:r>
      <w:r w:rsidRPr="00163851">
        <w:rPr>
          <w:sz w:val="24"/>
          <w:szCs w:val="24"/>
        </w:rPr>
        <w:t>:</w:t>
      </w:r>
      <w:r w:rsidRPr="00FB67F7">
        <w:t xml:space="preserve"> </w:t>
      </w:r>
      <w:r w:rsidR="006E1902" w:rsidRPr="00064637">
        <w:rPr>
          <w:position w:val="-14"/>
        </w:rPr>
        <w:object w:dxaOrig="3480" w:dyaOrig="380" w14:anchorId="13D9B25E">
          <v:shape id="_x0000_i1039" type="#_x0000_t75" style="width:174pt;height:18.85pt" o:ole="" o:preferrelative="f">
            <v:imagedata r:id="rId36" o:title=""/>
            <o:lock v:ext="edit" aspectratio="f"/>
          </v:shape>
          <o:OLEObject Type="Embed" ProgID="Equation.DSMT4" ShapeID="_x0000_i1039" DrawAspect="Content" ObjectID="_1778700870" r:id="rId37"/>
        </w:object>
      </w:r>
      <w:r w:rsidRPr="00163851">
        <w:rPr>
          <w:sz w:val="24"/>
          <w:szCs w:val="24"/>
        </w:rPr>
        <w:t xml:space="preserve">, where </w:t>
      </w:r>
      <w:r w:rsidR="006E1902" w:rsidRPr="00064637">
        <w:rPr>
          <w:position w:val="-12"/>
        </w:rPr>
        <w:object w:dxaOrig="1380" w:dyaOrig="360" w14:anchorId="219C6AEF">
          <v:shape id="_x0000_i1040" type="#_x0000_t75" style="width:69.85pt;height:18pt" o:ole="" o:preferrelative="f">
            <v:imagedata r:id="rId38" o:title=""/>
            <o:lock v:ext="edit" aspectratio="f"/>
          </v:shape>
          <o:OLEObject Type="Embed" ProgID="Equation.DSMT4" ShapeID="_x0000_i1040" DrawAspect="Content" ObjectID="_1778700871" r:id="rId39"/>
        </w:object>
      </w:r>
      <w:r w:rsidRPr="00163851">
        <w:rPr>
          <w:sz w:val="24"/>
          <w:szCs w:val="24"/>
        </w:rPr>
        <w:t xml:space="preserve"> indicates a </w:t>
      </w:r>
      <w:r w:rsidRPr="00163851">
        <w:rPr>
          <w:i/>
          <w:sz w:val="24"/>
          <w:szCs w:val="24"/>
        </w:rPr>
        <w:t>K</w:t>
      </w:r>
      <w:r w:rsidRPr="00163851">
        <w:rPr>
          <w:sz w:val="24"/>
          <w:szCs w:val="24"/>
        </w:rPr>
        <w:t xml:space="preserve">-variate normal </w:t>
      </w:r>
      <w:r w:rsidRPr="003C1B1E">
        <w:rPr>
          <w:sz w:val="24"/>
          <w:szCs w:val="24"/>
        </w:rPr>
        <w:t xml:space="preserve">distribution with a mean vector of zeros denoted by </w:t>
      </w:r>
      <w:r w:rsidR="006E1902" w:rsidRPr="003C1B1E">
        <w:rPr>
          <w:position w:val="-12"/>
          <w:sz w:val="24"/>
          <w:szCs w:val="24"/>
        </w:rPr>
        <w:object w:dxaOrig="300" w:dyaOrig="360" w14:anchorId="08BF21CD">
          <v:shape id="_x0000_i1041" type="#_x0000_t75" style="width:15pt;height:18pt" o:ole="">
            <v:imagedata r:id="rId40" o:title=""/>
          </v:shape>
          <o:OLEObject Type="Embed" ProgID="Equation.DSMT4" ShapeID="_x0000_i1041" DrawAspect="Content" ObjectID="_1778700872" r:id="rId41"/>
        </w:object>
      </w:r>
      <w:r w:rsidRPr="003C1B1E">
        <w:rPr>
          <w:sz w:val="24"/>
          <w:szCs w:val="24"/>
        </w:rPr>
        <w:t xml:space="preserve"> and a covariance matrix</w:t>
      </w:r>
      <w:r w:rsidR="005E6B2B" w:rsidRPr="003C1B1E">
        <w:rPr>
          <w:sz w:val="24"/>
          <w:szCs w:val="24"/>
        </w:rPr>
        <w:t xml:space="preserve"> </w:t>
      </w:r>
      <w:r w:rsidR="005E6B2B" w:rsidRPr="003C1B1E">
        <w:rPr>
          <w:b/>
          <w:sz w:val="24"/>
          <w:szCs w:val="24"/>
        </w:rPr>
        <w:t>Λ</w:t>
      </w:r>
      <w:r w:rsidRPr="003C1B1E">
        <w:rPr>
          <w:sz w:val="24"/>
          <w:szCs w:val="24"/>
        </w:rPr>
        <w:t>.</w:t>
      </w:r>
    </w:p>
    <w:p w14:paraId="31E2B9F1" w14:textId="7AF0A0DD" w:rsidR="000F34B3" w:rsidRDefault="000F34B3" w:rsidP="000F34B3">
      <w:pPr>
        <w:spacing w:after="0" w:line="240" w:lineRule="auto"/>
        <w:ind w:firstLine="720"/>
        <w:rPr>
          <w:szCs w:val="24"/>
        </w:rPr>
      </w:pPr>
      <w:r w:rsidRPr="003C1B1E">
        <w:rPr>
          <w:szCs w:val="24"/>
        </w:rPr>
        <w:t>T</w:t>
      </w:r>
      <w:r w:rsidRPr="00163851">
        <w:rPr>
          <w:szCs w:val="24"/>
        </w:rPr>
        <w:t xml:space="preserve">he optimal consumption allocations </w:t>
      </w:r>
      <w:r w:rsidR="0093627C">
        <w:rPr>
          <w:szCs w:val="24"/>
        </w:rPr>
        <w:t xml:space="preserve">may be derived from </w:t>
      </w:r>
      <w:r w:rsidRPr="00163851">
        <w:rPr>
          <w:szCs w:val="24"/>
        </w:rPr>
        <w:t xml:space="preserve">Equation (1) by forming the Lagrangian and applying the </w:t>
      </w:r>
      <w:proofErr w:type="spellStart"/>
      <w:r w:rsidRPr="00163851">
        <w:rPr>
          <w:szCs w:val="24"/>
        </w:rPr>
        <w:t>Karush</w:t>
      </w:r>
      <w:proofErr w:type="spellEnd"/>
      <w:r w:rsidRPr="00163851">
        <w:rPr>
          <w:szCs w:val="24"/>
        </w:rPr>
        <w:t>-Kuhn-Tucker (KKT) conditions</w:t>
      </w:r>
      <w:r w:rsidR="0093627C">
        <w:rPr>
          <w:szCs w:val="24"/>
        </w:rPr>
        <w:t xml:space="preserve"> as follows (</w:t>
      </w:r>
      <w:r w:rsidRPr="00163851">
        <w:rPr>
          <w:szCs w:val="24"/>
        </w:rPr>
        <w:t>after substituting Equation (2) in Equation (1)</w:t>
      </w:r>
      <w:r w:rsidR="0093627C">
        <w:rPr>
          <w:szCs w:val="24"/>
        </w:rPr>
        <w:t>)</w:t>
      </w:r>
      <w:r w:rsidRPr="00163851">
        <w:rPr>
          <w:szCs w:val="24"/>
        </w:rPr>
        <w:t>:</w:t>
      </w:r>
    </w:p>
    <w:p w14:paraId="57350947" w14:textId="61C460FC" w:rsidR="00122587" w:rsidRDefault="006E1902" w:rsidP="0084210A">
      <w:pPr>
        <w:tabs>
          <w:tab w:val="right" w:pos="9360"/>
        </w:tabs>
        <w:spacing w:after="0" w:line="240" w:lineRule="auto"/>
        <w:rPr>
          <w:szCs w:val="24"/>
        </w:rPr>
      </w:pPr>
      <w:r w:rsidRPr="00064637">
        <w:rPr>
          <w:position w:val="-34"/>
        </w:rPr>
        <w:object w:dxaOrig="5340" w:dyaOrig="800" w14:anchorId="0FF7180E">
          <v:shape id="_x0000_i1042" type="#_x0000_t75" style="width:267pt;height:40.7pt" o:ole="" o:preferrelative="f">
            <v:imagedata r:id="rId42" o:title=""/>
            <o:lock v:ext="edit" aspectratio="f"/>
          </v:shape>
          <o:OLEObject Type="Embed" ProgID="Equation.DSMT4" ShapeID="_x0000_i1042" DrawAspect="Content" ObjectID="_1778700873" r:id="rId43"/>
        </w:object>
      </w:r>
      <w:r w:rsidR="00122587">
        <w:t xml:space="preserve"> </w:t>
      </w:r>
      <w:r w:rsidR="00122587">
        <w:tab/>
        <w:t>(3)</w:t>
      </w:r>
    </w:p>
    <w:p w14:paraId="6F3A8CEC" w14:textId="65882525" w:rsidR="000F34B3" w:rsidRDefault="000F34B3" w:rsidP="000F34B3">
      <w:pPr>
        <w:spacing w:after="0" w:line="240" w:lineRule="auto"/>
        <w:rPr>
          <w:szCs w:val="24"/>
        </w:rPr>
      </w:pPr>
      <w:r w:rsidRPr="00163851">
        <w:rPr>
          <w:szCs w:val="24"/>
        </w:rPr>
        <w:t xml:space="preserve">where </w:t>
      </w:r>
      <w:r w:rsidR="00122587" w:rsidRPr="00163851">
        <w:rPr>
          <w:rFonts w:eastAsia="Calibri"/>
          <w:position w:val="-14"/>
          <w:szCs w:val="24"/>
        </w:rPr>
        <w:object w:dxaOrig="270" w:dyaOrig="405" w14:anchorId="46B27D85">
          <v:shape id="_x0000_i1043" type="#_x0000_t75" style="width:13.7pt;height:18.85pt" o:ole="" o:preferrelative="f">
            <v:imagedata r:id="rId44" o:title=""/>
            <o:lock v:ext="edit" aspectratio="f"/>
          </v:shape>
          <o:OLEObject Type="Embed" ProgID="Equation.3" ShapeID="_x0000_i1043" DrawAspect="Content" ObjectID="_1778700874" r:id="rId45"/>
        </w:object>
      </w:r>
      <w:r w:rsidRPr="00163851">
        <w:rPr>
          <w:szCs w:val="24"/>
        </w:rPr>
        <w:t xml:space="preserve"> is the Lagrangian multiplier associated with the</w:t>
      </w:r>
      <w:r>
        <w:rPr>
          <w:szCs w:val="24"/>
        </w:rPr>
        <w:t xml:space="preserve"> </w:t>
      </w:r>
      <w:r w:rsidR="00CB4062">
        <w:rPr>
          <w:szCs w:val="24"/>
        </w:rPr>
        <w:t xml:space="preserve">binding proportionality </w:t>
      </w:r>
      <w:r w:rsidRPr="00163851">
        <w:rPr>
          <w:szCs w:val="24"/>
        </w:rPr>
        <w:t>constraint. The</w:t>
      </w:r>
      <w:r w:rsidR="00CB4062">
        <w:rPr>
          <w:szCs w:val="24"/>
        </w:rPr>
        <w:t xml:space="preserve">n, the </w:t>
      </w:r>
      <w:r w:rsidRPr="00163851">
        <w:rPr>
          <w:szCs w:val="24"/>
        </w:rPr>
        <w:t xml:space="preserve">first-order conditions </w:t>
      </w:r>
      <w:r w:rsidR="00CB4062">
        <w:rPr>
          <w:szCs w:val="24"/>
        </w:rPr>
        <w:t xml:space="preserve">(FOCs) </w:t>
      </w:r>
      <w:r w:rsidRPr="00163851">
        <w:rPr>
          <w:szCs w:val="24"/>
        </w:rPr>
        <w:t xml:space="preserve">for the optimal </w:t>
      </w:r>
      <w:r w:rsidR="00CB4062">
        <w:rPr>
          <w:szCs w:val="24"/>
        </w:rPr>
        <w:t>fractional</w:t>
      </w:r>
      <w:r w:rsidRPr="00163851">
        <w:rPr>
          <w:szCs w:val="24"/>
        </w:rPr>
        <w:t xml:space="preserve"> allocations (the </w:t>
      </w:r>
      <w:r w:rsidR="006E1902" w:rsidRPr="00163851">
        <w:rPr>
          <w:rFonts w:eastAsia="Calibri"/>
          <w:position w:val="-14"/>
          <w:szCs w:val="24"/>
        </w:rPr>
        <w:object w:dxaOrig="330" w:dyaOrig="405" w14:anchorId="48862EFB">
          <v:shape id="_x0000_i1044" type="#_x0000_t75" style="width:17.15pt;height:20.15pt" o:ole="" o:preferrelative="f">
            <v:imagedata r:id="rId46" o:title=""/>
            <o:lock v:ext="edit" aspectratio="f"/>
          </v:shape>
          <o:OLEObject Type="Embed" ProgID="Equation.3" ShapeID="_x0000_i1044" DrawAspect="Content" ObjectID="_1778700875" r:id="rId47"/>
        </w:object>
      </w:r>
      <w:r w:rsidRPr="00163851">
        <w:rPr>
          <w:szCs w:val="24"/>
        </w:rPr>
        <w:t xml:space="preserve"> values) are given by:</w:t>
      </w:r>
    </w:p>
    <w:p w14:paraId="2B426F77" w14:textId="1B2CF59D" w:rsidR="00122587" w:rsidRDefault="006E1902" w:rsidP="006E1902">
      <w:pPr>
        <w:tabs>
          <w:tab w:val="right" w:pos="9360"/>
        </w:tabs>
        <w:spacing w:after="0" w:line="240" w:lineRule="auto"/>
        <w:rPr>
          <w:rFonts w:eastAsia="Calibri"/>
          <w:szCs w:val="24"/>
        </w:rPr>
      </w:pPr>
      <w:r w:rsidRPr="00163851">
        <w:rPr>
          <w:rFonts w:eastAsia="Calibri"/>
          <w:position w:val="-34"/>
          <w:szCs w:val="24"/>
        </w:rPr>
        <w:object w:dxaOrig="3400" w:dyaOrig="859" w14:anchorId="611EE4EE">
          <v:shape id="_x0000_i1045" type="#_x0000_t75" style="width:169.3pt;height:43.7pt" o:ole="" o:preferrelative="f">
            <v:imagedata r:id="rId48" o:title=""/>
            <o:lock v:ext="edit" aspectratio="f"/>
          </v:shape>
          <o:OLEObject Type="Embed" ProgID="Equation.DSMT4" ShapeID="_x0000_i1045" DrawAspect="Content" ObjectID="_1778700876" r:id="rId49"/>
        </w:object>
      </w:r>
      <w:r w:rsidR="00122587">
        <w:rPr>
          <w:rFonts w:eastAsia="Calibri"/>
          <w:szCs w:val="24"/>
        </w:rPr>
        <w:t xml:space="preserve">, if </w:t>
      </w:r>
      <w:r w:rsidRPr="00163851">
        <w:rPr>
          <w:rFonts w:eastAsia="Calibri"/>
          <w:position w:val="-14"/>
          <w:szCs w:val="24"/>
        </w:rPr>
        <w:object w:dxaOrig="705" w:dyaOrig="405" w14:anchorId="31E9E99F">
          <v:shape id="_x0000_i1046" type="#_x0000_t75" style="width:36pt;height:20.15pt" o:ole="" o:preferrelative="f">
            <v:imagedata r:id="rId50" o:title=""/>
            <o:lock v:ext="edit" aspectratio="f"/>
          </v:shape>
          <o:OLEObject Type="Embed" ProgID="Equation.3" ShapeID="_x0000_i1046" DrawAspect="Content" ObjectID="_1778700877" r:id="rId51"/>
        </w:object>
      </w:r>
      <w:r w:rsidR="00122587">
        <w:rPr>
          <w:rFonts w:eastAsia="Calibri"/>
          <w:szCs w:val="24"/>
        </w:rPr>
        <w:t xml:space="preserve">, </w:t>
      </w:r>
      <w:r w:rsidRPr="00163851">
        <w:rPr>
          <w:rFonts w:eastAsia="Calibri"/>
          <w:position w:val="-10"/>
          <w:szCs w:val="24"/>
        </w:rPr>
        <w:object w:dxaOrig="1260" w:dyaOrig="320" w14:anchorId="1F1270AA">
          <v:shape id="_x0000_i1047" type="#_x0000_t75" style="width:63.85pt;height:15.85pt" o:ole="" o:preferrelative="f">
            <v:imagedata r:id="rId52" o:title=""/>
            <o:lock v:ext="edit" aspectratio="f"/>
          </v:shape>
          <o:OLEObject Type="Embed" ProgID="Equation.DSMT4" ShapeID="_x0000_i1047" DrawAspect="Content" ObjectID="_1778700878" r:id="rId53"/>
        </w:object>
      </w:r>
      <w:r w:rsidR="00122587">
        <w:rPr>
          <w:rFonts w:eastAsia="Calibri"/>
          <w:szCs w:val="24"/>
        </w:rPr>
        <w:t xml:space="preserve"> </w:t>
      </w:r>
      <w:r w:rsidR="00122587">
        <w:rPr>
          <w:rFonts w:eastAsia="Calibri"/>
          <w:szCs w:val="24"/>
        </w:rPr>
        <w:tab/>
        <w:t>(4)</w:t>
      </w:r>
    </w:p>
    <w:p w14:paraId="3C60C10F" w14:textId="1B898D39" w:rsidR="00122587" w:rsidRPr="00163851" w:rsidRDefault="006A46A7" w:rsidP="000F34B3">
      <w:pPr>
        <w:spacing w:after="0" w:line="240" w:lineRule="auto"/>
        <w:rPr>
          <w:rFonts w:eastAsia="Calibri"/>
          <w:szCs w:val="24"/>
        </w:rPr>
      </w:pPr>
      <w:r w:rsidRPr="00163851">
        <w:rPr>
          <w:rFonts w:eastAsia="Calibri"/>
          <w:position w:val="-34"/>
          <w:szCs w:val="24"/>
        </w:rPr>
        <w:object w:dxaOrig="3420" w:dyaOrig="859" w14:anchorId="4BC8458A">
          <v:shape id="_x0000_i1048" type="#_x0000_t75" style="width:172.7pt;height:43.7pt" o:ole="" o:preferrelative="f">
            <v:imagedata r:id="rId54" o:title=""/>
            <o:lock v:ext="edit" aspectratio="f"/>
          </v:shape>
          <o:OLEObject Type="Embed" ProgID="Equation.DSMT4" ShapeID="_x0000_i1048" DrawAspect="Content" ObjectID="_1778700879" r:id="rId55"/>
        </w:object>
      </w:r>
      <w:r>
        <w:rPr>
          <w:rFonts w:eastAsia="Calibri"/>
          <w:szCs w:val="24"/>
        </w:rPr>
        <w:t xml:space="preserve">, if </w:t>
      </w:r>
      <w:r w:rsidRPr="00163851">
        <w:rPr>
          <w:rFonts w:eastAsia="Calibri"/>
          <w:position w:val="-14"/>
          <w:szCs w:val="24"/>
        </w:rPr>
        <w:object w:dxaOrig="720" w:dyaOrig="405" w14:anchorId="6123A233">
          <v:shape id="_x0000_i1049" type="#_x0000_t75" style="width:36pt;height:20.15pt" o:ole="" o:preferrelative="f">
            <v:imagedata r:id="rId56" o:title=""/>
            <o:lock v:ext="edit" aspectratio="f"/>
          </v:shape>
          <o:OLEObject Type="Embed" ProgID="Equation.3" ShapeID="_x0000_i1049" DrawAspect="Content" ObjectID="_1778700880" r:id="rId57"/>
        </w:object>
      </w:r>
      <w:r>
        <w:rPr>
          <w:rFonts w:eastAsia="Calibri"/>
          <w:szCs w:val="24"/>
        </w:rPr>
        <w:t xml:space="preserve">, </w:t>
      </w:r>
      <w:r w:rsidR="006E1902" w:rsidRPr="00163851">
        <w:rPr>
          <w:rFonts w:eastAsia="Calibri"/>
          <w:position w:val="-10"/>
          <w:szCs w:val="24"/>
        </w:rPr>
        <w:object w:dxaOrig="1260" w:dyaOrig="320" w14:anchorId="3A14052E">
          <v:shape id="_x0000_i1050" type="#_x0000_t75" style="width:63.85pt;height:15.85pt" o:ole="" o:preferrelative="f">
            <v:imagedata r:id="rId52" o:title=""/>
            <o:lock v:ext="edit" aspectratio="f"/>
          </v:shape>
          <o:OLEObject Type="Embed" ProgID="Equation.DSMT4" ShapeID="_x0000_i1050" DrawAspect="Content" ObjectID="_1778700881" r:id="rId58"/>
        </w:object>
      </w:r>
      <w:r>
        <w:rPr>
          <w:rFonts w:eastAsia="Calibri"/>
          <w:szCs w:val="24"/>
        </w:rPr>
        <w:t>.</w:t>
      </w:r>
    </w:p>
    <w:p w14:paraId="2E62A9C4" w14:textId="0B790DEC" w:rsidR="000F34B3" w:rsidRDefault="00CB4062" w:rsidP="000F34B3">
      <w:pPr>
        <w:spacing w:after="0" w:line="240" w:lineRule="auto"/>
        <w:ind w:firstLine="720"/>
        <w:rPr>
          <w:szCs w:val="24"/>
        </w:rPr>
      </w:pPr>
      <w:r>
        <w:rPr>
          <w:szCs w:val="24"/>
        </w:rPr>
        <w:t xml:space="preserve">Of course, in addition to satisfying the FOCs above, the optimal fractional allocations should also meet the </w:t>
      </w:r>
      <w:r w:rsidR="000F34B3" w:rsidRPr="00163851">
        <w:rPr>
          <w:szCs w:val="24"/>
        </w:rPr>
        <w:t>constraint</w:t>
      </w:r>
      <w:r w:rsidR="006E1902" w:rsidRPr="00064637">
        <w:rPr>
          <w:position w:val="-28"/>
        </w:rPr>
        <w:object w:dxaOrig="1020" w:dyaOrig="680" w14:anchorId="3156F6EB">
          <v:shape id="_x0000_i1051" type="#_x0000_t75" style="width:51.85pt;height:33.85pt" o:ole="" o:preferrelative="f">
            <v:imagedata r:id="rId59" o:title=""/>
            <o:lock v:ext="edit" aspectratio="f"/>
          </v:shape>
          <o:OLEObject Type="Embed" ProgID="Equation.DSMT4" ShapeID="_x0000_i1051" DrawAspect="Content" ObjectID="_1778700882" r:id="rId60"/>
        </w:object>
      </w:r>
      <w:r w:rsidR="000F34B3" w:rsidRPr="00163851">
        <w:rPr>
          <w:szCs w:val="24"/>
        </w:rPr>
        <w:t xml:space="preserve"> </w:t>
      </w:r>
      <w:r>
        <w:rPr>
          <w:szCs w:val="24"/>
        </w:rPr>
        <w:t xml:space="preserve">That is, </w:t>
      </w:r>
      <w:r w:rsidR="000F34B3" w:rsidRPr="00163851">
        <w:rPr>
          <w:szCs w:val="24"/>
        </w:rPr>
        <w:t xml:space="preserve">only </w:t>
      </w:r>
      <w:r w:rsidR="000F34B3" w:rsidRPr="00163851">
        <w:rPr>
          <w:i/>
          <w:szCs w:val="24"/>
        </w:rPr>
        <w:t>K</w:t>
      </w:r>
      <w:r w:rsidR="000F34B3" w:rsidRPr="00163851">
        <w:rPr>
          <w:szCs w:val="24"/>
        </w:rPr>
        <w:t xml:space="preserve">–1 of the </w:t>
      </w:r>
      <w:r w:rsidR="006A46A7" w:rsidRPr="00BA2ACB">
        <w:rPr>
          <w:position w:val="-14"/>
        </w:rPr>
        <w:object w:dxaOrig="340" w:dyaOrig="400" w14:anchorId="704B6671">
          <v:shape id="_x0000_i1052" type="#_x0000_t75" style="width:17.15pt;height:20.15pt" o:ole="" o:preferrelative="f">
            <v:imagedata r:id="rId61" o:title=""/>
            <o:lock v:ext="edit" aspectratio="f"/>
          </v:shape>
          <o:OLEObject Type="Embed" ProgID="Equation.DSMT4" ShapeID="_x0000_i1052" DrawAspect="Content" ObjectID="_1778700883" r:id="rId62"/>
        </w:object>
      </w:r>
      <w:r w:rsidR="006A46A7">
        <w:t xml:space="preserve"> </w:t>
      </w:r>
      <w:r w:rsidR="000F34B3" w:rsidRPr="00163851">
        <w:rPr>
          <w:szCs w:val="24"/>
        </w:rPr>
        <w:t xml:space="preserve">values need to be estimated. To accommodate this constraint, let </w:t>
      </w:r>
      <w:r w:rsidR="006A46A7" w:rsidRPr="00163851">
        <w:rPr>
          <w:rFonts w:eastAsia="Calibri"/>
          <w:position w:val="-14"/>
          <w:szCs w:val="24"/>
        </w:rPr>
        <w:object w:dxaOrig="315" w:dyaOrig="405" w14:anchorId="17A5EB6C">
          <v:shape id="_x0000_i1053" type="#_x0000_t75" style="width:15.85pt;height:18.85pt" o:ole="" o:preferrelative="f">
            <v:imagedata r:id="rId63" o:title=""/>
            <o:lock v:ext="edit" aspectratio="f"/>
          </v:shape>
          <o:OLEObject Type="Embed" ProgID="Equation.3" ShapeID="_x0000_i1053" DrawAspect="Content" ObjectID="_1778700884" r:id="rId64"/>
        </w:object>
      </w:r>
      <w:r w:rsidR="000F34B3" w:rsidRPr="00163851">
        <w:rPr>
          <w:szCs w:val="24"/>
        </w:rPr>
        <w:t xml:space="preserve"> be the consumed good with the lowest value of </w:t>
      </w:r>
      <w:r w:rsidR="000F34B3" w:rsidRPr="00163851">
        <w:rPr>
          <w:i/>
          <w:szCs w:val="24"/>
        </w:rPr>
        <w:t xml:space="preserve">k </w:t>
      </w:r>
      <w:r w:rsidR="000F34B3" w:rsidRPr="00163851">
        <w:rPr>
          <w:szCs w:val="24"/>
        </w:rPr>
        <w:t xml:space="preserve">for the </w:t>
      </w:r>
      <w:proofErr w:type="spellStart"/>
      <w:r w:rsidR="000F34B3" w:rsidRPr="00163851">
        <w:rPr>
          <w:i/>
          <w:szCs w:val="24"/>
        </w:rPr>
        <w:t>q</w:t>
      </w:r>
      <w:r w:rsidR="000F34B3" w:rsidRPr="00163851">
        <w:rPr>
          <w:i/>
          <w:szCs w:val="24"/>
          <w:vertAlign w:val="superscript"/>
        </w:rPr>
        <w:t>th</w:t>
      </w:r>
      <w:proofErr w:type="spellEnd"/>
      <w:r w:rsidR="000F34B3" w:rsidRPr="00163851">
        <w:rPr>
          <w:szCs w:val="24"/>
        </w:rPr>
        <w:t xml:space="preserve"> consumer</w:t>
      </w:r>
      <w:r w:rsidR="000F34B3">
        <w:rPr>
          <w:szCs w:val="24"/>
        </w:rPr>
        <w:t xml:space="preserve"> (note that at least one WPL must be selected by the worker during the month; that is, </w:t>
      </w:r>
      <w:r w:rsidR="006A46A7" w:rsidRPr="008C5521">
        <w:rPr>
          <w:position w:val="-14"/>
        </w:rPr>
        <w:object w:dxaOrig="340" w:dyaOrig="400" w14:anchorId="53455724">
          <v:shape id="_x0000_i1054" type="#_x0000_t75" style="width:17.15pt;height:20.15pt" o:ole="" o:preferrelative="f">
            <v:imagedata r:id="rId65" o:title=""/>
            <o:lock v:ext="edit" aspectratio="f"/>
          </v:shape>
          <o:OLEObject Type="Embed" ProgID="Equation.DSMT4" ShapeID="_x0000_i1054" DrawAspect="Content" ObjectID="_1778700885" r:id="rId66"/>
        </w:object>
      </w:r>
      <w:r w:rsidR="000F34B3">
        <w:t xml:space="preserve">&gt;0 for at least one </w:t>
      </w:r>
      <w:r w:rsidR="000F34B3" w:rsidRPr="00E425E9">
        <w:rPr>
          <w:i/>
          <w:iCs/>
        </w:rPr>
        <w:t>k</w:t>
      </w:r>
      <w:r w:rsidR="000F34B3">
        <w:rPr>
          <w:szCs w:val="24"/>
        </w:rPr>
        <w:t>)</w:t>
      </w:r>
      <w:r w:rsidR="000F34B3" w:rsidRPr="00163851">
        <w:rPr>
          <w:szCs w:val="24"/>
        </w:rPr>
        <w:t xml:space="preserve">. For the good </w:t>
      </w:r>
      <w:r w:rsidR="006A46A7" w:rsidRPr="00163851">
        <w:rPr>
          <w:rFonts w:eastAsia="Calibri"/>
          <w:position w:val="-14"/>
          <w:szCs w:val="24"/>
        </w:rPr>
        <w:object w:dxaOrig="315" w:dyaOrig="405" w14:anchorId="202CCF81">
          <v:shape id="_x0000_i1055" type="#_x0000_t75" style="width:15.85pt;height:18.85pt" o:ole="" o:preferrelative="f">
            <v:imagedata r:id="rId67" o:title=""/>
            <o:lock v:ext="edit" aspectratio="f"/>
          </v:shape>
          <o:OLEObject Type="Embed" ProgID="Equation.3" ShapeID="_x0000_i1055" DrawAspect="Content" ObjectID="_1778700886" r:id="rId68"/>
        </w:object>
      </w:r>
      <w:r w:rsidR="000F34B3" w:rsidRPr="00163851">
        <w:rPr>
          <w:szCs w:val="24"/>
        </w:rPr>
        <w:t xml:space="preserve">, </w:t>
      </w:r>
      <w:r w:rsidR="000F34B3">
        <w:rPr>
          <w:szCs w:val="24"/>
        </w:rPr>
        <w:t>since it is</w:t>
      </w:r>
      <w:r>
        <w:rPr>
          <w:szCs w:val="24"/>
        </w:rPr>
        <w:t>, by construction,</w:t>
      </w:r>
      <w:r w:rsidR="000F34B3">
        <w:rPr>
          <w:szCs w:val="24"/>
        </w:rPr>
        <w:t xml:space="preserve"> </w:t>
      </w:r>
      <w:r>
        <w:rPr>
          <w:szCs w:val="24"/>
        </w:rPr>
        <w:t>consumed</w:t>
      </w:r>
      <w:r w:rsidR="000F34B3">
        <w:rPr>
          <w:szCs w:val="24"/>
        </w:rPr>
        <w:t xml:space="preserve">, </w:t>
      </w:r>
      <w:r w:rsidR="000F34B3" w:rsidRPr="00163851">
        <w:rPr>
          <w:szCs w:val="24"/>
        </w:rPr>
        <w:t>the Lagrangian multiplier m</w:t>
      </w:r>
      <w:r w:rsidR="000F34B3">
        <w:rPr>
          <w:szCs w:val="24"/>
        </w:rPr>
        <w:t xml:space="preserve">ay </w:t>
      </w:r>
      <w:r w:rsidR="000F34B3" w:rsidRPr="00163851">
        <w:rPr>
          <w:szCs w:val="24"/>
        </w:rPr>
        <w:t xml:space="preserve">be </w:t>
      </w:r>
      <w:r>
        <w:rPr>
          <w:szCs w:val="24"/>
        </w:rPr>
        <w:t xml:space="preserve">derived from Equation (4) </w:t>
      </w:r>
      <w:r w:rsidR="000F34B3" w:rsidRPr="00163851">
        <w:rPr>
          <w:szCs w:val="24"/>
        </w:rPr>
        <w:t>as:</w:t>
      </w:r>
    </w:p>
    <w:p w14:paraId="6154D79A" w14:textId="7C15EBE6" w:rsidR="006A46A7" w:rsidRPr="00163851" w:rsidRDefault="006E1902" w:rsidP="006A46A7">
      <w:pPr>
        <w:tabs>
          <w:tab w:val="right" w:pos="9360"/>
        </w:tabs>
        <w:spacing w:after="0" w:line="240" w:lineRule="auto"/>
        <w:rPr>
          <w:rFonts w:eastAsia="Calibri"/>
          <w:szCs w:val="24"/>
        </w:rPr>
      </w:pPr>
      <w:r w:rsidRPr="00163851">
        <w:rPr>
          <w:rFonts w:eastAsia="Calibri"/>
          <w:position w:val="-38"/>
          <w:szCs w:val="24"/>
        </w:rPr>
        <w:object w:dxaOrig="3360" w:dyaOrig="920" w14:anchorId="0EE008B7">
          <v:shape id="_x0000_i1056" type="#_x0000_t75" style="width:168pt;height:46.7pt;mso-position-vertical:absolute" o:ole="" o:preferrelative="f">
            <v:imagedata r:id="rId69" o:title=""/>
            <o:lock v:ext="edit" aspectratio="f"/>
          </v:shape>
          <o:OLEObject Type="Embed" ProgID="Equation.DSMT4" ShapeID="_x0000_i1056" DrawAspect="Content" ObjectID="_1778700887" r:id="rId70"/>
        </w:object>
      </w:r>
      <w:r w:rsidR="006A46A7">
        <w:rPr>
          <w:rFonts w:eastAsia="Calibri"/>
          <w:szCs w:val="24"/>
        </w:rPr>
        <w:t xml:space="preserve"> </w:t>
      </w:r>
      <w:r w:rsidR="006A46A7">
        <w:rPr>
          <w:rFonts w:eastAsia="Calibri"/>
          <w:szCs w:val="24"/>
        </w:rPr>
        <w:tab/>
        <w:t>(5)</w:t>
      </w:r>
    </w:p>
    <w:p w14:paraId="536A718F" w14:textId="08D29B08" w:rsidR="006A46A7" w:rsidRDefault="000F34B3" w:rsidP="000F34B3">
      <w:pPr>
        <w:spacing w:after="0" w:line="240" w:lineRule="auto"/>
        <w:rPr>
          <w:szCs w:val="24"/>
        </w:rPr>
      </w:pPr>
      <w:r w:rsidRPr="00163851">
        <w:rPr>
          <w:szCs w:val="24"/>
        </w:rPr>
        <w:t xml:space="preserve">Substituting for </w:t>
      </w:r>
      <w:r w:rsidR="006A46A7" w:rsidRPr="00163851">
        <w:rPr>
          <w:rFonts w:eastAsia="Calibri"/>
          <w:position w:val="-14"/>
          <w:szCs w:val="24"/>
        </w:rPr>
        <w:object w:dxaOrig="270" w:dyaOrig="405" w14:anchorId="02BFC9D2">
          <v:shape id="_x0000_i1057" type="#_x0000_t75" style="width:13.7pt;height:18.85pt" o:ole="" o:preferrelative="f">
            <v:imagedata r:id="rId71" o:title=""/>
            <o:lock v:ext="edit" aspectratio="f"/>
          </v:shape>
          <o:OLEObject Type="Embed" ProgID="Equation.3" ShapeID="_x0000_i1057" DrawAspect="Content" ObjectID="_1778700888" r:id="rId72"/>
        </w:object>
      </w:r>
      <w:r w:rsidRPr="00163851">
        <w:rPr>
          <w:szCs w:val="24"/>
        </w:rPr>
        <w:t xml:space="preserve"> from above into Equation (4) for the other goods </w:t>
      </w:r>
      <w:r w:rsidRPr="00163851">
        <w:rPr>
          <w:i/>
          <w:szCs w:val="24"/>
        </w:rPr>
        <w:t xml:space="preserve">k </w:t>
      </w:r>
      <w:r w:rsidRPr="00163851">
        <w:rPr>
          <w:szCs w:val="24"/>
        </w:rPr>
        <w:t>(</w:t>
      </w:r>
      <w:r w:rsidR="008F432D" w:rsidRPr="00064637">
        <w:rPr>
          <w:position w:val="-10"/>
        </w:rPr>
        <w:object w:dxaOrig="1260" w:dyaOrig="320" w14:anchorId="12AE31D1">
          <v:shape id="_x0000_i1058" type="#_x0000_t75" style="width:63pt;height:15.85pt" o:ole="" o:preferrelative="f">
            <v:imagedata r:id="rId73" o:title=""/>
            <o:lock v:ext="edit" aspectratio="f"/>
          </v:shape>
          <o:OLEObject Type="Embed" ProgID="Equation.DSMT4" ShapeID="_x0000_i1058" DrawAspect="Content" ObjectID="_1778700889" r:id="rId74"/>
        </w:object>
      </w:r>
      <w:r w:rsidRPr="00163851">
        <w:rPr>
          <w:szCs w:val="24"/>
        </w:rPr>
        <w:t>;</w:t>
      </w:r>
      <w:r w:rsidR="006E1902" w:rsidRPr="00163851">
        <w:rPr>
          <w:rFonts w:eastAsia="Calibri"/>
          <w:position w:val="-14"/>
          <w:szCs w:val="24"/>
        </w:rPr>
        <w:object w:dxaOrig="705" w:dyaOrig="405" w14:anchorId="3FB9DF11">
          <v:shape id="_x0000_i1059" type="#_x0000_t75" style="width:35.15pt;height:18.85pt" o:ole="" o:preferrelative="f">
            <v:imagedata r:id="rId75" o:title=""/>
            <o:lock v:ext="edit" aspectratio="f"/>
          </v:shape>
          <o:OLEObject Type="Embed" ProgID="Equation.3" ShapeID="_x0000_i1059" DrawAspect="Content" ObjectID="_1778700890" r:id="rId76"/>
        </w:object>
      </w:r>
      <w:r w:rsidRPr="00163851">
        <w:rPr>
          <w:szCs w:val="24"/>
        </w:rPr>
        <w:t>), and taking logarithms, we can rewrite the KKT conditions as:</w:t>
      </w:r>
    </w:p>
    <w:p w14:paraId="707BF74D" w14:textId="4DAFA746" w:rsidR="006A46A7" w:rsidRDefault="006A46A7" w:rsidP="00303FC0">
      <w:pPr>
        <w:tabs>
          <w:tab w:val="right" w:pos="9360"/>
        </w:tabs>
        <w:spacing w:before="60" w:after="0" w:line="240" w:lineRule="auto"/>
        <w:rPr>
          <w:rFonts w:eastAsia="Calibri"/>
          <w:szCs w:val="24"/>
        </w:rPr>
      </w:pPr>
      <w:r w:rsidRPr="00064637">
        <w:rPr>
          <w:position w:val="-16"/>
        </w:rPr>
        <w:object w:dxaOrig="2020" w:dyaOrig="400" w14:anchorId="0DA45569">
          <v:shape id="_x0000_i1060" type="#_x0000_t75" style="width:100.3pt;height:20.15pt" o:ole="" o:preferrelative="f">
            <v:imagedata r:id="rId77" o:title=""/>
            <o:lock v:ext="edit" aspectratio="f"/>
          </v:shape>
          <o:OLEObject Type="Embed" ProgID="Equation.DSMT4" ShapeID="_x0000_i1060" DrawAspect="Content" ObjectID="_1778700891" r:id="rId78"/>
        </w:object>
      </w:r>
      <w:r>
        <w:t xml:space="preserve">, if </w:t>
      </w:r>
      <w:r w:rsidRPr="00163851">
        <w:rPr>
          <w:rFonts w:eastAsia="Calibri"/>
          <w:position w:val="-14"/>
          <w:szCs w:val="24"/>
        </w:rPr>
        <w:object w:dxaOrig="720" w:dyaOrig="405" w14:anchorId="1025D520">
          <v:shape id="_x0000_i1061" type="#_x0000_t75" style="width:36pt;height:20.15pt" o:ole="" o:preferrelative="f">
            <v:imagedata r:id="rId79" o:title=""/>
            <o:lock v:ext="edit" aspectratio="f"/>
          </v:shape>
          <o:OLEObject Type="Embed" ProgID="Equation.3" ShapeID="_x0000_i1061" DrawAspect="Content" ObjectID="_1778700892" r:id="rId80"/>
        </w:object>
      </w:r>
      <w:r>
        <w:rPr>
          <w:rFonts w:eastAsia="Calibri"/>
          <w:szCs w:val="24"/>
        </w:rPr>
        <w:t xml:space="preserve">, </w:t>
      </w:r>
      <w:r w:rsidRPr="00064637">
        <w:rPr>
          <w:position w:val="-10"/>
        </w:rPr>
        <w:object w:dxaOrig="1180" w:dyaOrig="320" w14:anchorId="74CEDBEA">
          <v:shape id="_x0000_i1062" type="#_x0000_t75" style="width:60pt;height:15.85pt" o:ole="" o:preferrelative="f">
            <v:imagedata r:id="rId81" o:title=""/>
            <o:lock v:ext="edit" aspectratio="f"/>
          </v:shape>
          <o:OLEObject Type="Embed" ProgID="Equation.DSMT4" ShapeID="_x0000_i1062" DrawAspect="Content" ObjectID="_1778700893" r:id="rId82"/>
        </w:object>
      </w:r>
      <w:r>
        <w:t xml:space="preserve">, </w:t>
      </w:r>
      <w:r w:rsidRPr="00163851">
        <w:rPr>
          <w:rFonts w:eastAsia="Calibri"/>
          <w:position w:val="-14"/>
          <w:szCs w:val="24"/>
        </w:rPr>
        <w:object w:dxaOrig="720" w:dyaOrig="405" w14:anchorId="5602D0DC">
          <v:shape id="_x0000_i1063" type="#_x0000_t75" style="width:36pt;height:18.85pt" o:ole="" o:preferrelative="f">
            <v:imagedata r:id="rId83" o:title=""/>
            <o:lock v:ext="edit" aspectratio="f"/>
          </v:shape>
          <o:OLEObject Type="Embed" ProgID="Equation.3" ShapeID="_x0000_i1063" DrawAspect="Content" ObjectID="_1778700894" r:id="rId84"/>
        </w:object>
      </w:r>
      <w:r w:rsidR="004F26B4">
        <w:rPr>
          <w:rFonts w:eastAsia="Calibri"/>
          <w:szCs w:val="24"/>
        </w:rPr>
        <w:tab/>
        <w:t>(6)</w:t>
      </w:r>
    </w:p>
    <w:p w14:paraId="1597BF76" w14:textId="7F824089" w:rsidR="006A46A7" w:rsidRDefault="006A46A7" w:rsidP="00303FC0">
      <w:pPr>
        <w:spacing w:after="60" w:line="240" w:lineRule="auto"/>
        <w:rPr>
          <w:szCs w:val="24"/>
        </w:rPr>
      </w:pPr>
      <w:r w:rsidRPr="00163851">
        <w:rPr>
          <w:rFonts w:eastAsia="Calibri"/>
          <w:position w:val="-16"/>
          <w:szCs w:val="24"/>
        </w:rPr>
        <w:object w:dxaOrig="2040" w:dyaOrig="400" w14:anchorId="4463659E">
          <v:shape id="_x0000_i1064" type="#_x0000_t75" style="width:102pt;height:20.15pt" o:ole="" o:preferrelative="f">
            <v:imagedata r:id="rId85" o:title=""/>
            <o:lock v:ext="edit" aspectratio="f"/>
          </v:shape>
          <o:OLEObject Type="Embed" ProgID="Equation.DSMT4" ShapeID="_x0000_i1064" DrawAspect="Content" ObjectID="_1778700895" r:id="rId86"/>
        </w:object>
      </w:r>
      <w:r>
        <w:rPr>
          <w:rFonts w:eastAsia="Calibri"/>
          <w:szCs w:val="24"/>
        </w:rPr>
        <w:t xml:space="preserve">, if </w:t>
      </w:r>
      <w:r w:rsidRPr="00163851">
        <w:rPr>
          <w:rFonts w:eastAsia="Calibri"/>
          <w:position w:val="-14"/>
          <w:szCs w:val="24"/>
        </w:rPr>
        <w:object w:dxaOrig="720" w:dyaOrig="405" w14:anchorId="3E5BF805">
          <v:shape id="_x0000_i1065" type="#_x0000_t75" style="width:36pt;height:20.15pt" o:ole="" o:preferrelative="f">
            <v:imagedata r:id="rId87" o:title=""/>
            <o:lock v:ext="edit" aspectratio="f"/>
          </v:shape>
          <o:OLEObject Type="Embed" ProgID="Equation.3" ShapeID="_x0000_i1065" DrawAspect="Content" ObjectID="_1778700896" r:id="rId88"/>
        </w:object>
      </w:r>
      <w:r>
        <w:rPr>
          <w:rFonts w:eastAsia="Calibri"/>
          <w:szCs w:val="24"/>
        </w:rPr>
        <w:t xml:space="preserve">, </w:t>
      </w:r>
      <w:r w:rsidRPr="00064637">
        <w:rPr>
          <w:position w:val="-10"/>
        </w:rPr>
        <w:object w:dxaOrig="1180" w:dyaOrig="320" w14:anchorId="698FD4EB">
          <v:shape id="_x0000_i1066" type="#_x0000_t75" style="width:60pt;height:15.85pt" o:ole="" o:preferrelative="f">
            <v:imagedata r:id="rId81" o:title=""/>
            <o:lock v:ext="edit" aspectratio="f"/>
          </v:shape>
          <o:OLEObject Type="Embed" ProgID="Equation.DSMT4" ShapeID="_x0000_i1066" DrawAspect="Content" ObjectID="_1778700897" r:id="rId89"/>
        </w:object>
      </w:r>
      <w:r>
        <w:t xml:space="preserve">, </w:t>
      </w:r>
      <w:r w:rsidRPr="00163851">
        <w:rPr>
          <w:rFonts w:eastAsia="Calibri"/>
          <w:position w:val="-14"/>
          <w:szCs w:val="24"/>
        </w:rPr>
        <w:object w:dxaOrig="720" w:dyaOrig="405" w14:anchorId="626E5EAA">
          <v:shape id="_x0000_i1067" type="#_x0000_t75" style="width:36pt;height:18.85pt" o:ole="" o:preferrelative="f">
            <v:imagedata r:id="rId83" o:title=""/>
            <o:lock v:ext="edit" aspectratio="f"/>
          </v:shape>
          <o:OLEObject Type="Embed" ProgID="Equation.3" ShapeID="_x0000_i1067" DrawAspect="Content" ObjectID="_1778700898" r:id="rId90"/>
        </w:object>
      </w:r>
      <w:r w:rsidR="004F26B4">
        <w:rPr>
          <w:rFonts w:eastAsia="Calibri"/>
          <w:szCs w:val="24"/>
        </w:rPr>
        <w:t>,</w:t>
      </w:r>
    </w:p>
    <w:p w14:paraId="63F180F7" w14:textId="396C55A0" w:rsidR="000F34B3" w:rsidRDefault="000F34B3" w:rsidP="000F34B3">
      <w:pPr>
        <w:spacing w:after="0" w:line="240" w:lineRule="auto"/>
        <w:rPr>
          <w:szCs w:val="24"/>
        </w:rPr>
      </w:pPr>
      <w:r w:rsidRPr="00163851">
        <w:rPr>
          <w:szCs w:val="24"/>
        </w:rPr>
        <w:t xml:space="preserve">where </w:t>
      </w:r>
      <w:r w:rsidR="008F432D" w:rsidRPr="00064637">
        <w:rPr>
          <w:position w:val="-34"/>
        </w:rPr>
        <w:object w:dxaOrig="2420" w:dyaOrig="800" w14:anchorId="5196A09D">
          <v:shape id="_x0000_i1068" type="#_x0000_t75" style="width:120.45pt;height:40.3pt" o:ole="" o:preferrelative="f">
            <v:imagedata r:id="rId91" o:title=""/>
            <o:lock v:ext="edit" aspectratio="f"/>
          </v:shape>
          <o:OLEObject Type="Embed" ProgID="Equation.DSMT4" ShapeID="_x0000_i1068" DrawAspect="Content" ObjectID="_1778700899" r:id="rId92"/>
        </w:object>
      </w:r>
      <w:r w:rsidRPr="00163851">
        <w:rPr>
          <w:szCs w:val="24"/>
        </w:rPr>
        <w:t>. Letting</w:t>
      </w:r>
      <w:r>
        <w:t xml:space="preserve"> </w:t>
      </w:r>
      <w:r w:rsidR="006A46A7" w:rsidRPr="00064637">
        <w:rPr>
          <w:position w:val="-14"/>
        </w:rPr>
        <w:object w:dxaOrig="1359" w:dyaOrig="380" w14:anchorId="1A9C96FB">
          <v:shape id="_x0000_i1069" type="#_x0000_t75" style="width:67.3pt;height:18.85pt" o:ole="" o:preferrelative="f">
            <v:imagedata r:id="rId93" o:title=""/>
            <o:lock v:ext="edit" aspectratio="f"/>
          </v:shape>
          <o:OLEObject Type="Embed" ProgID="Equation.DSMT4" ShapeID="_x0000_i1069" DrawAspect="Content" ObjectID="_1778700900" r:id="rId94"/>
        </w:object>
      </w:r>
      <w:r w:rsidRPr="00163851">
        <w:rPr>
          <w:szCs w:val="24"/>
        </w:rPr>
        <w:t xml:space="preserve">, and </w:t>
      </w:r>
      <w:r w:rsidRPr="00064637">
        <w:rPr>
          <w:position w:val="-16"/>
        </w:rPr>
        <w:object w:dxaOrig="1560" w:dyaOrig="420" w14:anchorId="0458DCE6">
          <v:shape id="_x0000_i1070" type="#_x0000_t75" style="width:78pt;height:22.3pt" o:ole="">
            <v:imagedata r:id="rId95" o:title=""/>
          </v:shape>
          <o:OLEObject Type="Embed" ProgID="Equation.DSMT4" ShapeID="_x0000_i1070" DrawAspect="Content" ObjectID="_1778700901" r:id="rId96"/>
        </w:object>
      </w:r>
      <w:r w:rsidRPr="00163851">
        <w:rPr>
          <w:szCs w:val="24"/>
        </w:rPr>
        <w:t xml:space="preserve"> the KKT conditions in Equation (6) are equivalent to:</w:t>
      </w:r>
    </w:p>
    <w:p w14:paraId="33B30A9A" w14:textId="7745748C" w:rsidR="004F26B4" w:rsidRDefault="004F26B4" w:rsidP="00303FC0">
      <w:pPr>
        <w:tabs>
          <w:tab w:val="right" w:pos="9360"/>
        </w:tabs>
        <w:spacing w:before="60" w:after="0" w:line="240" w:lineRule="auto"/>
      </w:pPr>
      <w:r w:rsidRPr="00064637">
        <w:rPr>
          <w:position w:val="-16"/>
        </w:rPr>
        <w:object w:dxaOrig="940" w:dyaOrig="420" w14:anchorId="28838D1F">
          <v:shape id="_x0000_i1071" type="#_x0000_t75" style="width:48pt;height:22.3pt" o:ole="" o:preferrelative="f">
            <v:imagedata r:id="rId97" o:title=""/>
            <o:lock v:ext="edit" aspectratio="f"/>
          </v:shape>
          <o:OLEObject Type="Embed" ProgID="Equation.DSMT4" ShapeID="_x0000_i1071" DrawAspect="Content" ObjectID="_1778700902" r:id="rId98"/>
        </w:object>
      </w:r>
      <w:r>
        <w:t xml:space="preserve">, if </w:t>
      </w:r>
      <w:r w:rsidRPr="00163851">
        <w:rPr>
          <w:rFonts w:eastAsia="Calibri"/>
          <w:position w:val="-14"/>
          <w:szCs w:val="24"/>
        </w:rPr>
        <w:object w:dxaOrig="720" w:dyaOrig="405" w14:anchorId="54190746">
          <v:shape id="_x0000_i1072" type="#_x0000_t75" style="width:36pt;height:20.15pt" o:ole="" o:preferrelative="f">
            <v:imagedata r:id="rId79" o:title=""/>
            <o:lock v:ext="edit" aspectratio="f"/>
          </v:shape>
          <o:OLEObject Type="Embed" ProgID="Equation.3" ShapeID="_x0000_i1072" DrawAspect="Content" ObjectID="_1778700903" r:id="rId99"/>
        </w:object>
      </w:r>
      <w:r>
        <w:rPr>
          <w:rFonts w:eastAsia="Calibri"/>
          <w:szCs w:val="24"/>
        </w:rPr>
        <w:t xml:space="preserve">, </w:t>
      </w:r>
      <w:r w:rsidRPr="00064637">
        <w:rPr>
          <w:position w:val="-10"/>
        </w:rPr>
        <w:object w:dxaOrig="1180" w:dyaOrig="320" w14:anchorId="5F38FC91">
          <v:shape id="_x0000_i1073" type="#_x0000_t75" style="width:60pt;height:15.85pt" o:ole="" o:preferrelative="f">
            <v:imagedata r:id="rId81" o:title=""/>
            <o:lock v:ext="edit" aspectratio="f"/>
          </v:shape>
          <o:OLEObject Type="Embed" ProgID="Equation.DSMT4" ShapeID="_x0000_i1073" DrawAspect="Content" ObjectID="_1778700904" r:id="rId100"/>
        </w:object>
      </w:r>
      <w:r>
        <w:t xml:space="preserve">, </w:t>
      </w:r>
      <w:r w:rsidRPr="00163851">
        <w:rPr>
          <w:rFonts w:eastAsia="Calibri"/>
          <w:position w:val="-14"/>
          <w:szCs w:val="24"/>
        </w:rPr>
        <w:object w:dxaOrig="720" w:dyaOrig="405" w14:anchorId="283E3559">
          <v:shape id="_x0000_i1074" type="#_x0000_t75" style="width:36pt;height:18.85pt" o:ole="" o:preferrelative="f">
            <v:imagedata r:id="rId83" o:title=""/>
            <o:lock v:ext="edit" aspectratio="f"/>
          </v:shape>
          <o:OLEObject Type="Embed" ProgID="Equation.3" ShapeID="_x0000_i1074" DrawAspect="Content" ObjectID="_1778700905" r:id="rId101"/>
        </w:object>
      </w:r>
      <w:r>
        <w:rPr>
          <w:rFonts w:eastAsia="Calibri"/>
          <w:szCs w:val="24"/>
        </w:rPr>
        <w:t xml:space="preserve"> </w:t>
      </w:r>
      <w:r>
        <w:rPr>
          <w:rFonts w:eastAsia="Calibri"/>
          <w:szCs w:val="24"/>
        </w:rPr>
        <w:tab/>
        <w:t>(7)</w:t>
      </w:r>
    </w:p>
    <w:p w14:paraId="0869430C" w14:textId="617D027C" w:rsidR="004F26B4" w:rsidRPr="00163851" w:rsidRDefault="004F26B4" w:rsidP="009C2F61">
      <w:pPr>
        <w:spacing w:after="0" w:line="240" w:lineRule="auto"/>
        <w:rPr>
          <w:rFonts w:eastAsia="Calibri"/>
          <w:szCs w:val="24"/>
        </w:rPr>
      </w:pPr>
      <w:r w:rsidRPr="00064637">
        <w:rPr>
          <w:position w:val="-16"/>
        </w:rPr>
        <w:object w:dxaOrig="940" w:dyaOrig="420" w14:anchorId="4F84AB02">
          <v:shape id="_x0000_i1075" type="#_x0000_t75" style="width:48pt;height:22.3pt" o:ole="" o:preferrelative="f">
            <v:imagedata r:id="rId102" o:title=""/>
            <o:lock v:ext="edit" aspectratio="f"/>
          </v:shape>
          <o:OLEObject Type="Embed" ProgID="Equation.DSMT4" ShapeID="_x0000_i1075" DrawAspect="Content" ObjectID="_1778700906" r:id="rId103"/>
        </w:object>
      </w:r>
      <w:r>
        <w:t xml:space="preserve">, </w:t>
      </w:r>
      <w:r>
        <w:rPr>
          <w:rFonts w:eastAsia="Calibri"/>
          <w:szCs w:val="24"/>
        </w:rPr>
        <w:t xml:space="preserve">if </w:t>
      </w:r>
      <w:r w:rsidRPr="00163851">
        <w:rPr>
          <w:rFonts w:eastAsia="Calibri"/>
          <w:position w:val="-14"/>
          <w:szCs w:val="24"/>
        </w:rPr>
        <w:object w:dxaOrig="720" w:dyaOrig="405" w14:anchorId="50336172">
          <v:shape id="_x0000_i1076" type="#_x0000_t75" style="width:36pt;height:20.15pt" o:ole="" o:preferrelative="f">
            <v:imagedata r:id="rId87" o:title=""/>
            <o:lock v:ext="edit" aspectratio="f"/>
          </v:shape>
          <o:OLEObject Type="Embed" ProgID="Equation.3" ShapeID="_x0000_i1076" DrawAspect="Content" ObjectID="_1778700907" r:id="rId104"/>
        </w:object>
      </w:r>
      <w:r>
        <w:rPr>
          <w:rFonts w:eastAsia="Calibri"/>
          <w:szCs w:val="24"/>
        </w:rPr>
        <w:t xml:space="preserve">, </w:t>
      </w:r>
      <w:r w:rsidRPr="00064637">
        <w:rPr>
          <w:position w:val="-10"/>
        </w:rPr>
        <w:object w:dxaOrig="1180" w:dyaOrig="320" w14:anchorId="5E2E419B">
          <v:shape id="_x0000_i1077" type="#_x0000_t75" style="width:60pt;height:15.85pt" o:ole="" o:preferrelative="f">
            <v:imagedata r:id="rId81" o:title=""/>
            <o:lock v:ext="edit" aspectratio="f"/>
          </v:shape>
          <o:OLEObject Type="Embed" ProgID="Equation.DSMT4" ShapeID="_x0000_i1077" DrawAspect="Content" ObjectID="_1778700908" r:id="rId105"/>
        </w:object>
      </w:r>
      <w:r>
        <w:t xml:space="preserve">, </w:t>
      </w:r>
      <w:r w:rsidRPr="00163851">
        <w:rPr>
          <w:rFonts w:eastAsia="Calibri"/>
          <w:position w:val="-14"/>
          <w:szCs w:val="24"/>
        </w:rPr>
        <w:object w:dxaOrig="720" w:dyaOrig="405" w14:anchorId="2F97C66E">
          <v:shape id="_x0000_i1078" type="#_x0000_t75" style="width:36pt;height:18.85pt" o:ole="" o:preferrelative="f">
            <v:imagedata r:id="rId83" o:title=""/>
            <o:lock v:ext="edit" aspectratio="f"/>
          </v:shape>
          <o:OLEObject Type="Embed" ProgID="Equation.3" ShapeID="_x0000_i1078" DrawAspect="Content" ObjectID="_1778700909" r:id="rId106"/>
        </w:object>
      </w:r>
      <w:r>
        <w:rPr>
          <w:rFonts w:eastAsia="Calibri"/>
          <w:szCs w:val="24"/>
        </w:rPr>
        <w:t>.</w:t>
      </w:r>
    </w:p>
    <w:p w14:paraId="346C5200" w14:textId="4188FB10" w:rsidR="00B1771E" w:rsidRDefault="00B1771E" w:rsidP="000F34B3">
      <w:pPr>
        <w:spacing w:after="0" w:line="240" w:lineRule="auto"/>
        <w:ind w:firstLine="720"/>
        <w:rPr>
          <w:szCs w:val="24"/>
        </w:rPr>
      </w:pPr>
      <w:r w:rsidRPr="00B1771E">
        <w:rPr>
          <w:szCs w:val="24"/>
        </w:rPr>
        <w:t xml:space="preserve">Three significant identification </w:t>
      </w:r>
      <w:r>
        <w:rPr>
          <w:szCs w:val="24"/>
        </w:rPr>
        <w:t>issue</w:t>
      </w:r>
      <w:r w:rsidRPr="00B1771E">
        <w:rPr>
          <w:szCs w:val="24"/>
        </w:rPr>
        <w:t>s warrant attention in this context, as the KKT conditions outlined above</w:t>
      </w:r>
      <w:r w:rsidR="000F34B3" w:rsidRPr="00163851">
        <w:rPr>
          <w:szCs w:val="24"/>
        </w:rPr>
        <w:t xml:space="preserve"> are based on differences, as reflected in the </w:t>
      </w:r>
      <w:r w:rsidR="006E1902" w:rsidRPr="008C5521">
        <w:rPr>
          <w:position w:val="-16"/>
        </w:rPr>
        <w:object w:dxaOrig="499" w:dyaOrig="420" w14:anchorId="1EF0468D">
          <v:shape id="_x0000_i1079" type="#_x0000_t75" style="width:25.3pt;height:21pt" o:ole="" o:preferrelative="f">
            <v:imagedata r:id="rId107" o:title=""/>
            <o:lock v:ext="edit" aspectratio="f"/>
          </v:shape>
          <o:OLEObject Type="Embed" ProgID="Equation.DSMT4" ShapeID="_x0000_i1079" DrawAspect="Content" ObjectID="_1778700910" r:id="rId108"/>
        </w:object>
      </w:r>
      <w:r w:rsidR="000F34B3" w:rsidRPr="00163851">
        <w:rPr>
          <w:szCs w:val="24"/>
        </w:rPr>
        <w:t xml:space="preserve"> terms. </w:t>
      </w:r>
      <w:r w:rsidR="004927EF">
        <w:rPr>
          <w:szCs w:val="24"/>
        </w:rPr>
        <w:t>T</w:t>
      </w:r>
      <w:r w:rsidRPr="00B1771E">
        <w:rPr>
          <w:szCs w:val="24"/>
        </w:rPr>
        <w:t xml:space="preserve">hese identification </w:t>
      </w:r>
      <w:r w:rsidR="004927EF">
        <w:rPr>
          <w:szCs w:val="24"/>
        </w:rPr>
        <w:t xml:space="preserve">considerations are discussed in detail in </w:t>
      </w:r>
      <w:r w:rsidRPr="00B1771E">
        <w:rPr>
          <w:szCs w:val="24"/>
        </w:rPr>
        <w:t xml:space="preserve">Bhat et al. (2013) </w:t>
      </w:r>
    </w:p>
    <w:p w14:paraId="15044B2E" w14:textId="228D6745" w:rsidR="00EF4F80" w:rsidRDefault="00EF4F80" w:rsidP="00002517">
      <w:pPr>
        <w:spacing w:after="0" w:line="240" w:lineRule="auto"/>
        <w:ind w:firstLine="720"/>
        <w:rPr>
          <w:szCs w:val="24"/>
        </w:rPr>
      </w:pPr>
      <w:r w:rsidRPr="00163851">
        <w:rPr>
          <w:szCs w:val="24"/>
          <w:u w:val="single"/>
        </w:rPr>
        <w:t>First</w:t>
      </w:r>
      <w:r w:rsidRPr="00163851">
        <w:rPr>
          <w:szCs w:val="24"/>
        </w:rPr>
        <w:t xml:space="preserve">, </w:t>
      </w:r>
      <w:r w:rsidR="0053367C">
        <w:rPr>
          <w:szCs w:val="24"/>
        </w:rPr>
        <w:t>the</w:t>
      </w:r>
      <w:r w:rsidRPr="00163851">
        <w:rPr>
          <w:szCs w:val="24"/>
        </w:rPr>
        <w:t xml:space="preserve"> constant </w:t>
      </w:r>
      <w:r w:rsidR="00137672">
        <w:rPr>
          <w:szCs w:val="24"/>
        </w:rPr>
        <w:t xml:space="preserve">and coefficients on consumer-specific exogenous variables </w:t>
      </w:r>
      <w:r w:rsidRPr="00163851">
        <w:rPr>
          <w:szCs w:val="24"/>
        </w:rPr>
        <w:t xml:space="preserve">cannot be identified </w:t>
      </w:r>
      <w:r>
        <w:rPr>
          <w:szCs w:val="24"/>
        </w:rPr>
        <w:t>within the term</w:t>
      </w:r>
      <w:r w:rsidR="00722965">
        <w:rPr>
          <w:szCs w:val="24"/>
        </w:rPr>
        <w:t xml:space="preserve"> </w:t>
      </w:r>
      <w:r w:rsidR="006E1902" w:rsidRPr="008C5521">
        <w:rPr>
          <w:position w:val="-14"/>
        </w:rPr>
        <w:object w:dxaOrig="540" w:dyaOrig="380" w14:anchorId="5F68E3F0">
          <v:shape id="_x0000_i1080" type="#_x0000_t75" style="width:28.7pt;height:18.85pt" o:ole="" o:preferrelative="f">
            <v:imagedata r:id="rId109" o:title=""/>
            <o:lock v:ext="edit" aspectratio="f"/>
          </v:shape>
          <o:OLEObject Type="Embed" ProgID="Equation.DSMT4" ShapeID="_x0000_i1080" DrawAspect="Content" ObjectID="_1778700911" r:id="rId110"/>
        </w:object>
      </w:r>
      <w:r w:rsidR="00722965">
        <w:t xml:space="preserve"> </w:t>
      </w:r>
      <w:r w:rsidRPr="00163851">
        <w:rPr>
          <w:szCs w:val="24"/>
        </w:rPr>
        <w:t xml:space="preserve">for one of the </w:t>
      </w:r>
      <w:r w:rsidRPr="00163851">
        <w:rPr>
          <w:i/>
          <w:szCs w:val="24"/>
        </w:rPr>
        <w:t>K</w:t>
      </w:r>
      <w:r w:rsidRPr="00163851">
        <w:rPr>
          <w:szCs w:val="24"/>
        </w:rPr>
        <w:t xml:space="preserve"> </w:t>
      </w:r>
      <w:r>
        <w:rPr>
          <w:szCs w:val="24"/>
        </w:rPr>
        <w:t>WPLs</w:t>
      </w:r>
      <w:r w:rsidR="00137672">
        <w:rPr>
          <w:szCs w:val="24"/>
        </w:rPr>
        <w:t>, and so one of the WPLs is chosen as the base</w:t>
      </w:r>
      <w:r w:rsidRPr="00163851">
        <w:rPr>
          <w:szCs w:val="24"/>
        </w:rPr>
        <w:t xml:space="preserve">. </w:t>
      </w:r>
      <w:r w:rsidRPr="00163851">
        <w:rPr>
          <w:szCs w:val="24"/>
          <w:u w:val="single"/>
        </w:rPr>
        <w:t>Second</w:t>
      </w:r>
      <w:r w:rsidRPr="00163851">
        <w:rPr>
          <w:szCs w:val="24"/>
        </w:rPr>
        <w:t xml:space="preserve">, </w:t>
      </w:r>
      <w:r w:rsidR="00137672">
        <w:rPr>
          <w:szCs w:val="24"/>
        </w:rPr>
        <w:t xml:space="preserve">because only error differences matter, </w:t>
      </w:r>
      <w:r w:rsidRPr="00163851">
        <w:rPr>
          <w:szCs w:val="24"/>
        </w:rPr>
        <w:t xml:space="preserve">only the elements of the covariance matrix </w:t>
      </w:r>
      <w:r w:rsidR="006E1902" w:rsidRPr="00163851">
        <w:rPr>
          <w:rFonts w:eastAsia="Calibri"/>
          <w:position w:val="-10"/>
          <w:szCs w:val="24"/>
        </w:rPr>
        <w:object w:dxaOrig="300" w:dyaOrig="330" w14:anchorId="55FD4780">
          <v:shape id="_x0000_i1081" type="#_x0000_t75" style="width:15.85pt;height:17.15pt" o:ole="" o:preferrelative="f">
            <v:imagedata r:id="rId111" o:title=""/>
            <o:lock v:ext="edit" aspectratio="f"/>
          </v:shape>
          <o:OLEObject Type="Embed" ProgID="Equation.3" ShapeID="_x0000_i1081" DrawAspect="Content" ObjectID="_1778700912" r:id="rId112"/>
        </w:object>
      </w:r>
      <w:r w:rsidRPr="00163851">
        <w:rPr>
          <w:szCs w:val="24"/>
        </w:rPr>
        <w:t xml:space="preserve"> of </w:t>
      </w:r>
      <w:r w:rsidR="006E1902" w:rsidRPr="00064637">
        <w:rPr>
          <w:position w:val="-14"/>
        </w:rPr>
        <w:object w:dxaOrig="1380" w:dyaOrig="380" w14:anchorId="70ACE71E">
          <v:shape id="_x0000_i1082" type="#_x0000_t75" style="width:69.85pt;height:18.85pt" o:ole="" o:preferrelative="f">
            <v:imagedata r:id="rId113" o:title=""/>
            <o:lock v:ext="edit" aspectratio="f"/>
          </v:shape>
          <o:OLEObject Type="Embed" ProgID="Equation.DSMT4" ShapeID="_x0000_i1082" DrawAspect="Content" ObjectID="_1778700913" r:id="rId114"/>
        </w:object>
      </w:r>
      <w:r w:rsidRPr="00163851">
        <w:rPr>
          <w:szCs w:val="24"/>
        </w:rPr>
        <w:t>,</w:t>
      </w:r>
      <w:r w:rsidR="006E1902" w:rsidRPr="00064637">
        <w:rPr>
          <w:position w:val="-10"/>
        </w:rPr>
        <w:object w:dxaOrig="560" w:dyaOrig="320" w14:anchorId="342B6023">
          <v:shape id="_x0000_i1083" type="#_x0000_t75" style="width:28.7pt;height:15.85pt" o:ole="" o:preferrelative="f">
            <v:imagedata r:id="rId115" o:title=""/>
            <o:lock v:ext="edit" aspectratio="f"/>
          </v:shape>
          <o:OLEObject Type="Embed" ProgID="Equation.DSMT4" ShapeID="_x0000_i1083" DrawAspect="Content" ObjectID="_1778700914" r:id="rId116"/>
        </w:object>
      </w:r>
      <w:r>
        <w:t xml:space="preserve"> </w:t>
      </w:r>
      <w:r w:rsidRPr="00163851">
        <w:rPr>
          <w:szCs w:val="24"/>
        </w:rPr>
        <w:t>are estimable</w:t>
      </w:r>
      <w:r w:rsidR="00137672">
        <w:rPr>
          <w:szCs w:val="24"/>
        </w:rPr>
        <w:t xml:space="preserve"> </w:t>
      </w:r>
      <w:r w:rsidR="0053367C">
        <w:rPr>
          <w:szCs w:val="24"/>
        </w:rPr>
        <w:t>(</w:t>
      </w:r>
      <w:r w:rsidR="00137672">
        <w:rPr>
          <w:szCs w:val="24"/>
        </w:rPr>
        <w:t>taking error differences with respect to the first WPL</w:t>
      </w:r>
      <w:r w:rsidR="0053367C">
        <w:rPr>
          <w:szCs w:val="24"/>
        </w:rPr>
        <w:t xml:space="preserve"> without any loss in generality)</w:t>
      </w:r>
      <w:r w:rsidRPr="00163851">
        <w:rPr>
          <w:szCs w:val="24"/>
        </w:rPr>
        <w:t xml:space="preserve">. </w:t>
      </w:r>
      <w:r w:rsidR="00137672">
        <w:rPr>
          <w:szCs w:val="24"/>
        </w:rPr>
        <w:t>But</w:t>
      </w:r>
      <w:r w:rsidRPr="00163851">
        <w:rPr>
          <w:szCs w:val="24"/>
        </w:rPr>
        <w:t xml:space="preserve"> the KKT conditions </w:t>
      </w:r>
      <w:r w:rsidR="00137672">
        <w:rPr>
          <w:szCs w:val="24"/>
        </w:rPr>
        <w:t xml:space="preserve">use differences relative to the </w:t>
      </w:r>
      <w:r w:rsidRPr="00163851">
        <w:rPr>
          <w:szCs w:val="24"/>
        </w:rPr>
        <w:t xml:space="preserve">first consumed good </w:t>
      </w:r>
      <w:r w:rsidR="006E1902" w:rsidRPr="00163851">
        <w:rPr>
          <w:rFonts w:eastAsia="Calibri"/>
          <w:position w:val="-14"/>
          <w:szCs w:val="24"/>
        </w:rPr>
        <w:object w:dxaOrig="315" w:dyaOrig="405" w14:anchorId="7F13EA77">
          <v:shape id="_x0000_i1084" type="#_x0000_t75" style="width:15.85pt;height:18.85pt" o:ole="" o:preferrelative="f">
            <v:imagedata r:id="rId117" o:title=""/>
            <o:lock v:ext="edit" aspectratio="f"/>
          </v:shape>
          <o:OLEObject Type="Embed" ProgID="Equation.3" ShapeID="_x0000_i1084" DrawAspect="Content" ObjectID="_1778700915" r:id="rId118"/>
        </w:object>
      </w:r>
      <w:r w:rsidRPr="00163851">
        <w:rPr>
          <w:szCs w:val="24"/>
        </w:rPr>
        <w:t xml:space="preserve"> </w:t>
      </w:r>
      <w:r w:rsidR="00137672">
        <w:rPr>
          <w:szCs w:val="24"/>
        </w:rPr>
        <w:t>for</w:t>
      </w:r>
      <w:r w:rsidRPr="00163851">
        <w:rPr>
          <w:szCs w:val="24"/>
        </w:rPr>
        <w:t xml:space="preserve"> consumer </w:t>
      </w:r>
      <w:r w:rsidRPr="00163851">
        <w:rPr>
          <w:i/>
          <w:szCs w:val="24"/>
        </w:rPr>
        <w:t>q</w:t>
      </w:r>
      <w:r w:rsidRPr="00163851">
        <w:rPr>
          <w:szCs w:val="24"/>
        </w:rPr>
        <w:t xml:space="preserve">. </w:t>
      </w:r>
      <w:r w:rsidR="0053367C">
        <w:rPr>
          <w:szCs w:val="24"/>
        </w:rPr>
        <w:t xml:space="preserve">Correspondingly, the analyst needs the covariance matrix </w:t>
      </w:r>
      <w:r w:rsidR="006E1902" w:rsidRPr="00163851">
        <w:rPr>
          <w:rFonts w:eastAsia="Calibri"/>
          <w:position w:val="-16"/>
          <w:szCs w:val="24"/>
        </w:rPr>
        <w:object w:dxaOrig="440" w:dyaOrig="400" w14:anchorId="6646B794">
          <v:shape id="_x0000_i1085" type="#_x0000_t75" style="width:22.7pt;height:20.15pt" o:ole="" o:preferrelative="f">
            <v:imagedata r:id="rId119" o:title=""/>
            <o:lock v:ext="edit" aspectratio="f"/>
          </v:shape>
          <o:OLEObject Type="Embed" ProgID="Equation.DSMT4" ShapeID="_x0000_i1085" DrawAspect="Content" ObjectID="_1778700916" r:id="rId120"/>
        </w:object>
      </w:r>
      <w:r w:rsidR="0053367C">
        <w:rPr>
          <w:rFonts w:eastAsia="Calibri"/>
          <w:szCs w:val="24"/>
        </w:rPr>
        <w:t xml:space="preserve"> when translating </w:t>
      </w:r>
      <w:r w:rsidRPr="00EF4F80">
        <w:rPr>
          <w:szCs w:val="24"/>
        </w:rPr>
        <w:t xml:space="preserve">the KKT conditions to </w:t>
      </w:r>
      <w:r w:rsidR="0053367C">
        <w:rPr>
          <w:szCs w:val="24"/>
        </w:rPr>
        <w:t xml:space="preserve">the </w:t>
      </w:r>
      <w:proofErr w:type="spellStart"/>
      <w:r w:rsidR="0053367C" w:rsidRPr="009C2F61">
        <w:rPr>
          <w:i/>
          <w:iCs/>
          <w:szCs w:val="24"/>
        </w:rPr>
        <w:t>q</w:t>
      </w:r>
      <w:r w:rsidR="0053367C">
        <w:rPr>
          <w:szCs w:val="24"/>
        </w:rPr>
        <w:t>th</w:t>
      </w:r>
      <w:proofErr w:type="spellEnd"/>
      <w:r w:rsidR="0053367C">
        <w:rPr>
          <w:szCs w:val="24"/>
        </w:rPr>
        <w:t xml:space="preserve"> individual’s </w:t>
      </w:r>
      <w:r w:rsidRPr="00EF4F80">
        <w:rPr>
          <w:szCs w:val="24"/>
        </w:rPr>
        <w:t>consumption probability</w:t>
      </w:r>
      <w:r w:rsidRPr="00163851">
        <w:rPr>
          <w:szCs w:val="24"/>
        </w:rPr>
        <w:t xml:space="preserve">. Since </w:t>
      </w:r>
      <w:r w:rsidR="006E1902" w:rsidRPr="00163851">
        <w:rPr>
          <w:rFonts w:eastAsia="Calibri"/>
          <w:position w:val="-14"/>
          <w:szCs w:val="24"/>
        </w:rPr>
        <w:object w:dxaOrig="315" w:dyaOrig="405" w14:anchorId="173FC713">
          <v:shape id="_x0000_i1086" type="#_x0000_t75" style="width:15.85pt;height:18.85pt" o:ole="" o:preferrelative="f">
            <v:imagedata r:id="rId121" o:title=""/>
            <o:lock v:ext="edit" aspectratio="f"/>
          </v:shape>
          <o:OLEObject Type="Embed" ProgID="Equation.3" ShapeID="_x0000_i1086" DrawAspect="Content" ObjectID="_1778700917" r:id="rId122"/>
        </w:object>
      </w:r>
      <w:r w:rsidRPr="00163851">
        <w:rPr>
          <w:szCs w:val="24"/>
        </w:rPr>
        <w:t xml:space="preserve"> </w:t>
      </w:r>
      <w:r w:rsidR="004927EF">
        <w:rPr>
          <w:szCs w:val="24"/>
        </w:rPr>
        <w:t xml:space="preserve">is </w:t>
      </w:r>
      <w:r w:rsidR="0053367C">
        <w:rPr>
          <w:szCs w:val="24"/>
        </w:rPr>
        <w:t xml:space="preserve">not the same </w:t>
      </w:r>
      <w:r w:rsidRPr="00163851">
        <w:rPr>
          <w:szCs w:val="24"/>
        </w:rPr>
        <w:t xml:space="preserve">across consumers </w:t>
      </w:r>
      <w:r w:rsidRPr="00163851">
        <w:rPr>
          <w:i/>
          <w:szCs w:val="24"/>
        </w:rPr>
        <w:t>q</w:t>
      </w:r>
      <w:r w:rsidRPr="00163851">
        <w:rPr>
          <w:szCs w:val="24"/>
        </w:rPr>
        <w:t xml:space="preserve">, </w:t>
      </w:r>
      <w:r w:rsidR="0053367C">
        <w:rPr>
          <w:szCs w:val="24"/>
        </w:rPr>
        <w:t>the covariance matrix</w:t>
      </w:r>
      <w:r w:rsidR="008F432D">
        <w:rPr>
          <w:szCs w:val="24"/>
        </w:rPr>
        <w:t xml:space="preserve"> </w:t>
      </w:r>
      <w:r w:rsidR="006E1902" w:rsidRPr="00163851">
        <w:rPr>
          <w:rFonts w:eastAsia="Calibri"/>
          <w:position w:val="-16"/>
          <w:szCs w:val="24"/>
        </w:rPr>
        <w:object w:dxaOrig="440" w:dyaOrig="400" w14:anchorId="4F0D99C1">
          <v:shape id="_x0000_i1087" type="#_x0000_t75" style="width:22.7pt;height:20.15pt" o:ole="" o:preferrelative="f">
            <v:imagedata r:id="rId119" o:title=""/>
            <o:lock v:ext="edit" aspectratio="f"/>
          </v:shape>
          <o:OLEObject Type="Embed" ProgID="Equation.DSMT4" ShapeID="_x0000_i1087" DrawAspect="Content" ObjectID="_1778700918" r:id="rId123"/>
        </w:object>
      </w:r>
      <w:r w:rsidR="0053367C">
        <w:rPr>
          <w:rFonts w:eastAsia="Calibri"/>
          <w:szCs w:val="24"/>
        </w:rPr>
        <w:t>is also not the same across consumers</w:t>
      </w:r>
      <w:r w:rsidRPr="00163851">
        <w:rPr>
          <w:szCs w:val="24"/>
        </w:rPr>
        <w:t xml:space="preserve">. But all the </w:t>
      </w:r>
      <w:r w:rsidR="006E1902" w:rsidRPr="00163851">
        <w:rPr>
          <w:rFonts w:eastAsia="Calibri"/>
          <w:position w:val="-16"/>
          <w:szCs w:val="24"/>
        </w:rPr>
        <w:object w:dxaOrig="420" w:dyaOrig="405" w14:anchorId="0FD2070A">
          <v:shape id="_x0000_i1088" type="#_x0000_t75" style="width:22.3pt;height:20.15pt" o:ole="" o:preferrelative="f">
            <v:imagedata r:id="rId124" o:title=""/>
            <o:lock v:ext="edit" aspectratio="f"/>
          </v:shape>
          <o:OLEObject Type="Embed" ProgID="Equation.3" ShapeID="_x0000_i1088" DrawAspect="Content" ObjectID="_1778700919" r:id="rId125"/>
        </w:object>
      </w:r>
      <w:r w:rsidRPr="00163851">
        <w:rPr>
          <w:szCs w:val="24"/>
        </w:rPr>
        <w:t xml:space="preserve"> matrices must </w:t>
      </w:r>
      <w:r w:rsidR="004927EF">
        <w:rPr>
          <w:szCs w:val="24"/>
        </w:rPr>
        <w:t xml:space="preserve">conform to </w:t>
      </w:r>
      <w:r w:rsidRPr="00163851">
        <w:rPr>
          <w:szCs w:val="24"/>
        </w:rPr>
        <w:t xml:space="preserve">the same covariance matrix </w:t>
      </w:r>
      <w:r w:rsidR="006E1902" w:rsidRPr="00064637">
        <w:rPr>
          <w:position w:val="-4"/>
        </w:rPr>
        <w:object w:dxaOrig="260" w:dyaOrig="260" w14:anchorId="0764D677">
          <v:shape id="_x0000_i1089" type="#_x0000_t75" style="width:12.85pt;height:12.85pt" o:ole="">
            <v:imagedata r:id="rId126" o:title=""/>
          </v:shape>
          <o:OLEObject Type="Embed" ProgID="Equation.DSMT4" ShapeID="_x0000_i1089" DrawAspect="Content" ObjectID="_1778700920" r:id="rId127"/>
        </w:object>
      </w:r>
      <w:r w:rsidRPr="00163851">
        <w:rPr>
          <w:szCs w:val="24"/>
        </w:rPr>
        <w:t xml:space="preserve"> </w:t>
      </w:r>
      <w:r w:rsidR="004927EF">
        <w:rPr>
          <w:szCs w:val="24"/>
        </w:rPr>
        <w:t xml:space="preserve">of </w:t>
      </w:r>
      <w:r w:rsidRPr="00163851">
        <w:rPr>
          <w:szCs w:val="24"/>
        </w:rPr>
        <w:t xml:space="preserve">the original error term vector </w:t>
      </w:r>
      <w:r w:rsidR="006E1902" w:rsidRPr="00163851">
        <w:rPr>
          <w:rFonts w:eastAsia="Calibri"/>
          <w:position w:val="-14"/>
          <w:szCs w:val="24"/>
        </w:rPr>
        <w:object w:dxaOrig="285" w:dyaOrig="405" w14:anchorId="42843FD0">
          <v:shape id="_x0000_i1090" type="#_x0000_t75" style="width:13.3pt;height:18.85pt" o:ole="" o:preferrelative="f">
            <v:imagedata r:id="rId128" o:title=""/>
            <o:lock v:ext="edit" aspectratio="f"/>
          </v:shape>
          <o:OLEObject Type="Embed" ProgID="Equation.3" ShapeID="_x0000_i1090" DrawAspect="Content" ObjectID="_1778700921" r:id="rId129"/>
        </w:object>
      </w:r>
      <w:r w:rsidRPr="00163851">
        <w:rPr>
          <w:szCs w:val="24"/>
        </w:rPr>
        <w:t xml:space="preserve">. </w:t>
      </w:r>
      <w:r w:rsidR="004927EF">
        <w:rPr>
          <w:szCs w:val="24"/>
        </w:rPr>
        <w:t xml:space="preserve">A way to ensure this consistency is to construct </w:t>
      </w:r>
      <w:r w:rsidR="00995AC0" w:rsidRPr="00064637">
        <w:rPr>
          <w:position w:val="-4"/>
        </w:rPr>
        <w:object w:dxaOrig="260" w:dyaOrig="260" w14:anchorId="6690EB52">
          <v:shape id="_x0000_i1091" type="#_x0000_t75" style="width:12.85pt;height:12.85pt" o:ole="" o:preferrelative="f">
            <v:imagedata r:id="rId130" o:title=""/>
            <o:lock v:ext="edit" aspectratio="f"/>
          </v:shape>
          <o:OLEObject Type="Embed" ProgID="Equation.DSMT4" ShapeID="_x0000_i1091" DrawAspect="Content" ObjectID="_1778700922" r:id="rId131"/>
        </w:object>
      </w:r>
      <w:r w:rsidRPr="00163851">
        <w:rPr>
          <w:szCs w:val="24"/>
        </w:rPr>
        <w:t xml:space="preserve"> from </w:t>
      </w:r>
      <w:r w:rsidR="00995AC0" w:rsidRPr="00163851">
        <w:rPr>
          <w:rFonts w:eastAsia="Calibri"/>
          <w:position w:val="-10"/>
          <w:szCs w:val="24"/>
        </w:rPr>
        <w:object w:dxaOrig="300" w:dyaOrig="330" w14:anchorId="60A0A40B">
          <v:shape id="_x0000_i1092" type="#_x0000_t75" style="width:15.85pt;height:17.15pt" o:ole="" o:preferrelative="f">
            <v:imagedata r:id="rId132" o:title=""/>
            <o:lock v:ext="edit" aspectratio="f"/>
          </v:shape>
          <o:OLEObject Type="Embed" ProgID="Equation.3" ShapeID="_x0000_i1092" DrawAspect="Content" ObjectID="_1778700923" r:id="rId133"/>
        </w:object>
      </w:r>
      <w:r w:rsidRPr="00163851">
        <w:rPr>
          <w:szCs w:val="24"/>
        </w:rPr>
        <w:t xml:space="preserve"> by </w:t>
      </w:r>
      <w:r w:rsidR="00137672">
        <w:rPr>
          <w:szCs w:val="24"/>
        </w:rPr>
        <w:t xml:space="preserve">expanding </w:t>
      </w:r>
      <w:r w:rsidR="00995AC0" w:rsidRPr="00163851">
        <w:rPr>
          <w:rFonts w:eastAsia="Calibri"/>
          <w:position w:val="-10"/>
          <w:szCs w:val="24"/>
        </w:rPr>
        <w:object w:dxaOrig="300" w:dyaOrig="330" w14:anchorId="62672108">
          <v:shape id="_x0000_i1093" type="#_x0000_t75" style="width:15.85pt;height:17.15pt" o:ole="" o:preferrelative="f">
            <v:imagedata r:id="rId132" o:title=""/>
            <o:lock v:ext="edit" aspectratio="f"/>
          </v:shape>
          <o:OLEObject Type="Embed" ProgID="Equation.3" ShapeID="_x0000_i1093" DrawAspect="Content" ObjectID="_1778700924" r:id="rId134"/>
        </w:object>
      </w:r>
      <w:r w:rsidR="00137672">
        <w:rPr>
          <w:rFonts w:eastAsia="Calibri"/>
          <w:szCs w:val="24"/>
        </w:rPr>
        <w:t xml:space="preserve"> with an additional </w:t>
      </w:r>
      <w:r w:rsidR="0053367C">
        <w:rPr>
          <w:rFonts w:eastAsia="Calibri"/>
          <w:szCs w:val="24"/>
        </w:rPr>
        <w:t xml:space="preserve">conformable </w:t>
      </w:r>
      <w:r w:rsidR="00137672">
        <w:rPr>
          <w:rFonts w:eastAsia="Calibri"/>
          <w:szCs w:val="24"/>
        </w:rPr>
        <w:t xml:space="preserve">column of zero </w:t>
      </w:r>
      <w:r w:rsidR="0053367C">
        <w:rPr>
          <w:rFonts w:eastAsia="Calibri"/>
          <w:szCs w:val="24"/>
        </w:rPr>
        <w:t xml:space="preserve">elements </w:t>
      </w:r>
      <w:r w:rsidR="00137672">
        <w:rPr>
          <w:rFonts w:eastAsia="Calibri"/>
          <w:szCs w:val="24"/>
        </w:rPr>
        <w:t xml:space="preserve">to the left and an additional </w:t>
      </w:r>
      <w:r w:rsidR="0053367C">
        <w:rPr>
          <w:rFonts w:eastAsia="Calibri"/>
          <w:szCs w:val="24"/>
        </w:rPr>
        <w:t xml:space="preserve">conformable </w:t>
      </w:r>
      <w:r w:rsidR="00137672">
        <w:rPr>
          <w:rFonts w:eastAsia="Calibri"/>
          <w:szCs w:val="24"/>
        </w:rPr>
        <w:t>row of zero</w:t>
      </w:r>
      <w:r w:rsidR="0053367C">
        <w:rPr>
          <w:rFonts w:eastAsia="Calibri"/>
          <w:szCs w:val="24"/>
        </w:rPr>
        <w:t xml:space="preserve"> elements</w:t>
      </w:r>
      <w:r w:rsidR="00137672">
        <w:rPr>
          <w:rFonts w:eastAsia="Calibri"/>
          <w:szCs w:val="24"/>
        </w:rPr>
        <w:t xml:space="preserve"> on top. </w:t>
      </w:r>
      <w:r w:rsidR="00204E9F" w:rsidRPr="00002517">
        <w:rPr>
          <w:szCs w:val="24"/>
          <w:u w:val="single"/>
        </w:rPr>
        <w:t>Third</w:t>
      </w:r>
      <w:r w:rsidR="00204E9F" w:rsidRPr="00204E9F">
        <w:rPr>
          <w:szCs w:val="24"/>
        </w:rPr>
        <w:t xml:space="preserve">, </w:t>
      </w:r>
      <w:r w:rsidR="0053367C">
        <w:rPr>
          <w:szCs w:val="24"/>
        </w:rPr>
        <w:t xml:space="preserve">for scale normalization purposes, we restrict, </w:t>
      </w:r>
      <w:r w:rsidR="0053367C">
        <w:rPr>
          <w:szCs w:val="24"/>
        </w:rPr>
        <w:lastRenderedPageBreak/>
        <w:t xml:space="preserve">again without any loss in generality, </w:t>
      </w:r>
      <w:r w:rsidRPr="00163851">
        <w:rPr>
          <w:szCs w:val="24"/>
        </w:rPr>
        <w:t xml:space="preserve">the </w:t>
      </w:r>
      <w:r w:rsidR="0093627C">
        <w:rPr>
          <w:szCs w:val="24"/>
        </w:rPr>
        <w:t xml:space="preserve">second row-second column </w:t>
      </w:r>
      <w:r w:rsidRPr="00163851">
        <w:rPr>
          <w:szCs w:val="24"/>
        </w:rPr>
        <w:t xml:space="preserve">element of </w:t>
      </w:r>
      <w:r w:rsidR="00995AC0" w:rsidRPr="00064637">
        <w:rPr>
          <w:position w:val="-4"/>
        </w:rPr>
        <w:object w:dxaOrig="260" w:dyaOrig="260" w14:anchorId="6E177584">
          <v:shape id="_x0000_i1094" type="#_x0000_t75" style="width:12.85pt;height:12.85pt" o:ole="" o:preferrelative="f">
            <v:imagedata r:id="rId130" o:title=""/>
            <o:lock v:ext="edit" aspectratio="f"/>
          </v:shape>
          <o:OLEObject Type="Embed" ProgID="Equation.DSMT4" ShapeID="_x0000_i1094" DrawAspect="Content" ObjectID="_1778700925" r:id="rId135"/>
        </w:object>
      </w:r>
      <w:r w:rsidRPr="00163851">
        <w:rPr>
          <w:szCs w:val="24"/>
        </w:rPr>
        <w:t xml:space="preserve"> to the value of one.</w:t>
      </w:r>
    </w:p>
    <w:p w14:paraId="633EFD96" w14:textId="25BF8F65" w:rsidR="000F34B3" w:rsidRPr="00163851" w:rsidRDefault="00BF323D" w:rsidP="00002517">
      <w:pPr>
        <w:spacing w:after="0" w:line="240" w:lineRule="auto"/>
        <w:rPr>
          <w:szCs w:val="24"/>
        </w:rPr>
      </w:pPr>
      <w:r>
        <w:rPr>
          <w:rFonts w:eastAsia="Calibri"/>
          <w:szCs w:val="24"/>
        </w:rPr>
        <w:tab/>
      </w:r>
      <w:r>
        <w:rPr>
          <w:szCs w:val="24"/>
        </w:rPr>
        <w:t>For</w:t>
      </w:r>
      <w:r w:rsidRPr="00002517">
        <w:rPr>
          <w:szCs w:val="24"/>
        </w:rPr>
        <w:t xml:space="preserve"> efficiency in bookkeeping and ease of presentation</w:t>
      </w:r>
      <w:r w:rsidR="000F34B3" w:rsidRPr="00C73546">
        <w:rPr>
          <w:szCs w:val="24"/>
        </w:rPr>
        <w:t>,</w:t>
      </w:r>
      <w:r w:rsidRPr="00002517">
        <w:rPr>
          <w:szCs w:val="24"/>
        </w:rPr>
        <w:t xml:space="preserve"> we </w:t>
      </w:r>
      <w:r>
        <w:rPr>
          <w:szCs w:val="24"/>
        </w:rPr>
        <w:t xml:space="preserve">provide </w:t>
      </w:r>
      <w:r w:rsidRPr="00002517">
        <w:rPr>
          <w:szCs w:val="24"/>
        </w:rPr>
        <w:t>the vector</w:t>
      </w:r>
      <w:r>
        <w:rPr>
          <w:szCs w:val="24"/>
        </w:rPr>
        <w:t>ized forms of the</w:t>
      </w:r>
      <w:r w:rsidRPr="00002517">
        <w:rPr>
          <w:szCs w:val="24"/>
        </w:rPr>
        <w:t xml:space="preserve"> key </w:t>
      </w:r>
      <w:r>
        <w:rPr>
          <w:szCs w:val="24"/>
        </w:rPr>
        <w:t>variables</w:t>
      </w:r>
      <w:r w:rsidRPr="00002517">
        <w:rPr>
          <w:szCs w:val="24"/>
        </w:rPr>
        <w:t xml:space="preserve"> discussed so far. To do so, </w:t>
      </w:r>
      <w:r w:rsidR="000F34B3" w:rsidRPr="00163851">
        <w:rPr>
          <w:szCs w:val="24"/>
        </w:rPr>
        <w:t xml:space="preserve">stack </w:t>
      </w:r>
      <w:r w:rsidR="00995AC0" w:rsidRPr="00163851">
        <w:rPr>
          <w:rFonts w:eastAsia="Calibri"/>
          <w:position w:val="-14"/>
          <w:szCs w:val="24"/>
        </w:rPr>
        <w:object w:dxaOrig="345" w:dyaOrig="405" w14:anchorId="0B3B339E">
          <v:shape id="_x0000_i1095" type="#_x0000_t75" style="width:18pt;height:18.85pt" o:ole="" o:preferrelative="f">
            <v:imagedata r:id="rId136" o:title=""/>
            <o:lock v:ext="edit" aspectratio="f"/>
          </v:shape>
          <o:OLEObject Type="Embed" ProgID="Equation.3" ShapeID="_x0000_i1095" DrawAspect="Content" ObjectID="_1778700926" r:id="rId137"/>
        </w:object>
      </w:r>
      <w:r w:rsidR="000F34B3" w:rsidRPr="00163851">
        <w:rPr>
          <w:szCs w:val="24"/>
        </w:rPr>
        <w:t xml:space="preserve">, </w:t>
      </w:r>
      <w:r w:rsidR="006A46A7" w:rsidRPr="00163851">
        <w:rPr>
          <w:rFonts w:eastAsia="Calibri"/>
          <w:position w:val="-14"/>
          <w:szCs w:val="24"/>
        </w:rPr>
        <w:object w:dxaOrig="330" w:dyaOrig="405" w14:anchorId="7937FE6D">
          <v:shape id="_x0000_i1096" type="#_x0000_t75" style="width:17.15pt;height:18.85pt" o:ole="" o:preferrelative="f">
            <v:imagedata r:id="rId138" o:title=""/>
            <o:lock v:ext="edit" aspectratio="f"/>
          </v:shape>
          <o:OLEObject Type="Embed" ProgID="Equation.3" ShapeID="_x0000_i1096" DrawAspect="Content" ObjectID="_1778700927" r:id="rId139"/>
        </w:object>
      </w:r>
      <w:r w:rsidR="000F34B3" w:rsidRPr="00163851">
        <w:rPr>
          <w:szCs w:val="24"/>
        </w:rPr>
        <w:t>,</w:t>
      </w:r>
      <w:r w:rsidR="000F34B3">
        <w:rPr>
          <w:szCs w:val="24"/>
        </w:rPr>
        <w:t xml:space="preserve"> </w:t>
      </w:r>
      <w:r w:rsidR="006A46A7" w:rsidRPr="00163851">
        <w:rPr>
          <w:rFonts w:eastAsia="Calibri"/>
          <w:position w:val="-14"/>
          <w:szCs w:val="24"/>
        </w:rPr>
        <w:object w:dxaOrig="330" w:dyaOrig="405" w14:anchorId="7428871E">
          <v:shape id="_x0000_i1097" type="#_x0000_t75" style="width:17.15pt;height:18.85pt" o:ole="" o:preferrelative="f">
            <v:imagedata r:id="rId140" o:title=""/>
            <o:lock v:ext="edit" aspectratio="f"/>
          </v:shape>
          <o:OLEObject Type="Embed" ProgID="Equation.3" ShapeID="_x0000_i1097" DrawAspect="Content" ObjectID="_1778700928" r:id="rId141"/>
        </w:object>
      </w:r>
      <w:r w:rsidR="006A46A7">
        <w:rPr>
          <w:rFonts w:eastAsia="Calibri"/>
          <w:szCs w:val="24"/>
        </w:rPr>
        <w:t>,</w:t>
      </w:r>
      <w:r w:rsidR="000F34B3" w:rsidRPr="00163851">
        <w:rPr>
          <w:szCs w:val="24"/>
        </w:rPr>
        <w:t xml:space="preserve"> </w:t>
      </w:r>
      <w:r w:rsidR="000F34B3">
        <w:rPr>
          <w:szCs w:val="24"/>
        </w:rPr>
        <w:t xml:space="preserve">and </w:t>
      </w:r>
      <w:r w:rsidR="00995AC0" w:rsidRPr="00521633">
        <w:rPr>
          <w:position w:val="-14"/>
        </w:rPr>
        <w:object w:dxaOrig="340" w:dyaOrig="380" w14:anchorId="51D47CEA">
          <v:shape id="_x0000_i1098" type="#_x0000_t75" style="width:17.15pt;height:18.85pt" o:ole="" o:preferrelative="f">
            <v:imagedata r:id="rId142" o:title=""/>
            <o:lock v:ext="edit" aspectratio="f"/>
          </v:shape>
          <o:OLEObject Type="Embed" ProgID="Equation.DSMT4" ShapeID="_x0000_i1098" DrawAspect="Content" ObjectID="_1778700929" r:id="rId143"/>
        </w:object>
      </w:r>
      <w:r w:rsidR="000F34B3">
        <w:rPr>
          <w:szCs w:val="24"/>
        </w:rPr>
        <w:t xml:space="preserve"> </w:t>
      </w:r>
      <w:r w:rsidR="000F34B3" w:rsidRPr="00163851">
        <w:rPr>
          <w:szCs w:val="24"/>
        </w:rPr>
        <w:t xml:space="preserve">into </w:t>
      </w:r>
      <w:r w:rsidR="000F34B3" w:rsidRPr="00163851">
        <w:rPr>
          <w:i/>
          <w:szCs w:val="24"/>
        </w:rPr>
        <w:t>K</w:t>
      </w:r>
      <w:r w:rsidR="000F34B3" w:rsidRPr="00163851">
        <w:rPr>
          <w:szCs w:val="24"/>
        </w:rPr>
        <w:t xml:space="preserve">×1 vectors: </w:t>
      </w:r>
      <w:r w:rsidR="00995AC0" w:rsidRPr="00163851">
        <w:rPr>
          <w:rFonts w:eastAsia="Calibri"/>
          <w:position w:val="-14"/>
          <w:szCs w:val="24"/>
        </w:rPr>
        <w:object w:dxaOrig="2160" w:dyaOrig="405" w14:anchorId="5FC8EFF4">
          <v:shape id="_x0000_i1099" type="#_x0000_t75" style="width:111pt;height:18.85pt" o:ole="" o:preferrelative="f">
            <v:imagedata r:id="rId144" o:title=""/>
            <o:lock v:ext="edit" aspectratio="f"/>
          </v:shape>
          <o:OLEObject Type="Embed" ProgID="Equation.3" ShapeID="_x0000_i1099" DrawAspect="Content" ObjectID="_1778700930" r:id="rId145"/>
        </w:object>
      </w:r>
      <w:r w:rsidR="000F34B3" w:rsidRPr="00163851">
        <w:rPr>
          <w:szCs w:val="24"/>
        </w:rPr>
        <w:t xml:space="preserve">, </w:t>
      </w:r>
      <w:r w:rsidR="006A46A7" w:rsidRPr="00163851">
        <w:rPr>
          <w:rFonts w:eastAsia="Calibri"/>
          <w:position w:val="-14"/>
          <w:szCs w:val="24"/>
        </w:rPr>
        <w:object w:dxaOrig="2115" w:dyaOrig="405" w14:anchorId="3AAA4067">
          <v:shape id="_x0000_i1100" type="#_x0000_t75" style="width:108pt;height:18.85pt" o:ole="" o:preferrelative="f">
            <v:imagedata r:id="rId146" o:title=""/>
            <o:lock v:ext="edit" aspectratio="f"/>
          </v:shape>
          <o:OLEObject Type="Embed" ProgID="Equation.3" ShapeID="_x0000_i1100" DrawAspect="Content" ObjectID="_1778700931" r:id="rId147"/>
        </w:object>
      </w:r>
      <w:r w:rsidR="000F34B3" w:rsidRPr="00163851">
        <w:rPr>
          <w:szCs w:val="24"/>
        </w:rPr>
        <w:t xml:space="preserve">, </w:t>
      </w:r>
      <w:r w:rsidR="006A46A7" w:rsidRPr="00163851">
        <w:rPr>
          <w:rFonts w:eastAsia="Calibri"/>
          <w:position w:val="-14"/>
          <w:szCs w:val="24"/>
        </w:rPr>
        <w:object w:dxaOrig="2145" w:dyaOrig="405" w14:anchorId="30758450">
          <v:shape id="_x0000_i1101" type="#_x0000_t75" style="width:107.15pt;height:18.85pt" o:ole="" o:preferrelative="f">
            <v:imagedata r:id="rId148" o:title=""/>
            <o:lock v:ext="edit" aspectratio="f"/>
          </v:shape>
          <o:OLEObject Type="Embed" ProgID="Equation.3" ShapeID="_x0000_i1101" DrawAspect="Content" ObjectID="_1778700932" r:id="rId149"/>
        </w:object>
      </w:r>
      <w:r w:rsidR="000F34B3" w:rsidRPr="00163851">
        <w:rPr>
          <w:szCs w:val="24"/>
        </w:rPr>
        <w:t>,  an</w:t>
      </w:r>
      <w:r w:rsidR="000F34B3">
        <w:rPr>
          <w:szCs w:val="24"/>
        </w:rPr>
        <w:t xml:space="preserve">d </w:t>
      </w:r>
      <w:r w:rsidR="00995AC0" w:rsidRPr="00F84063">
        <w:rPr>
          <w:rFonts w:eastAsia="Calibri"/>
          <w:position w:val="-14"/>
          <w:szCs w:val="24"/>
        </w:rPr>
        <w:object w:dxaOrig="1920" w:dyaOrig="380" w14:anchorId="2761C330">
          <v:shape id="_x0000_i1102" type="#_x0000_t75" style="width:96pt;height:18.85pt" o:ole="" o:preferrelative="f">
            <v:imagedata r:id="rId150" o:title=""/>
            <o:lock v:ext="edit" aspectratio="f"/>
          </v:shape>
          <o:OLEObject Type="Embed" ProgID="Equation.DSMT4" ShapeID="_x0000_i1102" DrawAspect="Content" ObjectID="_1778700933" r:id="rId151"/>
        </w:object>
      </w:r>
      <w:r w:rsidR="000F34B3" w:rsidRPr="00163851">
        <w:rPr>
          <w:szCs w:val="24"/>
        </w:rPr>
        <w:t xml:space="preserve">, and let </w:t>
      </w:r>
      <w:r w:rsidR="00995AC0" w:rsidRPr="00163851">
        <w:rPr>
          <w:rFonts w:eastAsia="Calibri"/>
          <w:position w:val="-14"/>
          <w:szCs w:val="24"/>
        </w:rPr>
        <w:object w:dxaOrig="2145" w:dyaOrig="405" w14:anchorId="6C89BEE8">
          <v:shape id="_x0000_i1103" type="#_x0000_t75" style="width:107.15pt;height:18.85pt" o:ole="" o:preferrelative="f">
            <v:imagedata r:id="rId152" o:title=""/>
            <o:lock v:ext="edit" aspectratio="f"/>
          </v:shape>
          <o:OLEObject Type="Embed" ProgID="Equation.3" ShapeID="_x0000_i1103" DrawAspect="Content" ObjectID="_1778700934" r:id="rId153"/>
        </w:object>
      </w:r>
      <w:r w:rsidR="000F34B3" w:rsidRPr="00163851">
        <w:rPr>
          <w:szCs w:val="24"/>
        </w:rPr>
        <w:t xml:space="preserve"> be a </w:t>
      </w:r>
      <w:r w:rsidR="000F34B3" w:rsidRPr="00163851">
        <w:rPr>
          <w:i/>
          <w:szCs w:val="24"/>
        </w:rPr>
        <w:t>K</w:t>
      </w:r>
      <w:r w:rsidR="000F34B3" w:rsidRPr="00163851">
        <w:rPr>
          <w:szCs w:val="24"/>
        </w:rPr>
        <w:t>×</w:t>
      </w:r>
      <w:r w:rsidR="001E6794">
        <w:rPr>
          <w:i/>
          <w:szCs w:val="24"/>
        </w:rPr>
        <w:t>E</w:t>
      </w:r>
      <w:r w:rsidR="000F34B3" w:rsidRPr="00163851">
        <w:rPr>
          <w:szCs w:val="24"/>
        </w:rPr>
        <w:t xml:space="preserve"> matrix of variable attributes. Then, we may write, in </w:t>
      </w:r>
      <w:r w:rsidR="00835A11">
        <w:rPr>
          <w:szCs w:val="24"/>
        </w:rPr>
        <w:t>vector</w:t>
      </w:r>
      <w:r w:rsidR="000F34B3" w:rsidRPr="00163851">
        <w:rPr>
          <w:szCs w:val="24"/>
        </w:rPr>
        <w:t xml:space="preserve"> notation, </w:t>
      </w:r>
    </w:p>
    <w:p w14:paraId="029347E6" w14:textId="069A48DA" w:rsidR="000F34B3" w:rsidRPr="00163851" w:rsidRDefault="00995AC0" w:rsidP="00303FC0">
      <w:pPr>
        <w:spacing w:before="60" w:after="60" w:line="240" w:lineRule="auto"/>
        <w:rPr>
          <w:szCs w:val="24"/>
        </w:rPr>
      </w:pPr>
      <w:r w:rsidRPr="00064637">
        <w:rPr>
          <w:position w:val="-14"/>
        </w:rPr>
        <w:object w:dxaOrig="1200" w:dyaOrig="380" w14:anchorId="7B6DCC81">
          <v:shape id="_x0000_i1104" type="#_x0000_t75" style="width:60pt;height:18.85pt" o:ole="" o:preferrelative="f">
            <v:imagedata r:id="rId154" o:title=""/>
            <o:lock v:ext="edit" aspectratio="f"/>
          </v:shape>
          <o:OLEObject Type="Embed" ProgID="Equation.DSMT4" ShapeID="_x0000_i1104" DrawAspect="Content" ObjectID="_1778700935" r:id="rId155"/>
        </w:object>
      </w:r>
      <w:r w:rsidR="006A46A7">
        <w:t>.</w:t>
      </w:r>
      <w:r w:rsidR="000F34B3">
        <w:rPr>
          <w:rFonts w:eastAsia="Calibri"/>
          <w:szCs w:val="24"/>
        </w:rPr>
        <w:t xml:space="preserve"> </w:t>
      </w:r>
      <w:r w:rsidR="000F34B3">
        <w:rPr>
          <w:rFonts w:eastAsia="Calibri"/>
          <w:szCs w:val="24"/>
        </w:rPr>
        <w:tab/>
      </w:r>
      <w:r w:rsidR="000F34B3">
        <w:rPr>
          <w:rFonts w:eastAsia="Calibri"/>
          <w:szCs w:val="24"/>
        </w:rPr>
        <w:tab/>
      </w:r>
      <w:r w:rsidR="000F34B3">
        <w:rPr>
          <w:rFonts w:eastAsia="Calibri"/>
          <w:szCs w:val="24"/>
        </w:rPr>
        <w:tab/>
      </w:r>
      <w:r w:rsidR="000F34B3">
        <w:rPr>
          <w:rFonts w:eastAsia="Calibri"/>
          <w:szCs w:val="24"/>
        </w:rPr>
        <w:tab/>
      </w:r>
      <w:r w:rsidR="000F34B3">
        <w:rPr>
          <w:rFonts w:eastAsia="Calibri"/>
          <w:szCs w:val="24"/>
        </w:rPr>
        <w:tab/>
      </w:r>
      <w:r w:rsidR="000F34B3">
        <w:rPr>
          <w:rFonts w:eastAsia="Calibri"/>
          <w:szCs w:val="24"/>
        </w:rPr>
        <w:tab/>
      </w:r>
      <w:r w:rsidR="000F34B3">
        <w:rPr>
          <w:rFonts w:eastAsia="Calibri"/>
          <w:szCs w:val="24"/>
        </w:rPr>
        <w:tab/>
      </w:r>
      <w:r w:rsidR="000F34B3">
        <w:rPr>
          <w:rFonts w:eastAsia="Calibri"/>
          <w:szCs w:val="24"/>
        </w:rPr>
        <w:tab/>
      </w:r>
      <w:r w:rsidR="000F34B3">
        <w:rPr>
          <w:rFonts w:eastAsia="Calibri"/>
          <w:szCs w:val="24"/>
        </w:rPr>
        <w:tab/>
      </w:r>
      <w:r w:rsidR="000F34B3">
        <w:rPr>
          <w:rFonts w:eastAsia="Calibri"/>
          <w:szCs w:val="24"/>
        </w:rPr>
        <w:tab/>
      </w:r>
      <w:r w:rsidR="000F34B3">
        <w:rPr>
          <w:rFonts w:eastAsia="Calibri"/>
          <w:szCs w:val="24"/>
        </w:rPr>
        <w:tab/>
        <w:t xml:space="preserve">       (8)</w:t>
      </w:r>
    </w:p>
    <w:p w14:paraId="37EAC833" w14:textId="1BC43F23" w:rsidR="000F34B3" w:rsidRPr="00163851" w:rsidRDefault="00B73AC8" w:rsidP="006A46A7">
      <w:pPr>
        <w:spacing w:after="0" w:line="240" w:lineRule="auto"/>
        <w:ind w:firstLine="720"/>
        <w:rPr>
          <w:szCs w:val="24"/>
        </w:rPr>
      </w:pPr>
      <w:r>
        <w:rPr>
          <w:szCs w:val="24"/>
        </w:rPr>
        <w:t>Equation (8) above defines the underlying system of equations governing the MDC component (WPL) of the joint framework. We will now discuss the continuous component of the framework</w:t>
      </w:r>
      <w:r w:rsidR="00CB4062">
        <w:rPr>
          <w:szCs w:val="24"/>
        </w:rPr>
        <w:t>,</w:t>
      </w:r>
      <w:r>
        <w:rPr>
          <w:szCs w:val="24"/>
        </w:rPr>
        <w:t xml:space="preserve"> which </w:t>
      </w:r>
      <w:r w:rsidR="00F07ABF">
        <w:rPr>
          <w:szCs w:val="24"/>
        </w:rPr>
        <w:t xml:space="preserve">is </w:t>
      </w:r>
      <w:r>
        <w:rPr>
          <w:szCs w:val="24"/>
        </w:rPr>
        <w:t xml:space="preserve">related to the commute distance dimension. </w:t>
      </w:r>
      <w:r w:rsidR="000F34B3">
        <w:rPr>
          <w:szCs w:val="24"/>
        </w:rPr>
        <w:t>To proceed</w:t>
      </w:r>
      <w:r w:rsidR="000F34B3" w:rsidRPr="00163851">
        <w:rPr>
          <w:szCs w:val="24"/>
        </w:rPr>
        <w:t xml:space="preserve">, let </w:t>
      </w:r>
      <w:r w:rsidR="00995AC0" w:rsidRPr="00163851">
        <w:rPr>
          <w:rFonts w:eastAsia="Calibri"/>
          <w:position w:val="-14"/>
          <w:szCs w:val="24"/>
        </w:rPr>
        <w:object w:dxaOrig="285" w:dyaOrig="390" w14:anchorId="3E4B6561">
          <v:shape id="_x0000_i1105" type="#_x0000_t75" style="width:13.3pt;height:18.85pt" o:ole="" o:preferrelative="f">
            <v:imagedata r:id="rId156" o:title=""/>
            <o:lock v:ext="edit" aspectratio="f"/>
          </v:shape>
          <o:OLEObject Type="Embed" ProgID="Equation.DSMT4" ShapeID="_x0000_i1105" DrawAspect="Content" ObjectID="_1778700936" r:id="rId157"/>
        </w:object>
      </w:r>
      <w:r w:rsidR="000F34B3">
        <w:rPr>
          <w:rFonts w:eastAsia="Calibri"/>
          <w:szCs w:val="24"/>
        </w:rPr>
        <w:t xml:space="preserve"> </w:t>
      </w:r>
      <w:r w:rsidR="000F34B3" w:rsidRPr="00163851">
        <w:rPr>
          <w:szCs w:val="24"/>
        </w:rPr>
        <w:t xml:space="preserve">be the continuous variable denoting the logarithm of the commute distance for individual </w:t>
      </w:r>
      <w:r w:rsidR="000F34B3" w:rsidRPr="00163851">
        <w:rPr>
          <w:i/>
          <w:szCs w:val="24"/>
        </w:rPr>
        <w:t>q</w:t>
      </w:r>
      <w:r w:rsidR="000F34B3" w:rsidRPr="00163851">
        <w:rPr>
          <w:szCs w:val="24"/>
        </w:rPr>
        <w:t>. Then, in the usual linear regression fashion, we</w:t>
      </w:r>
      <w:r w:rsidR="000F34B3">
        <w:rPr>
          <w:szCs w:val="24"/>
        </w:rPr>
        <w:t xml:space="preserve"> may</w:t>
      </w:r>
      <w:r w:rsidR="000F34B3" w:rsidRPr="00163851">
        <w:rPr>
          <w:szCs w:val="24"/>
        </w:rPr>
        <w:t xml:space="preserve"> write:</w:t>
      </w:r>
    </w:p>
    <w:p w14:paraId="450F19DA" w14:textId="1F5D0117" w:rsidR="000F34B3" w:rsidRDefault="00995AC0" w:rsidP="00303FC0">
      <w:pPr>
        <w:spacing w:before="60" w:after="60" w:line="240" w:lineRule="auto"/>
        <w:rPr>
          <w:noProof/>
          <w:szCs w:val="24"/>
        </w:rPr>
      </w:pPr>
      <w:r w:rsidRPr="00064637">
        <w:rPr>
          <w:position w:val="-14"/>
        </w:rPr>
        <w:object w:dxaOrig="1480" w:dyaOrig="380" w14:anchorId="6D7CFF18">
          <v:shape id="_x0000_i1106" type="#_x0000_t75" style="width:74.15pt;height:18.85pt" o:ole="" o:preferrelative="f">
            <v:imagedata r:id="rId158" o:title=""/>
            <o:lock v:ext="edit" aspectratio="f"/>
          </v:shape>
          <o:OLEObject Type="Embed" ProgID="Equation.DSMT4" ShapeID="_x0000_i1106" DrawAspect="Content" ObjectID="_1778700937" r:id="rId159"/>
        </w:object>
      </w:r>
      <w:r w:rsidR="000F34B3">
        <w:rPr>
          <w:rFonts w:eastAsia="Calibri"/>
          <w:szCs w:val="24"/>
        </w:rPr>
        <w:tab/>
      </w:r>
      <w:r w:rsidR="000F34B3">
        <w:rPr>
          <w:rFonts w:eastAsia="Calibri"/>
          <w:szCs w:val="24"/>
        </w:rPr>
        <w:tab/>
      </w:r>
      <w:r w:rsidR="000F34B3">
        <w:rPr>
          <w:rFonts w:eastAsia="Calibri"/>
          <w:szCs w:val="24"/>
        </w:rPr>
        <w:tab/>
      </w:r>
      <w:r w:rsidR="000F34B3">
        <w:rPr>
          <w:rFonts w:eastAsia="Calibri"/>
          <w:szCs w:val="24"/>
        </w:rPr>
        <w:tab/>
      </w:r>
      <w:r w:rsidR="000F34B3">
        <w:rPr>
          <w:rFonts w:eastAsia="Calibri"/>
          <w:szCs w:val="24"/>
        </w:rPr>
        <w:tab/>
      </w:r>
      <w:r w:rsidR="000F34B3">
        <w:rPr>
          <w:rFonts w:eastAsia="Calibri"/>
          <w:szCs w:val="24"/>
        </w:rPr>
        <w:tab/>
      </w:r>
      <w:r w:rsidR="000F34B3">
        <w:rPr>
          <w:rFonts w:eastAsia="Calibri"/>
          <w:szCs w:val="24"/>
        </w:rPr>
        <w:tab/>
      </w:r>
      <w:r w:rsidR="000F34B3">
        <w:rPr>
          <w:rFonts w:eastAsia="Calibri"/>
          <w:szCs w:val="24"/>
        </w:rPr>
        <w:tab/>
      </w:r>
      <w:r w:rsidR="000F34B3">
        <w:rPr>
          <w:rFonts w:eastAsia="Calibri"/>
          <w:szCs w:val="24"/>
        </w:rPr>
        <w:tab/>
      </w:r>
      <w:r w:rsidR="000F34B3">
        <w:rPr>
          <w:rFonts w:eastAsia="Calibri"/>
          <w:szCs w:val="24"/>
        </w:rPr>
        <w:tab/>
        <w:t xml:space="preserve">       (9)</w:t>
      </w:r>
    </w:p>
    <w:p w14:paraId="6F5FAB6A" w14:textId="10C92A50" w:rsidR="000F34B3" w:rsidRPr="00163851" w:rsidRDefault="000F34B3" w:rsidP="000F34B3">
      <w:pPr>
        <w:spacing w:after="0" w:line="240" w:lineRule="auto"/>
        <w:rPr>
          <w:szCs w:val="24"/>
        </w:rPr>
      </w:pPr>
      <w:r w:rsidRPr="00163851">
        <w:rPr>
          <w:noProof/>
          <w:szCs w:val="24"/>
        </w:rPr>
        <w:t xml:space="preserve">where </w:t>
      </w:r>
      <w:r w:rsidR="00995AC0" w:rsidRPr="00064637">
        <w:rPr>
          <w:position w:val="-14"/>
        </w:rPr>
        <w:object w:dxaOrig="320" w:dyaOrig="380" w14:anchorId="6F533925">
          <v:shape id="_x0000_i1107" type="#_x0000_t75" style="width:15.85pt;height:18.85pt" o:ole="">
            <v:imagedata r:id="rId160" o:title=""/>
          </v:shape>
          <o:OLEObject Type="Embed" ProgID="Equation.DSMT4" ShapeID="_x0000_i1107" DrawAspect="Content" ObjectID="_1778700938" r:id="rId161"/>
        </w:object>
      </w:r>
      <w:r w:rsidRPr="00163851">
        <w:rPr>
          <w:noProof/>
          <w:szCs w:val="24"/>
        </w:rPr>
        <w:t xml:space="preserve"> is an </w:t>
      </w:r>
      <w:r w:rsidRPr="00064637">
        <w:rPr>
          <w:position w:val="-10"/>
        </w:rPr>
        <w:object w:dxaOrig="660" w:dyaOrig="320" w14:anchorId="66C44357">
          <v:shape id="_x0000_i1108" type="#_x0000_t75" style="width:33.85pt;height:16.3pt" o:ole="">
            <v:imagedata r:id="rId162" o:title=""/>
          </v:shape>
          <o:OLEObject Type="Embed" ProgID="Equation.DSMT4" ShapeID="_x0000_i1108" DrawAspect="Content" ObjectID="_1778700939" r:id="rId163"/>
        </w:object>
      </w:r>
      <w:r w:rsidRPr="00163851">
        <w:rPr>
          <w:noProof/>
          <w:szCs w:val="24"/>
        </w:rPr>
        <w:t xml:space="preserve"> vector of exogenous variables (including a constant) </w:t>
      </w:r>
      <w:r w:rsidRPr="00163851">
        <w:rPr>
          <w:szCs w:val="24"/>
        </w:rPr>
        <w:t>as well as</w:t>
      </w:r>
      <w:r w:rsidR="009F4945">
        <w:rPr>
          <w:szCs w:val="24"/>
        </w:rPr>
        <w:t>, for the TC segment (but not the CT segment),</w:t>
      </w:r>
      <w:r w:rsidR="007E752C">
        <w:rPr>
          <w:szCs w:val="24"/>
        </w:rPr>
        <w:t xml:space="preserve"> </w:t>
      </w:r>
      <w:r w:rsidRPr="00163851">
        <w:rPr>
          <w:szCs w:val="24"/>
        </w:rPr>
        <w:t xml:space="preserve">the observed values of </w:t>
      </w:r>
      <w:r>
        <w:rPr>
          <w:szCs w:val="24"/>
        </w:rPr>
        <w:t xml:space="preserve">WPL </w:t>
      </w:r>
      <w:r w:rsidRPr="00163851">
        <w:rPr>
          <w:szCs w:val="24"/>
        </w:rPr>
        <w:t>proportion</w:t>
      </w:r>
      <w:r>
        <w:rPr>
          <w:szCs w:val="24"/>
        </w:rPr>
        <w:t>s</w:t>
      </w:r>
      <w:r w:rsidRPr="00163851">
        <w:rPr>
          <w:szCs w:val="24"/>
        </w:rPr>
        <w:t xml:space="preserve"> of the multiple-discrete choice outcome variable. </w:t>
      </w:r>
      <w:r w:rsidR="00995AC0" w:rsidRPr="00064637">
        <w:rPr>
          <w:position w:val="-6"/>
        </w:rPr>
        <w:object w:dxaOrig="220" w:dyaOrig="279" w14:anchorId="12584709">
          <v:shape id="_x0000_i1109" type="#_x0000_t75" style="width:10.7pt;height:13.7pt" o:ole="" o:preferrelative="f">
            <v:imagedata r:id="rId164" o:title=""/>
            <o:lock v:ext="edit" aspectratio="f"/>
          </v:shape>
          <o:OLEObject Type="Embed" ProgID="Equation.DSMT4" ShapeID="_x0000_i1109" DrawAspect="Content" ObjectID="_1778700940" r:id="rId165"/>
        </w:object>
      </w:r>
      <w:r w:rsidRPr="00163851">
        <w:rPr>
          <w:noProof/>
          <w:szCs w:val="24"/>
        </w:rPr>
        <w:t xml:space="preserve"> is a corresponding compatible coefficient vector and </w:t>
      </w:r>
      <w:r w:rsidR="00995AC0" w:rsidRPr="00064637">
        <w:rPr>
          <w:position w:val="-14"/>
        </w:rPr>
        <w:object w:dxaOrig="260" w:dyaOrig="380" w14:anchorId="5FA9E35C">
          <v:shape id="_x0000_i1110" type="#_x0000_t75" style="width:12.85pt;height:18.85pt" o:ole="" o:preferrelative="f">
            <v:imagedata r:id="rId166" o:title=""/>
            <o:lock v:ext="edit" aspectratio="f"/>
          </v:shape>
          <o:OLEObject Type="Embed" ProgID="Equation.DSMT4" ShapeID="_x0000_i1110" DrawAspect="Content" ObjectID="_1778700941" r:id="rId167"/>
        </w:object>
      </w:r>
      <w:r w:rsidRPr="00163851">
        <w:rPr>
          <w:szCs w:val="24"/>
        </w:rPr>
        <w:t xml:space="preserve"> is the random error term, assumed to be normally distributed with mean zero and scale </w:t>
      </w:r>
      <w:r w:rsidR="00995AC0" w:rsidRPr="00064637">
        <w:rPr>
          <w:position w:val="-6"/>
        </w:rPr>
        <w:object w:dxaOrig="200" w:dyaOrig="220" w14:anchorId="13841804">
          <v:shape id="_x0000_i1111" type="#_x0000_t75" style="width:10.7pt;height:10.7pt" o:ole="" o:preferrelative="f">
            <v:imagedata r:id="rId168" o:title=""/>
            <o:lock v:ext="edit" aspectratio="f"/>
          </v:shape>
          <o:OLEObject Type="Embed" ProgID="Equation.DSMT4" ShapeID="_x0000_i1111" DrawAspect="Content" ObjectID="_1778700942" r:id="rId169"/>
        </w:object>
      </w:r>
      <w:r w:rsidRPr="00163851">
        <w:rPr>
          <w:szCs w:val="24"/>
        </w:rPr>
        <w:t>.</w:t>
      </w:r>
      <w:r>
        <w:rPr>
          <w:szCs w:val="24"/>
        </w:rPr>
        <w:t xml:space="preserve"> </w:t>
      </w:r>
    </w:p>
    <w:p w14:paraId="443FFEF0" w14:textId="0C3B85CC" w:rsidR="000F34B3" w:rsidRPr="00163851" w:rsidRDefault="000F34B3" w:rsidP="000F34B3">
      <w:pPr>
        <w:spacing w:after="0" w:line="240" w:lineRule="auto"/>
        <w:ind w:firstLine="720"/>
        <w:rPr>
          <w:szCs w:val="24"/>
        </w:rPr>
      </w:pPr>
      <w:r>
        <w:rPr>
          <w:szCs w:val="24"/>
        </w:rPr>
        <w:t xml:space="preserve">To </w:t>
      </w:r>
      <w:r w:rsidR="005F7EB3">
        <w:rPr>
          <w:szCs w:val="24"/>
        </w:rPr>
        <w:t>configure</w:t>
      </w:r>
      <w:r>
        <w:rPr>
          <w:szCs w:val="24"/>
        </w:rPr>
        <w:t xml:space="preserve"> the joint framework,</w:t>
      </w:r>
      <w:r w:rsidRPr="00163851">
        <w:rPr>
          <w:szCs w:val="24"/>
        </w:rPr>
        <w:t xml:space="preserve"> </w:t>
      </w:r>
      <w:r w:rsidR="00B73AC8">
        <w:rPr>
          <w:szCs w:val="24"/>
        </w:rPr>
        <w:t>we may combine Equations (8) and (9) in the following way</w:t>
      </w:r>
      <w:r w:rsidR="005F7EB3">
        <w:rPr>
          <w:szCs w:val="24"/>
        </w:rPr>
        <w:t>, forming a unified system of equations</w:t>
      </w:r>
      <w:r w:rsidR="00B73AC8">
        <w:rPr>
          <w:szCs w:val="24"/>
        </w:rPr>
        <w:t xml:space="preserve">. </w:t>
      </w:r>
      <w:r w:rsidR="005F7EB3">
        <w:rPr>
          <w:szCs w:val="24"/>
        </w:rPr>
        <w:t>T</w:t>
      </w:r>
      <w:r w:rsidR="00CB4062">
        <w:rPr>
          <w:szCs w:val="24"/>
        </w:rPr>
        <w:t>o do so</w:t>
      </w:r>
      <w:r w:rsidR="005F7EB3">
        <w:rPr>
          <w:szCs w:val="24"/>
        </w:rPr>
        <w:t>, l</w:t>
      </w:r>
      <w:r>
        <w:rPr>
          <w:szCs w:val="24"/>
        </w:rPr>
        <w:t>et</w:t>
      </w:r>
      <w:r w:rsidRPr="00163851">
        <w:rPr>
          <w:szCs w:val="24"/>
        </w:rPr>
        <w:t xml:space="preserve"> </w:t>
      </w:r>
      <w:r w:rsidR="00995AC0" w:rsidRPr="005F7EB3">
        <w:rPr>
          <w:rFonts w:eastAsia="Calibri"/>
          <w:position w:val="-32"/>
          <w:szCs w:val="24"/>
        </w:rPr>
        <w:object w:dxaOrig="1020" w:dyaOrig="760" w14:anchorId="4D9A11E4">
          <v:shape id="_x0000_i1112" type="#_x0000_t75" style="width:51.85pt;height:38.15pt" o:ole="" o:preferrelative="f">
            <v:imagedata r:id="rId170" o:title=""/>
            <o:lock v:ext="edit" aspectratio="f"/>
          </v:shape>
          <o:OLEObject Type="Embed" ProgID="Equation.DSMT4" ShapeID="_x0000_i1112" DrawAspect="Content" ObjectID="_1778700943" r:id="rId171"/>
        </w:object>
      </w:r>
      <w:r>
        <w:rPr>
          <w:rFonts w:eastAsia="Calibri"/>
          <w:szCs w:val="24"/>
        </w:rPr>
        <w:t>. Also</w:t>
      </w:r>
      <w:r w:rsidRPr="00163851">
        <w:rPr>
          <w:szCs w:val="24"/>
        </w:rPr>
        <w:t xml:space="preserve">, define the following vector </w:t>
      </w:r>
      <w:r w:rsidR="00995AC0" w:rsidRPr="00163851">
        <w:rPr>
          <w:rFonts w:eastAsia="Calibri"/>
          <w:position w:val="-14"/>
          <w:szCs w:val="24"/>
        </w:rPr>
        <w:object w:dxaOrig="315" w:dyaOrig="390" w14:anchorId="2AAD39C3">
          <v:shape id="_x0000_i1113" type="#_x0000_t75" style="width:15.85pt;height:18.85pt" o:ole="" o:preferrelative="f">
            <v:imagedata r:id="rId172" o:title=""/>
            <o:lock v:ext="edit" aspectratio="f"/>
          </v:shape>
          <o:OLEObject Type="Embed" ProgID="Equation.DSMT4" ShapeID="_x0000_i1113" DrawAspect="Content" ObjectID="_1778700944" r:id="rId173"/>
        </w:object>
      </w:r>
      <w:r w:rsidRPr="00163851">
        <w:rPr>
          <w:szCs w:val="24"/>
        </w:rPr>
        <w:t xml:space="preserve">and the covariance matrix </w:t>
      </w:r>
      <w:r w:rsidR="00995AC0" w:rsidRPr="00163851">
        <w:rPr>
          <w:rFonts w:eastAsia="Calibri"/>
          <w:position w:val="-4"/>
          <w:szCs w:val="24"/>
        </w:rPr>
        <w:object w:dxaOrig="270" w:dyaOrig="270" w14:anchorId="528DB0D3">
          <v:shape id="_x0000_i1114" type="#_x0000_t75" style="width:12.85pt;height:12.85pt" o:ole="" o:preferrelative="f">
            <v:imagedata r:id="rId174" o:title=""/>
            <o:lock v:ext="edit" aspectratio="f"/>
          </v:shape>
          <o:OLEObject Type="Embed" ProgID="Equation.DSMT4" ShapeID="_x0000_i1114" DrawAspect="Content" ObjectID="_1778700945" r:id="rId175"/>
        </w:object>
      </w:r>
      <w:r w:rsidRPr="00163851">
        <w:rPr>
          <w:szCs w:val="24"/>
        </w:rPr>
        <w:t>:</w:t>
      </w:r>
    </w:p>
    <w:p w14:paraId="662419B9" w14:textId="745FAF82" w:rsidR="000F34B3" w:rsidRPr="00163851" w:rsidRDefault="00995AC0" w:rsidP="000F34B3">
      <w:pPr>
        <w:spacing w:after="0" w:line="240" w:lineRule="auto"/>
        <w:rPr>
          <w:szCs w:val="24"/>
        </w:rPr>
      </w:pPr>
      <w:r w:rsidRPr="00163851">
        <w:rPr>
          <w:rFonts w:eastAsia="Calibri"/>
          <w:position w:val="-32"/>
          <w:szCs w:val="24"/>
        </w:rPr>
        <w:object w:dxaOrig="1275" w:dyaOrig="750" w14:anchorId="20C57754">
          <v:shape id="_x0000_i1115" type="#_x0000_t75" style="width:63.85pt;height:38.15pt" o:ole="" o:preferrelative="f">
            <v:imagedata r:id="rId176" o:title=""/>
            <o:lock v:ext="edit" aspectratio="f"/>
          </v:shape>
          <o:OLEObject Type="Embed" ProgID="Equation.DSMT4" ShapeID="_x0000_i1115" DrawAspect="Content" ObjectID="_1778700946" r:id="rId177"/>
        </w:object>
      </w:r>
      <w:r w:rsidR="000F34B3" w:rsidRPr="00163851">
        <w:rPr>
          <w:szCs w:val="24"/>
        </w:rPr>
        <w:t xml:space="preserve">  [(</w:t>
      </w:r>
      <w:r w:rsidR="000F34B3" w:rsidRPr="00163851">
        <w:rPr>
          <w:i/>
          <w:szCs w:val="24"/>
        </w:rPr>
        <w:t>K</w:t>
      </w:r>
      <w:r w:rsidR="000F34B3" w:rsidRPr="00163851">
        <w:rPr>
          <w:szCs w:val="24"/>
        </w:rPr>
        <w:t>+1)×1] vector</w:t>
      </w:r>
      <w:r w:rsidR="000F34B3" w:rsidRPr="00163851">
        <w:rPr>
          <w:szCs w:val="24"/>
        </w:rPr>
        <w:tab/>
      </w:r>
      <w:r w:rsidRPr="00163851">
        <w:rPr>
          <w:rFonts w:eastAsia="Calibri"/>
          <w:position w:val="-30"/>
          <w:szCs w:val="24"/>
        </w:rPr>
        <w:object w:dxaOrig="1380" w:dyaOrig="720" w14:anchorId="527FA1D7">
          <v:shape id="_x0000_i1116" type="#_x0000_t75" style="width:69.85pt;height:36pt" o:ole="" o:preferrelative="f">
            <v:imagedata r:id="rId178" o:title=""/>
            <o:lock v:ext="edit" aspectratio="f"/>
          </v:shape>
          <o:OLEObject Type="Embed" ProgID="Equation.DSMT4" ShapeID="_x0000_i1116" DrawAspect="Content" ObjectID="_1778700947" r:id="rId179"/>
        </w:object>
      </w:r>
      <w:r w:rsidR="000F34B3" w:rsidRPr="00163851">
        <w:rPr>
          <w:szCs w:val="24"/>
        </w:rPr>
        <w:t xml:space="preserve"> [(</w:t>
      </w:r>
      <w:r w:rsidR="000F34B3" w:rsidRPr="00163851">
        <w:rPr>
          <w:i/>
          <w:szCs w:val="24"/>
        </w:rPr>
        <w:t>K</w:t>
      </w:r>
      <w:r w:rsidR="000F34B3" w:rsidRPr="00163851">
        <w:rPr>
          <w:szCs w:val="24"/>
        </w:rPr>
        <w:t>+1)×(</w:t>
      </w:r>
      <w:r w:rsidR="000F34B3" w:rsidRPr="00163851">
        <w:rPr>
          <w:i/>
          <w:szCs w:val="24"/>
        </w:rPr>
        <w:t>K</w:t>
      </w:r>
      <w:r w:rsidR="000F34B3" w:rsidRPr="00163851">
        <w:rPr>
          <w:szCs w:val="24"/>
        </w:rPr>
        <w:t>+1)] matrix</w:t>
      </w:r>
    </w:p>
    <w:p w14:paraId="11FBB490" w14:textId="2B380569" w:rsidR="000F34B3" w:rsidRDefault="000F34B3" w:rsidP="000F34B3">
      <w:pPr>
        <w:spacing w:after="0" w:line="240" w:lineRule="auto"/>
        <w:rPr>
          <w:szCs w:val="24"/>
        </w:rPr>
      </w:pPr>
      <w:r w:rsidRPr="00163851">
        <w:rPr>
          <w:szCs w:val="24"/>
        </w:rPr>
        <w:t xml:space="preserve">where, </w:t>
      </w:r>
      <w:r w:rsidR="00995AC0" w:rsidRPr="00163851">
        <w:rPr>
          <w:rFonts w:eastAsia="Calibri"/>
          <w:position w:val="-4"/>
          <w:szCs w:val="24"/>
        </w:rPr>
        <w:object w:dxaOrig="270" w:dyaOrig="270" w14:anchorId="05708429">
          <v:shape id="_x0000_i1117" type="#_x0000_t75" style="width:12.85pt;height:12.85pt" o:ole="" o:preferrelative="f">
            <v:imagedata r:id="rId180" o:title=""/>
            <o:lock v:ext="edit" aspectratio="f"/>
          </v:shape>
          <o:OLEObject Type="Embed" ProgID="Equation.DSMT4" ShapeID="_x0000_i1117" DrawAspect="Content" ObjectID="_1778700948" r:id="rId181"/>
        </w:object>
      </w:r>
      <w:r w:rsidRPr="00163851">
        <w:rPr>
          <w:szCs w:val="24"/>
        </w:rPr>
        <w:t xml:space="preserve"> is a (</w:t>
      </w:r>
      <w:r w:rsidRPr="00163851">
        <w:rPr>
          <w:i/>
          <w:szCs w:val="24"/>
        </w:rPr>
        <w:t>K</w:t>
      </w:r>
      <w:r w:rsidRPr="00163851" w:rsidDel="00F84063">
        <w:rPr>
          <w:szCs w:val="24"/>
        </w:rPr>
        <w:t xml:space="preserve"> </w:t>
      </w:r>
      <w:r w:rsidRPr="00163851">
        <w:rPr>
          <w:szCs w:val="24"/>
        </w:rPr>
        <w:t>×</w:t>
      </w:r>
      <w:r>
        <w:rPr>
          <w:szCs w:val="24"/>
        </w:rPr>
        <w:t>1</w:t>
      </w:r>
      <w:r w:rsidRPr="00163851">
        <w:rPr>
          <w:szCs w:val="24"/>
        </w:rPr>
        <w:t>) vector capturing the correlations between the continuous commute distance variable and the MDC alternatives (i.e.</w:t>
      </w:r>
      <w:r w:rsidR="00303FC0">
        <w:rPr>
          <w:szCs w:val="24"/>
        </w:rPr>
        <w:t>,</w:t>
      </w:r>
      <w:r w:rsidRPr="00163851">
        <w:rPr>
          <w:szCs w:val="24"/>
        </w:rPr>
        <w:t xml:space="preserve"> the workplace locations)</w:t>
      </w:r>
      <w:r>
        <w:rPr>
          <w:szCs w:val="24"/>
        </w:rPr>
        <w:t>,</w:t>
      </w:r>
      <w:r w:rsidRPr="00163851">
        <w:rPr>
          <w:szCs w:val="24"/>
        </w:rPr>
        <w:t xml:space="preserve"> with the first element of this vector being zero (to be consistent with the identification issues discussed earlier in the context of the </w:t>
      </w:r>
      <w:r w:rsidR="00995AC0" w:rsidRPr="00163851">
        <w:rPr>
          <w:rFonts w:eastAsia="Calibri"/>
          <w:position w:val="-4"/>
          <w:szCs w:val="24"/>
        </w:rPr>
        <w:object w:dxaOrig="240" w:dyaOrig="240" w14:anchorId="488ABE35">
          <v:shape id="_x0000_i1118" type="#_x0000_t75" style="width:12.85pt;height:12.85pt" o:ole="">
            <v:imagedata r:id="rId182" o:title=""/>
          </v:shape>
          <o:OLEObject Type="Embed" ProgID="Equation.3" ShapeID="_x0000_i1118" DrawAspect="Content" ObjectID="_1778700949" r:id="rId183"/>
        </w:object>
      </w:r>
      <w:r w:rsidRPr="00163851">
        <w:rPr>
          <w:szCs w:val="24"/>
        </w:rPr>
        <w:t xml:space="preserve"> matrix). </w:t>
      </w:r>
      <w:r>
        <w:rPr>
          <w:szCs w:val="24"/>
        </w:rPr>
        <w:t xml:space="preserve">Then, </w:t>
      </w:r>
      <w:r w:rsidRPr="00163851">
        <w:rPr>
          <w:szCs w:val="24"/>
        </w:rPr>
        <w:t xml:space="preserve">we can write </w:t>
      </w:r>
      <w:r w:rsidR="00722965" w:rsidRPr="00163851">
        <w:rPr>
          <w:rFonts w:eastAsia="Calibri"/>
          <w:position w:val="-14"/>
          <w:szCs w:val="24"/>
        </w:rPr>
        <w:object w:dxaOrig="2060" w:dyaOrig="400" w14:anchorId="0DAFE2A1">
          <v:shape id="_x0000_i1119" type="#_x0000_t75" style="width:108pt;height:19.7pt" o:ole="" o:preferrelative="f">
            <v:imagedata r:id="rId184" o:title=""/>
            <o:lock v:ext="edit" aspectratio="f"/>
          </v:shape>
          <o:OLEObject Type="Embed" ProgID="Equation.DSMT4" ShapeID="_x0000_i1119" DrawAspect="Content" ObjectID="_1778700950" r:id="rId185"/>
        </w:object>
      </w:r>
      <w:r w:rsidRPr="00163851">
        <w:rPr>
          <w:szCs w:val="24"/>
        </w:rPr>
        <w:t>.</w:t>
      </w:r>
    </w:p>
    <w:p w14:paraId="09D1E182" w14:textId="7F6B80DD" w:rsidR="000F34B3" w:rsidRDefault="00FE36C5" w:rsidP="000F34B3">
      <w:pPr>
        <w:spacing w:after="0" w:line="240" w:lineRule="auto"/>
        <w:ind w:firstLine="720"/>
        <w:rPr>
          <w:szCs w:val="24"/>
        </w:rPr>
      </w:pPr>
      <w:r>
        <w:rPr>
          <w:szCs w:val="24"/>
        </w:rPr>
        <w:t xml:space="preserve">For model estimation, if we knew the latent segment to which an individual belonged, we </w:t>
      </w:r>
      <w:r w:rsidR="003325AC">
        <w:rPr>
          <w:szCs w:val="24"/>
        </w:rPr>
        <w:t xml:space="preserve">can </w:t>
      </w:r>
      <w:r>
        <w:rPr>
          <w:szCs w:val="24"/>
        </w:rPr>
        <w:t xml:space="preserve">derive the probability of the observed vector </w:t>
      </w:r>
      <w:r w:rsidR="00995AC0" w:rsidRPr="00F11C5E">
        <w:rPr>
          <w:position w:val="-14"/>
        </w:rPr>
        <w:object w:dxaOrig="2040" w:dyaOrig="400" w14:anchorId="4C1F16AD">
          <v:shape id="_x0000_i1120" type="#_x0000_t75" style="width:102pt;height:20.15pt" o:ole="" o:preferrelative="f">
            <v:imagedata r:id="rId186" o:title=""/>
            <o:lock v:ext="edit" aspectratio="f"/>
          </v:shape>
          <o:OLEObject Type="Embed" ProgID="Equation.DSMT4" ShapeID="_x0000_i1120" DrawAspect="Content" ObjectID="_1778700951" r:id="rId187"/>
        </w:object>
      </w:r>
      <w:r w:rsidRPr="00F11C5E">
        <w:t xml:space="preserve"> </w:t>
      </w:r>
      <w:r>
        <w:t xml:space="preserve">containing the proportion of number of days of work from each WPL </w:t>
      </w:r>
      <w:r w:rsidRPr="004817C2">
        <w:rPr>
          <w:i/>
          <w:iCs/>
        </w:rPr>
        <w:t>k</w:t>
      </w:r>
      <w:r w:rsidR="00C933B7">
        <w:t xml:space="preserve"> and the observed </w:t>
      </w:r>
      <w:r w:rsidR="00B879A6">
        <w:t xml:space="preserve">(log of) </w:t>
      </w:r>
      <w:r w:rsidR="00C933B7">
        <w:t xml:space="preserve">commute distance </w:t>
      </w:r>
      <w:r w:rsidR="00995AC0" w:rsidRPr="00C372AB">
        <w:rPr>
          <w:position w:val="-14"/>
        </w:rPr>
        <w:object w:dxaOrig="279" w:dyaOrig="380" w14:anchorId="261CBF5B">
          <v:shape id="_x0000_i1121" type="#_x0000_t75" style="width:13.7pt;height:18.85pt" o:ole="" o:preferrelative="f">
            <v:imagedata r:id="rId188" o:title=""/>
            <o:lock v:ext="edit" aspectratio="f"/>
          </v:shape>
          <o:OLEObject Type="Embed" ProgID="Equation.DSMT4" ShapeID="_x0000_i1121" DrawAspect="Content" ObjectID="_1778700952" r:id="rId189"/>
        </w:object>
      </w:r>
      <w:r w:rsidR="00C933B7">
        <w:t xml:space="preserve">. </w:t>
      </w:r>
      <w:r>
        <w:t xml:space="preserve"> </w:t>
      </w:r>
      <w:r w:rsidR="000F34B3" w:rsidRPr="00163851">
        <w:rPr>
          <w:szCs w:val="24"/>
        </w:rPr>
        <w:t xml:space="preserve">To </w:t>
      </w:r>
      <w:r>
        <w:rPr>
          <w:szCs w:val="24"/>
        </w:rPr>
        <w:t>obtain this probability expression</w:t>
      </w:r>
      <w:r w:rsidR="000F34B3" w:rsidRPr="00163851">
        <w:rPr>
          <w:szCs w:val="24"/>
        </w:rPr>
        <w:t xml:space="preserve">, </w:t>
      </w:r>
      <w:r w:rsidR="00BF323D">
        <w:rPr>
          <w:szCs w:val="24"/>
        </w:rPr>
        <w:t xml:space="preserve">we will first </w:t>
      </w:r>
      <w:r w:rsidR="000F34B3" w:rsidRPr="00163851">
        <w:rPr>
          <w:szCs w:val="24"/>
        </w:rPr>
        <w:t>define a [</w:t>
      </w:r>
      <w:r w:rsidR="000F34B3" w:rsidRPr="00163851">
        <w:rPr>
          <w:i/>
          <w:szCs w:val="24"/>
        </w:rPr>
        <w:t>K</w:t>
      </w:r>
      <w:r w:rsidR="000F34B3" w:rsidRPr="00163851">
        <w:rPr>
          <w:szCs w:val="24"/>
        </w:rPr>
        <w:t>×(</w:t>
      </w:r>
      <w:r w:rsidR="000F34B3" w:rsidRPr="00163851">
        <w:rPr>
          <w:i/>
          <w:szCs w:val="24"/>
        </w:rPr>
        <w:t>K</w:t>
      </w:r>
      <w:r w:rsidR="000F34B3" w:rsidRPr="00163851">
        <w:rPr>
          <w:szCs w:val="24"/>
        </w:rPr>
        <w:t xml:space="preserve">+1)] contrast matrix </w:t>
      </w:r>
      <w:bookmarkStart w:id="10" w:name="_Hlk166697849"/>
      <w:r w:rsidR="00995AC0" w:rsidRPr="00163851">
        <w:rPr>
          <w:rFonts w:eastAsia="Calibri"/>
          <w:position w:val="-14"/>
          <w:szCs w:val="24"/>
        </w:rPr>
        <w:object w:dxaOrig="405" w:dyaOrig="405" w14:anchorId="33984083">
          <v:shape id="_x0000_i1122" type="#_x0000_t75" style="width:20.15pt;height:18.85pt" o:ole="" o:preferrelative="f">
            <v:imagedata r:id="rId190" o:title=""/>
            <o:lock v:ext="edit" aspectratio="f"/>
          </v:shape>
          <o:OLEObject Type="Embed" ProgID="Equation.3" ShapeID="_x0000_i1122" DrawAspect="Content" ObjectID="_1778700953" r:id="rId191"/>
        </w:object>
      </w:r>
      <w:bookmarkEnd w:id="10"/>
      <w:r w:rsidR="000F34B3" w:rsidRPr="00163851">
        <w:rPr>
          <w:szCs w:val="24"/>
        </w:rPr>
        <w:t xml:space="preserve">. </w:t>
      </w:r>
      <w:bookmarkStart w:id="11" w:name="_Hlk166697823"/>
      <w:r w:rsidR="006C6E8C">
        <w:rPr>
          <w:szCs w:val="24"/>
        </w:rPr>
        <w:t>Th</w:t>
      </w:r>
      <w:r w:rsidR="006D2C45">
        <w:rPr>
          <w:szCs w:val="24"/>
        </w:rPr>
        <w:t xml:space="preserve">e </w:t>
      </w:r>
      <w:r w:rsidR="006C6E8C">
        <w:rPr>
          <w:szCs w:val="24"/>
        </w:rPr>
        <w:t>contrast matrix</w:t>
      </w:r>
      <w:r w:rsidR="00294F9E">
        <w:rPr>
          <w:szCs w:val="24"/>
        </w:rPr>
        <w:t xml:space="preserve"> provides an efficient </w:t>
      </w:r>
      <w:r w:rsidR="00D425BA">
        <w:rPr>
          <w:szCs w:val="24"/>
        </w:rPr>
        <w:t xml:space="preserve">matrix </w:t>
      </w:r>
      <w:r w:rsidR="006C6E8C">
        <w:rPr>
          <w:szCs w:val="24"/>
        </w:rPr>
        <w:t>mechanism to take the appropriate differences</w:t>
      </w:r>
      <w:r w:rsidR="00CA2B91">
        <w:rPr>
          <w:szCs w:val="24"/>
        </w:rPr>
        <w:t xml:space="preserve"> of the underlying functions described in Equation (7) with respect to the reference good </w:t>
      </w:r>
      <w:r w:rsidR="00995AC0" w:rsidRPr="00163851">
        <w:rPr>
          <w:rFonts w:eastAsia="Calibri"/>
          <w:position w:val="-14"/>
          <w:szCs w:val="24"/>
        </w:rPr>
        <w:object w:dxaOrig="315" w:dyaOrig="405" w14:anchorId="3561128E">
          <v:shape id="_x0000_i1123" type="#_x0000_t75" style="width:15.85pt;height:18.85pt" o:ole="" o:preferrelative="f">
            <v:imagedata r:id="rId117" o:title=""/>
            <o:lock v:ext="edit" aspectratio="f"/>
          </v:shape>
          <o:OLEObject Type="Embed" ProgID="Equation.3" ShapeID="_x0000_i1123" DrawAspect="Content" ObjectID="_1778700954" r:id="rId192"/>
        </w:object>
      </w:r>
      <w:r w:rsidR="00995AC0">
        <w:rPr>
          <w:rFonts w:eastAsia="Calibri"/>
          <w:szCs w:val="24"/>
        </w:rPr>
        <w:t xml:space="preserve"> </w:t>
      </w:r>
      <w:r w:rsidR="006D2C45">
        <w:rPr>
          <w:rFonts w:eastAsia="Calibri"/>
          <w:szCs w:val="24"/>
        </w:rPr>
        <w:t xml:space="preserve">and to construct the differenced covariance matrix, </w:t>
      </w:r>
      <w:r w:rsidR="00570531">
        <w:rPr>
          <w:szCs w:val="24"/>
        </w:rPr>
        <w:t xml:space="preserve">and is akin to the ‘mask’ matrix used in multinomial </w:t>
      </w:r>
      <w:proofErr w:type="spellStart"/>
      <w:r w:rsidR="00570531">
        <w:rPr>
          <w:szCs w:val="24"/>
        </w:rPr>
        <w:t>probit</w:t>
      </w:r>
      <w:proofErr w:type="spellEnd"/>
      <w:r w:rsidR="00570531">
        <w:rPr>
          <w:szCs w:val="24"/>
        </w:rPr>
        <w:t xml:space="preserve"> models (see for example, </w:t>
      </w:r>
      <w:r w:rsidR="009C2F61">
        <w:rPr>
          <w:szCs w:val="24"/>
        </w:rPr>
        <w:t>C</w:t>
      </w:r>
      <w:r w:rsidR="00570531">
        <w:rPr>
          <w:szCs w:val="24"/>
        </w:rPr>
        <w:t>hapter 5 of Train, 2009).</w:t>
      </w:r>
      <w:r w:rsidR="006C6E8C">
        <w:rPr>
          <w:szCs w:val="24"/>
        </w:rPr>
        <w:t xml:space="preserve"> </w:t>
      </w:r>
      <w:bookmarkEnd w:id="11"/>
      <w:r w:rsidR="000F34B3" w:rsidRPr="00163851">
        <w:rPr>
          <w:szCs w:val="24"/>
        </w:rPr>
        <w:t xml:space="preserve">To </w:t>
      </w:r>
      <w:r>
        <w:rPr>
          <w:szCs w:val="24"/>
        </w:rPr>
        <w:t>construct</w:t>
      </w:r>
      <w:r w:rsidR="000F34B3" w:rsidRPr="00163851">
        <w:rPr>
          <w:szCs w:val="24"/>
        </w:rPr>
        <w:t xml:space="preserve"> this </w:t>
      </w:r>
      <w:r w:rsidR="00570531">
        <w:rPr>
          <w:szCs w:val="24"/>
        </w:rPr>
        <w:t xml:space="preserve">contrast </w:t>
      </w:r>
      <w:r w:rsidR="000F34B3" w:rsidRPr="00163851">
        <w:rPr>
          <w:szCs w:val="24"/>
        </w:rPr>
        <w:t>matrix, first initia</w:t>
      </w:r>
      <w:r w:rsidR="000F34B3">
        <w:rPr>
          <w:szCs w:val="24"/>
        </w:rPr>
        <w:t>lize</w:t>
      </w:r>
      <w:r w:rsidR="000F34B3" w:rsidRPr="00163851">
        <w:rPr>
          <w:szCs w:val="24"/>
        </w:rPr>
        <w:t xml:space="preserve"> all the elements of th</w:t>
      </w:r>
      <w:r w:rsidR="000F34B3">
        <w:rPr>
          <w:szCs w:val="24"/>
        </w:rPr>
        <w:t>e</w:t>
      </w:r>
      <w:r w:rsidR="000F34B3" w:rsidRPr="00163851">
        <w:rPr>
          <w:szCs w:val="24"/>
        </w:rPr>
        <w:t xml:space="preserve"> matrix </w:t>
      </w:r>
      <w:r w:rsidR="000F34B3">
        <w:rPr>
          <w:szCs w:val="24"/>
        </w:rPr>
        <w:t>to</w:t>
      </w:r>
      <w:r w:rsidR="000F34B3" w:rsidRPr="00163851">
        <w:rPr>
          <w:szCs w:val="24"/>
        </w:rPr>
        <w:t xml:space="preserve"> zeros. Then, fill the first (</w:t>
      </w:r>
      <w:r w:rsidR="000F34B3" w:rsidRPr="00163851">
        <w:rPr>
          <w:i/>
          <w:szCs w:val="24"/>
        </w:rPr>
        <w:t>K</w:t>
      </w:r>
      <w:r w:rsidR="00995AC0">
        <w:rPr>
          <w:szCs w:val="24"/>
        </w:rPr>
        <w:t>–</w:t>
      </w:r>
      <w:r w:rsidR="000F34B3" w:rsidRPr="00163851">
        <w:rPr>
          <w:szCs w:val="24"/>
        </w:rPr>
        <w:t xml:space="preserve">1) rows and </w:t>
      </w:r>
      <w:r w:rsidR="000F34B3" w:rsidRPr="00163851">
        <w:rPr>
          <w:i/>
          <w:szCs w:val="24"/>
        </w:rPr>
        <w:t>K</w:t>
      </w:r>
      <w:r w:rsidR="000F34B3" w:rsidRPr="00163851">
        <w:rPr>
          <w:szCs w:val="24"/>
        </w:rPr>
        <w:t xml:space="preserve"> columns with an identity matrix of size </w:t>
      </w:r>
      <w:r w:rsidR="000F34B3" w:rsidRPr="00163851">
        <w:rPr>
          <w:i/>
          <w:szCs w:val="24"/>
        </w:rPr>
        <w:t>K</w:t>
      </w:r>
      <w:r w:rsidR="000F34B3" w:rsidRPr="00163851">
        <w:rPr>
          <w:szCs w:val="24"/>
        </w:rPr>
        <w:t xml:space="preserve">–1 with an extra column of “–1” values added at the </w:t>
      </w:r>
      <w:r w:rsidR="00995AC0" w:rsidRPr="00163851">
        <w:rPr>
          <w:rFonts w:eastAsia="Calibri"/>
          <w:position w:val="-14"/>
          <w:szCs w:val="24"/>
        </w:rPr>
        <w:object w:dxaOrig="375" w:dyaOrig="405" w14:anchorId="72EFA83F">
          <v:shape id="_x0000_i1124" type="#_x0000_t75" style="width:18pt;height:20.15pt" o:ole="" o:preferrelative="f">
            <v:imagedata r:id="rId193" o:title=""/>
            <o:lock v:ext="edit" aspectratio="f"/>
          </v:shape>
          <o:OLEObject Type="Embed" ProgID="Equation.3" ShapeID="_x0000_i1124" DrawAspect="Content" ObjectID="_1778700955" r:id="rId194"/>
        </w:object>
      </w:r>
      <w:r w:rsidR="000F34B3" w:rsidRPr="00163851">
        <w:rPr>
          <w:szCs w:val="24"/>
        </w:rPr>
        <w:t xml:space="preserve"> column. </w:t>
      </w:r>
      <w:r w:rsidR="000F34B3" w:rsidRPr="00163851">
        <w:rPr>
          <w:szCs w:val="24"/>
        </w:rPr>
        <w:lastRenderedPageBreak/>
        <w:t xml:space="preserve">Finally, insert a value of one at the </w:t>
      </w:r>
      <w:r w:rsidR="000F34B3" w:rsidRPr="00163851">
        <w:rPr>
          <w:i/>
          <w:szCs w:val="24"/>
        </w:rPr>
        <w:t>K</w:t>
      </w:r>
      <w:r w:rsidR="000F34B3" w:rsidRPr="00163851">
        <w:rPr>
          <w:i/>
          <w:szCs w:val="24"/>
          <w:vertAlign w:val="superscript"/>
        </w:rPr>
        <w:t>th</w:t>
      </w:r>
      <w:r w:rsidR="000F34B3" w:rsidRPr="00163851">
        <w:rPr>
          <w:i/>
          <w:szCs w:val="24"/>
        </w:rPr>
        <w:t xml:space="preserve"> </w:t>
      </w:r>
      <w:r w:rsidR="000F34B3" w:rsidRPr="00163851">
        <w:rPr>
          <w:szCs w:val="24"/>
        </w:rPr>
        <w:t>row and (</w:t>
      </w:r>
      <w:r w:rsidR="000F34B3" w:rsidRPr="00163851">
        <w:rPr>
          <w:i/>
          <w:szCs w:val="24"/>
        </w:rPr>
        <w:t>K</w:t>
      </w:r>
      <w:r w:rsidR="000F34B3" w:rsidRPr="00163851">
        <w:rPr>
          <w:szCs w:val="24"/>
        </w:rPr>
        <w:t>+1)</w:t>
      </w:r>
      <w:proofErr w:type="spellStart"/>
      <w:r w:rsidR="000F34B3" w:rsidRPr="00163851">
        <w:rPr>
          <w:i/>
          <w:szCs w:val="24"/>
          <w:vertAlign w:val="superscript"/>
        </w:rPr>
        <w:t>th</w:t>
      </w:r>
      <w:proofErr w:type="spellEnd"/>
      <w:r w:rsidR="000F34B3" w:rsidRPr="00163851">
        <w:rPr>
          <w:szCs w:val="24"/>
        </w:rPr>
        <w:t xml:space="preserve"> column position. With </w:t>
      </w:r>
      <w:r w:rsidR="00995AC0" w:rsidRPr="00163851">
        <w:rPr>
          <w:rFonts w:eastAsia="Calibri"/>
          <w:position w:val="-14"/>
          <w:szCs w:val="24"/>
        </w:rPr>
        <w:object w:dxaOrig="405" w:dyaOrig="405" w14:anchorId="6F165DBD">
          <v:shape id="_x0000_i1125" type="#_x0000_t75" style="width:20.15pt;height:18.85pt" o:ole="" o:preferrelative="f">
            <v:imagedata r:id="rId190" o:title=""/>
            <o:lock v:ext="edit" aspectratio="f"/>
          </v:shape>
          <o:OLEObject Type="Embed" ProgID="Equation.3" ShapeID="_x0000_i1125" DrawAspect="Content" ObjectID="_1778700956" r:id="rId195"/>
        </w:object>
      </w:r>
      <w:r w:rsidR="000F34B3" w:rsidRPr="00163851">
        <w:rPr>
          <w:szCs w:val="24"/>
        </w:rPr>
        <w:t xml:space="preserve"> </w:t>
      </w:r>
      <w:r w:rsidR="000F34B3">
        <w:rPr>
          <w:szCs w:val="24"/>
        </w:rPr>
        <w:t xml:space="preserve">as </w:t>
      </w:r>
      <w:r w:rsidR="000F34B3" w:rsidRPr="00163851">
        <w:rPr>
          <w:szCs w:val="24"/>
        </w:rPr>
        <w:t xml:space="preserve">defined, we </w:t>
      </w:r>
      <w:r w:rsidR="000F34B3">
        <w:rPr>
          <w:szCs w:val="24"/>
        </w:rPr>
        <w:t>may</w:t>
      </w:r>
      <w:r w:rsidR="000F34B3" w:rsidRPr="00163851">
        <w:rPr>
          <w:szCs w:val="24"/>
        </w:rPr>
        <w:t xml:space="preserve"> write </w:t>
      </w:r>
      <w:r w:rsidR="00995AC0" w:rsidRPr="00064637">
        <w:rPr>
          <w:position w:val="-14"/>
        </w:rPr>
        <w:object w:dxaOrig="2820" w:dyaOrig="400" w14:anchorId="48170862">
          <v:shape id="_x0000_i1126" type="#_x0000_t75" style="width:141pt;height:20.15pt" o:ole="" o:preferrelative="f">
            <v:imagedata r:id="rId196" o:title=""/>
            <o:lock v:ext="edit" aspectratio="f"/>
          </v:shape>
          <o:OLEObject Type="Embed" ProgID="Equation.DSMT4" ShapeID="_x0000_i1126" DrawAspect="Content" ObjectID="_1778700957" r:id="rId197"/>
        </w:object>
      </w:r>
      <w:r w:rsidR="000F34B3" w:rsidRPr="00163851">
        <w:rPr>
          <w:szCs w:val="24"/>
        </w:rPr>
        <w:t xml:space="preserve">, where </w:t>
      </w:r>
      <w:r w:rsidR="00995AC0" w:rsidRPr="00163851">
        <w:rPr>
          <w:rFonts w:eastAsia="Calibri"/>
          <w:position w:val="-14"/>
          <w:szCs w:val="24"/>
        </w:rPr>
        <w:object w:dxaOrig="1170" w:dyaOrig="405" w14:anchorId="36A960A8">
          <v:shape id="_x0000_i1127" type="#_x0000_t75" style="width:58.7pt;height:18.85pt" o:ole="" o:preferrelative="f">
            <v:imagedata r:id="rId198" o:title=""/>
            <o:lock v:ext="edit" aspectratio="f"/>
          </v:shape>
          <o:OLEObject Type="Embed" ProgID="Equation.DSMT4" ShapeID="_x0000_i1127" DrawAspect="Content" ObjectID="_1778700958" r:id="rId199"/>
        </w:object>
      </w:r>
      <w:r w:rsidR="000F34B3" w:rsidRPr="00163851">
        <w:rPr>
          <w:szCs w:val="24"/>
        </w:rPr>
        <w:t xml:space="preserve"> and </w:t>
      </w:r>
      <w:r w:rsidR="00995AC0" w:rsidRPr="00163851">
        <w:rPr>
          <w:rFonts w:eastAsia="Calibri"/>
          <w:position w:val="-14"/>
          <w:szCs w:val="24"/>
        </w:rPr>
        <w:object w:dxaOrig="1365" w:dyaOrig="405" w14:anchorId="1AEDEAB2">
          <v:shape id="_x0000_i1128" type="#_x0000_t75" style="width:1in;height:18.85pt" o:ole="" o:preferrelative="f">
            <v:imagedata r:id="rId200" o:title=""/>
            <o:lock v:ext="edit" aspectratio="f"/>
          </v:shape>
          <o:OLEObject Type="Embed" ProgID="Equation.DSMT4" ShapeID="_x0000_i1128" DrawAspect="Content" ObjectID="_1778700959" r:id="rId201"/>
        </w:object>
      </w:r>
      <w:r w:rsidR="000F34B3" w:rsidRPr="00163851">
        <w:rPr>
          <w:szCs w:val="24"/>
        </w:rPr>
        <w:t xml:space="preserve">. Next, partition the vector </w:t>
      </w:r>
      <w:r w:rsidR="007269D6" w:rsidRPr="00F21152">
        <w:rPr>
          <w:position w:val="-14"/>
        </w:rPr>
        <w:object w:dxaOrig="300" w:dyaOrig="400" w14:anchorId="2490D75D">
          <v:shape id="_x0000_i1129" type="#_x0000_t75" style="width:15.85pt;height:20.15pt" o:ole="">
            <v:imagedata r:id="rId202" o:title=""/>
          </v:shape>
          <o:OLEObject Type="Embed" ProgID="Equation.DSMT4" ShapeID="_x0000_i1129" DrawAspect="Content" ObjectID="_1778700960" r:id="rId203"/>
        </w:object>
      </w:r>
      <w:r w:rsidR="000F34B3" w:rsidRPr="00163851">
        <w:rPr>
          <w:szCs w:val="24"/>
        </w:rPr>
        <w:t xml:space="preserve"> into a sub-vector</w:t>
      </w:r>
      <w:r w:rsidR="00995AC0">
        <w:rPr>
          <w:szCs w:val="24"/>
        </w:rPr>
        <w:t xml:space="preserve"> </w:t>
      </w:r>
      <w:r w:rsidR="00995AC0" w:rsidRPr="00163851">
        <w:rPr>
          <w:rFonts w:eastAsia="Calibri"/>
          <w:position w:val="-14"/>
          <w:szCs w:val="24"/>
        </w:rPr>
        <w:object w:dxaOrig="540" w:dyaOrig="400" w14:anchorId="5E3EEE1E">
          <v:shape id="_x0000_i1130" type="#_x0000_t75" style="width:26.15pt;height:20.15pt" o:ole="">
            <v:imagedata r:id="rId204" o:title=""/>
          </v:shape>
          <o:OLEObject Type="Embed" ProgID="Equation.DSMT4" ShapeID="_x0000_i1130" DrawAspect="Content" ObjectID="_1778700961" r:id="rId205"/>
        </w:object>
      </w:r>
      <w:r w:rsidR="000F34B3" w:rsidRPr="00163851">
        <w:rPr>
          <w:szCs w:val="24"/>
        </w:rPr>
        <w:t xml:space="preserve"> of length </w:t>
      </w:r>
      <w:r w:rsidR="00995AC0" w:rsidRPr="00163851">
        <w:rPr>
          <w:rFonts w:eastAsia="Calibri"/>
          <w:position w:val="-14"/>
          <w:szCs w:val="24"/>
        </w:rPr>
        <w:object w:dxaOrig="560" w:dyaOrig="380" w14:anchorId="1F31F04D">
          <v:shape id="_x0000_i1131" type="#_x0000_t75" style="width:28.7pt;height:18.85pt" o:ole="" o:preferrelative="f">
            <v:imagedata r:id="rId206" o:title=""/>
            <o:lock v:ext="edit" aspectratio="f"/>
          </v:shape>
          <o:OLEObject Type="Embed" ProgID="Equation.DSMT4" ShapeID="_x0000_i1131" DrawAspect="Content" ObjectID="_1778700962" r:id="rId207"/>
        </w:object>
      </w:r>
      <w:r w:rsidR="000F34B3" w:rsidRPr="00995AC0">
        <w:rPr>
          <w:szCs w:val="24"/>
        </w:rPr>
        <w:t xml:space="preserve">×1 </w:t>
      </w:r>
      <w:r w:rsidR="000F34B3" w:rsidRPr="00163851">
        <w:rPr>
          <w:szCs w:val="24"/>
        </w:rPr>
        <w:t>(</w:t>
      </w:r>
      <w:r w:rsidR="00995AC0" w:rsidRPr="00163851">
        <w:rPr>
          <w:rFonts w:eastAsia="Calibri"/>
          <w:position w:val="-14"/>
          <w:szCs w:val="24"/>
        </w:rPr>
        <w:object w:dxaOrig="1660" w:dyaOrig="380" w14:anchorId="59DC6B93">
          <v:shape id="_x0000_i1132" type="#_x0000_t75" style="width:82.7pt;height:18.85pt" o:ole="" o:preferrelative="f">
            <v:imagedata r:id="rId208" o:title=""/>
            <o:lock v:ext="edit" aspectratio="f"/>
          </v:shape>
          <o:OLEObject Type="Embed" ProgID="Equation.DSMT4" ShapeID="_x0000_i1132" DrawAspect="Content" ObjectID="_1778700963" r:id="rId209"/>
        </w:object>
      </w:r>
      <w:r w:rsidR="000F34B3" w:rsidRPr="00163851">
        <w:rPr>
          <w:szCs w:val="24"/>
        </w:rPr>
        <w:t xml:space="preserve">) for the non-consumed </w:t>
      </w:r>
      <w:r w:rsidR="000F34B3">
        <w:rPr>
          <w:szCs w:val="24"/>
        </w:rPr>
        <w:t>WPLs</w:t>
      </w:r>
      <w:r w:rsidR="000F34B3" w:rsidRPr="00163851">
        <w:rPr>
          <w:szCs w:val="24"/>
        </w:rPr>
        <w:t xml:space="preserve">, and another sub-vector </w:t>
      </w:r>
      <w:r w:rsidR="00995AC0" w:rsidRPr="00163851">
        <w:rPr>
          <w:rFonts w:eastAsia="Calibri"/>
          <w:position w:val="-14"/>
          <w:szCs w:val="24"/>
        </w:rPr>
        <w:object w:dxaOrig="525" w:dyaOrig="405" w14:anchorId="7817C9AE">
          <v:shape id="_x0000_i1133" type="#_x0000_t75" style="width:25.3pt;height:21pt" o:ole="">
            <v:imagedata r:id="rId210" o:title=""/>
          </v:shape>
          <o:OLEObject Type="Embed" ProgID="Equation.DSMT4" ShapeID="_x0000_i1133" DrawAspect="Content" ObjectID="_1778700964" r:id="rId211"/>
        </w:object>
      </w:r>
      <w:r w:rsidR="000F34B3" w:rsidRPr="00163851">
        <w:rPr>
          <w:szCs w:val="24"/>
        </w:rPr>
        <w:t xml:space="preserve"> of length </w:t>
      </w:r>
      <w:r w:rsidR="00995AC0" w:rsidRPr="00163851">
        <w:rPr>
          <w:rFonts w:eastAsia="Calibri"/>
          <w:position w:val="-14"/>
          <w:szCs w:val="24"/>
        </w:rPr>
        <w:object w:dxaOrig="560" w:dyaOrig="380" w14:anchorId="43A10BE6">
          <v:shape id="_x0000_i1134" type="#_x0000_t75" style="width:28.7pt;height:19.3pt" o:ole="">
            <v:imagedata r:id="rId212" o:title=""/>
          </v:shape>
          <o:OLEObject Type="Embed" ProgID="Equation.DSMT4" ShapeID="_x0000_i1134" DrawAspect="Content" ObjectID="_1778700965" r:id="rId213"/>
        </w:object>
      </w:r>
      <w:r w:rsidR="000F34B3" w:rsidRPr="00163851">
        <w:rPr>
          <w:szCs w:val="24"/>
        </w:rPr>
        <w:t>×1 (</w:t>
      </w:r>
      <w:r w:rsidR="00995AC0" w:rsidRPr="00163851">
        <w:rPr>
          <w:rFonts w:eastAsia="Calibri"/>
          <w:position w:val="-14"/>
          <w:szCs w:val="24"/>
        </w:rPr>
        <w:object w:dxaOrig="1320" w:dyaOrig="380" w14:anchorId="145261C8">
          <v:shape id="_x0000_i1135" type="#_x0000_t75" style="width:66.85pt;height:18.85pt" o:ole="" o:preferrelative="f">
            <v:imagedata r:id="rId214" o:title=""/>
            <o:lock v:ext="edit" aspectratio="f"/>
          </v:shape>
          <o:OLEObject Type="Embed" ProgID="Equation.DSMT4" ShapeID="_x0000_i1135" DrawAspect="Content" ObjectID="_1778700966" r:id="rId215"/>
        </w:object>
      </w:r>
      <w:r w:rsidR="000F34B3" w:rsidRPr="00163851">
        <w:rPr>
          <w:szCs w:val="24"/>
        </w:rPr>
        <w:t xml:space="preserve">) for the consumed </w:t>
      </w:r>
      <w:r w:rsidR="000F34B3">
        <w:rPr>
          <w:szCs w:val="24"/>
        </w:rPr>
        <w:t xml:space="preserve">WPLs (except the base WPL </w:t>
      </w:r>
      <w:r w:rsidR="002545D4" w:rsidRPr="00163851">
        <w:rPr>
          <w:rFonts w:eastAsia="Calibri"/>
          <w:position w:val="-14"/>
          <w:szCs w:val="24"/>
        </w:rPr>
        <w:object w:dxaOrig="320" w:dyaOrig="400" w14:anchorId="377DE65C">
          <v:shape id="_x0000_i1136" type="#_x0000_t75" style="width:15.85pt;height:20.15pt" o:ole="" o:preferrelative="f">
            <v:imagedata r:id="rId216" o:title=""/>
            <o:lock v:ext="edit" aspectratio="f"/>
          </v:shape>
          <o:OLEObject Type="Embed" ProgID="Equation.DSMT4" ShapeID="_x0000_i1136" DrawAspect="Content" ObjectID="_1778700967" r:id="rId217"/>
        </w:object>
      </w:r>
      <w:r w:rsidR="000F34B3">
        <w:rPr>
          <w:rFonts w:eastAsia="Calibri"/>
          <w:szCs w:val="24"/>
        </w:rPr>
        <w:t xml:space="preserve">) </w:t>
      </w:r>
      <w:r w:rsidR="000F34B3">
        <w:rPr>
          <w:szCs w:val="24"/>
        </w:rPr>
        <w:t>and the continuous outcome</w:t>
      </w:r>
      <w:r w:rsidR="000F34B3" w:rsidRPr="00163851">
        <w:rPr>
          <w:szCs w:val="24"/>
        </w:rPr>
        <w:t xml:space="preserve"> (</w:t>
      </w:r>
      <w:r w:rsidR="000F34B3">
        <w:rPr>
          <w:szCs w:val="24"/>
        </w:rPr>
        <w:t xml:space="preserve">note that </w:t>
      </w:r>
      <w:r w:rsidR="00995AC0" w:rsidRPr="00163851">
        <w:rPr>
          <w:rFonts w:eastAsia="Calibri"/>
          <w:position w:val="-14"/>
          <w:szCs w:val="24"/>
        </w:rPr>
        <w:object w:dxaOrig="1760" w:dyaOrig="380" w14:anchorId="73FB33CE">
          <v:shape id="_x0000_i1137" type="#_x0000_t75" style="width:87.85pt;height:18.85pt" o:ole="" o:preferrelative="f">
            <v:imagedata r:id="rId218" o:title=""/>
            <o:lock v:ext="edit" aspectratio="f"/>
          </v:shape>
          <o:OLEObject Type="Embed" ProgID="Equation.DSMT4" ShapeID="_x0000_i1137" DrawAspect="Content" ObjectID="_1778700968" r:id="rId219"/>
        </w:object>
      </w:r>
      <w:r w:rsidR="000F34B3" w:rsidRPr="00163851">
        <w:rPr>
          <w:szCs w:val="24"/>
        </w:rPr>
        <w:t xml:space="preserve">). Let </w:t>
      </w:r>
      <w:r w:rsidR="00995AC0" w:rsidRPr="00163851">
        <w:rPr>
          <w:rFonts w:eastAsia="Calibri"/>
          <w:position w:val="-28"/>
          <w:szCs w:val="24"/>
        </w:rPr>
        <w:object w:dxaOrig="2439" w:dyaOrig="780" w14:anchorId="06FF649E">
          <v:shape id="_x0000_i1138" type="#_x0000_t75" style="width:121.3pt;height:39pt" o:ole="" o:preferrelative="f">
            <v:imagedata r:id="rId220" o:title=""/>
            <o:lock v:ext="edit" aspectratio="f"/>
          </v:shape>
          <o:OLEObject Type="Embed" ProgID="Equation.DSMT4" ShapeID="_x0000_i1138" DrawAspect="Content" ObjectID="_1778700969" r:id="rId221"/>
        </w:object>
      </w:r>
      <w:r w:rsidR="00C31072">
        <w:rPr>
          <w:rFonts w:eastAsia="Calibri"/>
          <w:szCs w:val="24"/>
        </w:rPr>
        <w:t xml:space="preserve"> </w:t>
      </w:r>
      <w:r w:rsidR="000F34B3" w:rsidRPr="00163851">
        <w:rPr>
          <w:szCs w:val="24"/>
        </w:rPr>
        <w:t xml:space="preserve">which may be obtained from </w:t>
      </w:r>
      <w:r w:rsidR="007269D6" w:rsidRPr="00F21152">
        <w:rPr>
          <w:position w:val="-14"/>
        </w:rPr>
        <w:object w:dxaOrig="300" w:dyaOrig="400" w14:anchorId="10944CAF">
          <v:shape id="_x0000_i1139" type="#_x0000_t75" style="width:15.85pt;height:20.15pt" o:ole="">
            <v:imagedata r:id="rId222" o:title=""/>
          </v:shape>
          <o:OLEObject Type="Embed" ProgID="Equation.DSMT4" ShapeID="_x0000_i1139" DrawAspect="Content" ObjectID="_1778700970" r:id="rId223"/>
        </w:object>
      </w:r>
      <w:r w:rsidR="000F34B3" w:rsidRPr="00163851">
        <w:rPr>
          <w:szCs w:val="24"/>
        </w:rPr>
        <w:t xml:space="preserve"> as </w:t>
      </w:r>
      <w:r w:rsidR="00995AC0" w:rsidRPr="00163851">
        <w:rPr>
          <w:rFonts w:eastAsia="Calibri"/>
          <w:position w:val="-14"/>
          <w:szCs w:val="24"/>
        </w:rPr>
        <w:object w:dxaOrig="1120" w:dyaOrig="400" w14:anchorId="06ED30CE">
          <v:shape id="_x0000_i1140" type="#_x0000_t75" style="width:56.15pt;height:20.15pt" o:ole="" o:preferrelative="f">
            <v:imagedata r:id="rId224" o:title=""/>
            <o:lock v:ext="edit" aspectratio="f"/>
          </v:shape>
          <o:OLEObject Type="Embed" ProgID="Equation.DSMT4" ShapeID="_x0000_i1140" DrawAspect="Content" ObjectID="_1778700971" r:id="rId225"/>
        </w:object>
      </w:r>
      <w:r w:rsidR="000F34B3" w:rsidRPr="00163851">
        <w:rPr>
          <w:szCs w:val="24"/>
        </w:rPr>
        <w:t xml:space="preserve"> where</w:t>
      </w:r>
      <w:r w:rsidR="00C31072">
        <w:rPr>
          <w:szCs w:val="24"/>
        </w:rPr>
        <w:t xml:space="preserve"> </w:t>
      </w:r>
      <w:r w:rsidR="00995AC0" w:rsidRPr="00163851">
        <w:rPr>
          <w:rFonts w:eastAsia="Calibri"/>
          <w:position w:val="-14"/>
          <w:szCs w:val="24"/>
        </w:rPr>
        <w:object w:dxaOrig="405" w:dyaOrig="405" w14:anchorId="547615F1">
          <v:shape id="_x0000_i1141" type="#_x0000_t75" style="width:18pt;height:18.85pt" o:ole="" o:preferrelative="f">
            <v:imagedata r:id="rId226" o:title=""/>
            <o:lock v:ext="edit" aspectratio="f"/>
          </v:shape>
          <o:OLEObject Type="Embed" ProgID="Equation.3" ShapeID="_x0000_i1141" DrawAspect="Content" ObjectID="_1778700972" r:id="rId227"/>
        </w:object>
      </w:r>
      <w:r w:rsidR="00C31072">
        <w:rPr>
          <w:rFonts w:eastAsia="Calibri"/>
          <w:szCs w:val="24"/>
        </w:rPr>
        <w:t xml:space="preserve"> </w:t>
      </w:r>
      <w:r w:rsidR="000F34B3" w:rsidRPr="00163851">
        <w:rPr>
          <w:szCs w:val="24"/>
        </w:rPr>
        <w:t xml:space="preserve">is a re-arrangement matrix of dimension </w:t>
      </w:r>
      <w:r w:rsidR="000F34B3" w:rsidRPr="00163851">
        <w:rPr>
          <w:i/>
          <w:szCs w:val="24"/>
        </w:rPr>
        <w:t>K</w:t>
      </w:r>
      <w:r w:rsidR="000F34B3" w:rsidRPr="00163851">
        <w:rPr>
          <w:szCs w:val="24"/>
        </w:rPr>
        <w:t>×</w:t>
      </w:r>
      <w:r w:rsidR="000F34B3" w:rsidRPr="00163851">
        <w:rPr>
          <w:i/>
          <w:szCs w:val="24"/>
        </w:rPr>
        <w:t>K</w:t>
      </w:r>
      <w:r w:rsidR="000F34B3" w:rsidRPr="00163851">
        <w:rPr>
          <w:szCs w:val="24"/>
        </w:rPr>
        <w:t xml:space="preserve"> with zeros and ones. The first (</w:t>
      </w:r>
      <w:r w:rsidR="000F34B3" w:rsidRPr="00163851">
        <w:rPr>
          <w:i/>
          <w:szCs w:val="24"/>
        </w:rPr>
        <w:t>K</w:t>
      </w:r>
      <w:r w:rsidR="004F26B4">
        <w:rPr>
          <w:i/>
          <w:szCs w:val="24"/>
        </w:rPr>
        <w:t>–</w:t>
      </w:r>
      <w:r w:rsidR="000F34B3" w:rsidRPr="00163851">
        <w:rPr>
          <w:szCs w:val="24"/>
        </w:rPr>
        <w:t>1)×(</w:t>
      </w:r>
      <w:r w:rsidR="000F34B3" w:rsidRPr="00163851">
        <w:rPr>
          <w:i/>
          <w:szCs w:val="24"/>
        </w:rPr>
        <w:t>K</w:t>
      </w:r>
      <w:r w:rsidR="004F26B4">
        <w:rPr>
          <w:i/>
          <w:szCs w:val="24"/>
        </w:rPr>
        <w:t>–</w:t>
      </w:r>
      <w:r w:rsidR="000F34B3" w:rsidRPr="00163851">
        <w:rPr>
          <w:szCs w:val="24"/>
        </w:rPr>
        <w:t xml:space="preserve">1) submatrix of </w:t>
      </w:r>
      <w:r w:rsidR="00995AC0" w:rsidRPr="00163851">
        <w:rPr>
          <w:rFonts w:eastAsia="Calibri"/>
          <w:position w:val="-14"/>
          <w:szCs w:val="24"/>
        </w:rPr>
        <w:object w:dxaOrig="405" w:dyaOrig="405" w14:anchorId="5134A6DA">
          <v:shape id="_x0000_i1142" type="#_x0000_t75" style="width:18pt;height:18.85pt" o:ole="" o:preferrelative="f">
            <v:imagedata r:id="rId226" o:title=""/>
            <o:lock v:ext="edit" aspectratio="f"/>
          </v:shape>
          <o:OLEObject Type="Embed" ProgID="Equation.3" ShapeID="_x0000_i1142" DrawAspect="Content" ObjectID="_1778700973" r:id="rId228"/>
        </w:object>
      </w:r>
      <w:r w:rsidR="000F34B3" w:rsidRPr="00163851">
        <w:rPr>
          <w:szCs w:val="24"/>
        </w:rPr>
        <w:t xml:space="preserve"> corresponds to the MDC component</w:t>
      </w:r>
      <w:r w:rsidR="000F34B3">
        <w:rPr>
          <w:szCs w:val="24"/>
        </w:rPr>
        <w:t xml:space="preserve">. </w:t>
      </w:r>
      <w:r w:rsidR="00995AC0" w:rsidRPr="00163851">
        <w:rPr>
          <w:rFonts w:eastAsia="Calibri"/>
          <w:position w:val="-14"/>
          <w:szCs w:val="24"/>
        </w:rPr>
        <w:object w:dxaOrig="405" w:dyaOrig="405" w14:anchorId="4E4FEA83">
          <v:shape id="_x0000_i1143" type="#_x0000_t75" style="width:18pt;height:18.85pt" o:ole="" o:preferrelative="f">
            <v:imagedata r:id="rId226" o:title=""/>
            <o:lock v:ext="edit" aspectratio="f"/>
          </v:shape>
          <o:OLEObject Type="Embed" ProgID="Equation.3" ShapeID="_x0000_i1143" DrawAspect="Content" ObjectID="_1778700974" r:id="rId229"/>
        </w:object>
      </w:r>
      <w:r w:rsidR="000F34B3">
        <w:rPr>
          <w:rFonts w:eastAsia="Calibri"/>
          <w:szCs w:val="24"/>
        </w:rPr>
        <w:t xml:space="preserve"> is designed as follows. </w:t>
      </w:r>
      <w:r w:rsidR="000F34B3" w:rsidRPr="00163851">
        <w:rPr>
          <w:szCs w:val="24"/>
        </w:rPr>
        <w:t xml:space="preserve">Consider a consumer </w:t>
      </w:r>
      <w:r w:rsidR="000F34B3" w:rsidRPr="00163851">
        <w:rPr>
          <w:i/>
          <w:szCs w:val="24"/>
        </w:rPr>
        <w:t>q</w:t>
      </w:r>
      <w:r w:rsidR="000F34B3" w:rsidRPr="00163851">
        <w:rPr>
          <w:szCs w:val="24"/>
        </w:rPr>
        <w:t xml:space="preserve"> wh</w:t>
      </w:r>
      <w:r w:rsidR="000F34B3">
        <w:rPr>
          <w:szCs w:val="24"/>
        </w:rPr>
        <w:t xml:space="preserve">o </w:t>
      </w:r>
      <w:r w:rsidR="000F34B3" w:rsidRPr="00163851">
        <w:rPr>
          <w:szCs w:val="24"/>
        </w:rPr>
        <w:t xml:space="preserve">selects </w:t>
      </w:r>
      <w:r w:rsidR="000F34B3">
        <w:rPr>
          <w:szCs w:val="24"/>
        </w:rPr>
        <w:t xml:space="preserve">WPLs 1 and 2 </w:t>
      </w:r>
      <w:r w:rsidR="000F34B3" w:rsidRPr="00163851">
        <w:rPr>
          <w:szCs w:val="24"/>
        </w:rPr>
        <w:t xml:space="preserve">for consumption. Thus, </w:t>
      </w:r>
      <w:r w:rsidR="00995AC0" w:rsidRPr="00064637">
        <w:rPr>
          <w:position w:val="-14"/>
        </w:rPr>
        <w:object w:dxaOrig="660" w:dyaOrig="380" w14:anchorId="3653DC4A">
          <v:shape id="_x0000_i1144" type="#_x0000_t75" style="width:33.85pt;height:18.85pt" o:ole="" o:preferrelative="f">
            <v:imagedata r:id="rId230" o:title=""/>
            <o:lock v:ext="edit" aspectratio="f"/>
          </v:shape>
          <o:OLEObject Type="Embed" ProgID="Equation.DSMT4" ShapeID="_x0000_i1144" DrawAspect="Content" ObjectID="_1778700975" r:id="rId231"/>
        </w:object>
      </w:r>
      <w:r w:rsidR="000F34B3" w:rsidRPr="00163851">
        <w:rPr>
          <w:szCs w:val="24"/>
        </w:rPr>
        <w:t xml:space="preserve">, the number of non-consumed goods equals </w:t>
      </w:r>
      <w:r w:rsidR="000F34B3">
        <w:rPr>
          <w:szCs w:val="24"/>
        </w:rPr>
        <w:t>one</w:t>
      </w:r>
      <w:r w:rsidR="000F34B3" w:rsidRPr="00163851">
        <w:rPr>
          <w:szCs w:val="24"/>
        </w:rPr>
        <w:t xml:space="preserve"> (corresponding to </w:t>
      </w:r>
      <w:r w:rsidR="000F34B3">
        <w:rPr>
          <w:szCs w:val="24"/>
        </w:rPr>
        <w:t>WPL 3</w:t>
      </w:r>
      <w:r w:rsidR="000F34B3" w:rsidRPr="00163851">
        <w:rPr>
          <w:szCs w:val="24"/>
        </w:rPr>
        <w:t xml:space="preserve">), and the number of non-base consumed </w:t>
      </w:r>
      <w:r w:rsidR="000F34B3">
        <w:rPr>
          <w:szCs w:val="24"/>
        </w:rPr>
        <w:t>WPLs</w:t>
      </w:r>
      <w:r w:rsidR="000F34B3" w:rsidRPr="00163851">
        <w:rPr>
          <w:szCs w:val="24"/>
        </w:rPr>
        <w:t xml:space="preserve"> also equals </w:t>
      </w:r>
      <w:r w:rsidR="000F34B3">
        <w:rPr>
          <w:szCs w:val="24"/>
        </w:rPr>
        <w:t>one</w:t>
      </w:r>
      <w:r w:rsidR="000F34B3" w:rsidRPr="00163851">
        <w:rPr>
          <w:szCs w:val="24"/>
        </w:rPr>
        <w:t xml:space="preserve"> (corresponding to </w:t>
      </w:r>
      <w:r w:rsidR="000F34B3">
        <w:rPr>
          <w:szCs w:val="24"/>
        </w:rPr>
        <w:t>WPL 2</w:t>
      </w:r>
      <w:r w:rsidR="000F34B3" w:rsidRPr="00163851">
        <w:rPr>
          <w:szCs w:val="24"/>
        </w:rPr>
        <w:t xml:space="preserve">, with good </w:t>
      </w:r>
      <w:r w:rsidR="000F34B3">
        <w:rPr>
          <w:szCs w:val="24"/>
        </w:rPr>
        <w:t>1</w:t>
      </w:r>
      <w:r w:rsidR="000F34B3" w:rsidRPr="00163851">
        <w:rPr>
          <w:szCs w:val="24"/>
        </w:rPr>
        <w:t xml:space="preserve"> serving as the base</w:t>
      </w:r>
      <w:r w:rsidR="000F34B3">
        <w:rPr>
          <w:szCs w:val="24"/>
        </w:rPr>
        <w:t xml:space="preserve"> </w:t>
      </w:r>
      <w:r w:rsidR="000F34B3" w:rsidRPr="00163851">
        <w:rPr>
          <w:szCs w:val="24"/>
        </w:rPr>
        <w:t>needed to take utility differentials). Then, the first (</w:t>
      </w:r>
      <w:r w:rsidR="000F34B3" w:rsidRPr="00163851">
        <w:rPr>
          <w:i/>
          <w:szCs w:val="24"/>
        </w:rPr>
        <w:t>K</w:t>
      </w:r>
      <w:r w:rsidR="00C31072">
        <w:rPr>
          <w:i/>
          <w:szCs w:val="24"/>
        </w:rPr>
        <w:t>–</w:t>
      </w:r>
      <w:r w:rsidR="000F34B3" w:rsidRPr="00163851">
        <w:rPr>
          <w:szCs w:val="24"/>
        </w:rPr>
        <w:t>1)×(</w:t>
      </w:r>
      <w:r w:rsidR="000F34B3" w:rsidRPr="00163851">
        <w:rPr>
          <w:i/>
          <w:szCs w:val="24"/>
        </w:rPr>
        <w:t>K</w:t>
      </w:r>
      <w:r w:rsidR="00C31072">
        <w:rPr>
          <w:i/>
          <w:szCs w:val="24"/>
        </w:rPr>
        <w:t>–</w:t>
      </w:r>
      <w:r w:rsidR="000F34B3" w:rsidRPr="00163851">
        <w:rPr>
          <w:szCs w:val="24"/>
        </w:rPr>
        <w:t xml:space="preserve">1) sub-matrix </w:t>
      </w:r>
      <w:r w:rsidR="000F34B3">
        <w:rPr>
          <w:szCs w:val="24"/>
        </w:rPr>
        <w:t>(2</w:t>
      </w:r>
      <w:r w:rsidR="000F34B3" w:rsidRPr="00163851">
        <w:rPr>
          <w:szCs w:val="24"/>
        </w:rPr>
        <w:t>×</w:t>
      </w:r>
      <w:r w:rsidR="000F34B3">
        <w:rPr>
          <w:szCs w:val="24"/>
        </w:rPr>
        <w:t xml:space="preserve">2 sub-matrix in our empirical case) </w:t>
      </w:r>
      <w:r w:rsidR="000F34B3" w:rsidRPr="00163851">
        <w:rPr>
          <w:szCs w:val="24"/>
        </w:rPr>
        <w:t xml:space="preserve">of the re-arrangement matrix </w:t>
      </w:r>
      <w:r w:rsidR="00995AC0" w:rsidRPr="00163851">
        <w:rPr>
          <w:rFonts w:eastAsia="Calibri"/>
          <w:position w:val="-14"/>
          <w:szCs w:val="24"/>
        </w:rPr>
        <w:object w:dxaOrig="405" w:dyaOrig="405" w14:anchorId="07EF068E">
          <v:shape id="_x0000_i1145" type="#_x0000_t75" style="width:18pt;height:18.85pt" o:ole="" o:preferrelative="f">
            <v:imagedata r:id="rId226" o:title=""/>
            <o:lock v:ext="edit" aspectratio="f"/>
          </v:shape>
          <o:OLEObject Type="Embed" ProgID="Equation.3" ShapeID="_x0000_i1145" DrawAspect="Content" ObjectID="_1778700976" r:id="rId232"/>
        </w:object>
      </w:r>
      <w:r w:rsidR="00C31072">
        <w:rPr>
          <w:rFonts w:eastAsia="Calibri"/>
          <w:szCs w:val="24"/>
        </w:rPr>
        <w:t xml:space="preserve"> </w:t>
      </w:r>
      <w:r w:rsidR="000F34B3" w:rsidRPr="00163851">
        <w:rPr>
          <w:szCs w:val="24"/>
        </w:rPr>
        <w:t xml:space="preserve">can be defined with respect to goods </w:t>
      </w:r>
      <w:r w:rsidR="000F34B3">
        <w:rPr>
          <w:szCs w:val="24"/>
        </w:rPr>
        <w:t>2 and</w:t>
      </w:r>
      <w:r w:rsidR="000F34B3" w:rsidRPr="00163851">
        <w:rPr>
          <w:szCs w:val="24"/>
        </w:rPr>
        <w:t xml:space="preserve"> 3</w:t>
      </w:r>
      <w:r w:rsidR="000F34B3">
        <w:rPr>
          <w:szCs w:val="24"/>
        </w:rPr>
        <w:t xml:space="preserve"> </w:t>
      </w:r>
      <w:r w:rsidR="000F34B3" w:rsidRPr="00163851">
        <w:rPr>
          <w:szCs w:val="24"/>
        </w:rPr>
        <w:t xml:space="preserve">in the following way, with the element at </w:t>
      </w:r>
      <w:r w:rsidR="000F34B3">
        <w:rPr>
          <w:szCs w:val="24"/>
        </w:rPr>
        <w:t xml:space="preserve">the </w:t>
      </w:r>
      <w:r w:rsidR="000F34B3" w:rsidRPr="00163851">
        <w:rPr>
          <w:i/>
          <w:szCs w:val="24"/>
        </w:rPr>
        <w:t>K</w:t>
      </w:r>
      <w:r w:rsidR="000F34B3" w:rsidRPr="00163851">
        <w:rPr>
          <w:i/>
          <w:szCs w:val="24"/>
          <w:vertAlign w:val="superscript"/>
        </w:rPr>
        <w:t>th</w:t>
      </w:r>
      <w:r w:rsidR="000F34B3" w:rsidRPr="00163851">
        <w:rPr>
          <w:szCs w:val="24"/>
        </w:rPr>
        <w:t xml:space="preserve"> row and </w:t>
      </w:r>
      <w:r w:rsidR="000F34B3" w:rsidRPr="00163851">
        <w:rPr>
          <w:i/>
          <w:szCs w:val="24"/>
        </w:rPr>
        <w:t>K</w:t>
      </w:r>
      <w:r w:rsidR="000F34B3" w:rsidRPr="00163851">
        <w:rPr>
          <w:i/>
          <w:szCs w:val="24"/>
          <w:vertAlign w:val="superscript"/>
        </w:rPr>
        <w:t>th</w:t>
      </w:r>
      <w:r w:rsidR="000F34B3" w:rsidRPr="00163851">
        <w:rPr>
          <w:szCs w:val="24"/>
        </w:rPr>
        <w:t xml:space="preserve"> column of </w:t>
      </w:r>
      <w:r w:rsidR="00995AC0" w:rsidRPr="00163851">
        <w:rPr>
          <w:rFonts w:eastAsia="Calibri"/>
          <w:position w:val="-14"/>
          <w:szCs w:val="24"/>
        </w:rPr>
        <w:object w:dxaOrig="405" w:dyaOrig="405" w14:anchorId="40E73891">
          <v:shape id="_x0000_i1146" type="#_x0000_t75" style="width:18pt;height:18.85pt" o:ole="" o:preferrelative="f">
            <v:imagedata r:id="rId226" o:title=""/>
            <o:lock v:ext="edit" aspectratio="f"/>
          </v:shape>
          <o:OLEObject Type="Embed" ProgID="Equation.3" ShapeID="_x0000_i1146" DrawAspect="Content" ObjectID="_1778700977" r:id="rId233"/>
        </w:object>
      </w:r>
      <w:r w:rsidR="000F34B3" w:rsidRPr="00163851">
        <w:rPr>
          <w:szCs w:val="24"/>
        </w:rPr>
        <w:t xml:space="preserve"> being one (and the rest of the elements of the </w:t>
      </w:r>
      <w:r w:rsidR="000F34B3" w:rsidRPr="00163851">
        <w:rPr>
          <w:i/>
          <w:szCs w:val="24"/>
        </w:rPr>
        <w:t>K</w:t>
      </w:r>
      <w:r w:rsidR="000F34B3" w:rsidRPr="00163851">
        <w:rPr>
          <w:i/>
          <w:szCs w:val="24"/>
          <w:vertAlign w:val="superscript"/>
        </w:rPr>
        <w:t>th</w:t>
      </w:r>
      <w:r w:rsidR="000F34B3" w:rsidRPr="00163851">
        <w:rPr>
          <w:szCs w:val="24"/>
        </w:rPr>
        <w:t xml:space="preserve"> row and </w:t>
      </w:r>
      <w:r w:rsidR="000F34B3" w:rsidRPr="00163851">
        <w:rPr>
          <w:i/>
          <w:szCs w:val="24"/>
        </w:rPr>
        <w:t>K</w:t>
      </w:r>
      <w:r w:rsidR="000F34B3" w:rsidRPr="00163851">
        <w:rPr>
          <w:i/>
          <w:szCs w:val="24"/>
          <w:vertAlign w:val="superscript"/>
        </w:rPr>
        <w:t>th</w:t>
      </w:r>
      <w:r w:rsidR="000F34B3" w:rsidRPr="00163851">
        <w:rPr>
          <w:szCs w:val="24"/>
        </w:rPr>
        <w:t xml:space="preserve"> column being zero</w:t>
      </w:r>
      <w:r w:rsidR="000F34B3">
        <w:rPr>
          <w:szCs w:val="24"/>
        </w:rPr>
        <w:t>):</w:t>
      </w:r>
    </w:p>
    <w:p w14:paraId="12DB3D63" w14:textId="110F5790" w:rsidR="00E56D87" w:rsidRDefault="002545D4" w:rsidP="00C31072">
      <w:pPr>
        <w:tabs>
          <w:tab w:val="right" w:pos="9360"/>
        </w:tabs>
        <w:spacing w:before="60" w:after="60" w:line="240" w:lineRule="auto"/>
        <w:rPr>
          <w:szCs w:val="24"/>
        </w:rPr>
      </w:pPr>
      <w:r w:rsidRPr="00B67600">
        <w:rPr>
          <w:rFonts w:eastAsia="Calibri"/>
          <w:position w:val="-52"/>
          <w:szCs w:val="24"/>
        </w:rPr>
        <w:object w:dxaOrig="2740" w:dyaOrig="1160" w14:anchorId="4244531E">
          <v:shape id="_x0000_i1147" type="#_x0000_t75" style="width:137.55pt;height:58.7pt" o:ole="" o:preferrelative="f">
            <v:imagedata r:id="rId234" o:title=""/>
            <o:lock v:ext="edit" aspectratio="f"/>
          </v:shape>
          <o:OLEObject Type="Embed" ProgID="Equation.DSMT4" ShapeID="_x0000_i1147" DrawAspect="Content" ObjectID="_1778700978" r:id="rId235"/>
        </w:object>
      </w:r>
      <w:r w:rsidR="00E56D87">
        <w:rPr>
          <w:rFonts w:eastAsia="Calibri"/>
          <w:szCs w:val="24"/>
        </w:rPr>
        <w:t xml:space="preserve"> </w:t>
      </w:r>
      <w:r w:rsidR="00E56D87">
        <w:rPr>
          <w:rFonts w:eastAsia="Calibri"/>
          <w:szCs w:val="24"/>
        </w:rPr>
        <w:tab/>
        <w:t>(10)</w:t>
      </w:r>
    </w:p>
    <w:p w14:paraId="3F268BEC" w14:textId="2C60D7D3" w:rsidR="00DA7DFA" w:rsidRDefault="000F34B3" w:rsidP="000F34B3">
      <w:pPr>
        <w:pStyle w:val="FootnoteText"/>
        <w:rPr>
          <w:sz w:val="24"/>
          <w:szCs w:val="24"/>
        </w:rPr>
      </w:pPr>
      <w:r w:rsidRPr="00E56D87">
        <w:rPr>
          <w:sz w:val="24"/>
          <w:szCs w:val="24"/>
        </w:rPr>
        <w:t xml:space="preserve">where the upper sub-matrix </w:t>
      </w:r>
      <w:r w:rsidR="00995AC0" w:rsidRPr="00E56D87">
        <w:rPr>
          <w:position w:val="-14"/>
          <w:sz w:val="24"/>
          <w:szCs w:val="24"/>
        </w:rPr>
        <w:object w:dxaOrig="580" w:dyaOrig="380" w14:anchorId="02F8A83B">
          <v:shape id="_x0000_i1148" type="#_x0000_t75" style="width:28.7pt;height:18.85pt" o:ole="" o:preferrelative="f">
            <v:imagedata r:id="rId236" o:title=""/>
            <o:lock v:ext="edit" aspectratio="f"/>
          </v:shape>
          <o:OLEObject Type="Embed" ProgID="Equation.DSMT4" ShapeID="_x0000_i1148" DrawAspect="Content" ObjectID="_1778700979" r:id="rId237"/>
        </w:object>
      </w:r>
      <w:r w:rsidRPr="00E56D87">
        <w:rPr>
          <w:sz w:val="24"/>
          <w:szCs w:val="24"/>
        </w:rPr>
        <w:t xml:space="preserve"> corresponds to the non-consumed goods (of dimension </w:t>
      </w:r>
      <w:r w:rsidR="00995AC0" w:rsidRPr="00E56D87">
        <w:rPr>
          <w:rFonts w:eastAsia="Calibri"/>
          <w:position w:val="-14"/>
          <w:sz w:val="24"/>
          <w:szCs w:val="24"/>
          <w:lang w:val="x-none" w:eastAsia="x-none"/>
        </w:rPr>
        <w:object w:dxaOrig="960" w:dyaOrig="380" w14:anchorId="185A9682">
          <v:shape id="_x0000_i1149" type="#_x0000_t75" style="width:48pt;height:18.85pt" o:ole="" o:preferrelative="f">
            <v:imagedata r:id="rId238" o:title=""/>
            <o:lock v:ext="edit" aspectratio="f"/>
          </v:shape>
          <o:OLEObject Type="Embed" ProgID="Equation.DSMT4" ShapeID="_x0000_i1149" DrawAspect="Content" ObjectID="_1778700980" r:id="rId239"/>
        </w:object>
      </w:r>
      <w:r w:rsidRPr="00E56D87">
        <w:rPr>
          <w:sz w:val="24"/>
          <w:szCs w:val="24"/>
        </w:rPr>
        <w:t xml:space="preserve">) and the lower sub-matrix </w:t>
      </w:r>
      <w:r w:rsidR="00995AC0" w:rsidRPr="00E56D87">
        <w:rPr>
          <w:position w:val="-14"/>
          <w:sz w:val="24"/>
          <w:szCs w:val="24"/>
        </w:rPr>
        <w:object w:dxaOrig="580" w:dyaOrig="380" w14:anchorId="664CC01C">
          <v:shape id="_x0000_i1150" type="#_x0000_t75" style="width:28.7pt;height:18.85pt" o:ole="" o:preferrelative="f">
            <v:imagedata r:id="rId240" o:title=""/>
            <o:lock v:ext="edit" aspectratio="f"/>
          </v:shape>
          <o:OLEObject Type="Embed" ProgID="Equation.DSMT4" ShapeID="_x0000_i1150" DrawAspect="Content" ObjectID="_1778700981" r:id="rId241"/>
        </w:object>
      </w:r>
      <w:r w:rsidRPr="00E56D87">
        <w:rPr>
          <w:sz w:val="24"/>
          <w:szCs w:val="24"/>
        </w:rPr>
        <w:t xml:space="preserve"> corresponds to the </w:t>
      </w:r>
      <w:proofErr w:type="spellStart"/>
      <w:r w:rsidRPr="00E56D87">
        <w:rPr>
          <w:sz w:val="24"/>
          <w:szCs w:val="24"/>
        </w:rPr>
        <w:t>consumed</w:t>
      </w:r>
      <w:proofErr w:type="spellEnd"/>
      <w:r w:rsidRPr="00E56D87">
        <w:rPr>
          <w:sz w:val="24"/>
          <w:szCs w:val="24"/>
        </w:rPr>
        <w:t xml:space="preserve"> goods and the continuous outcome (of dimension </w:t>
      </w:r>
      <w:r w:rsidR="00995AC0" w:rsidRPr="00E56D87">
        <w:rPr>
          <w:rFonts w:eastAsia="Calibri"/>
          <w:position w:val="-14"/>
          <w:sz w:val="24"/>
          <w:szCs w:val="24"/>
          <w:lang w:val="x-none" w:eastAsia="x-none"/>
        </w:rPr>
        <w:object w:dxaOrig="960" w:dyaOrig="380" w14:anchorId="2972DC92">
          <v:shape id="_x0000_i1151" type="#_x0000_t75" style="width:48pt;height:18.85pt" o:ole="" o:preferrelative="f">
            <v:imagedata r:id="rId242" o:title=""/>
            <o:lock v:ext="edit" aspectratio="f"/>
          </v:shape>
          <o:OLEObject Type="Embed" ProgID="Equation.DSMT4" ShapeID="_x0000_i1151" DrawAspect="Content" ObjectID="_1778700982" r:id="rId243"/>
        </w:object>
      </w:r>
      <w:r w:rsidRPr="00E56D87">
        <w:rPr>
          <w:sz w:val="24"/>
          <w:szCs w:val="24"/>
        </w:rPr>
        <w:t xml:space="preserve">). Consistent with the above re-arrangement, define </w:t>
      </w:r>
      <w:r w:rsidR="00995AC0" w:rsidRPr="00E56D87">
        <w:rPr>
          <w:position w:val="-14"/>
          <w:sz w:val="24"/>
          <w:szCs w:val="24"/>
        </w:rPr>
        <w:object w:dxaOrig="1200" w:dyaOrig="400" w14:anchorId="3684A42E">
          <v:shape id="_x0000_i1152" type="#_x0000_t75" style="width:59.15pt;height:20.15pt" o:ole="" o:preferrelative="f">
            <v:imagedata r:id="rId244" o:title=""/>
            <o:lock v:ext="edit" aspectratio="f"/>
          </v:shape>
          <o:OLEObject Type="Embed" ProgID="Equation.DSMT4" ShapeID="_x0000_i1152" DrawAspect="Content" ObjectID="_1778700983" r:id="rId245"/>
        </w:object>
      </w:r>
      <w:r w:rsidR="00E56D87">
        <w:rPr>
          <w:sz w:val="24"/>
          <w:szCs w:val="24"/>
        </w:rPr>
        <w:t xml:space="preserve"> </w:t>
      </w:r>
      <w:r w:rsidRPr="00E56D87">
        <w:rPr>
          <w:sz w:val="24"/>
          <w:szCs w:val="24"/>
        </w:rPr>
        <w:t xml:space="preserve">and </w:t>
      </w:r>
      <w:r w:rsidR="00995AC0" w:rsidRPr="00E56D87">
        <w:rPr>
          <w:rFonts w:eastAsia="Calibri"/>
          <w:position w:val="-14"/>
          <w:sz w:val="24"/>
          <w:szCs w:val="24"/>
        </w:rPr>
        <w:object w:dxaOrig="1460" w:dyaOrig="420" w14:anchorId="199B5C12">
          <v:shape id="_x0000_i1153" type="#_x0000_t75" style="width:72.85pt;height:21pt" o:ole="" o:preferrelative="f">
            <v:imagedata r:id="rId246" o:title=""/>
            <o:lock v:ext="edit" aspectratio="f"/>
          </v:shape>
          <o:OLEObject Type="Embed" ProgID="Equation.DSMT4" ShapeID="_x0000_i1153" DrawAspect="Content" ObjectID="_1778700984" r:id="rId247"/>
        </w:object>
      </w:r>
      <w:r w:rsidRPr="00E56D87">
        <w:rPr>
          <w:sz w:val="24"/>
          <w:szCs w:val="24"/>
        </w:rPr>
        <w:t xml:space="preserve">. </w:t>
      </w:r>
    </w:p>
    <w:p w14:paraId="5081030E" w14:textId="3D2FEFC0" w:rsidR="000F34B3" w:rsidRPr="00E56D87" w:rsidRDefault="00744EEB" w:rsidP="00002517">
      <w:pPr>
        <w:spacing w:after="0" w:line="240" w:lineRule="auto"/>
        <w:ind w:firstLine="720"/>
        <w:rPr>
          <w:szCs w:val="24"/>
        </w:rPr>
      </w:pPr>
      <w:r w:rsidRPr="00163851">
        <w:rPr>
          <w:szCs w:val="24"/>
        </w:rPr>
        <w:t xml:space="preserve">In the rest of this section, we will use the following key notation: </w:t>
      </w:r>
      <w:r w:rsidR="00995AC0" w:rsidRPr="00064637">
        <w:rPr>
          <w:position w:val="-12"/>
        </w:rPr>
        <w:object w:dxaOrig="1060" w:dyaOrig="360" w14:anchorId="7E19444C">
          <v:shape id="_x0000_i1154" type="#_x0000_t75" style="width:53.15pt;height:18pt" o:ole="" o:preferrelative="f">
            <v:imagedata r:id="rId248" o:title=""/>
            <o:lock v:ext="edit" aspectratio="f"/>
          </v:shape>
          <o:OLEObject Type="Embed" ProgID="Equation.DSMT4" ShapeID="_x0000_i1154" DrawAspect="Content" ObjectID="_1778700985" r:id="rId249"/>
        </w:object>
      </w:r>
      <w:r w:rsidRPr="00163851">
        <w:rPr>
          <w:szCs w:val="24"/>
        </w:rPr>
        <w:t xml:space="preserve"> for the multivariate normal density function of dimension </w:t>
      </w:r>
      <w:r w:rsidRPr="00163851">
        <w:rPr>
          <w:i/>
          <w:szCs w:val="24"/>
        </w:rPr>
        <w:t>G</w:t>
      </w:r>
      <w:r w:rsidRPr="00163851">
        <w:rPr>
          <w:szCs w:val="24"/>
        </w:rPr>
        <w:t xml:space="preserve"> with mean vector </w:t>
      </w:r>
      <w:r w:rsidR="00995AC0" w:rsidRPr="00064637">
        <w:rPr>
          <w:position w:val="-10"/>
        </w:rPr>
        <w:object w:dxaOrig="240" w:dyaOrig="260" w14:anchorId="2A5E22AE">
          <v:shape id="_x0000_i1155" type="#_x0000_t75" style="width:12pt;height:12.85pt" o:ole="" o:preferrelative="f">
            <v:imagedata r:id="rId250" o:title=""/>
            <o:lock v:ext="edit" aspectratio="f"/>
          </v:shape>
          <o:OLEObject Type="Embed" ProgID="Equation.DSMT4" ShapeID="_x0000_i1155" DrawAspect="Content" ObjectID="_1778700986" r:id="rId251"/>
        </w:object>
      </w:r>
      <w:r>
        <w:t xml:space="preserve"> </w:t>
      </w:r>
      <w:r w:rsidRPr="00163851">
        <w:rPr>
          <w:szCs w:val="24"/>
        </w:rPr>
        <w:t xml:space="preserve">and covariance matrix </w:t>
      </w:r>
      <w:r w:rsidR="00995AC0" w:rsidRPr="00064637">
        <w:rPr>
          <w:position w:val="-4"/>
        </w:rPr>
        <w:object w:dxaOrig="240" w:dyaOrig="260" w14:anchorId="7865257B">
          <v:shape id="_x0000_i1156" type="#_x0000_t75" style="width:12pt;height:12.85pt" o:ole="" o:preferrelative="f">
            <v:imagedata r:id="rId252" o:title=""/>
            <o:lock v:ext="edit" aspectratio="f"/>
          </v:shape>
          <o:OLEObject Type="Embed" ProgID="Equation.DSMT4" ShapeID="_x0000_i1156" DrawAspect="Content" ObjectID="_1778700987" r:id="rId253"/>
        </w:object>
      </w:r>
      <w:r w:rsidRPr="00163851">
        <w:rPr>
          <w:szCs w:val="24"/>
        </w:rPr>
        <w:t xml:space="preserve">, </w:t>
      </w:r>
      <w:r w:rsidR="00995AC0" w:rsidRPr="00064637">
        <w:rPr>
          <w:position w:val="-12"/>
        </w:rPr>
        <w:object w:dxaOrig="360" w:dyaOrig="380" w14:anchorId="5B5BC955">
          <v:shape id="_x0000_i1157" type="#_x0000_t75" style="width:18pt;height:18.85pt" o:ole="" o:preferrelative="f">
            <v:imagedata r:id="rId254" o:title=""/>
            <o:lock v:ext="edit" aspectratio="f"/>
          </v:shape>
          <o:OLEObject Type="Embed" ProgID="Equation.DSMT4" ShapeID="_x0000_i1157" DrawAspect="Content" ObjectID="_1778700988" r:id="rId255"/>
        </w:object>
      </w:r>
      <w:r w:rsidRPr="00163851">
        <w:rPr>
          <w:szCs w:val="24"/>
        </w:rPr>
        <w:t xml:space="preserve"> for the diagonal matrix of standard deviations of </w:t>
      </w:r>
      <w:r w:rsidRPr="00064637">
        <w:rPr>
          <w:position w:val="-4"/>
        </w:rPr>
        <w:object w:dxaOrig="240" w:dyaOrig="260" w14:anchorId="6B47A036">
          <v:shape id="_x0000_i1158" type="#_x0000_t75" style="width:12pt;height:13.3pt" o:ole="">
            <v:imagedata r:id="rId256" o:title=""/>
          </v:shape>
          <o:OLEObject Type="Embed" ProgID="Equation.DSMT4" ShapeID="_x0000_i1158" DrawAspect="Content" ObjectID="_1778700989" r:id="rId257"/>
        </w:object>
      </w:r>
      <w:r w:rsidRPr="00163851">
        <w:rPr>
          <w:szCs w:val="24"/>
        </w:rPr>
        <w:t xml:space="preserve"> (with its </w:t>
      </w:r>
      <w:proofErr w:type="spellStart"/>
      <w:r w:rsidRPr="00163851">
        <w:rPr>
          <w:i/>
          <w:szCs w:val="24"/>
        </w:rPr>
        <w:t>r</w:t>
      </w:r>
      <w:r w:rsidRPr="00163851">
        <w:rPr>
          <w:i/>
          <w:szCs w:val="24"/>
          <w:vertAlign w:val="superscript"/>
        </w:rPr>
        <w:t>th</w:t>
      </w:r>
      <w:proofErr w:type="spellEnd"/>
      <w:r w:rsidRPr="00163851">
        <w:rPr>
          <w:szCs w:val="24"/>
        </w:rPr>
        <w:t xml:space="preserve"> element being </w:t>
      </w:r>
      <w:r w:rsidRPr="00163851">
        <w:rPr>
          <w:rFonts w:eastAsia="Calibri"/>
          <w:position w:val="-14"/>
          <w:szCs w:val="24"/>
        </w:rPr>
        <w:object w:dxaOrig="435" w:dyaOrig="405" w14:anchorId="35DA2BC2">
          <v:shape id="_x0000_i1159" type="#_x0000_t75" style="width:22.3pt;height:18.85pt" o:ole="" o:preferrelative="f">
            <v:imagedata r:id="rId258" o:title=""/>
            <o:lock v:ext="edit" aspectratio="f"/>
          </v:shape>
          <o:OLEObject Type="Embed" ProgID="Equation.3" ShapeID="_x0000_i1159" DrawAspect="Content" ObjectID="_1778700990" r:id="rId259"/>
        </w:object>
      </w:r>
      <w:r w:rsidRPr="00163851">
        <w:rPr>
          <w:szCs w:val="24"/>
        </w:rPr>
        <w:t xml:space="preserve">), </w:t>
      </w:r>
      <w:r w:rsidR="00F1092A" w:rsidRPr="00163851">
        <w:rPr>
          <w:rFonts w:eastAsia="Calibri"/>
          <w:position w:val="-12"/>
          <w:szCs w:val="24"/>
        </w:rPr>
        <w:object w:dxaOrig="859" w:dyaOrig="380" w14:anchorId="0DCD79F0">
          <v:shape id="_x0000_i1160" type="#_x0000_t75" style="width:42.85pt;height:18.85pt" o:ole="" o:preferrelative="f">
            <v:imagedata r:id="rId260" o:title=""/>
            <o:lock v:ext="edit" aspectratio="f"/>
          </v:shape>
          <o:OLEObject Type="Embed" ProgID="Equation.DSMT4" ShapeID="_x0000_i1160" DrawAspect="Content" ObjectID="_1778700991" r:id="rId261"/>
        </w:object>
      </w:r>
      <w:r w:rsidRPr="00163851">
        <w:rPr>
          <w:szCs w:val="24"/>
        </w:rPr>
        <w:t xml:space="preserve"> for the multivariate standard normal density function of dimension </w:t>
      </w:r>
      <w:r w:rsidRPr="00163851">
        <w:rPr>
          <w:i/>
          <w:szCs w:val="24"/>
        </w:rPr>
        <w:t>G</w:t>
      </w:r>
      <w:r w:rsidRPr="00163851">
        <w:rPr>
          <w:szCs w:val="24"/>
        </w:rPr>
        <w:t xml:space="preserve"> and correlation matrix </w:t>
      </w:r>
      <w:r w:rsidRPr="00064637">
        <w:rPr>
          <w:position w:val="-4"/>
        </w:rPr>
        <w:object w:dxaOrig="300" w:dyaOrig="300" w14:anchorId="1ECB921B">
          <v:shape id="_x0000_i1161" type="#_x0000_t75" style="width:15.85pt;height:15.85pt" o:ole="">
            <v:imagedata r:id="rId262" o:title=""/>
          </v:shape>
          <o:OLEObject Type="Embed" ProgID="Equation.DSMT4" ShapeID="_x0000_i1161" DrawAspect="Content" ObjectID="_1778700992" r:id="rId263"/>
        </w:object>
      </w:r>
      <w:r w:rsidRPr="00163851">
        <w:rPr>
          <w:szCs w:val="24"/>
        </w:rPr>
        <w:t xml:space="preserve">, such that </w:t>
      </w:r>
      <w:r w:rsidR="006702DD" w:rsidRPr="00FD75AC">
        <w:rPr>
          <w:rFonts w:eastAsia="Calibri"/>
          <w:position w:val="-12"/>
          <w:szCs w:val="24"/>
        </w:rPr>
        <w:object w:dxaOrig="1300" w:dyaOrig="380" w14:anchorId="02B0C5D7">
          <v:shape id="_x0000_i1162" type="#_x0000_t75" style="width:64.3pt;height:18.85pt" o:ole="" o:preferrelative="f">
            <v:imagedata r:id="rId264" o:title=""/>
            <o:lock v:ext="edit" aspectratio="f"/>
          </v:shape>
          <o:OLEObject Type="Embed" ProgID="Equation.DSMT4" ShapeID="_x0000_i1162" DrawAspect="Content" ObjectID="_1778700993" r:id="rId265"/>
        </w:object>
      </w:r>
      <w:r w:rsidRPr="00163851">
        <w:rPr>
          <w:szCs w:val="24"/>
        </w:rPr>
        <w:t xml:space="preserve">, </w:t>
      </w:r>
      <w:r w:rsidRPr="00163851">
        <w:rPr>
          <w:rFonts w:eastAsia="Calibri"/>
          <w:position w:val="-12"/>
          <w:szCs w:val="24"/>
        </w:rPr>
        <w:object w:dxaOrig="1020" w:dyaOrig="345" w14:anchorId="52A28D24">
          <v:shape id="_x0000_i1163" type="#_x0000_t75" style="width:54.85pt;height:18pt" o:ole="" o:preferrelative="f">
            <v:imagedata r:id="rId266" o:title=""/>
            <o:lock v:ext="edit" aspectratio="f"/>
          </v:shape>
          <o:OLEObject Type="Embed" ProgID="Equation.3" ShapeID="_x0000_i1163" DrawAspect="Content" ObjectID="_1778700994" r:id="rId267"/>
        </w:object>
      </w:r>
      <w:r w:rsidRPr="00163851">
        <w:rPr>
          <w:position w:val="-14"/>
          <w:szCs w:val="24"/>
        </w:rPr>
        <w:t xml:space="preserve"> </w:t>
      </w:r>
      <w:r w:rsidRPr="00163851">
        <w:rPr>
          <w:szCs w:val="24"/>
        </w:rPr>
        <w:t xml:space="preserve">for the multivariate normal cumulative distribution function of dimension </w:t>
      </w:r>
      <w:r w:rsidRPr="00163851">
        <w:rPr>
          <w:i/>
          <w:szCs w:val="24"/>
        </w:rPr>
        <w:t>G</w:t>
      </w:r>
      <w:r w:rsidRPr="00163851">
        <w:rPr>
          <w:szCs w:val="24"/>
        </w:rPr>
        <w:t xml:space="preserve"> with mean vector</w:t>
      </w:r>
      <w:r>
        <w:rPr>
          <w:szCs w:val="24"/>
        </w:rPr>
        <w:t xml:space="preserve"> </w:t>
      </w:r>
      <w:r w:rsidR="00995AC0" w:rsidRPr="00064637">
        <w:rPr>
          <w:position w:val="-10"/>
        </w:rPr>
        <w:object w:dxaOrig="240" w:dyaOrig="260" w14:anchorId="410D7539">
          <v:shape id="_x0000_i1164" type="#_x0000_t75" style="width:12pt;height:12.85pt" o:ole="" o:preferrelative="f">
            <v:imagedata r:id="rId250" o:title=""/>
            <o:lock v:ext="edit" aspectratio="f"/>
          </v:shape>
          <o:OLEObject Type="Embed" ProgID="Equation.DSMT4" ShapeID="_x0000_i1164" DrawAspect="Content" ObjectID="_1778700995" r:id="rId268"/>
        </w:object>
      </w:r>
      <w:r w:rsidRPr="00163851">
        <w:rPr>
          <w:szCs w:val="24"/>
        </w:rPr>
        <w:t xml:space="preserve"> and covariance matrix </w:t>
      </w:r>
      <w:r w:rsidRPr="00064637">
        <w:rPr>
          <w:position w:val="-4"/>
        </w:rPr>
        <w:object w:dxaOrig="240" w:dyaOrig="260" w14:anchorId="3C56DFB4">
          <v:shape id="_x0000_i1165" type="#_x0000_t75" style="width:12pt;height:13.3pt" o:ole="">
            <v:imagedata r:id="rId256" o:title=""/>
          </v:shape>
          <o:OLEObject Type="Embed" ProgID="Equation.DSMT4" ShapeID="_x0000_i1165" DrawAspect="Content" ObjectID="_1778700996" r:id="rId269"/>
        </w:object>
      </w:r>
      <w:r w:rsidRPr="00163851">
        <w:rPr>
          <w:szCs w:val="24"/>
        </w:rPr>
        <w:t xml:space="preserve">, and </w:t>
      </w:r>
      <w:r w:rsidRPr="00163851">
        <w:rPr>
          <w:rFonts w:eastAsia="Calibri"/>
          <w:position w:val="-12"/>
          <w:szCs w:val="24"/>
        </w:rPr>
        <w:object w:dxaOrig="930" w:dyaOrig="405" w14:anchorId="6BD0C79E">
          <v:shape id="_x0000_i1166" type="#_x0000_t75" style="width:48pt;height:19.7pt" o:ole="">
            <v:imagedata r:id="rId270" o:title=""/>
          </v:shape>
          <o:OLEObject Type="Embed" ProgID="Equation.3" ShapeID="_x0000_i1166" DrawAspect="Content" ObjectID="_1778700997" r:id="rId271"/>
        </w:object>
      </w:r>
      <w:r w:rsidRPr="00163851">
        <w:rPr>
          <w:szCs w:val="24"/>
        </w:rPr>
        <w:t xml:space="preserve"> for the multivariate standard normal cumulative distribution function of dimension </w:t>
      </w:r>
      <w:r w:rsidRPr="00163851">
        <w:rPr>
          <w:i/>
          <w:szCs w:val="24"/>
        </w:rPr>
        <w:t>G</w:t>
      </w:r>
      <w:r w:rsidRPr="00163851">
        <w:rPr>
          <w:szCs w:val="24"/>
        </w:rPr>
        <w:t xml:space="preserve"> and correlation matrix </w:t>
      </w:r>
      <w:r w:rsidRPr="00163851">
        <w:rPr>
          <w:rFonts w:eastAsia="Calibri"/>
          <w:position w:val="-6"/>
          <w:szCs w:val="24"/>
        </w:rPr>
        <w:object w:dxaOrig="405" w:dyaOrig="330" w14:anchorId="4386E053">
          <v:shape id="_x0000_i1167" type="#_x0000_t75" style="width:18.85pt;height:15.85pt" o:ole="" o:preferrelative="f">
            <v:imagedata r:id="rId272" o:title=""/>
            <o:lock v:ext="edit" aspectratio="f"/>
          </v:shape>
          <o:OLEObject Type="Embed" ProgID="Equation.3" ShapeID="_x0000_i1167" DrawAspect="Content" ObjectID="_1778700998" r:id="rId273"/>
        </w:object>
      </w:r>
      <w:r>
        <w:rPr>
          <w:rFonts w:eastAsia="Calibri"/>
          <w:szCs w:val="24"/>
        </w:rPr>
        <w:t xml:space="preserve"> </w:t>
      </w:r>
      <w:r w:rsidR="00DA7DFA" w:rsidRPr="00BF323D">
        <w:rPr>
          <w:noProof/>
          <w:szCs w:val="24"/>
        </w:rPr>
        <w:t xml:space="preserve">Let </w:t>
      </w:r>
      <w:r w:rsidR="0084210A" w:rsidRPr="00002517">
        <w:rPr>
          <w:position w:val="-6"/>
          <w:szCs w:val="24"/>
        </w:rPr>
        <w:object w:dxaOrig="200" w:dyaOrig="220" w14:anchorId="654FAAAA">
          <v:shape id="_x0000_i1168" type="#_x0000_t75" style="width:10.7pt;height:10.7pt" o:ole="" o:preferrelative="f">
            <v:imagedata r:id="rId274" o:title=""/>
            <o:lock v:ext="edit" aspectratio="f"/>
          </v:shape>
          <o:OLEObject Type="Embed" ProgID="Equation.DSMT4" ShapeID="_x0000_i1168" DrawAspect="Content" ObjectID="_1778700999" r:id="rId275"/>
        </w:object>
      </w:r>
      <w:r w:rsidR="00DA7DFA" w:rsidRPr="00002517">
        <w:rPr>
          <w:szCs w:val="24"/>
        </w:rPr>
        <w:t xml:space="preserve"> </w:t>
      </w:r>
      <w:r w:rsidR="00DA7DFA" w:rsidRPr="00002517">
        <w:rPr>
          <w:noProof/>
          <w:szCs w:val="24"/>
        </w:rPr>
        <w:t>be the collection of parameters to be estimated within each latent segment:</w:t>
      </w:r>
      <w:r w:rsidR="0084210A" w:rsidRPr="00002517">
        <w:rPr>
          <w:rFonts w:eastAsia="Calibri"/>
          <w:noProof/>
          <w:position w:val="-26"/>
          <w:szCs w:val="24"/>
        </w:rPr>
        <w:object w:dxaOrig="2980" w:dyaOrig="740" w14:anchorId="3C531CA4">
          <v:shape id="_x0000_i1169" type="#_x0000_t75" style="width:149.15pt;height:36.85pt" o:ole="" o:preferrelative="f">
            <v:imagedata r:id="rId276" o:title=""/>
            <o:lock v:ext="edit" aspectratio="f"/>
          </v:shape>
          <o:OLEObject Type="Embed" ProgID="Equation.DSMT4" ShapeID="_x0000_i1169" DrawAspect="Content" ObjectID="_1778701000" r:id="rId277"/>
        </w:object>
      </w:r>
      <w:r w:rsidR="00DA7DFA" w:rsidRPr="00002517">
        <w:rPr>
          <w:noProof/>
          <w:szCs w:val="24"/>
        </w:rPr>
        <w:t xml:space="preserve"> where the operator</w:t>
      </w:r>
      <w:r w:rsidR="00DA7DFA" w:rsidRPr="00002517">
        <w:rPr>
          <w:szCs w:val="24"/>
        </w:rPr>
        <w:t xml:space="preserve"> </w:t>
      </w:r>
      <w:r w:rsidR="0084210A" w:rsidRPr="00002517">
        <w:rPr>
          <w:position w:val="-10"/>
          <w:szCs w:val="24"/>
        </w:rPr>
        <w:object w:dxaOrig="1040" w:dyaOrig="320" w14:anchorId="5B7E9419">
          <v:shape id="_x0000_i1170" type="#_x0000_t75" style="width:51.85pt;height:15.85pt" o:ole="" o:preferrelative="f">
            <v:imagedata r:id="rId278" o:title=""/>
            <o:lock v:ext="edit" aspectratio="f"/>
          </v:shape>
          <o:OLEObject Type="Embed" ProgID="Equation.DSMT4" ShapeID="_x0000_i1170" DrawAspect="Content" ObjectID="_1778701001" r:id="rId279"/>
        </w:object>
      </w:r>
      <w:r w:rsidR="00DA7DFA" w:rsidRPr="00002517">
        <w:rPr>
          <w:szCs w:val="24"/>
        </w:rPr>
        <w:t xml:space="preserve"> row-vectorizes the non-zero upper diagonal elements of a matrix.</w:t>
      </w:r>
      <w:r w:rsidR="00DA7DFA" w:rsidRPr="00163851">
        <w:rPr>
          <w:noProof/>
          <w:szCs w:val="24"/>
        </w:rPr>
        <w:t xml:space="preserve"> </w:t>
      </w:r>
      <w:r w:rsidR="000F34B3" w:rsidRPr="00E56D87">
        <w:rPr>
          <w:szCs w:val="24"/>
        </w:rPr>
        <w:t xml:space="preserve">Then, </w:t>
      </w:r>
      <w:r w:rsidR="00FC4A39">
        <w:rPr>
          <w:szCs w:val="24"/>
        </w:rPr>
        <w:t xml:space="preserve">if we knew the latent segment to which an individual belonged, </w:t>
      </w:r>
      <w:r w:rsidR="000F34B3" w:rsidRPr="00E56D87">
        <w:rPr>
          <w:szCs w:val="24"/>
        </w:rPr>
        <w:t xml:space="preserve">the </w:t>
      </w:r>
      <w:r w:rsidR="009C25F9">
        <w:rPr>
          <w:szCs w:val="24"/>
        </w:rPr>
        <w:t xml:space="preserve">joint </w:t>
      </w:r>
      <w:r w:rsidR="00FE36C5" w:rsidRPr="009C25F9">
        <w:rPr>
          <w:szCs w:val="24"/>
        </w:rPr>
        <w:t xml:space="preserve">probability of the observed </w:t>
      </w:r>
      <w:r w:rsidR="009C25F9">
        <w:rPr>
          <w:szCs w:val="24"/>
        </w:rPr>
        <w:t xml:space="preserve">WPL fractional </w:t>
      </w:r>
      <w:r w:rsidR="00FE36C5" w:rsidRPr="009C25F9">
        <w:rPr>
          <w:szCs w:val="24"/>
        </w:rPr>
        <w:t xml:space="preserve">vector </w:t>
      </w:r>
      <w:r w:rsidR="0084210A" w:rsidRPr="009C25F9">
        <w:rPr>
          <w:position w:val="-14"/>
        </w:rPr>
        <w:object w:dxaOrig="2040" w:dyaOrig="400" w14:anchorId="3B0B440B">
          <v:shape id="_x0000_i1171" type="#_x0000_t75" style="width:102.85pt;height:20.15pt" o:ole="" o:preferrelative="f">
            <v:imagedata r:id="rId280" o:title=""/>
            <o:lock v:ext="edit" aspectratio="f"/>
          </v:shape>
          <o:OLEObject Type="Embed" ProgID="Equation.DSMT4" ShapeID="_x0000_i1171" DrawAspect="Content" ObjectID="_1778701002" r:id="rId281"/>
        </w:object>
      </w:r>
      <w:r w:rsidR="0084210A">
        <w:t xml:space="preserve"> </w:t>
      </w:r>
      <w:r w:rsidR="009C25F9" w:rsidRPr="004817C2">
        <w:rPr>
          <w:szCs w:val="24"/>
        </w:rPr>
        <w:t xml:space="preserve">and </w:t>
      </w:r>
      <w:r w:rsidR="009C25F9" w:rsidRPr="004817C2">
        <w:rPr>
          <w:szCs w:val="24"/>
        </w:rPr>
        <w:lastRenderedPageBreak/>
        <w:t xml:space="preserve">the observed log(commute distance) </w:t>
      </w:r>
      <w:r w:rsidR="0084210A" w:rsidRPr="00C372AB">
        <w:rPr>
          <w:position w:val="-14"/>
        </w:rPr>
        <w:object w:dxaOrig="279" w:dyaOrig="380" w14:anchorId="36FAC90E">
          <v:shape id="_x0000_i1172" type="#_x0000_t75" style="width:13.7pt;height:18.85pt" o:ole="" o:preferrelative="f">
            <v:imagedata r:id="rId188" o:title=""/>
            <o:lock v:ext="edit" aspectratio="f"/>
          </v:shape>
          <o:OLEObject Type="Embed" ProgID="Equation.DSMT4" ShapeID="_x0000_i1172" DrawAspect="Content" ObjectID="_1778701003" r:id="rId282"/>
        </w:object>
      </w:r>
      <w:r w:rsidR="009C25F9">
        <w:t xml:space="preserve"> </w:t>
      </w:r>
      <w:r w:rsidR="009C25F9" w:rsidRPr="004817C2">
        <w:rPr>
          <w:szCs w:val="24"/>
        </w:rPr>
        <w:t xml:space="preserve">for individual </w:t>
      </w:r>
      <w:r w:rsidR="009C25F9" w:rsidRPr="009C25F9">
        <w:rPr>
          <w:i/>
          <w:iCs/>
          <w:szCs w:val="24"/>
        </w:rPr>
        <w:t>q</w:t>
      </w:r>
      <w:r w:rsidR="009C25F9">
        <w:rPr>
          <w:i/>
          <w:szCs w:val="24"/>
        </w:rPr>
        <w:t xml:space="preserve"> </w:t>
      </w:r>
      <w:r w:rsidR="00FE36C5">
        <w:rPr>
          <w:szCs w:val="24"/>
        </w:rPr>
        <w:t xml:space="preserve">(which from an estimation standpoint may also be considered as the </w:t>
      </w:r>
      <w:r w:rsidR="00FC4A39">
        <w:rPr>
          <w:szCs w:val="24"/>
        </w:rPr>
        <w:t xml:space="preserve">likelihood function for individual </w:t>
      </w:r>
      <w:r w:rsidR="00FC4A39" w:rsidRPr="004817C2">
        <w:rPr>
          <w:i/>
          <w:iCs/>
          <w:szCs w:val="24"/>
        </w:rPr>
        <w:t>q</w:t>
      </w:r>
      <w:r w:rsidR="00FC4A39">
        <w:rPr>
          <w:szCs w:val="24"/>
        </w:rPr>
        <w:t xml:space="preserve"> given the parameter vector </w:t>
      </w:r>
      <w:r w:rsidR="00FC4A39" w:rsidRPr="00C372AB">
        <w:rPr>
          <w:position w:val="-6"/>
        </w:rPr>
        <w:object w:dxaOrig="180" w:dyaOrig="220" w14:anchorId="21650CDA">
          <v:shape id="_x0000_i1173" type="#_x0000_t75" style="width:9.85pt;height:11.15pt" o:ole="">
            <v:imagedata r:id="rId283" o:title=""/>
          </v:shape>
          <o:OLEObject Type="Embed" ProgID="Equation.DSMT4" ShapeID="_x0000_i1173" DrawAspect="Content" ObjectID="_1778701004" r:id="rId284"/>
        </w:object>
      </w:r>
      <w:r w:rsidR="00FC4A39">
        <w:t>)</w:t>
      </w:r>
      <w:r w:rsidR="00FC4A39">
        <w:rPr>
          <w:szCs w:val="24"/>
        </w:rPr>
        <w:t xml:space="preserve"> m</w:t>
      </w:r>
      <w:r w:rsidR="000F34B3" w:rsidRPr="00E56D87">
        <w:rPr>
          <w:szCs w:val="24"/>
        </w:rPr>
        <w:t>ay be written as:</w:t>
      </w:r>
    </w:p>
    <w:p w14:paraId="38555119" w14:textId="4CDCE1BF" w:rsidR="00E56D87" w:rsidRPr="00E56D87" w:rsidRDefault="0084210A" w:rsidP="00E56D87">
      <w:pPr>
        <w:pStyle w:val="FootnoteText"/>
        <w:tabs>
          <w:tab w:val="right" w:pos="9360"/>
        </w:tabs>
        <w:rPr>
          <w:sz w:val="24"/>
          <w:szCs w:val="24"/>
        </w:rPr>
      </w:pPr>
      <w:r w:rsidRPr="00E56D87">
        <w:rPr>
          <w:rFonts w:eastAsia="Calibri"/>
          <w:position w:val="-36"/>
          <w:sz w:val="24"/>
          <w:szCs w:val="24"/>
        </w:rPr>
        <w:object w:dxaOrig="6460" w:dyaOrig="780" w14:anchorId="6720B318">
          <v:shape id="_x0000_i1174" type="#_x0000_t75" style="width:323.15pt;height:39pt" o:ole="" o:preferrelative="f">
            <v:imagedata r:id="rId285" o:title=""/>
            <o:lock v:ext="edit" aspectratio="f"/>
          </v:shape>
          <o:OLEObject Type="Embed" ProgID="Equation.DSMT4" ShapeID="_x0000_i1174" DrawAspect="Content" ObjectID="_1778701005" r:id="rId286"/>
        </w:object>
      </w:r>
      <w:r w:rsidR="00E56D87" w:rsidRPr="00E56D87">
        <w:rPr>
          <w:rFonts w:eastAsia="Calibri"/>
          <w:sz w:val="24"/>
          <w:szCs w:val="24"/>
        </w:rPr>
        <w:t xml:space="preserve"> </w:t>
      </w:r>
      <w:r w:rsidR="00E56D87" w:rsidRPr="00E56D87">
        <w:rPr>
          <w:rFonts w:eastAsia="Calibri"/>
          <w:sz w:val="24"/>
          <w:szCs w:val="24"/>
        </w:rPr>
        <w:tab/>
        <w:t>(11)</w:t>
      </w:r>
    </w:p>
    <w:p w14:paraId="1C129ECA" w14:textId="72849913" w:rsidR="000F34B3" w:rsidRDefault="000F34B3" w:rsidP="000F34B3">
      <w:pPr>
        <w:spacing w:after="0" w:line="240" w:lineRule="auto"/>
        <w:rPr>
          <w:szCs w:val="24"/>
        </w:rPr>
      </w:pPr>
      <w:r w:rsidRPr="00E56D87">
        <w:rPr>
          <w:szCs w:val="24"/>
        </w:rPr>
        <w:t xml:space="preserve">where </w:t>
      </w:r>
      <w:r w:rsidR="0084210A" w:rsidRPr="00E56D87">
        <w:rPr>
          <w:position w:val="-14"/>
          <w:szCs w:val="24"/>
        </w:rPr>
        <w:object w:dxaOrig="760" w:dyaOrig="380" w14:anchorId="29DBFEB2">
          <v:shape id="_x0000_i1175" type="#_x0000_t75" style="width:38.15pt;height:18.85pt" o:ole="" o:preferrelative="f">
            <v:imagedata r:id="rId287" o:title=""/>
            <o:lock v:ext="edit" aspectratio="f"/>
          </v:shape>
          <o:OLEObject Type="Embed" ProgID="Equation.DSMT4" ShapeID="_x0000_i1175" DrawAspect="Content" ObjectID="_1778701006" r:id="rId288"/>
        </w:object>
      </w:r>
      <w:r w:rsidRPr="00E56D87">
        <w:rPr>
          <w:szCs w:val="24"/>
        </w:rPr>
        <w:t xml:space="preserve">is the determinant of the Jacobian of the transformation from </w:t>
      </w:r>
      <w:r w:rsidR="0084210A" w:rsidRPr="00E56D87">
        <w:rPr>
          <w:rFonts w:eastAsia="Calibri"/>
          <w:position w:val="-14"/>
          <w:szCs w:val="24"/>
        </w:rPr>
        <w:object w:dxaOrig="300" w:dyaOrig="405" w14:anchorId="77C6CA1A">
          <v:shape id="_x0000_i1176" type="#_x0000_t75" style="width:15pt;height:20.15pt" o:ole="" o:preferrelative="f">
            <v:imagedata r:id="rId289" o:title=""/>
            <o:lock v:ext="edit" aspectratio="f"/>
          </v:shape>
          <o:OLEObject Type="Embed" ProgID="Equation.DSMT4" ShapeID="_x0000_i1176" DrawAspect="Content" ObjectID="_1778701007" r:id="rId290"/>
        </w:object>
      </w:r>
      <w:r w:rsidR="0084210A">
        <w:rPr>
          <w:rFonts w:eastAsia="Calibri"/>
          <w:szCs w:val="24"/>
        </w:rPr>
        <w:t xml:space="preserve"> </w:t>
      </w:r>
      <w:r w:rsidRPr="00E56D87">
        <w:rPr>
          <w:szCs w:val="24"/>
        </w:rPr>
        <w:t>to the consumption</w:t>
      </w:r>
      <w:r w:rsidRPr="00163851">
        <w:rPr>
          <w:szCs w:val="24"/>
        </w:rPr>
        <w:t xml:space="preserve"> quantities </w:t>
      </w:r>
      <w:r w:rsidR="0084210A" w:rsidRPr="00163851">
        <w:rPr>
          <w:rFonts w:eastAsia="Calibri"/>
          <w:position w:val="-14"/>
          <w:szCs w:val="24"/>
        </w:rPr>
        <w:object w:dxaOrig="300" w:dyaOrig="400" w14:anchorId="204446AD">
          <v:shape id="_x0000_i1177" type="#_x0000_t75" style="width:15pt;height:20.15pt" o:ole="" o:preferrelative="f">
            <v:imagedata r:id="rId291" o:title=""/>
            <o:lock v:ext="edit" aspectratio="f"/>
          </v:shape>
          <o:OLEObject Type="Embed" ProgID="Equation.DSMT4" ShapeID="_x0000_i1177" DrawAspect="Content" ObjectID="_1778701008" r:id="rId292"/>
        </w:object>
      </w:r>
      <w:r w:rsidRPr="00163851">
        <w:rPr>
          <w:szCs w:val="24"/>
        </w:rPr>
        <w:t xml:space="preserve"> (see Bhat, </w:t>
      </w:r>
      <w:proofErr w:type="gramStart"/>
      <w:r w:rsidRPr="00163851">
        <w:rPr>
          <w:szCs w:val="24"/>
        </w:rPr>
        <w:t>2008):</w:t>
      </w:r>
      <w:proofErr w:type="gramEnd"/>
    </w:p>
    <w:p w14:paraId="0E2059C3" w14:textId="600B7D83" w:rsidR="00E56D87" w:rsidRPr="00163851" w:rsidRDefault="0084210A" w:rsidP="0084210A">
      <w:pPr>
        <w:tabs>
          <w:tab w:val="right" w:pos="9360"/>
        </w:tabs>
        <w:spacing w:after="60" w:line="240" w:lineRule="auto"/>
        <w:rPr>
          <w:rFonts w:eastAsia="Calibri"/>
          <w:szCs w:val="24"/>
        </w:rPr>
      </w:pPr>
      <w:r w:rsidRPr="00064637">
        <w:rPr>
          <w:position w:val="-36"/>
        </w:rPr>
        <w:object w:dxaOrig="3980" w:dyaOrig="840" w14:anchorId="571961E7">
          <v:shape id="_x0000_i1178" type="#_x0000_t75" style="width:198.85pt;height:42pt" o:ole="" o:preferrelative="f">
            <v:imagedata r:id="rId293" o:title=""/>
            <o:lock v:ext="edit" aspectratio="f"/>
          </v:shape>
          <o:OLEObject Type="Embed" ProgID="Equation.DSMT4" ShapeID="_x0000_i1178" DrawAspect="Content" ObjectID="_1778701009" r:id="rId294"/>
        </w:object>
      </w:r>
      <w:r w:rsidR="00E56D87">
        <w:t xml:space="preserve">, </w:t>
      </w:r>
      <w:r w:rsidR="00E56D87">
        <w:tab/>
        <w:t>(12)</w:t>
      </w:r>
    </w:p>
    <w:p w14:paraId="64222B63" w14:textId="08B8FEFB" w:rsidR="000F34B3" w:rsidRPr="00163851" w:rsidRDefault="000F34B3" w:rsidP="000F34B3">
      <w:pPr>
        <w:spacing w:after="0" w:line="240" w:lineRule="auto"/>
        <w:rPr>
          <w:rFonts w:eastAsia="Calibri"/>
          <w:szCs w:val="24"/>
        </w:rPr>
      </w:pPr>
      <w:r w:rsidRPr="00163851">
        <w:rPr>
          <w:szCs w:val="24"/>
        </w:rPr>
        <w:t xml:space="preserve">where </w:t>
      </w:r>
      <w:r w:rsidR="00E56D87" w:rsidRPr="00163851">
        <w:rPr>
          <w:rFonts w:eastAsia="Calibri"/>
          <w:position w:val="-14"/>
          <w:szCs w:val="24"/>
        </w:rPr>
        <w:object w:dxaOrig="330" w:dyaOrig="405" w14:anchorId="2DA2BB60">
          <v:shape id="_x0000_i1179" type="#_x0000_t75" style="width:15.85pt;height:18.85pt" o:ole="" o:preferrelative="f">
            <v:imagedata r:id="rId295" o:title=""/>
            <o:lock v:ext="edit" aspectratio="f"/>
          </v:shape>
          <o:OLEObject Type="Embed" ProgID="Equation.3" ShapeID="_x0000_i1179" DrawAspect="Content" ObjectID="_1778701010" r:id="rId296"/>
        </w:object>
      </w:r>
      <w:r w:rsidRPr="00163851">
        <w:rPr>
          <w:szCs w:val="24"/>
        </w:rPr>
        <w:t xml:space="preserve"> is the set of </w:t>
      </w:r>
      <w:r>
        <w:rPr>
          <w:szCs w:val="24"/>
        </w:rPr>
        <w:t>WPLs</w:t>
      </w:r>
      <w:r w:rsidRPr="00163851">
        <w:rPr>
          <w:szCs w:val="24"/>
        </w:rPr>
        <w:t xml:space="preserve"> </w:t>
      </w:r>
      <w:r>
        <w:rPr>
          <w:szCs w:val="24"/>
        </w:rPr>
        <w:t xml:space="preserve">with non-zero work days for </w:t>
      </w:r>
      <w:r w:rsidRPr="00163851">
        <w:rPr>
          <w:szCs w:val="24"/>
        </w:rPr>
        <w:t xml:space="preserve">consumer </w:t>
      </w:r>
      <w:r w:rsidRPr="00163851">
        <w:rPr>
          <w:i/>
          <w:szCs w:val="24"/>
        </w:rPr>
        <w:t>q</w:t>
      </w:r>
      <w:r w:rsidRPr="00163851">
        <w:rPr>
          <w:szCs w:val="24"/>
        </w:rPr>
        <w:t xml:space="preserve"> (including </w:t>
      </w:r>
      <w:r>
        <w:rPr>
          <w:szCs w:val="24"/>
        </w:rPr>
        <w:t>WPL</w:t>
      </w:r>
      <w:r w:rsidRPr="00163851">
        <w:rPr>
          <w:szCs w:val="24"/>
        </w:rPr>
        <w:t xml:space="preserve"> </w:t>
      </w:r>
      <w:r w:rsidR="0084210A" w:rsidRPr="00163851">
        <w:rPr>
          <w:rFonts w:eastAsia="Calibri"/>
          <w:position w:val="-14"/>
          <w:szCs w:val="24"/>
        </w:rPr>
        <w:object w:dxaOrig="315" w:dyaOrig="405" w14:anchorId="56FB1323">
          <v:shape id="_x0000_i1180" type="#_x0000_t75" style="width:15.85pt;height:18.85pt" o:ole="" o:preferrelative="f">
            <v:imagedata r:id="rId297" o:title=""/>
            <o:lock v:ext="edit" aspectratio="f"/>
          </v:shape>
          <o:OLEObject Type="Embed" ProgID="Equation.3" ShapeID="_x0000_i1180" DrawAspect="Content" ObjectID="_1778701011" r:id="rId298"/>
        </w:object>
      </w:r>
      <w:r w:rsidRPr="00163851">
        <w:rPr>
          <w:szCs w:val="24"/>
        </w:rPr>
        <w:t>).</w:t>
      </w:r>
    </w:p>
    <w:p w14:paraId="0DE7716D" w14:textId="5FA79A5E" w:rsidR="000F34B3" w:rsidRDefault="000F34B3" w:rsidP="000F34B3">
      <w:pPr>
        <w:spacing w:after="0" w:line="240" w:lineRule="auto"/>
        <w:ind w:firstLine="720"/>
        <w:rPr>
          <w:szCs w:val="24"/>
        </w:rPr>
      </w:pPr>
      <w:r w:rsidRPr="00163851">
        <w:rPr>
          <w:szCs w:val="24"/>
        </w:rPr>
        <w:t xml:space="preserve">Using the marginal and conditional distribution properties of the multivariate normal distribution, the </w:t>
      </w:r>
      <w:r w:rsidR="00FC4A39">
        <w:rPr>
          <w:szCs w:val="24"/>
        </w:rPr>
        <w:t xml:space="preserve">probability in Equation (11) </w:t>
      </w:r>
      <w:r w:rsidRPr="00163851">
        <w:rPr>
          <w:szCs w:val="24"/>
        </w:rPr>
        <w:t>can be written as:</w:t>
      </w:r>
    </w:p>
    <w:p w14:paraId="5C1B661F" w14:textId="590939B5" w:rsidR="00E56D87" w:rsidRDefault="0084210A" w:rsidP="00C31072">
      <w:pPr>
        <w:tabs>
          <w:tab w:val="right" w:pos="9360"/>
        </w:tabs>
        <w:spacing w:before="60" w:after="0" w:line="240" w:lineRule="auto"/>
        <w:rPr>
          <w:szCs w:val="24"/>
        </w:rPr>
      </w:pPr>
      <w:r w:rsidRPr="00064637">
        <w:rPr>
          <w:position w:val="-16"/>
        </w:rPr>
        <w:object w:dxaOrig="8100" w:dyaOrig="440" w14:anchorId="71347C48">
          <v:shape id="_x0000_i1181" type="#_x0000_t75" style="width:405.85pt;height:22.7pt" o:ole="" o:preferrelative="f">
            <v:imagedata r:id="rId299" o:title=""/>
            <o:lock v:ext="edit" aspectratio="f"/>
          </v:shape>
          <o:OLEObject Type="Embed" ProgID="Equation.DSMT4" ShapeID="_x0000_i1181" DrawAspect="Content" ObjectID="_1778701012" r:id="rId300"/>
        </w:object>
      </w:r>
      <w:r w:rsidR="00DF2A58">
        <w:t xml:space="preserve"> </w:t>
      </w:r>
      <w:r w:rsidR="00DF2A58">
        <w:tab/>
        <w:t>(13)</w:t>
      </w:r>
    </w:p>
    <w:p w14:paraId="3321C190" w14:textId="34F8F8D8" w:rsidR="00E56D87" w:rsidRDefault="0084210A" w:rsidP="00DF2A58">
      <w:pPr>
        <w:spacing w:after="60" w:line="240" w:lineRule="auto"/>
        <w:rPr>
          <w:szCs w:val="24"/>
        </w:rPr>
      </w:pPr>
      <w:r w:rsidRPr="00064637">
        <w:rPr>
          <w:position w:val="-34"/>
        </w:rPr>
        <w:object w:dxaOrig="8640" w:dyaOrig="840" w14:anchorId="20E82FAE">
          <v:shape id="_x0000_i1182" type="#_x0000_t75" style="width:6in;height:42pt" o:ole="" o:preferrelative="f">
            <v:imagedata r:id="rId301" o:title=""/>
            <o:lock v:ext="edit" aspectratio="f"/>
          </v:shape>
          <o:OLEObject Type="Embed" ProgID="Equation.DSMT4" ShapeID="_x0000_i1182" DrawAspect="Content" ObjectID="_1778701013" r:id="rId302"/>
        </w:object>
      </w:r>
    </w:p>
    <w:p w14:paraId="246268CA" w14:textId="58C4635E" w:rsidR="000F34B3" w:rsidRDefault="000F34B3" w:rsidP="000F34B3">
      <w:pPr>
        <w:spacing w:after="0" w:line="240" w:lineRule="auto"/>
        <w:jc w:val="left"/>
        <w:rPr>
          <w:szCs w:val="24"/>
        </w:rPr>
      </w:pPr>
      <w:r>
        <w:rPr>
          <w:szCs w:val="24"/>
        </w:rPr>
        <w:t>w</w:t>
      </w:r>
      <w:r w:rsidRPr="00163851">
        <w:rPr>
          <w:szCs w:val="24"/>
        </w:rPr>
        <w:t>here</w:t>
      </w:r>
      <w:r>
        <w:rPr>
          <w:szCs w:val="24"/>
        </w:rPr>
        <w:t xml:space="preserve"> </w:t>
      </w:r>
      <w:r w:rsidR="0084210A" w:rsidRPr="00064637">
        <w:rPr>
          <w:position w:val="-14"/>
        </w:rPr>
        <w:object w:dxaOrig="1640" w:dyaOrig="400" w14:anchorId="254A4BBE">
          <v:shape id="_x0000_i1183" type="#_x0000_t75" style="width:82.3pt;height:20.15pt" o:ole="" o:preferrelative="f">
            <v:imagedata r:id="rId303" o:title=""/>
            <o:lock v:ext="edit" aspectratio="f"/>
          </v:shape>
          <o:OLEObject Type="Embed" ProgID="Equation.DSMT4" ShapeID="_x0000_i1183" DrawAspect="Content" ObjectID="_1778701014" r:id="rId304"/>
        </w:object>
      </w:r>
      <w:r w:rsidRPr="00163851">
        <w:rPr>
          <w:szCs w:val="24"/>
        </w:rPr>
        <w:t xml:space="preserve">, </w:t>
      </w:r>
      <w:r w:rsidR="0084210A" w:rsidRPr="00064637">
        <w:rPr>
          <w:position w:val="-14"/>
        </w:rPr>
        <w:object w:dxaOrig="1620" w:dyaOrig="400" w14:anchorId="2E488F04">
          <v:shape id="_x0000_i1184" type="#_x0000_t75" style="width:81.85pt;height:20.15pt" o:ole="" o:preferrelative="f">
            <v:imagedata r:id="rId305" o:title=""/>
            <o:lock v:ext="edit" aspectratio="f"/>
          </v:shape>
          <o:OLEObject Type="Embed" ProgID="Equation.DSMT4" ShapeID="_x0000_i1184" DrawAspect="Content" ObjectID="_1778701015" r:id="rId306"/>
        </w:object>
      </w:r>
      <w:r w:rsidRPr="00163851">
        <w:rPr>
          <w:szCs w:val="24"/>
        </w:rPr>
        <w:t xml:space="preserve">, </w:t>
      </w:r>
      <w:r w:rsidR="0084210A" w:rsidRPr="00064637">
        <w:rPr>
          <w:position w:val="-14"/>
        </w:rPr>
        <w:object w:dxaOrig="2100" w:dyaOrig="420" w14:anchorId="30A361DF">
          <v:shape id="_x0000_i1185" type="#_x0000_t75" style="width:105.85pt;height:21pt" o:ole="" o:preferrelative="f">
            <v:imagedata r:id="rId307" o:title=""/>
            <o:lock v:ext="edit" aspectratio="f"/>
          </v:shape>
          <o:OLEObject Type="Embed" ProgID="Equation.DSMT4" ShapeID="_x0000_i1185" DrawAspect="Content" ObjectID="_1778701016" r:id="rId308"/>
        </w:object>
      </w:r>
      <w:r w:rsidRPr="00163851">
        <w:rPr>
          <w:szCs w:val="24"/>
        </w:rPr>
        <w:t xml:space="preserve">, </w:t>
      </w:r>
      <w:r w:rsidR="0084210A" w:rsidRPr="00064637">
        <w:rPr>
          <w:position w:val="-14"/>
        </w:rPr>
        <w:object w:dxaOrig="2079" w:dyaOrig="420" w14:anchorId="06EE848D">
          <v:shape id="_x0000_i1186" type="#_x0000_t75" style="width:103.7pt;height:21pt" o:ole="" o:preferrelative="f">
            <v:imagedata r:id="rId309" o:title=""/>
            <o:lock v:ext="edit" aspectratio="f"/>
          </v:shape>
          <o:OLEObject Type="Embed" ProgID="Equation.DSMT4" ShapeID="_x0000_i1186" DrawAspect="Content" ObjectID="_1778701017" r:id="rId310"/>
        </w:object>
      </w:r>
      <w:r w:rsidRPr="00163851">
        <w:rPr>
          <w:szCs w:val="24"/>
        </w:rPr>
        <w:t>,</w:t>
      </w:r>
      <w:r w:rsidR="0084210A" w:rsidRPr="00064637">
        <w:rPr>
          <w:position w:val="-14"/>
        </w:rPr>
        <w:object w:dxaOrig="2299" w:dyaOrig="420" w14:anchorId="075FD537">
          <v:shape id="_x0000_i1187" type="#_x0000_t75" style="width:115.7pt;height:21pt" o:ole="" o:preferrelative="f">
            <v:imagedata r:id="rId311" o:title=""/>
            <o:lock v:ext="edit" aspectratio="f"/>
          </v:shape>
          <o:OLEObject Type="Embed" ProgID="Equation.DSMT4" ShapeID="_x0000_i1187" DrawAspect="Content" ObjectID="_1778701018" r:id="rId312"/>
        </w:object>
      </w:r>
      <w:r>
        <w:rPr>
          <w:szCs w:val="24"/>
        </w:rPr>
        <w:t xml:space="preserve">, </w:t>
      </w:r>
      <w:r w:rsidR="0084210A" w:rsidRPr="00064637">
        <w:rPr>
          <w:position w:val="-14"/>
        </w:rPr>
        <w:object w:dxaOrig="4180" w:dyaOrig="420" w14:anchorId="0283571B">
          <v:shape id="_x0000_i1188" type="#_x0000_t75" style="width:208.7pt;height:21pt" o:ole="" o:preferrelative="f">
            <v:imagedata r:id="rId313" o:title=""/>
            <o:lock v:ext="edit" aspectratio="f"/>
          </v:shape>
          <o:OLEObject Type="Embed" ProgID="Equation.DSMT4" ShapeID="_x0000_i1188" DrawAspect="Content" ObjectID="_1778701019" r:id="rId314"/>
        </w:object>
      </w:r>
      <w:r w:rsidRPr="00163851">
        <w:rPr>
          <w:szCs w:val="24"/>
        </w:rPr>
        <w:t xml:space="preserve">, </w:t>
      </w:r>
      <w:r w:rsidR="0084210A" w:rsidRPr="00064637">
        <w:rPr>
          <w:position w:val="-14"/>
        </w:rPr>
        <w:object w:dxaOrig="3940" w:dyaOrig="420" w14:anchorId="03B15C29">
          <v:shape id="_x0000_i1189" type="#_x0000_t75" style="width:197.15pt;height:21pt" o:ole="" o:preferrelative="f">
            <v:imagedata r:id="rId315" o:title=""/>
            <o:lock v:ext="edit" aspectratio="f"/>
          </v:shape>
          <o:OLEObject Type="Embed" ProgID="Equation.DSMT4" ShapeID="_x0000_i1189" DrawAspect="Content" ObjectID="_1778701020" r:id="rId316"/>
        </w:object>
      </w:r>
      <w:r w:rsidRPr="00163851">
        <w:rPr>
          <w:szCs w:val="24"/>
        </w:rPr>
        <w:t xml:space="preserve">, </w:t>
      </w:r>
      <w:r w:rsidR="0084210A" w:rsidRPr="00163851">
        <w:rPr>
          <w:rFonts w:eastAsia="Calibri"/>
          <w:position w:val="-20"/>
          <w:szCs w:val="24"/>
        </w:rPr>
        <w:object w:dxaOrig="2385" w:dyaOrig="480" w14:anchorId="462950F6">
          <v:shape id="_x0000_i1190" type="#_x0000_t75" style="width:120.85pt;height:24pt" o:ole="" o:preferrelative="f">
            <v:imagedata r:id="rId317" o:title=""/>
            <o:lock v:ext="edit" aspectratio="f"/>
          </v:shape>
          <o:OLEObject Type="Embed" ProgID="Equation.DSMT4" ShapeID="_x0000_i1190" DrawAspect="Content" ObjectID="_1778701021" r:id="rId318"/>
        </w:object>
      </w:r>
      <w:r w:rsidRPr="00163851">
        <w:rPr>
          <w:szCs w:val="24"/>
        </w:rPr>
        <w:t xml:space="preserve">, and </w:t>
      </w:r>
      <w:r w:rsidR="0084210A" w:rsidRPr="00163851">
        <w:rPr>
          <w:rFonts w:eastAsia="Calibri"/>
          <w:position w:val="-18"/>
          <w:szCs w:val="24"/>
        </w:rPr>
        <w:object w:dxaOrig="2565" w:dyaOrig="435" w14:anchorId="3A13C373">
          <v:shape id="_x0000_i1191" type="#_x0000_t75" style="width:131.15pt;height:23.15pt" o:ole="" o:preferrelative="f">
            <v:imagedata r:id="rId319" o:title=""/>
            <o:lock v:ext="edit" aspectratio="f"/>
          </v:shape>
          <o:OLEObject Type="Embed" ProgID="Equation.3" ShapeID="_x0000_i1191" DrawAspect="Content" ObjectID="_1778701022" r:id="rId320"/>
        </w:object>
      </w:r>
      <w:r w:rsidRPr="00163851">
        <w:rPr>
          <w:szCs w:val="24"/>
        </w:rPr>
        <w:t>.</w:t>
      </w:r>
    </w:p>
    <w:p w14:paraId="2F097707" w14:textId="555BFDA9" w:rsidR="000F34B3" w:rsidRDefault="000F34B3" w:rsidP="000F34B3">
      <w:pPr>
        <w:spacing w:after="0" w:line="240" w:lineRule="auto"/>
        <w:ind w:firstLine="720"/>
        <w:rPr>
          <w:szCs w:val="24"/>
        </w:rPr>
      </w:pPr>
      <w:r w:rsidRPr="00163851">
        <w:rPr>
          <w:szCs w:val="24"/>
        </w:rPr>
        <w:t>The multivariate normal cumulative distribution (MVNCD) function in Equation (1</w:t>
      </w:r>
      <w:r>
        <w:rPr>
          <w:szCs w:val="24"/>
        </w:rPr>
        <w:t>3</w:t>
      </w:r>
      <w:r w:rsidRPr="00163851">
        <w:rPr>
          <w:szCs w:val="24"/>
        </w:rPr>
        <w:t xml:space="preserve">) is of dimension </w:t>
      </w:r>
      <w:r w:rsidR="0084210A" w:rsidRPr="00163851">
        <w:rPr>
          <w:rFonts w:eastAsia="Calibri"/>
          <w:position w:val="-14"/>
          <w:szCs w:val="24"/>
        </w:rPr>
        <w:object w:dxaOrig="560" w:dyaOrig="380" w14:anchorId="233DF862">
          <v:shape id="_x0000_i1192" type="#_x0000_t75" style="width:28.7pt;height:18.85pt" o:ole="" o:preferrelative="f">
            <v:imagedata r:id="rId321" o:title=""/>
            <o:lock v:ext="edit" aspectratio="f"/>
          </v:shape>
          <o:OLEObject Type="Embed" ProgID="Equation.DSMT4" ShapeID="_x0000_i1192" DrawAspect="Content" ObjectID="_1778701023" r:id="rId322"/>
        </w:object>
      </w:r>
      <w:r w:rsidRPr="00163851">
        <w:rPr>
          <w:szCs w:val="24"/>
        </w:rPr>
        <w:t>, which can have a dimensionality of up to (</w:t>
      </w:r>
      <w:r w:rsidRPr="00163851">
        <w:rPr>
          <w:i/>
          <w:szCs w:val="24"/>
        </w:rPr>
        <w:t>K</w:t>
      </w:r>
      <w:r w:rsidRPr="00163851">
        <w:rPr>
          <w:szCs w:val="24"/>
        </w:rPr>
        <w:t xml:space="preserve">–1). The positive-definiteness of </w:t>
      </w:r>
      <w:r w:rsidR="0084210A" w:rsidRPr="00163851">
        <w:rPr>
          <w:rFonts w:eastAsia="Calibri"/>
          <w:position w:val="-4"/>
          <w:szCs w:val="24"/>
        </w:rPr>
        <w:object w:dxaOrig="270" w:dyaOrig="270" w14:anchorId="1B6E86C5">
          <v:shape id="_x0000_i1193" type="#_x0000_t75" style="width:12.85pt;height:12.85pt" o:ole="" o:preferrelative="f">
            <v:imagedata r:id="rId174" o:title=""/>
            <o:lock v:ext="edit" aspectratio="f"/>
          </v:shape>
          <o:OLEObject Type="Embed" ProgID="Equation.DSMT4" ShapeID="_x0000_i1193" DrawAspect="Content" ObjectID="_1778701024" r:id="rId323"/>
        </w:object>
      </w:r>
      <w:r w:rsidRPr="00163851">
        <w:rPr>
          <w:szCs w:val="24"/>
        </w:rPr>
        <w:t xml:space="preserve"> can be ensured by using a Cholesky-decomposition method and estimating these Cholesky-decomposed parameters.</w:t>
      </w:r>
    </w:p>
    <w:p w14:paraId="192820EF" w14:textId="77777777" w:rsidR="000F34B3" w:rsidRPr="00163851" w:rsidRDefault="000F34B3" w:rsidP="000F34B3">
      <w:pPr>
        <w:spacing w:after="0" w:line="240" w:lineRule="auto"/>
        <w:ind w:firstLine="720"/>
        <w:rPr>
          <w:szCs w:val="24"/>
        </w:rPr>
      </w:pPr>
    </w:p>
    <w:p w14:paraId="33843F0D" w14:textId="2DBD589B" w:rsidR="000F34B3" w:rsidRPr="00163851" w:rsidRDefault="005E6B2B" w:rsidP="005E6B2B">
      <w:pPr>
        <w:pStyle w:val="Heading2"/>
      </w:pPr>
      <w:r>
        <w:t xml:space="preserve"> </w:t>
      </w:r>
      <w:r w:rsidR="000F34B3" w:rsidRPr="00163851">
        <w:t>Latent Segmentation Model</w:t>
      </w:r>
    </w:p>
    <w:p w14:paraId="7373A179" w14:textId="387CE931" w:rsidR="000F34B3" w:rsidRPr="00163851" w:rsidRDefault="000F34B3" w:rsidP="000F34B3">
      <w:pPr>
        <w:spacing w:after="0" w:line="240" w:lineRule="auto"/>
        <w:rPr>
          <w:szCs w:val="24"/>
        </w:rPr>
      </w:pPr>
      <w:r w:rsidRPr="00163851">
        <w:rPr>
          <w:szCs w:val="24"/>
        </w:rPr>
        <w:t>The derivation thus far discusses the joint modeling framework</w:t>
      </w:r>
      <w:r w:rsidR="00FC4A39">
        <w:rPr>
          <w:szCs w:val="24"/>
        </w:rPr>
        <w:t xml:space="preserve"> assuming we know the</w:t>
      </w:r>
      <w:r w:rsidR="003325AC">
        <w:rPr>
          <w:szCs w:val="24"/>
        </w:rPr>
        <w:t xml:space="preserve"> </w:t>
      </w:r>
      <w:r w:rsidR="00BB7DD2">
        <w:rPr>
          <w:szCs w:val="24"/>
        </w:rPr>
        <w:t>causal directionality</w:t>
      </w:r>
      <w:r w:rsidR="003325AC">
        <w:rPr>
          <w:szCs w:val="24"/>
        </w:rPr>
        <w:t xml:space="preserve"> (</w:t>
      </w:r>
      <w:r w:rsidR="00BB7DD2">
        <w:rPr>
          <w:szCs w:val="24"/>
        </w:rPr>
        <w:t>whether the TC or CT causal direction) at play for the individual</w:t>
      </w:r>
      <w:r w:rsidR="00FC4A39">
        <w:rPr>
          <w:szCs w:val="24"/>
        </w:rPr>
        <w:t>. That is, the probability in Equation (1</w:t>
      </w:r>
      <w:r w:rsidR="00C10567">
        <w:rPr>
          <w:szCs w:val="24"/>
        </w:rPr>
        <w:t>3</w:t>
      </w:r>
      <w:r w:rsidR="00FC4A39">
        <w:rPr>
          <w:szCs w:val="24"/>
        </w:rPr>
        <w:t xml:space="preserve">) is for the </w:t>
      </w:r>
      <w:r w:rsidR="003325AC">
        <w:rPr>
          <w:szCs w:val="24"/>
        </w:rPr>
        <w:t xml:space="preserve">(TC or CT) </w:t>
      </w:r>
      <w:r w:rsidR="00FC4A39">
        <w:rPr>
          <w:szCs w:val="24"/>
        </w:rPr>
        <w:t xml:space="preserve">segment </w:t>
      </w:r>
      <w:r w:rsidR="007260AD">
        <w:rPr>
          <w:szCs w:val="24"/>
        </w:rPr>
        <w:t xml:space="preserve">to which </w:t>
      </w:r>
      <w:r w:rsidR="00FC4A39">
        <w:rPr>
          <w:szCs w:val="24"/>
        </w:rPr>
        <w:t>the individual</w:t>
      </w:r>
      <w:r w:rsidR="007260AD">
        <w:rPr>
          <w:szCs w:val="24"/>
        </w:rPr>
        <w:t xml:space="preserve"> belongs</w:t>
      </w:r>
      <w:r w:rsidR="00FC4A39">
        <w:rPr>
          <w:szCs w:val="24"/>
        </w:rPr>
        <w:t xml:space="preserve">. </w:t>
      </w:r>
      <w:r w:rsidR="00BB7DD2">
        <w:rPr>
          <w:szCs w:val="24"/>
        </w:rPr>
        <w:t xml:space="preserve">However, we do not observe </w:t>
      </w:r>
      <w:r w:rsidR="003325AC">
        <w:rPr>
          <w:szCs w:val="24"/>
        </w:rPr>
        <w:t>this causal direction</w:t>
      </w:r>
      <w:r w:rsidR="00C933B7">
        <w:rPr>
          <w:szCs w:val="24"/>
        </w:rPr>
        <w:t>ality</w:t>
      </w:r>
      <w:r w:rsidR="00BB7DD2">
        <w:rPr>
          <w:szCs w:val="24"/>
        </w:rPr>
        <w:t>.</w:t>
      </w:r>
      <w:r w:rsidR="00F9551D">
        <w:rPr>
          <w:rStyle w:val="FootnoteReference"/>
          <w:szCs w:val="24"/>
        </w:rPr>
        <w:footnoteReference w:id="8"/>
      </w:r>
      <w:r w:rsidR="00BB7DD2">
        <w:rPr>
          <w:szCs w:val="24"/>
        </w:rPr>
        <w:t xml:space="preserve"> </w:t>
      </w:r>
      <w:r w:rsidR="00224BE9">
        <w:rPr>
          <w:szCs w:val="24"/>
        </w:rPr>
        <w:t xml:space="preserve">Thus, we use a latent segmentation </w:t>
      </w:r>
      <w:r w:rsidR="00224BE9">
        <w:rPr>
          <w:szCs w:val="24"/>
        </w:rPr>
        <w:lastRenderedPageBreak/>
        <w:t>approach</w:t>
      </w:r>
      <w:r w:rsidR="007260AD">
        <w:rPr>
          <w:szCs w:val="24"/>
        </w:rPr>
        <w:t xml:space="preserve"> in our analysis</w:t>
      </w:r>
      <w:r w:rsidR="002E0E55">
        <w:rPr>
          <w:szCs w:val="24"/>
        </w:rPr>
        <w:t xml:space="preserve">, in which we write the probability of the individual being in segment </w:t>
      </w:r>
      <w:r w:rsidR="002E0E55" w:rsidRPr="004817C2">
        <w:rPr>
          <w:i/>
          <w:iCs/>
          <w:szCs w:val="24"/>
        </w:rPr>
        <w:t>h</w:t>
      </w:r>
      <w:r w:rsidR="002E0E55">
        <w:rPr>
          <w:szCs w:val="24"/>
        </w:rPr>
        <w:t xml:space="preserve"> </w:t>
      </w:r>
      <w:r w:rsidR="007260AD">
        <w:rPr>
          <w:szCs w:val="24"/>
        </w:rPr>
        <w:t xml:space="preserve">(whether in the TC or CT segment) </w:t>
      </w:r>
      <w:r w:rsidR="002E0E55">
        <w:rPr>
          <w:szCs w:val="24"/>
        </w:rPr>
        <w:t xml:space="preserve">itself as a function </w:t>
      </w:r>
      <w:r w:rsidR="002E0E55" w:rsidRPr="00163851">
        <w:rPr>
          <w:szCs w:val="24"/>
        </w:rPr>
        <w:t>of individual exogenous variables</w:t>
      </w:r>
      <w:r w:rsidR="002E0E55">
        <w:rPr>
          <w:szCs w:val="24"/>
        </w:rPr>
        <w:t>.</w:t>
      </w:r>
      <w:r w:rsidR="002E0E55">
        <w:rPr>
          <w:rStyle w:val="FootnoteReference"/>
          <w:szCs w:val="24"/>
        </w:rPr>
        <w:footnoteReference w:id="9"/>
      </w:r>
      <w:r w:rsidR="002E0E55">
        <w:rPr>
          <w:szCs w:val="24"/>
        </w:rPr>
        <w:t xml:space="preserve"> </w:t>
      </w:r>
      <w:r w:rsidRPr="00163851">
        <w:rPr>
          <w:szCs w:val="24"/>
        </w:rPr>
        <w:t>In th</w:t>
      </w:r>
      <w:r w:rsidR="00C10567">
        <w:rPr>
          <w:szCs w:val="24"/>
        </w:rPr>
        <w:t>is</w:t>
      </w:r>
      <w:r w:rsidRPr="00163851">
        <w:rPr>
          <w:szCs w:val="24"/>
        </w:rPr>
        <w:t xml:space="preserve"> latent segmentation approach, the</w:t>
      </w:r>
      <w:r w:rsidR="00C933B7">
        <w:rPr>
          <w:szCs w:val="24"/>
        </w:rPr>
        <w:t xml:space="preserve"> probability of the </w:t>
      </w:r>
      <w:r w:rsidR="00164BD0">
        <w:rPr>
          <w:szCs w:val="24"/>
        </w:rPr>
        <w:t xml:space="preserve">observed WPL fractions and commute distance </w:t>
      </w:r>
      <w:r w:rsidRPr="00163851">
        <w:rPr>
          <w:szCs w:val="24"/>
        </w:rPr>
        <w:t>in Equation (1</w:t>
      </w:r>
      <w:r>
        <w:rPr>
          <w:szCs w:val="24"/>
        </w:rPr>
        <w:t>3</w:t>
      </w:r>
      <w:r w:rsidRPr="00163851">
        <w:rPr>
          <w:szCs w:val="24"/>
        </w:rPr>
        <w:t xml:space="preserve">) is specific to a particular segment, </w:t>
      </w:r>
      <w:r w:rsidRPr="00163851">
        <w:rPr>
          <w:i/>
          <w:szCs w:val="24"/>
        </w:rPr>
        <w:t>h</w:t>
      </w:r>
      <w:r w:rsidRPr="00163851">
        <w:rPr>
          <w:szCs w:val="24"/>
        </w:rPr>
        <w:t xml:space="preserve">, which may be represented as </w:t>
      </w:r>
      <w:r w:rsidR="006702DD" w:rsidRPr="00164BD0">
        <w:rPr>
          <w:rFonts w:eastAsia="Calibri"/>
          <w:position w:val="-14"/>
          <w:szCs w:val="24"/>
        </w:rPr>
        <w:object w:dxaOrig="2400" w:dyaOrig="400" w14:anchorId="0DF68E3A">
          <v:shape id="_x0000_i1194" type="#_x0000_t75" style="width:120pt;height:20.15pt" o:ole="" o:preferrelative="f">
            <v:imagedata r:id="rId324" o:title=""/>
            <o:lock v:ext="edit" aspectratio="f"/>
          </v:shape>
          <o:OLEObject Type="Embed" ProgID="Equation.DSMT4" ShapeID="_x0000_i1194" DrawAspect="Content" ObjectID="_1778701025" r:id="rId325"/>
        </w:object>
      </w:r>
      <w:r w:rsidR="00B879A6">
        <w:rPr>
          <w:szCs w:val="24"/>
        </w:rPr>
        <w:t xml:space="preserve">with </w:t>
      </w:r>
      <w:r w:rsidRPr="00163851">
        <w:rPr>
          <w:szCs w:val="24"/>
        </w:rPr>
        <w:t xml:space="preserve">parameters </w:t>
      </w:r>
      <w:r w:rsidR="0084210A" w:rsidRPr="00163851">
        <w:rPr>
          <w:rFonts w:eastAsia="Calibri"/>
          <w:noProof/>
          <w:position w:val="-26"/>
          <w:szCs w:val="24"/>
        </w:rPr>
        <w:object w:dxaOrig="3500" w:dyaOrig="740" w14:anchorId="5B457A85">
          <v:shape id="_x0000_i1195" type="#_x0000_t75" style="width:174.85pt;height:36.85pt" o:ole="" o:preferrelative="f">
            <v:imagedata r:id="rId326" o:title=""/>
            <o:lock v:ext="edit" aspectratio="f"/>
          </v:shape>
          <o:OLEObject Type="Embed" ProgID="Equation.DSMT4" ShapeID="_x0000_i1195" DrawAspect="Content" ObjectID="_1778701026" r:id="rId327"/>
        </w:object>
      </w:r>
      <w:r>
        <w:rPr>
          <w:rFonts w:eastAsia="Calibri"/>
          <w:noProof/>
          <w:szCs w:val="24"/>
        </w:rPr>
        <w:t xml:space="preserve"> </w:t>
      </w:r>
      <w:r w:rsidRPr="00163851">
        <w:rPr>
          <w:noProof/>
          <w:szCs w:val="24"/>
        </w:rPr>
        <w:t>specific to latent segment</w:t>
      </w:r>
      <w:r w:rsidR="00B879A6">
        <w:rPr>
          <w:noProof/>
          <w:szCs w:val="24"/>
        </w:rPr>
        <w:t xml:space="preserve"> </w:t>
      </w:r>
      <w:r w:rsidR="00B879A6" w:rsidRPr="004817C2">
        <w:rPr>
          <w:i/>
          <w:iCs/>
          <w:noProof/>
          <w:szCs w:val="24"/>
        </w:rPr>
        <w:t>h</w:t>
      </w:r>
      <w:r w:rsidRPr="00163851">
        <w:rPr>
          <w:noProof/>
          <w:szCs w:val="24"/>
        </w:rPr>
        <w:t>.</w:t>
      </w:r>
      <w:r w:rsidRPr="00163851">
        <w:rPr>
          <w:szCs w:val="24"/>
        </w:rPr>
        <w:t xml:space="preserve"> Although the actual assignment of individual </w:t>
      </w:r>
      <w:r w:rsidRPr="00163851">
        <w:rPr>
          <w:i/>
          <w:szCs w:val="24"/>
        </w:rPr>
        <w:t>q</w:t>
      </w:r>
      <w:r w:rsidRPr="00163851">
        <w:rPr>
          <w:szCs w:val="24"/>
        </w:rPr>
        <w:t xml:space="preserve"> to a specific segment is not observed, it is possible to attribute a probability </w:t>
      </w:r>
      <w:r w:rsidR="0084210A" w:rsidRPr="00163851">
        <w:rPr>
          <w:rFonts w:eastAsia="Calibri"/>
          <w:noProof/>
          <w:position w:val="-14"/>
          <w:szCs w:val="24"/>
        </w:rPr>
        <w:object w:dxaOrig="4880" w:dyaOrig="380" w14:anchorId="137A22B3">
          <v:shape id="_x0000_i1196" type="#_x0000_t75" alt="" style="width:243.85pt;height:18.85pt" o:ole="" o:preferrelative="f">
            <v:imagedata r:id="rId328" o:title=""/>
            <o:lock v:ext="edit" aspectratio="f"/>
          </v:shape>
          <o:OLEObject Type="Embed" ProgID="Equation.DSMT4" ShapeID="_x0000_i1196" DrawAspect="Content" ObjectID="_1778701027" r:id="rId329"/>
        </w:object>
      </w:r>
      <w:r w:rsidRPr="00163851">
        <w:rPr>
          <w:szCs w:val="24"/>
        </w:rPr>
        <w:t xml:space="preserve"> to individual </w:t>
      </w:r>
      <w:r w:rsidRPr="00163851">
        <w:rPr>
          <w:i/>
          <w:szCs w:val="24"/>
        </w:rPr>
        <w:t>q</w:t>
      </w:r>
      <w:r w:rsidRPr="00163851">
        <w:rPr>
          <w:szCs w:val="24"/>
        </w:rPr>
        <w:t xml:space="preserve"> belonging to segment </w:t>
      </w:r>
      <w:r w:rsidRPr="00163851">
        <w:rPr>
          <w:i/>
          <w:szCs w:val="24"/>
        </w:rPr>
        <w:t>h</w:t>
      </w:r>
      <w:r w:rsidRPr="00163851">
        <w:rPr>
          <w:szCs w:val="24"/>
        </w:rPr>
        <w:t xml:space="preserve">. The conditions that </w:t>
      </w:r>
      <w:r w:rsidR="0084210A" w:rsidRPr="00163851">
        <w:rPr>
          <w:rFonts w:eastAsia="Calibri"/>
          <w:noProof/>
          <w:position w:val="-14"/>
          <w:szCs w:val="24"/>
        </w:rPr>
        <w:object w:dxaOrig="1035" w:dyaOrig="360" w14:anchorId="4F91F376">
          <v:shape id="_x0000_i1197" type="#_x0000_t75" alt="" style="width:51.85pt;height:18.85pt;mso-width-percent:0;mso-height-percent:0;mso-width-percent:0;mso-height-percent:0" o:ole="" o:preferrelative="f">
            <v:imagedata r:id="rId330" o:title=""/>
            <o:lock v:ext="edit" aspectratio="f"/>
          </v:shape>
          <o:OLEObject Type="Embed" ProgID="Equation.3" ShapeID="_x0000_i1197" DrawAspect="Content" ObjectID="_1778701028" r:id="rId331"/>
        </w:object>
      </w:r>
      <w:r w:rsidRPr="00163851">
        <w:rPr>
          <w:szCs w:val="24"/>
        </w:rPr>
        <w:t xml:space="preserve"> and </w:t>
      </w:r>
      <w:r w:rsidR="0084210A" w:rsidRPr="00163851">
        <w:rPr>
          <w:rFonts w:eastAsia="Calibri"/>
          <w:noProof/>
          <w:position w:val="-28"/>
          <w:szCs w:val="24"/>
        </w:rPr>
        <w:object w:dxaOrig="990" w:dyaOrig="705" w14:anchorId="2D35C5D1">
          <v:shape id="_x0000_i1198" type="#_x0000_t75" alt="" style="width:48.85pt;height:33.85pt;mso-width-percent:0;mso-height-percent:0;mso-width-percent:0;mso-height-percent:0" o:ole="" o:preferrelative="f">
            <v:imagedata r:id="rId332" o:title=""/>
            <o:lock v:ext="edit" aspectratio="f"/>
          </v:shape>
          <o:OLEObject Type="Embed" ProgID="Equation.3" ShapeID="_x0000_i1198" DrawAspect="Content" ObjectID="_1778701029" r:id="rId333"/>
        </w:object>
      </w:r>
      <w:r w:rsidRPr="00163851">
        <w:rPr>
          <w:szCs w:val="24"/>
        </w:rPr>
        <w:t xml:space="preserve"> must be met. To enforce these restrictions, following Bhat (1997), the following logit link function is used:</w:t>
      </w:r>
    </w:p>
    <w:p w14:paraId="3606914C" w14:textId="0213EBF6" w:rsidR="000F34B3" w:rsidRPr="00163851" w:rsidRDefault="0084210A" w:rsidP="00C31072">
      <w:pPr>
        <w:tabs>
          <w:tab w:val="right" w:pos="9360"/>
        </w:tabs>
        <w:spacing w:before="60" w:after="0" w:line="240" w:lineRule="auto"/>
        <w:rPr>
          <w:szCs w:val="24"/>
        </w:rPr>
      </w:pPr>
      <w:r w:rsidRPr="00163851">
        <w:rPr>
          <w:rFonts w:eastAsia="Calibri"/>
          <w:noProof/>
          <w:position w:val="-62"/>
          <w:szCs w:val="24"/>
        </w:rPr>
        <w:object w:dxaOrig="1880" w:dyaOrig="1040" w14:anchorId="02F2B580">
          <v:shape id="_x0000_i1199" type="#_x0000_t75" alt="" style="width:94.3pt;height:51.85pt" o:ole="" o:preferrelative="f">
            <v:imagedata r:id="rId334" o:title=""/>
            <o:lock v:ext="edit" aspectratio="f"/>
          </v:shape>
          <o:OLEObject Type="Embed" ProgID="Equation.DSMT4" ShapeID="_x0000_i1199" DrawAspect="Content" ObjectID="_1778701030" r:id="rId335"/>
        </w:object>
      </w:r>
      <w:r w:rsidR="000F34B3" w:rsidRPr="00163851">
        <w:rPr>
          <w:szCs w:val="24"/>
        </w:rPr>
        <w:t xml:space="preserve">, </w:t>
      </w:r>
      <w:r w:rsidR="000F34B3" w:rsidRPr="00163851">
        <w:rPr>
          <w:szCs w:val="24"/>
        </w:rPr>
        <w:tab/>
        <w:t>(</w:t>
      </w:r>
      <w:r w:rsidR="000F34B3">
        <w:rPr>
          <w:szCs w:val="24"/>
        </w:rPr>
        <w:t>14</w:t>
      </w:r>
      <w:r w:rsidR="000F34B3" w:rsidRPr="00163851">
        <w:rPr>
          <w:szCs w:val="24"/>
        </w:rPr>
        <w:t>)</w:t>
      </w:r>
    </w:p>
    <w:p w14:paraId="3500F1A4" w14:textId="70E863D0" w:rsidR="000F34B3" w:rsidRPr="00163851" w:rsidRDefault="00B879A6" w:rsidP="000F34B3">
      <w:pPr>
        <w:spacing w:after="0" w:line="240" w:lineRule="auto"/>
        <w:rPr>
          <w:szCs w:val="24"/>
        </w:rPr>
      </w:pPr>
      <w:r>
        <w:rPr>
          <w:szCs w:val="24"/>
        </w:rPr>
        <w:t>w</w:t>
      </w:r>
      <w:r w:rsidR="000F34B3" w:rsidRPr="00163851">
        <w:rPr>
          <w:szCs w:val="24"/>
        </w:rPr>
        <w:t xml:space="preserve">here, </w:t>
      </w:r>
      <w:r w:rsidR="0084210A" w:rsidRPr="00F21152">
        <w:rPr>
          <w:position w:val="-12"/>
        </w:rPr>
        <w:object w:dxaOrig="279" w:dyaOrig="360" w14:anchorId="3D531692">
          <v:shape id="_x0000_i1200" type="#_x0000_t75" style="width:13.7pt;height:17.15pt" o:ole="">
            <v:imagedata r:id="rId336" o:title=""/>
          </v:shape>
          <o:OLEObject Type="Embed" ProgID="Equation.DSMT4" ShapeID="_x0000_i1200" DrawAspect="Content" ObjectID="_1778701031" r:id="rId337"/>
        </w:object>
      </w:r>
      <w:r w:rsidR="00835A11">
        <w:t xml:space="preserve"> </w:t>
      </w:r>
      <w:r w:rsidR="000F34B3" w:rsidRPr="00163851">
        <w:rPr>
          <w:szCs w:val="24"/>
        </w:rPr>
        <w:t>is the corresponding (</w:t>
      </w:r>
      <w:r w:rsidR="000F34B3" w:rsidRPr="00163851">
        <w:rPr>
          <w:i/>
          <w:szCs w:val="24"/>
        </w:rPr>
        <w:t>J×</w:t>
      </w:r>
      <w:r w:rsidR="000F34B3" w:rsidRPr="00163851">
        <w:rPr>
          <w:szCs w:val="24"/>
        </w:rPr>
        <w:t xml:space="preserve">1) vector of parameters specific to segment </w:t>
      </w:r>
      <w:r w:rsidR="000F34B3" w:rsidRPr="00163851">
        <w:rPr>
          <w:i/>
          <w:szCs w:val="24"/>
        </w:rPr>
        <w:t>h</w:t>
      </w:r>
      <w:r w:rsidR="000F34B3" w:rsidRPr="00163851">
        <w:rPr>
          <w:szCs w:val="24"/>
        </w:rPr>
        <w:t xml:space="preserve">, </w:t>
      </w:r>
      <w:r w:rsidR="0084210A" w:rsidRPr="00F21152">
        <w:rPr>
          <w:position w:val="-14"/>
        </w:rPr>
        <w:object w:dxaOrig="279" w:dyaOrig="380" w14:anchorId="10B1A52D">
          <v:shape id="_x0000_i1201" type="#_x0000_t75" style="width:14.15pt;height:18.85pt" o:ole="" o:preferrelative="f">
            <v:imagedata r:id="rId338" o:title=""/>
            <o:lock v:ext="edit" aspectratio="f"/>
          </v:shape>
          <o:OLEObject Type="Embed" ProgID="Equation.DSMT4" ShapeID="_x0000_i1201" DrawAspect="Content" ObjectID="_1778701032" r:id="rId339"/>
        </w:object>
      </w:r>
      <w:r w:rsidR="00835A11">
        <w:t xml:space="preserve">is the corresponding </w:t>
      </w:r>
      <w:r w:rsidR="00835A11" w:rsidRPr="00163851">
        <w:rPr>
          <w:szCs w:val="24"/>
        </w:rPr>
        <w:t>(</w:t>
      </w:r>
      <w:r w:rsidR="00835A11" w:rsidRPr="00163851">
        <w:rPr>
          <w:i/>
          <w:szCs w:val="24"/>
        </w:rPr>
        <w:t>J×</w:t>
      </w:r>
      <w:r w:rsidR="00835A11" w:rsidRPr="00163851">
        <w:rPr>
          <w:szCs w:val="24"/>
        </w:rPr>
        <w:t>1) vector of</w:t>
      </w:r>
      <w:r w:rsidR="00835A11">
        <w:rPr>
          <w:szCs w:val="24"/>
        </w:rPr>
        <w:t xml:space="preserve"> individual characteristics of individual </w:t>
      </w:r>
      <w:r w:rsidR="00835A11">
        <w:rPr>
          <w:i/>
          <w:szCs w:val="24"/>
        </w:rPr>
        <w:t>q</w:t>
      </w:r>
      <w:r w:rsidR="00835A11">
        <w:rPr>
          <w:szCs w:val="24"/>
        </w:rPr>
        <w:t>,</w:t>
      </w:r>
      <w:r w:rsidR="00835A11">
        <w:t xml:space="preserve"> </w:t>
      </w:r>
      <w:r w:rsidR="000F34B3" w:rsidRPr="00163851">
        <w:rPr>
          <w:szCs w:val="24"/>
        </w:rPr>
        <w:t xml:space="preserve">and </w:t>
      </w:r>
      <w:r w:rsidR="0084210A" w:rsidRPr="00F21152">
        <w:rPr>
          <w:position w:val="-12"/>
        </w:rPr>
        <w:object w:dxaOrig="700" w:dyaOrig="360" w14:anchorId="421D49ED">
          <v:shape id="_x0000_i1202" type="#_x0000_t75" style="width:35.15pt;height:18pt" o:ole="" o:preferrelative="f">
            <v:imagedata r:id="rId340" o:title=""/>
            <o:lock v:ext="edit" aspectratio="f"/>
          </v:shape>
          <o:OLEObject Type="Embed" ProgID="Equation.DSMT4" ShapeID="_x0000_i1202" DrawAspect="Content" ObjectID="_1778701033" r:id="rId341"/>
        </w:object>
      </w:r>
      <w:r w:rsidR="000F34B3" w:rsidRPr="00163851">
        <w:rPr>
          <w:szCs w:val="24"/>
        </w:rPr>
        <w:t xml:space="preserve"> serves as a vector identification condition. Defining </w:t>
      </w:r>
      <w:r w:rsidR="00F623DC" w:rsidRPr="00163851">
        <w:rPr>
          <w:rFonts w:eastAsia="Calibri"/>
          <w:noProof/>
          <w:position w:val="-12"/>
          <w:szCs w:val="24"/>
        </w:rPr>
        <w:object w:dxaOrig="2540" w:dyaOrig="360" w14:anchorId="0D742439">
          <v:shape id="_x0000_i1203" type="#_x0000_t75" alt="" style="width:127.3pt;height:18pt" o:ole="" o:preferrelative="f">
            <v:imagedata r:id="rId342" o:title=""/>
            <o:lock v:ext="edit" aspectratio="f"/>
          </v:shape>
          <o:OLEObject Type="Embed" ProgID="Equation.DSMT4" ShapeID="_x0000_i1203" DrawAspect="Content" ObjectID="_1778701034" r:id="rId343"/>
        </w:object>
      </w:r>
      <w:r w:rsidR="000F34B3" w:rsidRPr="00163851">
        <w:rPr>
          <w:szCs w:val="24"/>
        </w:rPr>
        <w:t xml:space="preserve"> then the </w:t>
      </w:r>
      <w:r w:rsidR="00164BD0">
        <w:rPr>
          <w:szCs w:val="24"/>
        </w:rPr>
        <w:t xml:space="preserve">overall probability of the observed WPL fractions and commute distance (that is, the </w:t>
      </w:r>
      <w:r w:rsidR="000F34B3" w:rsidRPr="00163851">
        <w:rPr>
          <w:szCs w:val="24"/>
        </w:rPr>
        <w:t xml:space="preserve">likelihood function for individual </w:t>
      </w:r>
      <w:r w:rsidR="000F34B3" w:rsidRPr="00163851">
        <w:rPr>
          <w:i/>
          <w:szCs w:val="24"/>
        </w:rPr>
        <w:t>q</w:t>
      </w:r>
      <w:r w:rsidR="00164BD0">
        <w:rPr>
          <w:szCs w:val="24"/>
        </w:rPr>
        <w:t xml:space="preserve">) </w:t>
      </w:r>
      <w:r w:rsidR="000F34B3" w:rsidRPr="00163851">
        <w:rPr>
          <w:szCs w:val="24"/>
        </w:rPr>
        <w:t>is:</w:t>
      </w:r>
    </w:p>
    <w:p w14:paraId="0043030A" w14:textId="10B709E9" w:rsidR="000F34B3" w:rsidRPr="00163851" w:rsidRDefault="0084210A" w:rsidP="0084210A">
      <w:pPr>
        <w:tabs>
          <w:tab w:val="right" w:pos="9360"/>
        </w:tabs>
        <w:spacing w:after="60" w:line="240" w:lineRule="auto"/>
        <w:rPr>
          <w:szCs w:val="24"/>
        </w:rPr>
      </w:pPr>
      <w:r w:rsidRPr="00163851">
        <w:rPr>
          <w:rFonts w:eastAsia="Calibri"/>
          <w:noProof/>
          <w:position w:val="-28"/>
          <w:szCs w:val="24"/>
        </w:rPr>
        <w:object w:dxaOrig="4920" w:dyaOrig="680" w14:anchorId="3B9E48F8">
          <v:shape id="_x0000_i1204" type="#_x0000_t75" alt="" style="width:246pt;height:33.85pt" o:ole="" o:preferrelative="f">
            <v:imagedata r:id="rId344" o:title=""/>
            <o:lock v:ext="edit" aspectratio="f"/>
          </v:shape>
          <o:OLEObject Type="Embed" ProgID="Equation.DSMT4" ShapeID="_x0000_i1204" DrawAspect="Content" ObjectID="_1778701035" r:id="rId345"/>
        </w:object>
      </w:r>
      <w:r w:rsidR="000F34B3" w:rsidRPr="00163851">
        <w:rPr>
          <w:noProof/>
          <w:szCs w:val="24"/>
        </w:rPr>
        <w:tab/>
      </w:r>
      <w:r w:rsidR="000F34B3" w:rsidRPr="00163851">
        <w:rPr>
          <w:szCs w:val="24"/>
        </w:rPr>
        <w:t>(</w:t>
      </w:r>
      <w:r w:rsidR="000F34B3">
        <w:rPr>
          <w:szCs w:val="24"/>
        </w:rPr>
        <w:t>15</w:t>
      </w:r>
      <w:r w:rsidR="000F34B3" w:rsidRPr="00163851">
        <w:rPr>
          <w:szCs w:val="24"/>
        </w:rPr>
        <w:t>)</w:t>
      </w:r>
    </w:p>
    <w:p w14:paraId="25D83DAC" w14:textId="77777777" w:rsidR="000F34B3" w:rsidRPr="00163851" w:rsidRDefault="000F34B3" w:rsidP="000F34B3">
      <w:pPr>
        <w:spacing w:after="0" w:line="240" w:lineRule="auto"/>
        <w:rPr>
          <w:szCs w:val="24"/>
        </w:rPr>
      </w:pPr>
      <w:r w:rsidRPr="00163851">
        <w:rPr>
          <w:szCs w:val="24"/>
        </w:rPr>
        <w:t>and the overall likelihood function is then given as:</w:t>
      </w:r>
    </w:p>
    <w:p w14:paraId="73C2BB4F" w14:textId="76F663C3" w:rsidR="000F34B3" w:rsidRPr="00163851" w:rsidRDefault="0084210A" w:rsidP="0084210A">
      <w:pPr>
        <w:spacing w:before="60" w:after="0" w:line="240" w:lineRule="auto"/>
        <w:rPr>
          <w:szCs w:val="24"/>
        </w:rPr>
      </w:pPr>
      <w:r w:rsidRPr="00163851">
        <w:rPr>
          <w:rFonts w:eastAsia="Calibri"/>
          <w:noProof/>
          <w:position w:val="-32"/>
          <w:szCs w:val="24"/>
        </w:rPr>
        <w:object w:dxaOrig="1845" w:dyaOrig="600" w14:anchorId="426216A7">
          <v:shape id="_x0000_i1205" type="#_x0000_t75" alt="" style="width:92.15pt;height:28.7pt" o:ole="" o:preferrelative="f">
            <v:imagedata r:id="rId346" o:title=""/>
            <o:lock v:ext="edit" aspectratio="f"/>
          </v:shape>
          <o:OLEObject Type="Embed" ProgID="Equation.DSMT4" ShapeID="_x0000_i1205" DrawAspect="Content" ObjectID="_1778701036" r:id="rId347"/>
        </w:object>
      </w:r>
      <w:r w:rsidR="000F34B3" w:rsidRPr="00163851">
        <w:rPr>
          <w:szCs w:val="24"/>
        </w:rPr>
        <w:t xml:space="preserve">  </w:t>
      </w:r>
    </w:p>
    <w:p w14:paraId="1098CD66" w14:textId="77777777" w:rsidR="000F34B3" w:rsidRDefault="000F34B3" w:rsidP="00617C0C">
      <w:pPr>
        <w:spacing w:after="0" w:line="240" w:lineRule="auto"/>
        <w:ind w:firstLine="720"/>
        <w:rPr>
          <w:szCs w:val="24"/>
        </w:rPr>
      </w:pPr>
      <w:r w:rsidRPr="00163851">
        <w:rPr>
          <w:szCs w:val="24"/>
        </w:rPr>
        <w:t xml:space="preserve">Bhat’s (2018) matrix-based approximation method for evaluating the multivariate normal cumulative distribution (MVNCD) function </w:t>
      </w:r>
      <w:r>
        <w:rPr>
          <w:szCs w:val="24"/>
        </w:rPr>
        <w:t xml:space="preserve">may </w:t>
      </w:r>
      <w:r w:rsidRPr="00163851">
        <w:rPr>
          <w:szCs w:val="24"/>
        </w:rPr>
        <w:t>employed to evaluate th</w:t>
      </w:r>
      <w:r>
        <w:rPr>
          <w:szCs w:val="24"/>
        </w:rPr>
        <w:t>e</w:t>
      </w:r>
      <w:r w:rsidRPr="00163851">
        <w:rPr>
          <w:szCs w:val="24"/>
        </w:rPr>
        <w:t xml:space="preserve"> integral</w:t>
      </w:r>
      <w:r>
        <w:rPr>
          <w:szCs w:val="24"/>
        </w:rPr>
        <w:t xml:space="preserve"> embedded in the likelihood function for any value of </w:t>
      </w:r>
      <w:r w:rsidRPr="00C76E88">
        <w:rPr>
          <w:i/>
          <w:iCs/>
          <w:szCs w:val="24"/>
        </w:rPr>
        <w:t>K</w:t>
      </w:r>
      <w:r>
        <w:rPr>
          <w:szCs w:val="24"/>
        </w:rPr>
        <w:t xml:space="preserve">. In the empirical case at hand, this MVNCD function evaluation is only of dimensionality two, which can be evaluated rapidly. </w:t>
      </w:r>
    </w:p>
    <w:p w14:paraId="4E626210" w14:textId="77777777" w:rsidR="00E56350" w:rsidRPr="00163851" w:rsidRDefault="00E56350" w:rsidP="00EB63F2">
      <w:pPr>
        <w:spacing w:after="0" w:line="240" w:lineRule="auto"/>
        <w:ind w:firstLine="360"/>
        <w:rPr>
          <w:szCs w:val="24"/>
        </w:rPr>
      </w:pPr>
    </w:p>
    <w:p w14:paraId="6AF13CD2" w14:textId="165EDBF8" w:rsidR="009418AE" w:rsidRPr="00163851" w:rsidRDefault="00F070AE" w:rsidP="00DF2A58">
      <w:pPr>
        <w:pStyle w:val="Heading1"/>
        <w:spacing w:line="240" w:lineRule="auto"/>
        <w:ind w:left="360" w:hanging="342"/>
      </w:pPr>
      <w:r w:rsidRPr="00163851">
        <w:lastRenderedPageBreak/>
        <w:t xml:space="preserve">MODEL ESTIMATION RESULTS </w:t>
      </w:r>
    </w:p>
    <w:p w14:paraId="792E72CE" w14:textId="5D8F3791" w:rsidR="00723F28" w:rsidRDefault="00723F28" w:rsidP="004F03C1">
      <w:pPr>
        <w:spacing w:after="0" w:line="240" w:lineRule="auto"/>
        <w:rPr>
          <w:szCs w:val="24"/>
          <w:highlight w:val="yellow"/>
        </w:rPr>
      </w:pPr>
      <w:r w:rsidRPr="00163851">
        <w:rPr>
          <w:szCs w:val="24"/>
        </w:rPr>
        <w:t>The final model specification was developed through a systematic method of testing several functional forms and combinations of explanatory variables, while removing statistically insignificant ones</w:t>
      </w:r>
      <w:r>
        <w:rPr>
          <w:szCs w:val="24"/>
        </w:rPr>
        <w:t xml:space="preserve">. Estimation was undertaken using codes and </w:t>
      </w:r>
      <w:r w:rsidRPr="00163851">
        <w:rPr>
          <w:szCs w:val="24"/>
        </w:rPr>
        <w:t xml:space="preserve">routines written by the research group in the GAUSS matrix programming language (Aptech, 2022). </w:t>
      </w:r>
      <w:r w:rsidR="00460E90">
        <w:rPr>
          <w:szCs w:val="24"/>
        </w:rPr>
        <w:t xml:space="preserve">Exogenous variables collected in </w:t>
      </w:r>
      <w:r>
        <w:t>categorical form as opposed to a continuous form</w:t>
      </w:r>
      <w:r w:rsidR="00460E90">
        <w:t xml:space="preserve"> </w:t>
      </w:r>
      <w:r w:rsidRPr="00163851">
        <w:rPr>
          <w:szCs w:val="24"/>
        </w:rPr>
        <w:t xml:space="preserve">were considered as dummy variables in the most disaggregate form </w:t>
      </w:r>
      <w:r>
        <w:rPr>
          <w:szCs w:val="24"/>
        </w:rPr>
        <w:t>available,</w:t>
      </w:r>
      <w:r w:rsidRPr="00163851">
        <w:rPr>
          <w:szCs w:val="24"/>
        </w:rPr>
        <w:t xml:space="preserve"> and progressively combined based on statistical tests to yield parsimonious specifications. </w:t>
      </w:r>
      <w:r>
        <w:rPr>
          <w:szCs w:val="24"/>
        </w:rPr>
        <w:t xml:space="preserve">Further, we explored the effect of work days from each WPL alternative on commute distance (for the TC causal latent segment) in direct fractional form (as a continuous endogenous explanatory variable) as well as ranges of the fraction (as a series of dummy endogenous explanatory variable). Similarly, we considered the effect of (ln) commute distance on telework choice (for the CT causal latent segment) directly as a continuous endogenous explanatory variable as well as a series of ranges of commute distances. In all our specification explorations, the dummy variable representations for telework frequency (for the TC latent segment) and commute distance (for the CT segment) outperformed the corresponding continuous specifications. </w:t>
      </w:r>
    </w:p>
    <w:p w14:paraId="05F72EF8" w14:textId="6E2AACC0" w:rsidR="00723F28" w:rsidRPr="00A6363C" w:rsidRDefault="00723F28" w:rsidP="004F03C1">
      <w:pPr>
        <w:spacing w:after="0" w:line="240" w:lineRule="auto"/>
        <w:ind w:firstLine="720"/>
        <w:rPr>
          <w:lang w:val="en-IN" w:eastAsia="en-IN"/>
        </w:rPr>
      </w:pPr>
      <w:r>
        <w:t xml:space="preserve">A few other notes about our </w:t>
      </w:r>
      <w:r w:rsidR="007531B4">
        <w:t xml:space="preserve">estimation procedure and </w:t>
      </w:r>
      <w:r>
        <w:t xml:space="preserve">specification. </w:t>
      </w:r>
      <w:r w:rsidR="007531B4">
        <w:t xml:space="preserve">First, </w:t>
      </w:r>
      <w:bookmarkStart w:id="12" w:name="_Hlk91346931"/>
      <w:r w:rsidR="007531B4">
        <w:t xml:space="preserve">the objective of this paper is to investigate individual-level causal relationships between exogenous variables and the outcomes of interest, as well as the causal relationships among the outcomes themselves. In undertaking such a causal analysis, there is no reason that the exogenous variables should strictly represent the population of interest. </w:t>
      </w:r>
      <w:bookmarkEnd w:id="12"/>
      <w:r w:rsidR="007531B4">
        <w:t xml:space="preserve">For example, telework and commute distances may vary across individuals of different age groups, but such demographic heterogeneity is considered through the exogenous “age” category variables. Thus, as long as there is adequate variation in the age variable in the sample to test a variety of functional forms across different age ranges, whether our sample is representative of the Texas population age distribution or not is really immaterial for accurately identifying the age. Additionally, because our sampling strategy itself is not based on whether an individual teleworks or not and what an individual’s commute distance is (that is, our sample corresponds to the case of exogenous sampling where the sample collection process itself is not predicated on the endogenous outcome values), an unweighted estimation is the appropriate approach, because it provides consistent estimates as well as yields more efficient estimates relative to a weighted estimation procedure (see </w:t>
      </w:r>
      <w:bookmarkStart w:id="13" w:name="_Hlk111028403"/>
      <w:r w:rsidR="007531B4">
        <w:t xml:space="preserve">Wooldridge, 1995 and Solon et al., 2015 </w:t>
      </w:r>
      <w:bookmarkEnd w:id="13"/>
      <w:r w:rsidR="007531B4">
        <w:t>for an extensive discussion). Second</w:t>
      </w:r>
      <w:r>
        <w:t xml:space="preserve">, in addition to considering </w:t>
      </w:r>
      <w:r w:rsidRPr="005D76C0">
        <w:t xml:space="preserve">heterogeneity across individuals in the effect of observed variables </w:t>
      </w:r>
      <w:r>
        <w:t>o</w:t>
      </w:r>
      <w:r w:rsidRPr="005D76C0">
        <w:t xml:space="preserve">n the baseline preference function (the </w:t>
      </w:r>
      <w:r w:rsidR="0084210A" w:rsidRPr="006123FE">
        <w:rPr>
          <w:rFonts w:eastAsia="Times New Roman"/>
          <w:bCs/>
          <w:position w:val="-14"/>
          <w:lang w:val="en-IN" w:eastAsia="en-IN"/>
        </w:rPr>
        <w:object w:dxaOrig="380" w:dyaOrig="380" w14:anchorId="082965ED">
          <v:shape id="_x0000_i1206" type="#_x0000_t75" style="width:18.85pt;height:18.85pt" o:ole="" o:preferrelative="f">
            <v:imagedata r:id="rId348" o:title=""/>
            <o:lock v:ext="edit" aspectratio="f"/>
          </v:shape>
          <o:OLEObject Type="Embed" ProgID="Equation.DSMT4" ShapeID="_x0000_i1206" DrawAspect="Content" ObjectID="_1778701037" r:id="rId349"/>
        </w:object>
      </w:r>
      <w:r w:rsidRPr="005D76C0">
        <w:t xml:space="preserve"> function </w:t>
      </w:r>
      <w:r>
        <w:t xml:space="preserve">of </w:t>
      </w:r>
      <w:r w:rsidRPr="003F53C3">
        <w:t>Equation (</w:t>
      </w:r>
      <w:r>
        <w:t>2</w:t>
      </w:r>
      <w:r w:rsidRPr="003F53C3">
        <w:t xml:space="preserve">)), </w:t>
      </w:r>
      <w:r>
        <w:t xml:space="preserve">we also accommodate heterogeneity </w:t>
      </w:r>
      <w:r w:rsidRPr="005D76C0">
        <w:t xml:space="preserve">in the satiation parameters (the </w:t>
      </w:r>
      <w:r w:rsidR="0084210A" w:rsidRPr="006123FE">
        <w:rPr>
          <w:rFonts w:eastAsia="Times New Roman"/>
          <w:bCs/>
          <w:position w:val="-14"/>
          <w:lang w:val="en-IN" w:eastAsia="en-IN"/>
        </w:rPr>
        <w:object w:dxaOrig="340" w:dyaOrig="380" w14:anchorId="3737DC23">
          <v:shape id="_x0000_i1207" type="#_x0000_t75" style="width:17.15pt;height:18.85pt" o:ole="" o:preferrelative="f">
            <v:imagedata r:id="rId350" o:title=""/>
            <o:lock v:ext="edit" aspectratio="f"/>
          </v:shape>
          <o:OLEObject Type="Embed" ProgID="Equation.DSMT4" ShapeID="_x0000_i1207" DrawAspect="Content" ObjectID="_1778701038" r:id="rId351"/>
        </w:object>
      </w:r>
      <w:r w:rsidRPr="005D76C0">
        <w:t xml:space="preserve"> parameters)</w:t>
      </w:r>
      <w:r>
        <w:t xml:space="preserve"> through a </w:t>
      </w:r>
      <w:r w:rsidR="0084210A" w:rsidRPr="00163851">
        <w:rPr>
          <w:rFonts w:eastAsia="Times New Roman"/>
          <w:bCs/>
          <w:position w:val="-14"/>
          <w:szCs w:val="24"/>
          <w:lang w:eastAsia="en-IN"/>
        </w:rPr>
        <w:object w:dxaOrig="1560" w:dyaOrig="400" w14:anchorId="7504F68A">
          <v:shape id="_x0000_i1208" type="#_x0000_t75" style="width:78pt;height:20.15pt" o:ole="" o:preferrelative="f">
            <v:imagedata r:id="rId352" o:title=""/>
            <o:lock v:ext="edit" aspectratio="f"/>
          </v:shape>
          <o:OLEObject Type="Embed" ProgID="Equation.DSMT4" ShapeID="_x0000_i1208" DrawAspect="Content" ObjectID="_1778701039" r:id="rId353"/>
        </w:object>
      </w:r>
      <w:r>
        <w:rPr>
          <w:rFonts w:eastAsia="Times New Roman"/>
          <w:bCs/>
          <w:szCs w:val="24"/>
          <w:lang w:eastAsia="en-IN"/>
        </w:rPr>
        <w:t xml:space="preserve"> parametrization</w:t>
      </w:r>
      <w:r w:rsidRPr="00163851">
        <w:rPr>
          <w:szCs w:val="24"/>
        </w:rPr>
        <w:t xml:space="preserve">, where </w:t>
      </w:r>
      <w:r w:rsidR="0084210A" w:rsidRPr="00163851">
        <w:rPr>
          <w:position w:val="-14"/>
          <w:szCs w:val="24"/>
        </w:rPr>
        <w:object w:dxaOrig="279" w:dyaOrig="380" w14:anchorId="5A730571">
          <v:shape id="_x0000_i1209" type="#_x0000_t75" style="width:13.7pt;height:18.85pt" o:ole="" o:preferrelative="f">
            <v:imagedata r:id="rId354" o:title=""/>
            <o:lock v:ext="edit" aspectratio="f"/>
          </v:shape>
          <o:OLEObject Type="Embed" ProgID="Equation.DSMT4" ShapeID="_x0000_i1209" DrawAspect="Content" ObjectID="_1778701040" r:id="rId355"/>
        </w:object>
      </w:r>
      <w:r w:rsidRPr="00163851">
        <w:rPr>
          <w:szCs w:val="24"/>
        </w:rPr>
        <w:t xml:space="preserve"> is a vector of independent variable characteristics and </w:t>
      </w:r>
      <w:r w:rsidR="0084210A" w:rsidRPr="00163851">
        <w:rPr>
          <w:position w:val="-12"/>
          <w:szCs w:val="24"/>
        </w:rPr>
        <w:object w:dxaOrig="300" w:dyaOrig="380" w14:anchorId="09A49CE4">
          <v:shape id="_x0000_i1210" type="#_x0000_t75" style="width:15pt;height:18.85pt" o:ole="" o:preferrelative="f">
            <v:imagedata r:id="rId356" o:title=""/>
            <o:lock v:ext="edit" aspectratio="f"/>
          </v:shape>
          <o:OLEObject Type="Embed" ProgID="Equation.DSMT4" ShapeID="_x0000_i1210" DrawAspect="Content" ObjectID="_1778701041" r:id="rId357"/>
        </w:object>
      </w:r>
      <w:r w:rsidRPr="00163851">
        <w:rPr>
          <w:szCs w:val="24"/>
        </w:rPr>
        <w:t xml:space="preserve"> is a vector to be estimated</w:t>
      </w:r>
      <w:r>
        <w:t xml:space="preserve">. </w:t>
      </w:r>
      <w:r w:rsidR="007531B4">
        <w:t>Third</w:t>
      </w:r>
      <w:r>
        <w:t xml:space="preserve">, </w:t>
      </w:r>
      <w:r w:rsidRPr="00D0155A">
        <w:t xml:space="preserve">we </w:t>
      </w:r>
      <w:r>
        <w:t>used a t-statistic threshold of 1.</w:t>
      </w:r>
      <w:r w:rsidR="00343DE3">
        <w:t>00</w:t>
      </w:r>
      <w:r>
        <w:t xml:space="preserve"> to retain variables (corresponding to a 0.</w:t>
      </w:r>
      <w:r w:rsidR="00343DE3">
        <w:t>32</w:t>
      </w:r>
      <w:r>
        <w:t xml:space="preserve"> level of significance or </w:t>
      </w:r>
      <w:r w:rsidR="00343DE3">
        <w:t>68</w:t>
      </w:r>
      <w:r>
        <w:t>% confidence level)</w:t>
      </w:r>
      <w:r w:rsidRPr="00D0155A">
        <w:t>, because of the moderate</w:t>
      </w:r>
      <w:r>
        <w:t>-</w:t>
      </w:r>
      <w:r w:rsidRPr="00D0155A">
        <w:t>sized sample used in the analysis</w:t>
      </w:r>
      <w:r>
        <w:t xml:space="preserve">, the small share of individuals who use the </w:t>
      </w:r>
      <w:r w:rsidR="00343DE3">
        <w:t xml:space="preserve">“home only” WPL and all combinations involving the </w:t>
      </w:r>
      <w:r>
        <w:t>third workplace location, and the potential for such included variables to guide future WPL investigations with larger sample sizes.</w:t>
      </w:r>
      <w:r w:rsidR="00D35C51">
        <w:rPr>
          <w:rStyle w:val="FootnoteReference"/>
        </w:rPr>
        <w:footnoteReference w:id="10"/>
      </w:r>
      <w:r>
        <w:t xml:space="preserve"> </w:t>
      </w:r>
      <w:r w:rsidR="007531B4">
        <w:t>Fourth</w:t>
      </w:r>
      <w:r>
        <w:t xml:space="preserve">, we restricted the </w:t>
      </w:r>
      <w:r>
        <w:lastRenderedPageBreak/>
        <w:t>effects of exogenous variables to be the same across the two latent segments for each of the telework and commute distance model components, because there is no theoretical or conceptual reason to expect that exogenous variables will affect each of the telework and commute distance dimensions differently across segments simply based on the direction of causality. For example, there is no reason to believe that the tendency of essential workers to telework less than non-essential workers should differ based on whether the TC or CT causal direction is at play. Similarly, there is no reason to believe that the gender or age of a person should differentially affect commute distance based solely on the causal direction at play. For the same reason, we maintain the same covariance matrix elements for the telework component of the model system across the two segments, and the same variance for (ln) commute distance across the two segments. But, to allow for the possibility that the unobserved association between the telework and commute distance dimensions may differ across the segments, we allow the covariance elements across the telework and commute distance dimensions to vary by segment. Also, because we are having different causal direction of effects (that introduce the telework outcomes in the commute distance component for the TC segment, and the commute distance outcome in the telework outcome for the CT segment), we leave the constants to be freely estimated across the segments. F</w:t>
      </w:r>
      <w:r w:rsidR="007531B4">
        <w:t>ifth</w:t>
      </w:r>
      <w:r>
        <w:t xml:space="preserve">, we attempted a host of different interaction effects of variables, especially those related to gendered lifecycle (interaction of gender with presence of children and household structure), which did turn up to be important. In addition, we also explored the interaction of telework decisions and the </w:t>
      </w:r>
      <w:r w:rsidR="008E26F5">
        <w:t xml:space="preserve">residential </w:t>
      </w:r>
      <w:r>
        <w:t xml:space="preserve">neighborhood </w:t>
      </w:r>
      <w:r w:rsidR="008E26F5">
        <w:t xml:space="preserve">density </w:t>
      </w:r>
      <w:r>
        <w:t xml:space="preserve">dummy variables </w:t>
      </w:r>
      <w:r w:rsidR="008E26F5">
        <w:t xml:space="preserve">(urban, suburban, and rural) and the employment office density dummy variables (low, medium, and high density) </w:t>
      </w:r>
      <w:r>
        <w:t xml:space="preserve">for the TC causal segment (to capture any differences in telework effects on commute distances based on </w:t>
      </w:r>
      <w:r w:rsidR="008E26F5">
        <w:t xml:space="preserve">residential and/or office </w:t>
      </w:r>
      <w:r>
        <w:t>density)</w:t>
      </w:r>
      <w:r w:rsidR="008E26F5">
        <w:t>. Similar</w:t>
      </w:r>
      <w:r>
        <w:t xml:space="preserve"> interaction </w:t>
      </w:r>
      <w:r w:rsidR="008E26F5">
        <w:t xml:space="preserve">effects </w:t>
      </w:r>
      <w:r>
        <w:t xml:space="preserve">of commute distance </w:t>
      </w:r>
      <w:r w:rsidR="008E26F5">
        <w:t xml:space="preserve">with the residential/office density </w:t>
      </w:r>
      <w:r>
        <w:t xml:space="preserve">dummy variables </w:t>
      </w:r>
      <w:r w:rsidR="008E26F5">
        <w:t xml:space="preserve">were also considered </w:t>
      </w:r>
      <w:r>
        <w:t>for the CT causal segment (to capture any differences in commute distance effects on telework decisions based on</w:t>
      </w:r>
      <w:r w:rsidR="008E26F5">
        <w:t xml:space="preserve"> residential/office </w:t>
      </w:r>
      <w:r>
        <w:t xml:space="preserve">density </w:t>
      </w:r>
      <w:r w:rsidR="008E26F5">
        <w:t>locations</w:t>
      </w:r>
      <w:r>
        <w:t xml:space="preserve">). </w:t>
      </w:r>
      <w:r w:rsidR="008E26F5">
        <w:t>None</w:t>
      </w:r>
      <w:r w:rsidR="004A699F">
        <w:t xml:space="preserve"> </w:t>
      </w:r>
      <w:r>
        <w:t>of these turn</w:t>
      </w:r>
      <w:r w:rsidR="008E26F5">
        <w:t>ed</w:t>
      </w:r>
      <w:r>
        <w:t xml:space="preserve"> out to be statistically significant at our designated threshold level. </w:t>
      </w:r>
    </w:p>
    <w:p w14:paraId="5CA0A257" w14:textId="1E4A1E7F" w:rsidR="00976A28" w:rsidRDefault="00723F28" w:rsidP="00976A28">
      <w:pPr>
        <w:spacing w:after="0" w:line="240" w:lineRule="auto"/>
        <w:rPr>
          <w:szCs w:val="24"/>
        </w:rPr>
      </w:pPr>
      <w:r w:rsidRPr="00DF3D8D">
        <w:rPr>
          <w:iCs/>
        </w:rPr>
        <w:t xml:space="preserve">The </w:t>
      </w:r>
      <w:r>
        <w:rPr>
          <w:iCs/>
        </w:rPr>
        <w:t xml:space="preserve">model results are presented by variable within each broad group going down the rows of Table </w:t>
      </w:r>
      <w:r w:rsidR="009979FE">
        <w:rPr>
          <w:iCs/>
        </w:rPr>
        <w:t>2</w:t>
      </w:r>
      <w:r>
        <w:rPr>
          <w:iCs/>
        </w:rPr>
        <w:t xml:space="preserve">. The first three columns of the table present the telework model component results and the last column presents the results for the (ln)commute distance model component. In the telework model component, the effect of each variable on the logarithm of the baseline preference (that is, the effects of variables on </w:t>
      </w:r>
      <w:r w:rsidR="0084210A" w:rsidRPr="005039AE">
        <w:rPr>
          <w:position w:val="-14"/>
        </w:rPr>
        <w:object w:dxaOrig="760" w:dyaOrig="380" w14:anchorId="0B238C55">
          <v:shape id="_x0000_i1211" type="#_x0000_t75" style="width:38.15pt;height:18.85pt" o:ole="" o:preferrelative="f">
            <v:imagedata r:id="rId358" o:title=""/>
            <o:lock v:ext="edit" aspectratio="f"/>
          </v:shape>
          <o:OLEObject Type="Embed" ProgID="Equation.DSMT4" ShapeID="_x0000_i1211" DrawAspect="Content" ObjectID="_1778701042" r:id="rId359"/>
        </w:object>
      </w:r>
      <w:r>
        <w:t xml:space="preserve">, or the elements of the </w:t>
      </w:r>
      <w:r w:rsidR="0084210A" w:rsidRPr="00DF1A9B">
        <w:rPr>
          <w:position w:val="-10"/>
        </w:rPr>
        <w:object w:dxaOrig="240" w:dyaOrig="320" w14:anchorId="6DCB4083">
          <v:shape id="_x0000_i1212" type="#_x0000_t75" style="width:12pt;height:15.85pt" o:ole="" o:preferrelative="f">
            <v:imagedata r:id="rId360" o:title=""/>
            <o:lock v:ext="edit" aspectratio="f"/>
          </v:shape>
          <o:OLEObject Type="Embed" ProgID="Equation.DSMT4" ShapeID="_x0000_i1212" DrawAspect="Content" ObjectID="_1778701043" r:id="rId361"/>
        </w:object>
      </w:r>
      <w:r w:rsidR="00382AC3">
        <w:t xml:space="preserve"> </w:t>
      </w:r>
      <w:r>
        <w:t xml:space="preserve">vector) is listed, followed by any effect that the variable may have on the logarithm </w:t>
      </w:r>
      <w:r>
        <w:rPr>
          <w:iCs/>
        </w:rPr>
        <w:t xml:space="preserve">of the </w:t>
      </w:r>
      <w:r w:rsidR="0084210A" w:rsidRPr="00612440">
        <w:rPr>
          <w:position w:val="-14"/>
        </w:rPr>
        <w:object w:dxaOrig="340" w:dyaOrig="380" w14:anchorId="2976E52A">
          <v:shape id="_x0000_i1213" type="#_x0000_t75" style="width:17.15pt;height:18.85pt" o:ole="" o:preferrelative="f">
            <v:imagedata r:id="rId362" o:title=""/>
            <o:lock v:ext="edit" aspectratio="f"/>
          </v:shape>
          <o:OLEObject Type="Embed" ProgID="Equation.DSMT4" ShapeID="_x0000_i1213" DrawAspect="Content" ObjectID="_1778701044" r:id="rId363"/>
        </w:object>
      </w:r>
      <w:r>
        <w:rPr>
          <w:iCs/>
        </w:rPr>
        <w:t xml:space="preserve"> </w:t>
      </w:r>
      <w:r w:rsidR="00EE2F68">
        <w:rPr>
          <w:iCs/>
        </w:rPr>
        <w:t xml:space="preserve">satiation </w:t>
      </w:r>
      <w:r>
        <w:rPr>
          <w:iCs/>
        </w:rPr>
        <w:t xml:space="preserve">parameters (that is, the elements of the </w:t>
      </w:r>
      <w:r w:rsidR="0084210A" w:rsidRPr="00163851">
        <w:rPr>
          <w:position w:val="-12"/>
          <w:szCs w:val="24"/>
        </w:rPr>
        <w:object w:dxaOrig="300" w:dyaOrig="380" w14:anchorId="44A3FF76">
          <v:shape id="_x0000_i1214" type="#_x0000_t75" style="width:15pt;height:18.85pt" o:ole="" o:preferrelative="f">
            <v:imagedata r:id="rId356" o:title=""/>
            <o:lock v:ext="edit" aspectratio="f"/>
          </v:shape>
          <o:OLEObject Type="Embed" ProgID="Equation.DSMT4" ShapeID="_x0000_i1214" DrawAspect="Content" ObjectID="_1778701045" r:id="rId364"/>
        </w:object>
      </w:r>
      <w:r w:rsidR="00DF2A58">
        <w:rPr>
          <w:szCs w:val="24"/>
        </w:rPr>
        <w:t xml:space="preserve"> </w:t>
      </w:r>
      <w:r>
        <w:t>vector).</w:t>
      </w:r>
      <w:r>
        <w:rPr>
          <w:iCs/>
        </w:rPr>
        <w:t xml:space="preserve"> </w:t>
      </w:r>
      <w:r>
        <w:t xml:space="preserve">The former baseline preference effect appears without explicit labeling (for compactness in presentation), while the latter effect is identified specifically in Table </w:t>
      </w:r>
      <w:r w:rsidR="009979FE">
        <w:t>2</w:t>
      </w:r>
      <w:r>
        <w:t xml:space="preserve"> through the labeling as a “</w:t>
      </w:r>
      <w:r w:rsidRPr="00552BC2">
        <w:rPr>
          <w:i/>
        </w:rPr>
        <w:t>satiation</w:t>
      </w:r>
      <w:r w:rsidR="008E26F5" w:rsidRPr="008E26F5">
        <w:t>”</w:t>
      </w:r>
      <w:r>
        <w:t xml:space="preserve">. </w:t>
      </w:r>
      <w:bookmarkStart w:id="14" w:name="_Hlk166920785"/>
      <w:r w:rsidR="00976A28">
        <w:rPr>
          <w:color w:val="FF0000"/>
          <w:szCs w:val="24"/>
        </w:rPr>
        <w:t xml:space="preserve"> </w:t>
      </w:r>
      <w:r w:rsidR="00976A28" w:rsidRPr="00163851">
        <w:rPr>
          <w:szCs w:val="24"/>
        </w:rPr>
        <w:t xml:space="preserve">A positive </w:t>
      </w:r>
      <w:r w:rsidR="00976A28">
        <w:rPr>
          <w:szCs w:val="24"/>
        </w:rPr>
        <w:t xml:space="preserve">element in the </w:t>
      </w:r>
      <w:r w:rsidR="0084210A" w:rsidRPr="00163851">
        <w:rPr>
          <w:position w:val="-12"/>
          <w:szCs w:val="24"/>
        </w:rPr>
        <w:object w:dxaOrig="300" w:dyaOrig="380" w14:anchorId="39299565">
          <v:shape id="_x0000_i1215" type="#_x0000_t75" style="width:15pt;height:18.85pt" o:ole="" o:preferrelative="f">
            <v:imagedata r:id="rId356" o:title=""/>
            <o:lock v:ext="edit" aspectratio="f"/>
          </v:shape>
          <o:OLEObject Type="Embed" ProgID="Equation.DSMT4" ShapeID="_x0000_i1215" DrawAspect="Content" ObjectID="_1778701046" r:id="rId365"/>
        </w:object>
      </w:r>
      <w:r w:rsidR="00976A28">
        <w:rPr>
          <w:szCs w:val="24"/>
        </w:rPr>
        <w:t xml:space="preserve">vector has the effect of increasing the </w:t>
      </w:r>
      <w:r w:rsidR="0084210A" w:rsidRPr="00163851">
        <w:rPr>
          <w:position w:val="-14"/>
          <w:szCs w:val="24"/>
        </w:rPr>
        <w:object w:dxaOrig="340" w:dyaOrig="380" w14:anchorId="0B5519A3">
          <v:shape id="_x0000_i1216" type="#_x0000_t75" style="width:17.15pt;height:18.85pt" o:ole="" o:preferrelative="f">
            <v:imagedata r:id="rId366" o:title=""/>
            <o:lock v:ext="edit" aspectratio="f"/>
          </v:shape>
          <o:OLEObject Type="Embed" ProgID="Equation.DSMT4" ShapeID="_x0000_i1216" DrawAspect="Content" ObjectID="_1778701047" r:id="rId367"/>
        </w:object>
      </w:r>
      <w:r w:rsidR="00976A28" w:rsidRPr="00163851">
        <w:rPr>
          <w:szCs w:val="24"/>
        </w:rPr>
        <w:t xml:space="preserve"> parameter</w:t>
      </w:r>
      <w:r w:rsidR="00976A28">
        <w:rPr>
          <w:szCs w:val="24"/>
        </w:rPr>
        <w:t xml:space="preserve">, implying that an increase in the corresponding </w:t>
      </w:r>
      <w:r w:rsidR="00976A28" w:rsidRPr="00163851">
        <w:rPr>
          <w:szCs w:val="24"/>
        </w:rPr>
        <w:t xml:space="preserve"> </w:t>
      </w:r>
      <w:r w:rsidR="00976A28">
        <w:rPr>
          <w:szCs w:val="24"/>
        </w:rPr>
        <w:t xml:space="preserve">variable diminishes satiation effects and, correspondingly, leads to an increase in days of work </w:t>
      </w:r>
      <w:r w:rsidR="00976A28" w:rsidRPr="003F5B40">
        <w:rPr>
          <w:szCs w:val="24"/>
        </w:rPr>
        <w:t>for WPL alternative</w:t>
      </w:r>
      <w:r w:rsidR="00976A28" w:rsidRPr="003F5B40" w:rsidDel="003F5B40">
        <w:rPr>
          <w:szCs w:val="24"/>
        </w:rPr>
        <w:t xml:space="preserve"> </w:t>
      </w:r>
      <w:r w:rsidR="00976A28" w:rsidRPr="00163851">
        <w:rPr>
          <w:i/>
          <w:szCs w:val="24"/>
        </w:rPr>
        <w:t>k</w:t>
      </w:r>
      <w:r w:rsidR="00976A28" w:rsidRPr="00163851">
        <w:rPr>
          <w:szCs w:val="24"/>
        </w:rPr>
        <w:t xml:space="preserve">, conditional on participation in the WPL alternative </w:t>
      </w:r>
      <w:r w:rsidR="00976A28" w:rsidRPr="00163851">
        <w:rPr>
          <w:i/>
          <w:szCs w:val="24"/>
        </w:rPr>
        <w:t>k</w:t>
      </w:r>
      <w:r w:rsidR="00976A28">
        <w:rPr>
          <w:szCs w:val="24"/>
        </w:rPr>
        <w:t xml:space="preserve">. </w:t>
      </w:r>
      <w:r w:rsidR="00976A28" w:rsidRPr="003F5B40">
        <w:rPr>
          <w:szCs w:val="24"/>
        </w:rPr>
        <w:t>Conversely, a negative coefficient indicates a decrease in the</w:t>
      </w:r>
      <w:r w:rsidR="00976A28" w:rsidRPr="003F5B40" w:rsidDel="003F5B40">
        <w:rPr>
          <w:szCs w:val="24"/>
        </w:rPr>
        <w:t xml:space="preserve"> </w:t>
      </w:r>
      <w:r w:rsidR="0084210A" w:rsidRPr="00163851">
        <w:rPr>
          <w:position w:val="-14"/>
          <w:szCs w:val="24"/>
        </w:rPr>
        <w:object w:dxaOrig="340" w:dyaOrig="380" w14:anchorId="5AC542CD">
          <v:shape id="_x0000_i1217" type="#_x0000_t75" style="width:17.15pt;height:18.85pt" o:ole="" o:preferrelative="f">
            <v:imagedata r:id="rId366" o:title=""/>
            <o:lock v:ext="edit" aspectratio="f"/>
          </v:shape>
          <o:OLEObject Type="Embed" ProgID="Equation.DSMT4" ShapeID="_x0000_i1217" DrawAspect="Content" ObjectID="_1778701048" r:id="rId368"/>
        </w:object>
      </w:r>
      <w:r w:rsidR="00976A28" w:rsidRPr="00163851">
        <w:rPr>
          <w:szCs w:val="24"/>
        </w:rPr>
        <w:t xml:space="preserve"> parameter</w:t>
      </w:r>
      <w:r w:rsidR="00976A28">
        <w:rPr>
          <w:szCs w:val="24"/>
        </w:rPr>
        <w:t xml:space="preserve">, implying that an increase in the corresponding variable intensifies </w:t>
      </w:r>
      <w:r w:rsidR="00976A28" w:rsidRPr="00163851">
        <w:rPr>
          <w:szCs w:val="24"/>
        </w:rPr>
        <w:t xml:space="preserve">satiation effect </w:t>
      </w:r>
      <w:r w:rsidR="00976A28">
        <w:rPr>
          <w:szCs w:val="24"/>
        </w:rPr>
        <w:t xml:space="preserve">and, correspondingly, leads to a decrease in </w:t>
      </w:r>
      <w:r w:rsidR="00976A28" w:rsidRPr="003F5B40">
        <w:rPr>
          <w:szCs w:val="24"/>
        </w:rPr>
        <w:t>days of work for WPL</w:t>
      </w:r>
      <w:r w:rsidR="00976A28" w:rsidRPr="00163851">
        <w:rPr>
          <w:szCs w:val="24"/>
        </w:rPr>
        <w:t xml:space="preserve"> alternative </w:t>
      </w:r>
      <w:r w:rsidR="00976A28" w:rsidRPr="00163851">
        <w:rPr>
          <w:i/>
          <w:szCs w:val="24"/>
        </w:rPr>
        <w:t>k</w:t>
      </w:r>
      <w:r w:rsidR="00976A28" w:rsidRPr="00163851">
        <w:rPr>
          <w:szCs w:val="24"/>
        </w:rPr>
        <w:t xml:space="preserve">, conditional on participation in the WPL alternative </w:t>
      </w:r>
      <w:r w:rsidR="00976A28" w:rsidRPr="00163851">
        <w:rPr>
          <w:i/>
          <w:szCs w:val="24"/>
        </w:rPr>
        <w:t>k</w:t>
      </w:r>
      <w:r w:rsidR="00976A28" w:rsidRPr="00163851">
        <w:rPr>
          <w:szCs w:val="24"/>
        </w:rPr>
        <w:t xml:space="preserve">. </w:t>
      </w:r>
      <w:r w:rsidR="00976A28">
        <w:rPr>
          <w:szCs w:val="24"/>
        </w:rPr>
        <w:t xml:space="preserve">However, these </w:t>
      </w:r>
      <w:r w:rsidR="00976A28" w:rsidRPr="003F5B40">
        <w:rPr>
          <w:szCs w:val="24"/>
        </w:rPr>
        <w:t>satiation effects</w:t>
      </w:r>
      <w:r w:rsidR="00976A28">
        <w:rPr>
          <w:szCs w:val="24"/>
        </w:rPr>
        <w:t xml:space="preserve"> start taking effect </w:t>
      </w:r>
      <w:r w:rsidR="00976A28" w:rsidRPr="003F5B40">
        <w:rPr>
          <w:szCs w:val="24"/>
        </w:rPr>
        <w:t xml:space="preserve">from the baseline parameter, </w:t>
      </w:r>
      <w:r w:rsidR="00976A28">
        <w:rPr>
          <w:szCs w:val="24"/>
        </w:rPr>
        <w:t xml:space="preserve">which serves </w:t>
      </w:r>
      <w:r w:rsidR="00976A28" w:rsidRPr="003F5B40">
        <w:rPr>
          <w:szCs w:val="24"/>
        </w:rPr>
        <w:t xml:space="preserve">as the initial reference point </w:t>
      </w:r>
      <w:r w:rsidR="00976A28">
        <w:rPr>
          <w:szCs w:val="24"/>
        </w:rPr>
        <w:t xml:space="preserve">of </w:t>
      </w:r>
      <w:r w:rsidR="00976A28" w:rsidRPr="003F5B40">
        <w:rPr>
          <w:szCs w:val="24"/>
        </w:rPr>
        <w:t xml:space="preserve">marginal utility of an alternative </w:t>
      </w:r>
      <w:r w:rsidR="00976A28">
        <w:rPr>
          <w:szCs w:val="24"/>
        </w:rPr>
        <w:t xml:space="preserve">(corresponding to the situation </w:t>
      </w:r>
      <w:r w:rsidR="00976A28" w:rsidRPr="003F5B40">
        <w:rPr>
          <w:szCs w:val="24"/>
        </w:rPr>
        <w:t xml:space="preserve">when no days have been invested in that WPL alternative; </w:t>
      </w:r>
      <w:r w:rsidR="00976A28">
        <w:rPr>
          <w:szCs w:val="24"/>
        </w:rPr>
        <w:t>see</w:t>
      </w:r>
      <w:r w:rsidR="00976A28" w:rsidRPr="003F5B40">
        <w:rPr>
          <w:szCs w:val="24"/>
        </w:rPr>
        <w:t xml:space="preserve"> Bhat, 2008). Consequently, </w:t>
      </w:r>
      <w:r w:rsidR="00976A28">
        <w:rPr>
          <w:szCs w:val="24"/>
        </w:rPr>
        <w:t xml:space="preserve">as also discussed in Asmussen et al. (2023), </w:t>
      </w:r>
      <w:r w:rsidR="00976A28" w:rsidRPr="003F5B40">
        <w:rPr>
          <w:szCs w:val="24"/>
        </w:rPr>
        <w:t xml:space="preserve">the proportion of days of work allocated to each WPL alternative depends on a </w:t>
      </w:r>
      <w:r w:rsidR="00976A28">
        <w:rPr>
          <w:szCs w:val="24"/>
        </w:rPr>
        <w:t>“</w:t>
      </w:r>
      <w:r w:rsidR="00976A28" w:rsidRPr="003F5B40">
        <w:rPr>
          <w:szCs w:val="24"/>
        </w:rPr>
        <w:t>combination of the baseline parameters and the satiation parameters across all WPL alternatives for that individual.</w:t>
      </w:r>
      <w:r w:rsidR="00976A28">
        <w:rPr>
          <w:szCs w:val="24"/>
        </w:rPr>
        <w:t>”</w:t>
      </w:r>
      <w:r w:rsidR="00F623DC">
        <w:rPr>
          <w:szCs w:val="24"/>
        </w:rPr>
        <w:t>.</w:t>
      </w:r>
      <w:r w:rsidR="00976A28">
        <w:rPr>
          <w:szCs w:val="24"/>
        </w:rPr>
        <w:t xml:space="preserve"> </w:t>
      </w:r>
    </w:p>
    <w:bookmarkEnd w:id="14"/>
    <w:p w14:paraId="76D18362" w14:textId="10C43C17" w:rsidR="00723F28" w:rsidRDefault="00723F28" w:rsidP="004F03C1">
      <w:pPr>
        <w:spacing w:after="0" w:line="240" w:lineRule="auto"/>
        <w:ind w:firstLine="720"/>
      </w:pPr>
      <w:r w:rsidRPr="00163851">
        <w:rPr>
          <w:szCs w:val="24"/>
        </w:rPr>
        <w:t xml:space="preserve">In instances </w:t>
      </w:r>
      <w:r w:rsidR="00EE2F68">
        <w:rPr>
          <w:szCs w:val="24"/>
        </w:rPr>
        <w:t xml:space="preserve">in Table </w:t>
      </w:r>
      <w:r w:rsidR="009979FE">
        <w:rPr>
          <w:szCs w:val="24"/>
        </w:rPr>
        <w:t>2</w:t>
      </w:r>
      <w:r w:rsidR="00EE2F68">
        <w:rPr>
          <w:szCs w:val="24"/>
        </w:rPr>
        <w:t xml:space="preserve"> </w:t>
      </w:r>
      <w:r w:rsidRPr="00163851">
        <w:rPr>
          <w:szCs w:val="24"/>
        </w:rPr>
        <w:t>where some variables have no effect on specific WPL alternative</w:t>
      </w:r>
      <w:r>
        <w:rPr>
          <w:szCs w:val="24"/>
        </w:rPr>
        <w:t>s</w:t>
      </w:r>
      <w:r w:rsidRPr="00163851">
        <w:rPr>
          <w:szCs w:val="24"/>
        </w:rPr>
        <w:t xml:space="preserve"> </w:t>
      </w:r>
      <w:r>
        <w:rPr>
          <w:szCs w:val="24"/>
        </w:rPr>
        <w:t xml:space="preserve">in the telework choice model </w:t>
      </w:r>
      <w:r w:rsidRPr="00163851">
        <w:rPr>
          <w:szCs w:val="24"/>
        </w:rPr>
        <w:t>(denoted by a “—”), the corresponding alternatives constitute the base category in introducing the variable</w:t>
      </w:r>
      <w:r>
        <w:rPr>
          <w:szCs w:val="24"/>
        </w:rPr>
        <w:t xml:space="preserve"> </w:t>
      </w:r>
      <w:r w:rsidRPr="00163851">
        <w:rPr>
          <w:szCs w:val="24"/>
        </w:rPr>
        <w:t xml:space="preserve">effect. </w:t>
      </w:r>
      <w:r>
        <w:t xml:space="preserve">At the bottom of the table, we provide the covariance matrix (in differenced form for the error terms of the telework choice model, differenced with respect to the “home” work location). The results in Table </w:t>
      </w:r>
      <w:r w:rsidR="009979FE">
        <w:t>2</w:t>
      </w:r>
      <w:r>
        <w:t xml:space="preserve"> are effects conditional on belonging to each of the TC and CT segments. The membership model results themselves (for belonging to the TC and CT segments) are presented in Table </w:t>
      </w:r>
      <w:r w:rsidR="009979FE">
        <w:t>3</w:t>
      </w:r>
      <w:r>
        <w:t>. For quick identification, we label the two segments (from the standpoint of whether telework led to a residential move or not) as the “mover” segment for the TC segment (that is, telework choice led to the residential move that changed commute distance) and the “stayer” segment for the CT segment (that is, people in their respective “current” home locations with predetermi</w:t>
      </w:r>
      <w:r w:rsidR="00C76E88">
        <w:t xml:space="preserve">ned </w:t>
      </w:r>
      <w:r>
        <w:t xml:space="preserve">commute distances changed their telework habits). This is purely for intuitiveness as we present the results, and does not mean that those in the CT segment cannot move residences at all; just that those moves would have little to do with telework choices.  </w:t>
      </w:r>
    </w:p>
    <w:p w14:paraId="5EAA35A5" w14:textId="77777777" w:rsidR="00723F28" w:rsidRDefault="00723F28" w:rsidP="00723F28">
      <w:pPr>
        <w:spacing w:after="0"/>
      </w:pPr>
    </w:p>
    <w:p w14:paraId="42D8DC46" w14:textId="78D28F3A" w:rsidR="00723F28" w:rsidRDefault="00C31072" w:rsidP="00C31072">
      <w:pPr>
        <w:pStyle w:val="Heading2"/>
        <w:numPr>
          <w:ilvl w:val="0"/>
          <w:numId w:val="0"/>
        </w:numPr>
        <w:spacing w:before="0" w:line="240" w:lineRule="auto"/>
        <w:rPr>
          <w:szCs w:val="24"/>
        </w:rPr>
      </w:pPr>
      <w:r>
        <w:rPr>
          <w:szCs w:val="24"/>
        </w:rPr>
        <w:t xml:space="preserve">5.1. </w:t>
      </w:r>
      <w:r w:rsidR="00723F28">
        <w:rPr>
          <w:szCs w:val="24"/>
        </w:rPr>
        <w:t>Variable Effects</w:t>
      </w:r>
      <w:r w:rsidR="00723F28" w:rsidRPr="00163851">
        <w:rPr>
          <w:szCs w:val="24"/>
        </w:rPr>
        <w:t xml:space="preserve"> </w:t>
      </w:r>
    </w:p>
    <w:p w14:paraId="23E4A2F9" w14:textId="5A77C406" w:rsidR="00723F28" w:rsidRDefault="00723F28" w:rsidP="00723F28">
      <w:pPr>
        <w:pStyle w:val="Heading4"/>
        <w:numPr>
          <w:ilvl w:val="0"/>
          <w:numId w:val="0"/>
        </w:numPr>
        <w:spacing w:before="0" w:line="240" w:lineRule="auto"/>
        <w:ind w:left="864" w:hanging="864"/>
        <w:rPr>
          <w:szCs w:val="24"/>
        </w:rPr>
      </w:pPr>
      <w:r w:rsidRPr="00163851">
        <w:rPr>
          <w:szCs w:val="24"/>
        </w:rPr>
        <w:t>Individual</w:t>
      </w:r>
      <w:r w:rsidR="00EE2F68">
        <w:rPr>
          <w:szCs w:val="24"/>
        </w:rPr>
        <w:t xml:space="preserve"> and Household Demographics</w:t>
      </w:r>
    </w:p>
    <w:p w14:paraId="76C3F984" w14:textId="3B825CB2" w:rsidR="00EE2F68" w:rsidRDefault="005F3EB4" w:rsidP="00552BC2">
      <w:pPr>
        <w:spacing w:after="0" w:line="240" w:lineRule="auto"/>
      </w:pPr>
      <w:r>
        <w:t xml:space="preserve">Among the category of individual and household demographic effects, the results in Table 2 do suggest effects of the gendered lifestyle on both telework choice and commute distance, though many of these effects are only statistically significant at the 75-90% confidence level and so are suggestive and warrant additional investigations in future studies. With that said, and </w:t>
      </w:r>
      <w:r w:rsidR="000234FA">
        <w:t xml:space="preserve">contrary to many earlier studies before the pandemic, </w:t>
      </w:r>
      <w:bookmarkStart w:id="15" w:name="_Hlk166493946"/>
      <w:r w:rsidR="00723F28">
        <w:t xml:space="preserve">women (except those who are single parents) </w:t>
      </w:r>
      <w:r>
        <w:t xml:space="preserve">appear to be </w:t>
      </w:r>
      <w:r w:rsidR="008E26F5">
        <w:t>more predisposed to work fr</w:t>
      </w:r>
      <w:r w:rsidR="003A48DC">
        <w:t>o</w:t>
      </w:r>
      <w:r w:rsidR="008E26F5">
        <w:t>m the office (</w:t>
      </w:r>
      <w:r w:rsidR="00723F28">
        <w:t xml:space="preserve">less inclined to </w:t>
      </w:r>
      <w:r w:rsidR="008E26F5">
        <w:t>tele</w:t>
      </w:r>
      <w:r w:rsidR="00723F28">
        <w:t>work</w:t>
      </w:r>
      <w:r w:rsidR="008E26F5">
        <w:t xml:space="preserve">) </w:t>
      </w:r>
      <w:r w:rsidR="00723F28">
        <w:t xml:space="preserve">compared to men. </w:t>
      </w:r>
      <w:bookmarkEnd w:id="15"/>
      <w:r w:rsidR="00723F28">
        <w:t>Nonetheless, this</w:t>
      </w:r>
      <w:r w:rsidR="000234FA">
        <w:t xml:space="preserve"> higher office WPL preference </w:t>
      </w:r>
      <w:r w:rsidR="00723F28">
        <w:t xml:space="preserve">among </w:t>
      </w:r>
      <w:r w:rsidR="000234FA">
        <w:t xml:space="preserve">non-single </w:t>
      </w:r>
      <w:r w:rsidR="00723F28">
        <w:t xml:space="preserve">women does align with some </w:t>
      </w:r>
      <w:r w:rsidR="000234FA">
        <w:t>recent literature analyzing telework patterns after the onset of the pandemic (see A</w:t>
      </w:r>
      <w:r w:rsidR="00EC298F">
        <w:t>smussen</w:t>
      </w:r>
      <w:r w:rsidR="000234FA">
        <w:t xml:space="preserve"> et al., </w:t>
      </w:r>
      <w:r w:rsidR="000234FA" w:rsidRPr="004F03C1">
        <w:t xml:space="preserve">2023; </w:t>
      </w:r>
      <w:r w:rsidR="000234FA" w:rsidRPr="004F03C1">
        <w:rPr>
          <w:color w:val="000000" w:themeColor="text1"/>
        </w:rPr>
        <w:t>Sweet and Scott (2022)</w:t>
      </w:r>
      <w:r w:rsidR="000234FA" w:rsidRPr="004F03C1">
        <w:t>), suggesting</w:t>
      </w:r>
      <w:r w:rsidR="000234FA">
        <w:t xml:space="preserve"> that </w:t>
      </w:r>
      <w:r w:rsidR="00723F28">
        <w:t>women</w:t>
      </w:r>
      <w:r w:rsidR="000234FA">
        <w:t>, relative to men,</w:t>
      </w:r>
      <w:r w:rsidR="00723F28">
        <w:t xml:space="preserve"> </w:t>
      </w:r>
      <w:r w:rsidR="000234FA">
        <w:t xml:space="preserve">may </w:t>
      </w:r>
      <w:r w:rsidR="00723F28">
        <w:t>prefer the</w:t>
      </w:r>
      <w:r w:rsidR="000234FA">
        <w:t xml:space="preserve"> </w:t>
      </w:r>
      <w:r w:rsidR="00723F28">
        <w:t>office environment to separate their professional and personal</w:t>
      </w:r>
      <w:r w:rsidR="000234FA">
        <w:t>/family</w:t>
      </w:r>
      <w:r w:rsidR="00723F28">
        <w:t xml:space="preserve"> responsibilities</w:t>
      </w:r>
      <w:r w:rsidR="00A61E5D">
        <w:t>.</w:t>
      </w:r>
      <w:r w:rsidR="000234FA">
        <w:t xml:space="preserve"> Or this could also be </w:t>
      </w:r>
      <w:r w:rsidR="000234FA" w:rsidRPr="007A0521">
        <w:rPr>
          <w:color w:val="000000" w:themeColor="text1"/>
        </w:rPr>
        <w:t xml:space="preserve">a </w:t>
      </w:r>
      <w:r w:rsidR="000234FA">
        <w:rPr>
          <w:color w:val="000000" w:themeColor="text1"/>
        </w:rPr>
        <w:t xml:space="preserve">reflection of a </w:t>
      </w:r>
      <w:r w:rsidR="000234FA" w:rsidRPr="007A0521">
        <w:rPr>
          <w:color w:val="000000" w:themeColor="text1"/>
        </w:rPr>
        <w:t xml:space="preserve">gendering of telework </w:t>
      </w:r>
      <w:r w:rsidR="000234FA">
        <w:rPr>
          <w:color w:val="000000" w:themeColor="text1"/>
        </w:rPr>
        <w:t xml:space="preserve">productivity as perceived by employers, resulting in </w:t>
      </w:r>
      <w:r w:rsidR="000234FA" w:rsidRPr="007A0521">
        <w:rPr>
          <w:color w:val="000000" w:themeColor="text1"/>
        </w:rPr>
        <w:t>employer-related pressure felt</w:t>
      </w:r>
      <w:r w:rsidR="000234FA">
        <w:rPr>
          <w:color w:val="000000" w:themeColor="text1"/>
        </w:rPr>
        <w:t xml:space="preserve"> by women </w:t>
      </w:r>
      <w:r w:rsidR="000234FA" w:rsidRPr="007A0521">
        <w:rPr>
          <w:color w:val="000000" w:themeColor="text1"/>
        </w:rPr>
        <w:t xml:space="preserve">to show up </w:t>
      </w:r>
      <w:r w:rsidR="000234FA">
        <w:rPr>
          <w:color w:val="000000" w:themeColor="text1"/>
        </w:rPr>
        <w:t xml:space="preserve">more </w:t>
      </w:r>
      <w:r w:rsidR="000234FA" w:rsidRPr="007A0521">
        <w:rPr>
          <w:color w:val="000000" w:themeColor="text1"/>
        </w:rPr>
        <w:t xml:space="preserve">regularly at the work office. </w:t>
      </w:r>
      <w:r w:rsidR="000234FA">
        <w:rPr>
          <w:color w:val="000000" w:themeColor="text1"/>
        </w:rPr>
        <w:t xml:space="preserve">At the same time, non-single women </w:t>
      </w:r>
      <w:r w:rsidR="000234FA">
        <w:t>tend to have shorter commute distances compared to men, consistent with earlier studies before the onset of the pandemic (</w:t>
      </w:r>
      <w:proofErr w:type="spellStart"/>
      <w:r w:rsidR="000234FA">
        <w:t>Axisa</w:t>
      </w:r>
      <w:proofErr w:type="spellEnd"/>
      <w:r w:rsidR="000234FA">
        <w:t xml:space="preserve"> et al., 2012; Blumberg and King, 2019; d</w:t>
      </w:r>
      <w:r w:rsidR="00035277">
        <w:t xml:space="preserve">e Abreu </w:t>
      </w:r>
      <w:r w:rsidR="000234FA">
        <w:t xml:space="preserve">e Silva and Melo, 2018; Hu, 2021). This points to women, in most households, continuing to serve as secondary breadwinners, </w:t>
      </w:r>
      <w:r w:rsidR="008E26F5">
        <w:t xml:space="preserve">and </w:t>
      </w:r>
      <w:r w:rsidR="000234FA">
        <w:t>finding jobs close to predetermined residential location</w:t>
      </w:r>
      <w:r w:rsidR="008E26F5">
        <w:t>s</w:t>
      </w:r>
      <w:r w:rsidR="000234FA">
        <w:t xml:space="preserve">. </w:t>
      </w:r>
      <w:r w:rsidR="00723F28" w:rsidRPr="0040367B">
        <w:t>However</w:t>
      </w:r>
      <w:r w:rsidR="00723F28">
        <w:t xml:space="preserve">, </w:t>
      </w:r>
      <w:r w:rsidR="000234FA">
        <w:t xml:space="preserve">the gender effects change in the presence of a child (below the age of 18 years) in the household, with </w:t>
      </w:r>
      <w:r w:rsidR="00723F28">
        <w:t xml:space="preserve">single mothers </w:t>
      </w:r>
      <w:r w:rsidR="000234FA">
        <w:t xml:space="preserve">having a higher preference for remote work relative to (single </w:t>
      </w:r>
      <w:r w:rsidR="008E26F5">
        <w:lastRenderedPageBreak/>
        <w:t>and</w:t>
      </w:r>
      <w:r w:rsidR="000234FA">
        <w:t xml:space="preserve"> non-single) men. For single mothers who are generally the most time-poor and income-poor (see </w:t>
      </w:r>
      <w:r w:rsidR="008E7D8B">
        <w:t>Beckman, 2022</w:t>
      </w:r>
      <w:r w:rsidR="000234FA">
        <w:t xml:space="preserve">), working from home offers some level of time and cost-efficiency (in terms of savings in commute travel time and </w:t>
      </w:r>
      <w:r w:rsidR="008E26F5">
        <w:t xml:space="preserve">cost </w:t>
      </w:r>
      <w:r w:rsidR="000234FA">
        <w:t>invest</w:t>
      </w:r>
      <w:r w:rsidR="008E26F5">
        <w:t>ments</w:t>
      </w:r>
      <w:r w:rsidR="000234FA">
        <w:t xml:space="preserve"> in work apparel), while also allowing more time for interaction with children (</w:t>
      </w:r>
      <w:proofErr w:type="spellStart"/>
      <w:r w:rsidR="000234FA">
        <w:t>Schieman</w:t>
      </w:r>
      <w:proofErr w:type="spellEnd"/>
      <w:r w:rsidR="000234FA">
        <w:t xml:space="preserve"> et al., 2021). </w:t>
      </w:r>
      <w:r w:rsidR="000234FA" w:rsidRPr="00865677">
        <w:t xml:space="preserve">Our results also point to single </w:t>
      </w:r>
      <w:r w:rsidR="00865677" w:rsidRPr="00865677">
        <w:t>parents (both mothers and fathers)</w:t>
      </w:r>
      <w:r w:rsidR="000234FA" w:rsidRPr="00865677">
        <w:t xml:space="preserve"> bearing the burden of longer commute distances compared to </w:t>
      </w:r>
      <w:r w:rsidR="00865677" w:rsidRPr="00865677">
        <w:t>non-single workers (parents and not parents)</w:t>
      </w:r>
      <w:r w:rsidR="000234FA" w:rsidRPr="00865677">
        <w:t xml:space="preserve">. This may be attributable to single </w:t>
      </w:r>
      <w:r w:rsidR="00865677" w:rsidRPr="00865677">
        <w:t>parents</w:t>
      </w:r>
      <w:r w:rsidR="000234FA" w:rsidRPr="00865677">
        <w:t xml:space="preserve"> choosing their place of residence based on proximity to their children's school, extracurricular activities, and a reliable support system, rather than proximity to their workplace, given their unique circumstances (Baker et al., 2016).</w:t>
      </w:r>
      <w:r w:rsidR="00EE2F68">
        <w:t xml:space="preserve"> Interestingly, beyond the interaction of presence of children and being a single mother, our results do not show any baseline preference effects of the presence of children. However, there are satiation effects associated with the presence of children.</w:t>
      </w:r>
      <w:r w:rsidR="000234FA">
        <w:t xml:space="preserve"> </w:t>
      </w:r>
      <w:r w:rsidR="00EE2F68">
        <w:rPr>
          <w:szCs w:val="24"/>
        </w:rPr>
        <w:t>P</w:t>
      </w:r>
      <w:r w:rsidR="00EE2F68">
        <w:t>arents (single or otherwise, and mother or father), with children under 12 years old, spend fewer days working from the office relative to households without children</w:t>
      </w:r>
      <w:r w:rsidR="00EE2F68">
        <w:rPr>
          <w:szCs w:val="24"/>
        </w:rPr>
        <w:t xml:space="preserve">, conditional on working from the office at all. </w:t>
      </w:r>
      <w:r w:rsidR="00EE2F68">
        <w:t>This may be attributable to familial responsibilities associated with child care and other children-related activities.</w:t>
      </w:r>
      <w:r w:rsidR="008E26F5">
        <w:t xml:space="preserve"> In contrast</w:t>
      </w:r>
      <w:r w:rsidR="00EE2F68">
        <w:t xml:space="preserve">, </w:t>
      </w:r>
      <w:bookmarkStart w:id="16" w:name="_Hlk166493997"/>
      <w:r w:rsidR="00EE2F68">
        <w:t xml:space="preserve">parents of children between the ages of 13 and 17 </w:t>
      </w:r>
      <w:r w:rsidR="00724E3D">
        <w:t xml:space="preserve">may </w:t>
      </w:r>
      <w:r w:rsidR="00EE2F68">
        <w:t>actually spend more days working from the office, again conditional on partaking in office-based work.</w:t>
      </w:r>
      <w:r w:rsidR="00EE2F68" w:rsidDel="00F96985">
        <w:rPr>
          <w:szCs w:val="24"/>
        </w:rPr>
        <w:t xml:space="preserve"> </w:t>
      </w:r>
      <w:r w:rsidR="00EE2F68">
        <w:rPr>
          <w:szCs w:val="24"/>
        </w:rPr>
        <w:t>O</w:t>
      </w:r>
      <w:r w:rsidR="00EE2F68">
        <w:t>lder c</w:t>
      </w:r>
      <w:r w:rsidR="00EE2F68" w:rsidRPr="00723A22">
        <w:t xml:space="preserve">hildren </w:t>
      </w:r>
      <w:r w:rsidR="00EE2F68">
        <w:t>are</w:t>
      </w:r>
      <w:r w:rsidR="00EE2F68" w:rsidRPr="00723A22">
        <w:t xml:space="preserve"> more </w:t>
      </w:r>
      <w:r w:rsidR="00EE2F68">
        <w:t xml:space="preserve">socially and physically </w:t>
      </w:r>
      <w:r w:rsidR="00EE2F68" w:rsidRPr="00723A22">
        <w:t xml:space="preserve">independent than </w:t>
      </w:r>
      <w:r w:rsidR="00EE2F68">
        <w:t xml:space="preserve">younger children </w:t>
      </w:r>
      <w:r w:rsidR="00EE2F68" w:rsidRPr="009E5871">
        <w:t>(</w:t>
      </w:r>
      <w:proofErr w:type="spellStart"/>
      <w:r w:rsidR="00EE2F68">
        <w:t>Schieman</w:t>
      </w:r>
      <w:proofErr w:type="spellEnd"/>
      <w:r w:rsidR="00EE2F68">
        <w:t xml:space="preserve"> et al., 2021; Nguyen, 2021</w:t>
      </w:r>
      <w:r w:rsidR="00EE2F68" w:rsidRPr="009E5871">
        <w:t>)</w:t>
      </w:r>
      <w:r w:rsidR="00EE2F68">
        <w:t xml:space="preserve">, facilitating parents to work from their office for both professional and social gain. </w:t>
      </w:r>
    </w:p>
    <w:bookmarkEnd w:id="16"/>
    <w:p w14:paraId="44CA9EE1" w14:textId="3C6B832D" w:rsidR="00723F28" w:rsidRDefault="00723F28" w:rsidP="00723F28">
      <w:pPr>
        <w:spacing w:after="0" w:line="240" w:lineRule="auto"/>
        <w:ind w:firstLine="720"/>
        <w:rPr>
          <w:szCs w:val="24"/>
        </w:rPr>
      </w:pPr>
      <w:r>
        <w:t xml:space="preserve">Age is </w:t>
      </w:r>
      <w:r w:rsidR="000234FA">
        <w:t xml:space="preserve">another </w:t>
      </w:r>
      <w:r>
        <w:t xml:space="preserve">factor </w:t>
      </w:r>
      <w:r w:rsidR="000234FA">
        <w:t xml:space="preserve">influencing telework </w:t>
      </w:r>
      <w:r>
        <w:t xml:space="preserve">and commute distance preference. Older workers (50 years </w:t>
      </w:r>
      <w:r w:rsidR="00EE2F68">
        <w:t xml:space="preserve">or </w:t>
      </w:r>
      <w:r>
        <w:t>old</w:t>
      </w:r>
      <w:r w:rsidR="00EE2F68">
        <w:t>er</w:t>
      </w:r>
      <w:r>
        <w:t>)</w:t>
      </w:r>
      <w:r w:rsidR="008E26F5">
        <w:t xml:space="preserve"> </w:t>
      </w:r>
      <w:r w:rsidR="00EE2F68">
        <w:t xml:space="preserve">have a </w:t>
      </w:r>
      <w:r w:rsidR="008E26F5">
        <w:t>lower</w:t>
      </w:r>
      <w:r w:rsidR="00EE2F68">
        <w:t xml:space="preserve"> baseline preference</w:t>
      </w:r>
      <w:r>
        <w:t xml:space="preserve"> to </w:t>
      </w:r>
      <w:r w:rsidR="008E26F5">
        <w:t>tele</w:t>
      </w:r>
      <w:r>
        <w:t>work</w:t>
      </w:r>
      <w:r w:rsidR="008E26F5">
        <w:t xml:space="preserve"> </w:t>
      </w:r>
      <w:r>
        <w:t xml:space="preserve">relative to their younger coworkers. </w:t>
      </w:r>
      <w:r w:rsidRPr="00163851">
        <w:rPr>
          <w:szCs w:val="24"/>
        </w:rPr>
        <w:t>This is presumably because older workers enjoy the concept of “workplace anchoring” i.e., working in one established location, and enjoy the structure, socialization and professional visibility of their familiar in-person office (Tahlyan et al., 2022</w:t>
      </w:r>
      <w:r w:rsidR="00EE2F68">
        <w:rPr>
          <w:szCs w:val="24"/>
        </w:rPr>
        <w:t>; Robbennolt et al., 2023</w:t>
      </w:r>
      <w:r w:rsidRPr="00163851">
        <w:rPr>
          <w:szCs w:val="24"/>
        </w:rPr>
        <w:t>). Additionally, the control they have over both their workspace and over</w:t>
      </w:r>
      <w:r w:rsidR="008E26F5">
        <w:rPr>
          <w:szCs w:val="24"/>
        </w:rPr>
        <w:t xml:space="preserve"> </w:t>
      </w:r>
      <w:r w:rsidRPr="00163851">
        <w:rPr>
          <w:szCs w:val="24"/>
        </w:rPr>
        <w:t>employees they may manage provides added perceived benefit</w:t>
      </w:r>
      <w:r>
        <w:rPr>
          <w:szCs w:val="24"/>
        </w:rPr>
        <w:t>s</w:t>
      </w:r>
      <w:r w:rsidRPr="00163851">
        <w:rPr>
          <w:szCs w:val="24"/>
        </w:rPr>
        <w:t xml:space="preserve"> of the office to older workers. </w:t>
      </w:r>
      <w:r w:rsidR="00EE2F68">
        <w:rPr>
          <w:szCs w:val="24"/>
        </w:rPr>
        <w:t>Overall</w:t>
      </w:r>
      <w:r w:rsidRPr="00163851">
        <w:rPr>
          <w:szCs w:val="24"/>
        </w:rPr>
        <w:t xml:space="preserve">, </w:t>
      </w:r>
      <w:r w:rsidR="000234FA">
        <w:rPr>
          <w:szCs w:val="24"/>
        </w:rPr>
        <w:t xml:space="preserve">teleworking may not have the same allure for </w:t>
      </w:r>
      <w:r w:rsidRPr="00163851">
        <w:rPr>
          <w:szCs w:val="24"/>
        </w:rPr>
        <w:t xml:space="preserve">older workers </w:t>
      </w:r>
      <w:r w:rsidR="000234FA">
        <w:rPr>
          <w:szCs w:val="24"/>
        </w:rPr>
        <w:t xml:space="preserve">relative to </w:t>
      </w:r>
      <w:r w:rsidRPr="00163851">
        <w:rPr>
          <w:szCs w:val="24"/>
        </w:rPr>
        <w:t>younger workers</w:t>
      </w:r>
      <w:r w:rsidR="000234FA">
        <w:rPr>
          <w:szCs w:val="24"/>
        </w:rPr>
        <w:t xml:space="preserve">. Besides, younger workers generally relish the </w:t>
      </w:r>
      <w:r w:rsidRPr="00163851">
        <w:rPr>
          <w:szCs w:val="24"/>
        </w:rPr>
        <w:t>flexibility,</w:t>
      </w:r>
      <w:r w:rsidR="000234FA">
        <w:rPr>
          <w:szCs w:val="24"/>
        </w:rPr>
        <w:t xml:space="preserve"> </w:t>
      </w:r>
      <w:r w:rsidRPr="00163851">
        <w:rPr>
          <w:szCs w:val="24"/>
        </w:rPr>
        <w:t>control</w:t>
      </w:r>
      <w:r w:rsidR="000234FA">
        <w:rPr>
          <w:szCs w:val="24"/>
        </w:rPr>
        <w:t>,</w:t>
      </w:r>
      <w:r w:rsidRPr="00163851">
        <w:rPr>
          <w:szCs w:val="24"/>
        </w:rPr>
        <w:t xml:space="preserve"> and freedom </w:t>
      </w:r>
      <w:r w:rsidR="000234FA">
        <w:rPr>
          <w:szCs w:val="24"/>
        </w:rPr>
        <w:t xml:space="preserve">offered by teleworking for </w:t>
      </w:r>
      <w:r w:rsidRPr="00163851">
        <w:rPr>
          <w:szCs w:val="24"/>
        </w:rPr>
        <w:t>both their work and play hours (</w:t>
      </w:r>
      <w:proofErr w:type="spellStart"/>
      <w:r w:rsidRPr="00163851">
        <w:rPr>
          <w:szCs w:val="24"/>
        </w:rPr>
        <w:t>Asdecker</w:t>
      </w:r>
      <w:proofErr w:type="spellEnd"/>
      <w:r w:rsidRPr="00163851">
        <w:rPr>
          <w:szCs w:val="24"/>
        </w:rPr>
        <w:t xml:space="preserve">, 2022; </w:t>
      </w:r>
      <w:proofErr w:type="spellStart"/>
      <w:r w:rsidR="00F623DC" w:rsidRPr="00733550">
        <w:rPr>
          <w:bCs/>
          <w:color w:val="222222"/>
          <w:szCs w:val="24"/>
          <w:shd w:val="clear" w:color="auto" w:fill="FFFFFF"/>
        </w:rPr>
        <w:t>Raišienė</w:t>
      </w:r>
      <w:proofErr w:type="spellEnd"/>
      <w:r w:rsidRPr="00163851">
        <w:rPr>
          <w:szCs w:val="24"/>
        </w:rPr>
        <w:t xml:space="preserve"> et al., 2021; Nguyen, 2021). Further, the youngest employees (younger than 30 years old) are more likely </w:t>
      </w:r>
      <w:r w:rsidR="007F15B5">
        <w:rPr>
          <w:szCs w:val="24"/>
        </w:rPr>
        <w:t xml:space="preserve">(than their older peers) </w:t>
      </w:r>
      <w:r w:rsidRPr="00163851">
        <w:rPr>
          <w:szCs w:val="24"/>
        </w:rPr>
        <w:t xml:space="preserve">to lead </w:t>
      </w:r>
      <w:r w:rsidR="007F15B5">
        <w:rPr>
          <w:szCs w:val="24"/>
        </w:rPr>
        <w:t xml:space="preserve">a “wanderlust </w:t>
      </w:r>
      <w:r w:rsidRPr="00163851">
        <w:rPr>
          <w:szCs w:val="24"/>
        </w:rPr>
        <w:t>digital nomad” lifestyle</w:t>
      </w:r>
      <w:r w:rsidR="007F15B5">
        <w:rPr>
          <w:szCs w:val="24"/>
        </w:rPr>
        <w:t xml:space="preserve"> (see </w:t>
      </w:r>
      <w:proofErr w:type="spellStart"/>
      <w:r w:rsidR="007F15B5" w:rsidRPr="00163851">
        <w:rPr>
          <w:szCs w:val="24"/>
        </w:rPr>
        <w:t>Mouratidis</w:t>
      </w:r>
      <w:proofErr w:type="spellEnd"/>
      <w:r w:rsidR="007F15B5" w:rsidRPr="00163851">
        <w:rPr>
          <w:szCs w:val="24"/>
        </w:rPr>
        <w:t xml:space="preserve">, 2018; </w:t>
      </w:r>
      <w:proofErr w:type="spellStart"/>
      <w:r w:rsidR="007F15B5" w:rsidRPr="00163851">
        <w:rPr>
          <w:szCs w:val="24"/>
        </w:rPr>
        <w:t>Stickel</w:t>
      </w:r>
      <w:proofErr w:type="spellEnd"/>
      <w:r w:rsidR="007F15B5" w:rsidRPr="00163851">
        <w:rPr>
          <w:szCs w:val="24"/>
        </w:rPr>
        <w:t>, 2020</w:t>
      </w:r>
      <w:r w:rsidR="007F15B5">
        <w:rPr>
          <w:szCs w:val="24"/>
        </w:rPr>
        <w:t xml:space="preserve">; and </w:t>
      </w:r>
      <w:proofErr w:type="spellStart"/>
      <w:r w:rsidR="007F15B5">
        <w:rPr>
          <w:szCs w:val="24"/>
        </w:rPr>
        <w:t>Kersting</w:t>
      </w:r>
      <w:proofErr w:type="spellEnd"/>
      <w:r w:rsidR="007F15B5">
        <w:rPr>
          <w:szCs w:val="24"/>
        </w:rPr>
        <w:t xml:space="preserve"> et al., 2021</w:t>
      </w:r>
      <w:r w:rsidR="007F15B5" w:rsidRPr="00163851">
        <w:rPr>
          <w:szCs w:val="24"/>
        </w:rPr>
        <w:t>)</w:t>
      </w:r>
      <w:r w:rsidRPr="00163851">
        <w:rPr>
          <w:szCs w:val="24"/>
        </w:rPr>
        <w:t xml:space="preserve">, </w:t>
      </w:r>
      <w:r w:rsidR="007F15B5">
        <w:rPr>
          <w:szCs w:val="24"/>
        </w:rPr>
        <w:t xml:space="preserve">explaining the higher preference of this youngest worker group for the third WPL. </w:t>
      </w:r>
      <w:r w:rsidR="00EE2F68">
        <w:rPr>
          <w:szCs w:val="24"/>
        </w:rPr>
        <w:t xml:space="preserve">The satiation effects of age reinforce the disinclination of older individuals to telework, with the “not-so-young” individuals (age 40 years of older) having a lower frequency of working from home if they choose to work from home at all. </w:t>
      </w:r>
      <w:r w:rsidRPr="000B49D9">
        <w:rPr>
          <w:szCs w:val="24"/>
        </w:rPr>
        <w:t xml:space="preserve">With regard to </w:t>
      </w:r>
      <w:r w:rsidR="007F15B5">
        <w:rPr>
          <w:szCs w:val="24"/>
        </w:rPr>
        <w:t xml:space="preserve">age effects on </w:t>
      </w:r>
      <w:r w:rsidRPr="000B49D9">
        <w:rPr>
          <w:szCs w:val="24"/>
        </w:rPr>
        <w:t xml:space="preserve">commute distance, </w:t>
      </w:r>
      <w:r w:rsidR="005F3EB4">
        <w:rPr>
          <w:szCs w:val="24"/>
        </w:rPr>
        <w:t xml:space="preserve">which we found statistically significant at only the 80% confidence level, </w:t>
      </w:r>
      <w:r w:rsidRPr="000B49D9">
        <w:rPr>
          <w:szCs w:val="24"/>
        </w:rPr>
        <w:t>the oldest cohort of workers (over 50 years of age)</w:t>
      </w:r>
      <w:r w:rsidR="007F15B5">
        <w:rPr>
          <w:szCs w:val="24"/>
        </w:rPr>
        <w:t xml:space="preserve"> generally </w:t>
      </w:r>
      <w:r w:rsidRPr="000B49D9">
        <w:rPr>
          <w:szCs w:val="24"/>
        </w:rPr>
        <w:t>have a higher commute distance compared to their younger peers</w:t>
      </w:r>
      <w:r w:rsidR="007F15B5">
        <w:rPr>
          <w:szCs w:val="24"/>
        </w:rPr>
        <w:t xml:space="preserve">, attributable to </w:t>
      </w:r>
      <w:r w:rsidRPr="000B49D9">
        <w:rPr>
          <w:szCs w:val="24"/>
        </w:rPr>
        <w:t>middle-aged and older individuals having distinct housing preferences</w:t>
      </w:r>
      <w:r w:rsidR="007F15B5">
        <w:rPr>
          <w:szCs w:val="24"/>
        </w:rPr>
        <w:t xml:space="preserve"> that lead them to </w:t>
      </w:r>
      <w:r w:rsidRPr="000B49D9">
        <w:rPr>
          <w:szCs w:val="24"/>
        </w:rPr>
        <w:t xml:space="preserve">seek larger homes or quieter neighborhoods located farther away from urban centers and job </w:t>
      </w:r>
      <w:r w:rsidR="007F15B5">
        <w:rPr>
          <w:szCs w:val="24"/>
        </w:rPr>
        <w:t>locations</w:t>
      </w:r>
      <w:r w:rsidRPr="000B49D9">
        <w:rPr>
          <w:szCs w:val="24"/>
        </w:rPr>
        <w:t xml:space="preserve">. </w:t>
      </w:r>
    </w:p>
    <w:p w14:paraId="5FE55F39" w14:textId="132AF966" w:rsidR="00723F28" w:rsidRDefault="00723F28" w:rsidP="00EE2F68">
      <w:pPr>
        <w:spacing w:after="0" w:line="240" w:lineRule="auto"/>
        <w:ind w:firstLine="720"/>
      </w:pPr>
      <w:r w:rsidRPr="006C1876">
        <w:rPr>
          <w:szCs w:val="24"/>
        </w:rPr>
        <w:t xml:space="preserve">The </w:t>
      </w:r>
      <w:r w:rsidR="007F15B5">
        <w:rPr>
          <w:szCs w:val="24"/>
        </w:rPr>
        <w:t>“</w:t>
      </w:r>
      <w:r w:rsidRPr="006C1876">
        <w:rPr>
          <w:szCs w:val="24"/>
        </w:rPr>
        <w:t>level of formal education</w:t>
      </w:r>
      <w:r w:rsidR="007F15B5">
        <w:rPr>
          <w:szCs w:val="24"/>
        </w:rPr>
        <w:t xml:space="preserve">” effect reveals </w:t>
      </w:r>
      <w:r w:rsidR="00EE2F68">
        <w:rPr>
          <w:szCs w:val="24"/>
        </w:rPr>
        <w:t>a</w:t>
      </w:r>
      <w:r w:rsidR="007F15B5">
        <w:rPr>
          <w:szCs w:val="24"/>
        </w:rPr>
        <w:t xml:space="preserve"> higher inclination for home-based telework among those with a bachelor’s degree or higher. </w:t>
      </w:r>
      <w:r w:rsidRPr="006C1876">
        <w:rPr>
          <w:szCs w:val="24"/>
        </w:rPr>
        <w:t>Higher levels of education often lead to increased job opportunities that offer greater flexibility in work arrangements, including the option to work remotely</w:t>
      </w:r>
      <w:r w:rsidR="007F15B5">
        <w:rPr>
          <w:szCs w:val="24"/>
        </w:rPr>
        <w:t xml:space="preserve"> </w:t>
      </w:r>
      <w:r w:rsidR="007F15B5" w:rsidRPr="006C1876">
        <w:rPr>
          <w:szCs w:val="24"/>
        </w:rPr>
        <w:t>(</w:t>
      </w:r>
      <w:r w:rsidR="007F15B5">
        <w:rPr>
          <w:szCs w:val="24"/>
        </w:rPr>
        <w:t xml:space="preserve">see </w:t>
      </w:r>
      <w:r w:rsidR="007F15B5" w:rsidRPr="006C1876">
        <w:rPr>
          <w:szCs w:val="24"/>
        </w:rPr>
        <w:t>López-</w:t>
      </w:r>
      <w:proofErr w:type="spellStart"/>
      <w:r w:rsidR="007F15B5" w:rsidRPr="006C1876">
        <w:rPr>
          <w:szCs w:val="24"/>
        </w:rPr>
        <w:t>Igual</w:t>
      </w:r>
      <w:proofErr w:type="spellEnd"/>
      <w:r w:rsidR="007F15B5" w:rsidRPr="006C1876">
        <w:rPr>
          <w:szCs w:val="24"/>
        </w:rPr>
        <w:t xml:space="preserve"> and Rodríguez-</w:t>
      </w:r>
      <w:proofErr w:type="spellStart"/>
      <w:r w:rsidR="007F15B5" w:rsidRPr="006C1876">
        <w:rPr>
          <w:szCs w:val="24"/>
        </w:rPr>
        <w:t>Modroño</w:t>
      </w:r>
      <w:proofErr w:type="spellEnd"/>
      <w:r w:rsidR="007F15B5" w:rsidRPr="006C1876">
        <w:rPr>
          <w:szCs w:val="24"/>
        </w:rPr>
        <w:t xml:space="preserve">, 2020; </w:t>
      </w:r>
      <w:proofErr w:type="spellStart"/>
      <w:r w:rsidR="007F15B5" w:rsidRPr="006C1876">
        <w:rPr>
          <w:szCs w:val="24"/>
        </w:rPr>
        <w:t>Gaduena</w:t>
      </w:r>
      <w:proofErr w:type="spellEnd"/>
      <w:r w:rsidR="007F15B5" w:rsidRPr="006C1876">
        <w:rPr>
          <w:szCs w:val="24"/>
        </w:rPr>
        <w:t xml:space="preserve"> et al., 2022).</w:t>
      </w:r>
      <w:r>
        <w:rPr>
          <w:szCs w:val="24"/>
        </w:rPr>
        <w:t xml:space="preserve"> </w:t>
      </w:r>
      <w:r w:rsidRPr="006C1876">
        <w:rPr>
          <w:szCs w:val="24"/>
        </w:rPr>
        <w:t>Furthermore, employees holding a bachelor's degree or higher typically have shorter commute distances compared to those without a college degree</w:t>
      </w:r>
      <w:r w:rsidR="00EE2F68">
        <w:rPr>
          <w:szCs w:val="24"/>
        </w:rPr>
        <w:t xml:space="preserve">; individuals </w:t>
      </w:r>
      <w:r w:rsidRPr="006C1876">
        <w:rPr>
          <w:szCs w:val="24"/>
        </w:rPr>
        <w:t xml:space="preserve">with high levels of formal education </w:t>
      </w:r>
      <w:r w:rsidR="00EE2F68">
        <w:rPr>
          <w:szCs w:val="24"/>
        </w:rPr>
        <w:t xml:space="preserve">tend to </w:t>
      </w:r>
      <w:r w:rsidRPr="006C1876">
        <w:rPr>
          <w:szCs w:val="24"/>
        </w:rPr>
        <w:t>reside in neighborhoods with higher mean home values that are closer to job-dense city centers</w:t>
      </w:r>
      <w:r w:rsidR="00EE2F68">
        <w:rPr>
          <w:szCs w:val="24"/>
        </w:rPr>
        <w:t xml:space="preserve"> </w:t>
      </w:r>
      <w:r w:rsidR="00EE2F68">
        <w:rPr>
          <w:szCs w:val="24"/>
        </w:rPr>
        <w:lastRenderedPageBreak/>
        <w:t>(see Robbennolt et al., 2023)</w:t>
      </w:r>
      <w:r w:rsidRPr="006C1876">
        <w:rPr>
          <w:szCs w:val="24"/>
        </w:rPr>
        <w:t>.</w:t>
      </w:r>
      <w:r w:rsidR="007F15B5">
        <w:rPr>
          <w:szCs w:val="24"/>
        </w:rPr>
        <w:t xml:space="preserve"> </w:t>
      </w:r>
      <w:r w:rsidR="00EE2F68">
        <w:rPr>
          <w:szCs w:val="24"/>
        </w:rPr>
        <w:t>Finally, within the group of individual and household demographics</w:t>
      </w:r>
      <w:r w:rsidRPr="00163851">
        <w:rPr>
          <w:szCs w:val="24"/>
        </w:rPr>
        <w:t xml:space="preserve">, employees with </w:t>
      </w:r>
      <w:r w:rsidR="00EE2F68">
        <w:rPr>
          <w:szCs w:val="24"/>
        </w:rPr>
        <w:t xml:space="preserve">an annual </w:t>
      </w:r>
      <w:r w:rsidRPr="00163851">
        <w:rPr>
          <w:szCs w:val="24"/>
        </w:rPr>
        <w:t xml:space="preserve">household income </w:t>
      </w:r>
      <w:r w:rsidR="00EE2F68">
        <w:rPr>
          <w:szCs w:val="24"/>
        </w:rPr>
        <w:t xml:space="preserve">of </w:t>
      </w:r>
      <w:r w:rsidRPr="00163851">
        <w:rPr>
          <w:szCs w:val="24"/>
        </w:rPr>
        <w:t xml:space="preserve">$100,000 </w:t>
      </w:r>
      <w:r w:rsidR="00EE2F68">
        <w:rPr>
          <w:szCs w:val="24"/>
        </w:rPr>
        <w:t xml:space="preserve">or more </w:t>
      </w:r>
      <w:r w:rsidRPr="00163851">
        <w:rPr>
          <w:szCs w:val="24"/>
        </w:rPr>
        <w:t>t</w:t>
      </w:r>
      <w:r w:rsidR="00EE2F68">
        <w:rPr>
          <w:szCs w:val="24"/>
        </w:rPr>
        <w:t xml:space="preserve">ypically </w:t>
      </w:r>
      <w:r w:rsidRPr="00163851">
        <w:rPr>
          <w:szCs w:val="24"/>
        </w:rPr>
        <w:t xml:space="preserve">have a higher baseline preference for </w:t>
      </w:r>
      <w:r w:rsidR="00EE2F68">
        <w:rPr>
          <w:szCs w:val="24"/>
        </w:rPr>
        <w:t>tele</w:t>
      </w:r>
      <w:r>
        <w:rPr>
          <w:szCs w:val="24"/>
        </w:rPr>
        <w:t>work (both from home and a third workplace)</w:t>
      </w:r>
      <w:r w:rsidRPr="00163851">
        <w:rPr>
          <w:szCs w:val="24"/>
        </w:rPr>
        <w:t xml:space="preserve"> compared to employees from lower income households. </w:t>
      </w:r>
      <w:r w:rsidR="00EE2F68">
        <w:rPr>
          <w:szCs w:val="24"/>
        </w:rPr>
        <w:t xml:space="preserve">High income-earning individuals </w:t>
      </w:r>
      <w:r w:rsidR="00EE2F68">
        <w:rPr>
          <w:color w:val="000000" w:themeColor="text1"/>
        </w:rPr>
        <w:t>are better able to negotiating in their ability to work remotely</w:t>
      </w:r>
      <w:r w:rsidR="00EE2F68" w:rsidRPr="009E5248">
        <w:rPr>
          <w:color w:val="000000" w:themeColor="text1"/>
        </w:rPr>
        <w:t xml:space="preserve"> </w:t>
      </w:r>
      <w:r w:rsidR="00EE2F68" w:rsidRPr="00096CC3">
        <w:t>(</w:t>
      </w:r>
      <w:r w:rsidR="00EE2F68">
        <w:t xml:space="preserve">see for example, </w:t>
      </w:r>
      <w:r w:rsidR="00EE2F68" w:rsidRPr="00163851">
        <w:rPr>
          <w:szCs w:val="24"/>
        </w:rPr>
        <w:t>Astroza et al., 2020</w:t>
      </w:r>
      <w:r w:rsidR="00EE2F68">
        <w:t>;</w:t>
      </w:r>
      <w:r w:rsidR="00EE2F68" w:rsidRPr="00096CC3">
        <w:t xml:space="preserve"> </w:t>
      </w:r>
      <w:r w:rsidR="00EE2F68" w:rsidRPr="0088328D">
        <w:rPr>
          <w:color w:val="000000" w:themeColor="text1"/>
        </w:rPr>
        <w:t>Asmussen</w:t>
      </w:r>
      <w:r w:rsidR="00EE2F68" w:rsidRPr="009E5248">
        <w:rPr>
          <w:color w:val="000000" w:themeColor="text1"/>
        </w:rPr>
        <w:t xml:space="preserve"> et al., </w:t>
      </w:r>
      <w:r w:rsidR="00EE2F68" w:rsidRPr="0088328D">
        <w:rPr>
          <w:color w:val="000000" w:themeColor="text1"/>
        </w:rPr>
        <w:t>2023</w:t>
      </w:r>
      <w:r w:rsidR="00EE2F68">
        <w:rPr>
          <w:color w:val="000000" w:themeColor="text1"/>
        </w:rPr>
        <w:t>), while those in the lower</w:t>
      </w:r>
      <w:r w:rsidR="00EE2F68" w:rsidRPr="009E5248">
        <w:rPr>
          <w:color w:val="000000" w:themeColor="text1"/>
        </w:rPr>
        <w:t xml:space="preserve"> income </w:t>
      </w:r>
      <w:r w:rsidR="00EE2F68">
        <w:rPr>
          <w:color w:val="000000" w:themeColor="text1"/>
        </w:rPr>
        <w:t>category</w:t>
      </w:r>
      <w:r w:rsidR="00EE2F68" w:rsidRPr="009E5248">
        <w:rPr>
          <w:color w:val="000000" w:themeColor="text1"/>
        </w:rPr>
        <w:t xml:space="preserve"> may </w:t>
      </w:r>
      <w:r w:rsidR="00EE2F68">
        <w:rPr>
          <w:color w:val="000000" w:themeColor="text1"/>
        </w:rPr>
        <w:t>want to show up more often at their workplace</w:t>
      </w:r>
      <w:r w:rsidR="00EE2F68" w:rsidRPr="009E5248">
        <w:rPr>
          <w:color w:val="000000" w:themeColor="text1"/>
        </w:rPr>
        <w:t xml:space="preserve"> to </w:t>
      </w:r>
      <w:r w:rsidR="00EE2F68">
        <w:rPr>
          <w:color w:val="000000" w:themeColor="text1"/>
        </w:rPr>
        <w:t xml:space="preserve">promote themselves (and </w:t>
      </w:r>
      <w:r w:rsidR="00EE2F68" w:rsidRPr="009E5248">
        <w:rPr>
          <w:color w:val="000000" w:themeColor="text1"/>
        </w:rPr>
        <w:t xml:space="preserve">their </w:t>
      </w:r>
      <w:r w:rsidR="00EE2F68">
        <w:rPr>
          <w:color w:val="000000" w:themeColor="text1"/>
        </w:rPr>
        <w:t>careers)</w:t>
      </w:r>
      <w:r w:rsidR="00EE2F68" w:rsidRPr="009E5248">
        <w:rPr>
          <w:color w:val="000000" w:themeColor="text1"/>
        </w:rPr>
        <w:t xml:space="preserve"> to </w:t>
      </w:r>
      <w:r w:rsidR="00EE2F68">
        <w:rPr>
          <w:color w:val="000000" w:themeColor="text1"/>
        </w:rPr>
        <w:t>upper</w:t>
      </w:r>
      <w:r w:rsidR="00EE2F68" w:rsidRPr="009E5248">
        <w:rPr>
          <w:color w:val="000000" w:themeColor="text1"/>
        </w:rPr>
        <w:t xml:space="preserve"> management </w:t>
      </w:r>
      <w:r w:rsidRPr="00163851">
        <w:rPr>
          <w:szCs w:val="24"/>
        </w:rPr>
        <w:t xml:space="preserve">through face-to-face </w:t>
      </w:r>
      <w:r w:rsidR="00EE2F68">
        <w:rPr>
          <w:szCs w:val="24"/>
        </w:rPr>
        <w:t xml:space="preserve">interactions </w:t>
      </w:r>
      <w:r w:rsidRPr="00163851">
        <w:rPr>
          <w:szCs w:val="24"/>
        </w:rPr>
        <w:t>(</w:t>
      </w:r>
      <w:proofErr w:type="spellStart"/>
      <w:r w:rsidRPr="00163851">
        <w:rPr>
          <w:szCs w:val="24"/>
        </w:rPr>
        <w:t>Jaff</w:t>
      </w:r>
      <w:proofErr w:type="spellEnd"/>
      <w:r w:rsidRPr="00163851">
        <w:rPr>
          <w:szCs w:val="24"/>
        </w:rPr>
        <w:t xml:space="preserve"> and </w:t>
      </w:r>
      <w:proofErr w:type="spellStart"/>
      <w:r w:rsidRPr="00163851">
        <w:rPr>
          <w:szCs w:val="24"/>
        </w:rPr>
        <w:t>Hamsa</w:t>
      </w:r>
      <w:proofErr w:type="spellEnd"/>
      <w:r w:rsidRPr="00163851">
        <w:rPr>
          <w:szCs w:val="24"/>
        </w:rPr>
        <w:t>, 2021).</w:t>
      </w:r>
      <w:r>
        <w:rPr>
          <w:szCs w:val="24"/>
        </w:rPr>
        <w:t xml:space="preserve"> </w:t>
      </w:r>
      <w:r w:rsidR="00EE2F68">
        <w:tab/>
      </w:r>
    </w:p>
    <w:p w14:paraId="3571F081" w14:textId="77777777" w:rsidR="00EE2F68" w:rsidRPr="00EE2F68" w:rsidRDefault="00EE2F68" w:rsidP="00EE2F68">
      <w:pPr>
        <w:spacing w:after="0" w:line="240" w:lineRule="auto"/>
        <w:ind w:firstLine="720"/>
        <w:rPr>
          <w:szCs w:val="24"/>
        </w:rPr>
      </w:pPr>
    </w:p>
    <w:p w14:paraId="7D82E61E" w14:textId="23F6AD04" w:rsidR="00723F28" w:rsidRPr="00163851" w:rsidRDefault="00723F28" w:rsidP="00723F28">
      <w:pPr>
        <w:pStyle w:val="Heading4"/>
        <w:numPr>
          <w:ilvl w:val="0"/>
          <w:numId w:val="0"/>
        </w:numPr>
        <w:spacing w:before="0" w:line="240" w:lineRule="auto"/>
        <w:ind w:left="864" w:hanging="864"/>
        <w:rPr>
          <w:szCs w:val="24"/>
        </w:rPr>
      </w:pPr>
      <w:r w:rsidRPr="00163851">
        <w:rPr>
          <w:szCs w:val="24"/>
        </w:rPr>
        <w:t xml:space="preserve">Residential </w:t>
      </w:r>
      <w:r w:rsidR="00EE2F68">
        <w:rPr>
          <w:szCs w:val="24"/>
        </w:rPr>
        <w:t>Attributes</w:t>
      </w:r>
      <w:r w:rsidRPr="00163851">
        <w:rPr>
          <w:szCs w:val="24"/>
        </w:rPr>
        <w:t xml:space="preserve"> </w:t>
      </w:r>
    </w:p>
    <w:p w14:paraId="32437B87" w14:textId="1282DD1B" w:rsidR="00EE2F68" w:rsidRDefault="00723F28" w:rsidP="00617C0C">
      <w:pPr>
        <w:spacing w:after="0" w:line="240" w:lineRule="auto"/>
        <w:rPr>
          <w:szCs w:val="24"/>
        </w:rPr>
      </w:pPr>
      <w:r w:rsidRPr="00163851">
        <w:rPr>
          <w:szCs w:val="24"/>
        </w:rPr>
        <w:t>Relative to an urban or suburban household, those who live in a rural</w:t>
      </w:r>
      <w:r>
        <w:rPr>
          <w:szCs w:val="24"/>
        </w:rPr>
        <w:t xml:space="preserve"> area</w:t>
      </w:r>
      <w:r w:rsidRPr="00163851">
        <w:rPr>
          <w:szCs w:val="24"/>
        </w:rPr>
        <w:t xml:space="preserve"> </w:t>
      </w:r>
      <w:r w:rsidR="008E26F5">
        <w:rPr>
          <w:szCs w:val="24"/>
        </w:rPr>
        <w:t xml:space="preserve">have a higher predisposition </w:t>
      </w:r>
      <w:r w:rsidRPr="00163851">
        <w:rPr>
          <w:szCs w:val="24"/>
        </w:rPr>
        <w:t xml:space="preserve">to work from </w:t>
      </w:r>
      <w:r w:rsidR="008E26F5">
        <w:rPr>
          <w:szCs w:val="24"/>
        </w:rPr>
        <w:t xml:space="preserve">the office. </w:t>
      </w:r>
      <w:r w:rsidRPr="00163851">
        <w:rPr>
          <w:szCs w:val="24"/>
        </w:rPr>
        <w:t xml:space="preserve">It has been well established that those living in low density areas are typically less likely to work from home, as the regular work office environment serves as a particularly important socialization outlet in such communities </w:t>
      </w:r>
      <w:r w:rsidR="00EE2F68" w:rsidRPr="00096CC3">
        <w:t>(</w:t>
      </w:r>
      <w:r w:rsidR="00EE2F68">
        <w:t xml:space="preserve">see </w:t>
      </w:r>
      <w:proofErr w:type="spellStart"/>
      <w:r w:rsidR="00EE2F68" w:rsidRPr="007307A5">
        <w:t>Castrillon</w:t>
      </w:r>
      <w:proofErr w:type="spellEnd"/>
      <w:r w:rsidR="00EE2F68" w:rsidRPr="007307A5">
        <w:t xml:space="preserve"> et al., 2020).</w:t>
      </w:r>
      <w:r w:rsidR="00EE2F68">
        <w:rPr>
          <w:szCs w:val="24"/>
        </w:rPr>
        <w:t xml:space="preserve"> </w:t>
      </w:r>
      <w:r>
        <w:t xml:space="preserve">An additional housing-related attribute that influences work location preferences is the presence of a private study within an individual's home (Patton, 2019). Unsurprisingly, individuals who have a private study in their homes exhibit a stronger inclination to work from home compared to those without </w:t>
      </w:r>
      <w:r w:rsidR="00EE2F68">
        <w:t xml:space="preserve">a private study </w:t>
      </w:r>
      <w:r>
        <w:t>in their household. Compared to alternatives such as a cubicle or a kitchen table, a private study offers an environment that promotes productivity and privacy</w:t>
      </w:r>
      <w:r w:rsidR="00EE2F68">
        <w:t>,</w:t>
      </w:r>
      <w:r>
        <w:t xml:space="preserve"> and allows individuals to work with fewer distractions and interruptions (</w:t>
      </w:r>
      <w:proofErr w:type="spellStart"/>
      <w:r>
        <w:t>Wöhrmann</w:t>
      </w:r>
      <w:proofErr w:type="spellEnd"/>
      <w:r>
        <w:t xml:space="preserve"> and Ebner, 2021).</w:t>
      </w:r>
      <w:r w:rsidR="00EE2F68">
        <w:t xml:space="preserve"> </w:t>
      </w:r>
      <w:r w:rsidR="00EE2F68">
        <w:rPr>
          <w:szCs w:val="24"/>
        </w:rPr>
        <w:t xml:space="preserve">Proceeding to the satiation effects, </w:t>
      </w:r>
      <w:r w:rsidR="00EE2F68">
        <w:t xml:space="preserve">residing in suburban areas is associated with a higher frequency of home-based teleworking for those who have non-zero days of teleworking from home. </w:t>
      </w:r>
    </w:p>
    <w:p w14:paraId="30213A22" w14:textId="34BA1887" w:rsidR="00EE2F68" w:rsidRPr="00EE2F68" w:rsidRDefault="00EE2F68" w:rsidP="008E26F5">
      <w:pPr>
        <w:spacing w:after="0" w:line="240" w:lineRule="auto"/>
      </w:pPr>
    </w:p>
    <w:p w14:paraId="0B3319E1" w14:textId="5B7E67D1" w:rsidR="00723F28" w:rsidRPr="00163851" w:rsidRDefault="00EE2F68" w:rsidP="00723F28">
      <w:pPr>
        <w:pStyle w:val="Heading4"/>
        <w:numPr>
          <w:ilvl w:val="0"/>
          <w:numId w:val="0"/>
        </w:numPr>
        <w:spacing w:before="0" w:line="240" w:lineRule="auto"/>
        <w:ind w:left="864" w:hanging="864"/>
        <w:rPr>
          <w:szCs w:val="24"/>
        </w:rPr>
      </w:pPr>
      <w:r>
        <w:rPr>
          <w:szCs w:val="24"/>
        </w:rPr>
        <w:t xml:space="preserve">Employment </w:t>
      </w:r>
      <w:r w:rsidR="00723F28" w:rsidRPr="00163851">
        <w:rPr>
          <w:szCs w:val="24"/>
        </w:rPr>
        <w:t>Characteristic</w:t>
      </w:r>
      <w:r w:rsidR="00723F28">
        <w:rPr>
          <w:szCs w:val="24"/>
        </w:rPr>
        <w:t>s</w:t>
      </w:r>
    </w:p>
    <w:p w14:paraId="42747A98" w14:textId="2C233F1A" w:rsidR="00723F28" w:rsidRDefault="00E110F4" w:rsidP="00617C0C">
      <w:pPr>
        <w:spacing w:after="0" w:line="240" w:lineRule="auto"/>
        <w:rPr>
          <w:szCs w:val="24"/>
        </w:rPr>
      </w:pPr>
      <w:r>
        <w:rPr>
          <w:szCs w:val="24"/>
        </w:rPr>
        <w:t xml:space="preserve">From Table </w:t>
      </w:r>
      <w:r w:rsidR="009979FE">
        <w:rPr>
          <w:szCs w:val="24"/>
        </w:rPr>
        <w:t>2</w:t>
      </w:r>
      <w:r>
        <w:rPr>
          <w:szCs w:val="24"/>
        </w:rPr>
        <w:t>, w</w:t>
      </w:r>
      <w:r w:rsidR="00723F28" w:rsidRPr="0099402F">
        <w:rPr>
          <w:szCs w:val="24"/>
        </w:rPr>
        <w:t xml:space="preserve">e observe a reduced preference for working from the office or a third workplace, in comparison to working from home, among individuals whose </w:t>
      </w:r>
      <w:r>
        <w:rPr>
          <w:szCs w:val="24"/>
        </w:rPr>
        <w:t xml:space="preserve">office </w:t>
      </w:r>
      <w:r w:rsidR="00723F28" w:rsidRPr="0099402F">
        <w:rPr>
          <w:szCs w:val="24"/>
        </w:rPr>
        <w:t xml:space="preserve">is </w:t>
      </w:r>
      <w:r>
        <w:rPr>
          <w:szCs w:val="24"/>
        </w:rPr>
        <w:t>located</w:t>
      </w:r>
      <w:r w:rsidR="00723F28" w:rsidRPr="0099402F">
        <w:rPr>
          <w:szCs w:val="24"/>
        </w:rPr>
        <w:t xml:space="preserve"> in areas with high employment density</w:t>
      </w:r>
      <w:r>
        <w:rPr>
          <w:szCs w:val="24"/>
        </w:rPr>
        <w:t>, as also reported by</w:t>
      </w:r>
      <w:r w:rsidR="00723F28" w:rsidRPr="0099402F">
        <w:rPr>
          <w:szCs w:val="24"/>
        </w:rPr>
        <w:t xml:space="preserve"> Asmussen et al.</w:t>
      </w:r>
      <w:r w:rsidR="00A52428">
        <w:rPr>
          <w:szCs w:val="24"/>
        </w:rPr>
        <w:t xml:space="preserve"> (</w:t>
      </w:r>
      <w:r w:rsidR="00723F28" w:rsidRPr="0099402F">
        <w:rPr>
          <w:szCs w:val="24"/>
        </w:rPr>
        <w:t>202</w:t>
      </w:r>
      <w:r w:rsidR="002E200B">
        <w:rPr>
          <w:szCs w:val="24"/>
        </w:rPr>
        <w:t>4</w:t>
      </w:r>
      <w:r w:rsidR="00723F28" w:rsidRPr="0099402F">
        <w:rPr>
          <w:szCs w:val="24"/>
        </w:rPr>
        <w:t>).</w:t>
      </w:r>
      <w:r w:rsidR="00723F28">
        <w:rPr>
          <w:szCs w:val="24"/>
        </w:rPr>
        <w:t xml:space="preserve"> </w:t>
      </w:r>
      <w:r w:rsidR="00723F28" w:rsidRPr="0099402F">
        <w:rPr>
          <w:szCs w:val="24"/>
        </w:rPr>
        <w:t xml:space="preserve">Several factors </w:t>
      </w:r>
      <w:r>
        <w:rPr>
          <w:szCs w:val="24"/>
        </w:rPr>
        <w:t>may be at play here</w:t>
      </w:r>
      <w:r w:rsidR="00723F28" w:rsidRPr="0099402F">
        <w:rPr>
          <w:szCs w:val="24"/>
        </w:rPr>
        <w:t xml:space="preserve">. Issues such as paid parking, local congestion, and unreliable traffic conditions, which are often prevalent in </w:t>
      </w:r>
      <w:r>
        <w:rPr>
          <w:szCs w:val="24"/>
        </w:rPr>
        <w:t>high density job areas</w:t>
      </w:r>
      <w:r w:rsidR="00723F28" w:rsidRPr="0099402F">
        <w:rPr>
          <w:szCs w:val="24"/>
        </w:rPr>
        <w:t>, disincentiviz</w:t>
      </w:r>
      <w:r>
        <w:rPr>
          <w:szCs w:val="24"/>
        </w:rPr>
        <w:t>e</w:t>
      </w:r>
      <w:r w:rsidR="00723F28" w:rsidRPr="0099402F">
        <w:rPr>
          <w:szCs w:val="24"/>
        </w:rPr>
        <w:t xml:space="preserve"> individuals from commuting to their </w:t>
      </w:r>
      <w:r>
        <w:rPr>
          <w:szCs w:val="24"/>
        </w:rPr>
        <w:t xml:space="preserve">office </w:t>
      </w:r>
      <w:r w:rsidR="00723F28" w:rsidRPr="0099402F">
        <w:rPr>
          <w:szCs w:val="24"/>
        </w:rPr>
        <w:t>(</w:t>
      </w:r>
      <w:r w:rsidR="00A52428">
        <w:t>Foucault and Galasso, 2020</w:t>
      </w:r>
      <w:r w:rsidR="00723F28" w:rsidRPr="0099402F">
        <w:rPr>
          <w:szCs w:val="24"/>
        </w:rPr>
        <w:t>).</w:t>
      </w:r>
      <w:r w:rsidR="00723F28">
        <w:rPr>
          <w:szCs w:val="24"/>
        </w:rPr>
        <w:t xml:space="preserve"> </w:t>
      </w:r>
      <w:r w:rsidR="00723F28" w:rsidRPr="0099402F">
        <w:rPr>
          <w:szCs w:val="24"/>
        </w:rPr>
        <w:t>Additionally, commute distances tend to be shorter for individuals working in high employment densit</w:t>
      </w:r>
      <w:r>
        <w:rPr>
          <w:szCs w:val="24"/>
        </w:rPr>
        <w:t>y areas.</w:t>
      </w:r>
    </w:p>
    <w:p w14:paraId="735DCD41" w14:textId="713300E1" w:rsidR="00723F28" w:rsidRDefault="004A699F" w:rsidP="009E5248">
      <w:pPr>
        <w:spacing w:after="0" w:line="240" w:lineRule="auto"/>
        <w:ind w:firstLine="720"/>
        <w:rPr>
          <w:szCs w:val="24"/>
        </w:rPr>
      </w:pPr>
      <w:r>
        <w:rPr>
          <w:szCs w:val="24"/>
        </w:rPr>
        <w:t>E</w:t>
      </w:r>
      <w:r w:rsidR="00723F28" w:rsidRPr="00163851">
        <w:rPr>
          <w:szCs w:val="24"/>
        </w:rPr>
        <w:t xml:space="preserve">mployment status </w:t>
      </w:r>
      <w:r>
        <w:rPr>
          <w:szCs w:val="24"/>
        </w:rPr>
        <w:t xml:space="preserve">effects are captured both through number of work hours per week </w:t>
      </w:r>
      <w:r w:rsidR="00723F28" w:rsidRPr="00163851">
        <w:rPr>
          <w:szCs w:val="24"/>
        </w:rPr>
        <w:t xml:space="preserve">and </w:t>
      </w:r>
      <w:r>
        <w:rPr>
          <w:szCs w:val="24"/>
        </w:rPr>
        <w:t>number of work days per month.</w:t>
      </w:r>
      <w:r w:rsidR="00723F28">
        <w:rPr>
          <w:szCs w:val="24"/>
        </w:rPr>
        <w:t xml:space="preserve"> </w:t>
      </w:r>
      <w:r>
        <w:rPr>
          <w:szCs w:val="24"/>
        </w:rPr>
        <w:t>P</w:t>
      </w:r>
      <w:r w:rsidR="00723F28" w:rsidRPr="00163851">
        <w:rPr>
          <w:szCs w:val="24"/>
        </w:rPr>
        <w:t>art-time workers</w:t>
      </w:r>
      <w:r w:rsidR="00723F28">
        <w:rPr>
          <w:szCs w:val="24"/>
        </w:rPr>
        <w:t xml:space="preserve"> (those working less than 30 hours a week)</w:t>
      </w:r>
      <w:r w:rsidR="00723F28" w:rsidRPr="00163851">
        <w:rPr>
          <w:szCs w:val="24"/>
        </w:rPr>
        <w:t xml:space="preserve"> are more likely to have shorter commute distances than those employed full-time</w:t>
      </w:r>
      <w:r w:rsidR="00723F28">
        <w:rPr>
          <w:szCs w:val="24"/>
        </w:rPr>
        <w:t xml:space="preserve"> (30 hours or more per week)</w:t>
      </w:r>
      <w:r w:rsidR="00723F28" w:rsidRPr="00163851">
        <w:rPr>
          <w:szCs w:val="24"/>
        </w:rPr>
        <w:t>, which is a commonly found trend across the literature (</w:t>
      </w:r>
      <w:proofErr w:type="spellStart"/>
      <w:r w:rsidR="00723F28" w:rsidRPr="00163851">
        <w:rPr>
          <w:szCs w:val="24"/>
        </w:rPr>
        <w:t>Axisa</w:t>
      </w:r>
      <w:proofErr w:type="spellEnd"/>
      <w:r w:rsidR="00723F28" w:rsidRPr="00163851">
        <w:rPr>
          <w:szCs w:val="24"/>
        </w:rPr>
        <w:t xml:space="preserve"> et al., 2012; Sen et al., 2021; Maheshwari et al., 2022). </w:t>
      </w:r>
      <w:r>
        <w:rPr>
          <w:szCs w:val="24"/>
        </w:rPr>
        <w:t>Also, e</w:t>
      </w:r>
      <w:r w:rsidR="00723F28" w:rsidRPr="000073DD">
        <w:rPr>
          <w:szCs w:val="24"/>
        </w:rPr>
        <w:t>mployees who work only a few days per month (1 to 5)</w:t>
      </w:r>
      <w:r>
        <w:rPr>
          <w:szCs w:val="24"/>
        </w:rPr>
        <w:t xml:space="preserve"> have </w:t>
      </w:r>
      <w:r w:rsidR="00723F28" w:rsidRPr="000073DD">
        <w:rPr>
          <w:szCs w:val="24"/>
        </w:rPr>
        <w:t xml:space="preserve">a </w:t>
      </w:r>
      <w:r>
        <w:rPr>
          <w:szCs w:val="24"/>
        </w:rPr>
        <w:t>higher disinclination to work from the office (</w:t>
      </w:r>
      <w:r w:rsidRPr="000073DD">
        <w:rPr>
          <w:szCs w:val="24"/>
        </w:rPr>
        <w:t xml:space="preserve">higher </w:t>
      </w:r>
      <w:r>
        <w:rPr>
          <w:szCs w:val="24"/>
        </w:rPr>
        <w:t xml:space="preserve">baseline telework preference), presumably because of </w:t>
      </w:r>
      <w:r w:rsidR="00723F28" w:rsidRPr="000073DD">
        <w:rPr>
          <w:szCs w:val="24"/>
        </w:rPr>
        <w:t>the flexible nature of their work.</w:t>
      </w:r>
      <w:r w:rsidR="00723F28">
        <w:rPr>
          <w:szCs w:val="24"/>
        </w:rPr>
        <w:t xml:space="preserve"> </w:t>
      </w:r>
      <w:r>
        <w:rPr>
          <w:szCs w:val="24"/>
        </w:rPr>
        <w:t xml:space="preserve">At the other extreme of work days per month, </w:t>
      </w:r>
      <w:r w:rsidR="00723F28" w:rsidRPr="005E3F39">
        <w:rPr>
          <w:iCs/>
          <w:szCs w:val="24"/>
        </w:rPr>
        <w:t xml:space="preserve">employees engaged in overtime </w:t>
      </w:r>
      <w:r>
        <w:rPr>
          <w:iCs/>
          <w:szCs w:val="24"/>
        </w:rPr>
        <w:t>work</w:t>
      </w:r>
      <w:r w:rsidR="00723F28" w:rsidRPr="005E3F39">
        <w:rPr>
          <w:iCs/>
          <w:szCs w:val="24"/>
        </w:rPr>
        <w:t xml:space="preserve"> (working 25 days or more per month)</w:t>
      </w:r>
      <w:r w:rsidR="0042793A">
        <w:rPr>
          <w:iCs/>
          <w:szCs w:val="24"/>
        </w:rPr>
        <w:t xml:space="preserve"> appear to </w:t>
      </w:r>
      <w:r>
        <w:rPr>
          <w:iCs/>
          <w:szCs w:val="24"/>
        </w:rPr>
        <w:t xml:space="preserve">have a higher preference for the </w:t>
      </w:r>
      <w:r w:rsidR="00723F28" w:rsidRPr="005E3F39">
        <w:rPr>
          <w:iCs/>
          <w:szCs w:val="24"/>
        </w:rPr>
        <w:t>third workplace</w:t>
      </w:r>
      <w:r w:rsidR="0042793A">
        <w:rPr>
          <w:iCs/>
          <w:szCs w:val="24"/>
        </w:rPr>
        <w:t>, though this finding is at only the 85% confidence level</w:t>
      </w:r>
      <w:r w:rsidR="00723F28" w:rsidRPr="005E3F39">
        <w:rPr>
          <w:iCs/>
          <w:szCs w:val="24"/>
        </w:rPr>
        <w:t xml:space="preserve">. </w:t>
      </w:r>
      <w:r w:rsidR="0042793A">
        <w:rPr>
          <w:iCs/>
          <w:szCs w:val="24"/>
        </w:rPr>
        <w:t xml:space="preserve">This result may be a result of such </w:t>
      </w:r>
      <w:r w:rsidR="00723F28" w:rsidRPr="005E3F39">
        <w:rPr>
          <w:iCs/>
          <w:szCs w:val="24"/>
        </w:rPr>
        <w:t>individuals, with their demanding schedules, seek</w:t>
      </w:r>
      <w:r w:rsidR="0042793A">
        <w:rPr>
          <w:iCs/>
          <w:szCs w:val="24"/>
        </w:rPr>
        <w:t>ing</w:t>
      </w:r>
      <w:r w:rsidR="00723F28" w:rsidRPr="005E3F39">
        <w:rPr>
          <w:iCs/>
          <w:szCs w:val="24"/>
        </w:rPr>
        <w:t xml:space="preserve"> location variety throughout the month, opting for alternative workplaces beyond their home or in-person office.</w:t>
      </w:r>
      <w:r>
        <w:rPr>
          <w:iCs/>
          <w:szCs w:val="24"/>
        </w:rPr>
        <w:t xml:space="preserve"> </w:t>
      </w:r>
    </w:p>
    <w:p w14:paraId="70983577" w14:textId="22B8C4A1" w:rsidR="00723F28" w:rsidRDefault="004A699F" w:rsidP="00723F28">
      <w:pPr>
        <w:spacing w:after="0" w:line="240" w:lineRule="auto"/>
        <w:ind w:firstLine="720"/>
        <w:rPr>
          <w:color w:val="000000" w:themeColor="text1"/>
          <w:szCs w:val="24"/>
        </w:rPr>
      </w:pPr>
      <w:r>
        <w:rPr>
          <w:szCs w:val="24"/>
        </w:rPr>
        <w:t>I</w:t>
      </w:r>
      <w:r w:rsidR="00723F28" w:rsidRPr="00163851">
        <w:rPr>
          <w:szCs w:val="24"/>
        </w:rPr>
        <w:t xml:space="preserve">ndividuals employed in </w:t>
      </w:r>
      <w:r w:rsidR="00723F28">
        <w:rPr>
          <w:szCs w:val="24"/>
        </w:rPr>
        <w:t>the healthcare industry</w:t>
      </w:r>
      <w:r w:rsidR="008E26F5">
        <w:rPr>
          <w:szCs w:val="24"/>
        </w:rPr>
        <w:t>, relative to those employed in more nonessential sectors,</w:t>
      </w:r>
      <w:r w:rsidR="00723F28">
        <w:rPr>
          <w:szCs w:val="24"/>
        </w:rPr>
        <w:t xml:space="preserve"> </w:t>
      </w:r>
      <w:r w:rsidR="00723F28" w:rsidRPr="00163851">
        <w:rPr>
          <w:color w:val="000000" w:themeColor="text1"/>
          <w:szCs w:val="24"/>
        </w:rPr>
        <w:t xml:space="preserve">have a higher </w:t>
      </w:r>
      <w:r>
        <w:rPr>
          <w:color w:val="000000" w:themeColor="text1"/>
          <w:szCs w:val="24"/>
        </w:rPr>
        <w:t xml:space="preserve">baseline </w:t>
      </w:r>
      <w:r w:rsidR="00723F28" w:rsidRPr="00163851">
        <w:rPr>
          <w:color w:val="000000" w:themeColor="text1"/>
          <w:szCs w:val="24"/>
        </w:rPr>
        <w:t xml:space="preserve">preference </w:t>
      </w:r>
      <w:r>
        <w:rPr>
          <w:color w:val="000000" w:themeColor="text1"/>
          <w:szCs w:val="24"/>
        </w:rPr>
        <w:t>to</w:t>
      </w:r>
      <w:r w:rsidR="00723F28" w:rsidRPr="00163851">
        <w:rPr>
          <w:color w:val="000000" w:themeColor="text1"/>
          <w:szCs w:val="24"/>
        </w:rPr>
        <w:t xml:space="preserve"> work from the </w:t>
      </w:r>
      <w:r w:rsidR="008E26F5">
        <w:rPr>
          <w:color w:val="000000" w:themeColor="text1"/>
          <w:szCs w:val="24"/>
        </w:rPr>
        <w:t>office</w:t>
      </w:r>
      <w:r w:rsidR="008E26F5" w:rsidRPr="009E5248">
        <w:rPr>
          <w:color w:val="000000" w:themeColor="text1"/>
        </w:rPr>
        <w:t xml:space="preserve"> </w:t>
      </w:r>
      <w:r w:rsidR="00723F28" w:rsidRPr="00163851">
        <w:rPr>
          <w:szCs w:val="24"/>
        </w:rPr>
        <w:t>(see also Astroza et al., 2020 and Chong et al., 2020 for similar findings)</w:t>
      </w:r>
      <w:r w:rsidR="00723F28" w:rsidRPr="00163851">
        <w:rPr>
          <w:color w:val="000000" w:themeColor="text1"/>
          <w:szCs w:val="24"/>
        </w:rPr>
        <w:t xml:space="preserve">. </w:t>
      </w:r>
      <w:r w:rsidR="00723F28">
        <w:rPr>
          <w:color w:val="000000" w:themeColor="text1"/>
          <w:szCs w:val="24"/>
        </w:rPr>
        <w:t xml:space="preserve">On the other hand, workers in professional </w:t>
      </w:r>
      <w:r w:rsidR="00723F28">
        <w:rPr>
          <w:color w:val="000000" w:themeColor="text1"/>
          <w:szCs w:val="24"/>
        </w:rPr>
        <w:lastRenderedPageBreak/>
        <w:t>services or public administration have the lowest preference for the work office, as the nature of their jobs allow</w:t>
      </w:r>
      <w:r w:rsidR="008E26F5">
        <w:rPr>
          <w:color w:val="000000" w:themeColor="text1"/>
          <w:szCs w:val="24"/>
        </w:rPr>
        <w:t>s</w:t>
      </w:r>
      <w:r w:rsidR="00723F28">
        <w:rPr>
          <w:color w:val="000000" w:themeColor="text1"/>
          <w:szCs w:val="24"/>
        </w:rPr>
        <w:t xml:space="preserve"> </w:t>
      </w:r>
      <w:r>
        <w:rPr>
          <w:color w:val="000000" w:themeColor="text1"/>
          <w:szCs w:val="24"/>
        </w:rPr>
        <w:t xml:space="preserve">greater </w:t>
      </w:r>
      <w:r w:rsidR="00723F28">
        <w:rPr>
          <w:color w:val="000000" w:themeColor="text1"/>
          <w:szCs w:val="24"/>
        </w:rPr>
        <w:t xml:space="preserve">opportunity for </w:t>
      </w:r>
      <w:r>
        <w:rPr>
          <w:color w:val="000000" w:themeColor="text1"/>
          <w:szCs w:val="24"/>
        </w:rPr>
        <w:t>tele</w:t>
      </w:r>
      <w:r w:rsidR="00723F28">
        <w:rPr>
          <w:color w:val="000000" w:themeColor="text1"/>
          <w:szCs w:val="24"/>
        </w:rPr>
        <w:t>work.</w:t>
      </w:r>
    </w:p>
    <w:p w14:paraId="1A480401" w14:textId="77777777" w:rsidR="00723F28" w:rsidRPr="00163851" w:rsidRDefault="00723F28" w:rsidP="00723F28">
      <w:pPr>
        <w:spacing w:after="0" w:line="240" w:lineRule="auto"/>
        <w:rPr>
          <w:szCs w:val="24"/>
        </w:rPr>
      </w:pPr>
    </w:p>
    <w:p w14:paraId="57CE51E2" w14:textId="77777777" w:rsidR="00723F28" w:rsidRDefault="00723F28" w:rsidP="00723F28">
      <w:pPr>
        <w:pStyle w:val="Heading4"/>
        <w:numPr>
          <w:ilvl w:val="0"/>
          <w:numId w:val="0"/>
        </w:numPr>
        <w:spacing w:before="0" w:line="240" w:lineRule="auto"/>
        <w:ind w:left="864" w:hanging="864"/>
        <w:rPr>
          <w:szCs w:val="24"/>
        </w:rPr>
      </w:pPr>
      <w:r w:rsidRPr="00163851">
        <w:rPr>
          <w:szCs w:val="24"/>
        </w:rPr>
        <w:t>Endogenous Effects</w:t>
      </w:r>
    </w:p>
    <w:p w14:paraId="0560CA28" w14:textId="0C46814B" w:rsidR="00723F28" w:rsidRDefault="00723F28" w:rsidP="00617C0C">
      <w:pPr>
        <w:spacing w:after="0" w:line="240" w:lineRule="auto"/>
      </w:pPr>
      <w:r w:rsidRPr="00163851">
        <w:rPr>
          <w:szCs w:val="24"/>
        </w:rPr>
        <w:t>Based on the structure of our latent segmentation model, WPL choice is specified to impact commute distance only in the first latent segment (pertaining t</w:t>
      </w:r>
      <w:r w:rsidR="000B49D9">
        <w:rPr>
          <w:szCs w:val="24"/>
        </w:rPr>
        <w:t>o</w:t>
      </w:r>
      <w:r>
        <w:rPr>
          <w:szCs w:val="24"/>
        </w:rPr>
        <w:t xml:space="preserve"> the TC </w:t>
      </w:r>
      <w:r w:rsidR="004A699F">
        <w:rPr>
          <w:szCs w:val="24"/>
        </w:rPr>
        <w:t xml:space="preserve">or “mover” </w:t>
      </w:r>
      <w:r>
        <w:rPr>
          <w:szCs w:val="24"/>
        </w:rPr>
        <w:t>segment</w:t>
      </w:r>
      <w:r w:rsidRPr="00163851">
        <w:rPr>
          <w:szCs w:val="24"/>
        </w:rPr>
        <w:t xml:space="preserve">). While testing the impact of WPL choice on commute distance, we employed the WPL choice variable in several functional forms including </w:t>
      </w:r>
      <w:r w:rsidR="004A699F">
        <w:rPr>
          <w:szCs w:val="24"/>
        </w:rPr>
        <w:t>a</w:t>
      </w:r>
      <w:r w:rsidRPr="00163851">
        <w:rPr>
          <w:szCs w:val="24"/>
        </w:rPr>
        <w:t xml:space="preserve"> continuous form, different combinations of grouped forms of WPL frequency, as well as interactions with built environment variables and sociodemographic characteristics. Eventually, </w:t>
      </w:r>
      <w:r>
        <w:rPr>
          <w:szCs w:val="24"/>
        </w:rPr>
        <w:t>two</w:t>
      </w:r>
      <w:r w:rsidRPr="00163851">
        <w:rPr>
          <w:szCs w:val="24"/>
        </w:rPr>
        <w:t xml:space="preserve"> groupings of non-interacted </w:t>
      </w:r>
      <w:r>
        <w:rPr>
          <w:szCs w:val="24"/>
        </w:rPr>
        <w:t xml:space="preserve">home-based </w:t>
      </w:r>
      <w:r w:rsidR="004A699F">
        <w:rPr>
          <w:szCs w:val="24"/>
        </w:rPr>
        <w:t>tele</w:t>
      </w:r>
      <w:r w:rsidRPr="00163851">
        <w:rPr>
          <w:szCs w:val="24"/>
        </w:rPr>
        <w:t xml:space="preserve">work frequency percentage turned out to consistently provide the best data fit. These groupings, pertaining to the percentage of days </w:t>
      </w:r>
      <w:r w:rsidR="004A699F">
        <w:rPr>
          <w:szCs w:val="24"/>
        </w:rPr>
        <w:t>tele</w:t>
      </w:r>
      <w:r w:rsidRPr="00163851">
        <w:rPr>
          <w:szCs w:val="24"/>
        </w:rPr>
        <w:t xml:space="preserve">worked in a month were (i) </w:t>
      </w:r>
      <w:r>
        <w:rPr>
          <w:szCs w:val="24"/>
        </w:rPr>
        <w:t>0</w:t>
      </w:r>
      <w:r w:rsidRPr="00163851">
        <w:rPr>
          <w:szCs w:val="24"/>
        </w:rPr>
        <w:t>%-</w:t>
      </w:r>
      <w:r>
        <w:rPr>
          <w:szCs w:val="24"/>
        </w:rPr>
        <w:t>50</w:t>
      </w:r>
      <w:r w:rsidRPr="00163851">
        <w:rPr>
          <w:szCs w:val="24"/>
        </w:rPr>
        <w:t>% and (i</w:t>
      </w:r>
      <w:r>
        <w:rPr>
          <w:szCs w:val="24"/>
        </w:rPr>
        <w:t>i</w:t>
      </w:r>
      <w:r w:rsidRPr="00163851">
        <w:rPr>
          <w:szCs w:val="24"/>
        </w:rPr>
        <w:t xml:space="preserve">) </w:t>
      </w:r>
      <w:r>
        <w:rPr>
          <w:szCs w:val="24"/>
        </w:rPr>
        <w:t>50</w:t>
      </w:r>
      <w:r w:rsidRPr="00163851">
        <w:rPr>
          <w:szCs w:val="24"/>
        </w:rPr>
        <w:t xml:space="preserve">.1%-100%.  </w:t>
      </w:r>
      <w:r>
        <w:rPr>
          <w:szCs w:val="24"/>
        </w:rPr>
        <w:t xml:space="preserve">Furthermore, we employed a single variable to </w:t>
      </w:r>
      <w:r w:rsidR="004A699F">
        <w:rPr>
          <w:szCs w:val="24"/>
        </w:rPr>
        <w:t xml:space="preserve">capture third WPL-based telework frequency effects on commute distance, </w:t>
      </w:r>
      <w:r>
        <w:rPr>
          <w:szCs w:val="24"/>
        </w:rPr>
        <w:t xml:space="preserve"> </w:t>
      </w:r>
      <w:r w:rsidR="004A699F">
        <w:rPr>
          <w:szCs w:val="24"/>
        </w:rPr>
        <w:t xml:space="preserve">corresponding to </w:t>
      </w:r>
      <w:r>
        <w:rPr>
          <w:szCs w:val="24"/>
        </w:rPr>
        <w:t xml:space="preserve">positive participation </w:t>
      </w:r>
      <w:r w:rsidR="004A699F">
        <w:rPr>
          <w:szCs w:val="24"/>
        </w:rPr>
        <w:t>(at least one day per month) in</w:t>
      </w:r>
      <w:r>
        <w:rPr>
          <w:szCs w:val="24"/>
        </w:rPr>
        <w:t xml:space="preserve"> the third WPL</w:t>
      </w:r>
      <w:r w:rsidR="004A699F">
        <w:rPr>
          <w:szCs w:val="24"/>
        </w:rPr>
        <w:t>.</w:t>
      </w:r>
      <w:r>
        <w:rPr>
          <w:szCs w:val="24"/>
        </w:rPr>
        <w:t xml:space="preserve"> </w:t>
      </w:r>
      <w:r w:rsidR="004A699F">
        <w:rPr>
          <w:szCs w:val="24"/>
        </w:rPr>
        <w:t>This specification was b</w:t>
      </w:r>
      <w:r w:rsidR="008E26F5">
        <w:rPr>
          <w:szCs w:val="24"/>
        </w:rPr>
        <w:t>ecause</w:t>
      </w:r>
      <w:r w:rsidR="004A699F">
        <w:rPr>
          <w:szCs w:val="24"/>
        </w:rPr>
        <w:t xml:space="preserve"> o</w:t>
      </w:r>
      <w:r w:rsidR="008E26F5">
        <w:rPr>
          <w:szCs w:val="24"/>
        </w:rPr>
        <w:t>f</w:t>
      </w:r>
      <w:r w:rsidR="004A699F">
        <w:rPr>
          <w:szCs w:val="24"/>
        </w:rPr>
        <w:t xml:space="preserve"> the low number of individuals who partake in work from the third WPL. </w:t>
      </w:r>
      <w:r>
        <w:t xml:space="preserve">The results indicate that employees who </w:t>
      </w:r>
      <w:r w:rsidR="004A699F">
        <w:t xml:space="preserve">telework from home </w:t>
      </w:r>
      <w:r>
        <w:t>for more than half of the</w:t>
      </w:r>
      <w:r w:rsidR="004A699F">
        <w:t>ir work days per</w:t>
      </w:r>
      <w:r>
        <w:t xml:space="preserve"> month tend to have longer commute distances compared to those who work primarily from the office</w:t>
      </w:r>
      <w:r w:rsidR="004A699F">
        <w:t xml:space="preserve">, consistent with </w:t>
      </w:r>
      <w:r>
        <w:t>the majority of existing researc</w:t>
      </w:r>
      <w:r w:rsidR="004A699F">
        <w:t xml:space="preserve">h (as discussed earlier in the literature overview). </w:t>
      </w:r>
      <w:r w:rsidR="00AB7C2E">
        <w:t xml:space="preserve">That is, for employees </w:t>
      </w:r>
      <w:r w:rsidR="004D6E62">
        <w:t xml:space="preserve">belonging to the TC (“mover”) segment, </w:t>
      </w:r>
      <w:r w:rsidR="004A699F">
        <w:t xml:space="preserve">our analysis indicates that it is not whether a person adopts home-based teleworking or not, but the frequency of telework days that turns out to be important in the effect on commute distance. In particular, our analysis suggests little difference in the causal </w:t>
      </w:r>
      <w:r w:rsidR="004D6E62">
        <w:t xml:space="preserve">effect of home-based telework </w:t>
      </w:r>
      <w:r w:rsidR="004A699F">
        <w:t xml:space="preserve">on commute distances </w:t>
      </w:r>
      <w:r w:rsidR="004D6E62">
        <w:t xml:space="preserve">(if that direction of causality is the one that holds) </w:t>
      </w:r>
      <w:r w:rsidR="004A699F">
        <w:t>among non-teleworkers from home and those teleworking even up to 50% of their work days from home. It is only beyond the threshold of 50% of workdays teleworked that the telework effect on commute distance becomes palpable. Further, our analysis underscores the importance of differentiating between home-based and third WPL teleworking in the impacts on commute distance. W</w:t>
      </w:r>
      <w:r>
        <w:t xml:space="preserve">hen an employee </w:t>
      </w:r>
      <w:r w:rsidR="004D6E62">
        <w:t xml:space="preserve">in the TC (“mover” segment) </w:t>
      </w:r>
      <w:r>
        <w:t xml:space="preserve">works any of their </w:t>
      </w:r>
      <w:r w:rsidR="004A699F">
        <w:t xml:space="preserve">work days per </w:t>
      </w:r>
      <w:r>
        <w:t xml:space="preserve">month from a third </w:t>
      </w:r>
      <w:r w:rsidR="004A699F">
        <w:t>WPL</w:t>
      </w:r>
      <w:r w:rsidR="004D6E62">
        <w:t xml:space="preserve">, </w:t>
      </w:r>
      <w:r>
        <w:t xml:space="preserve">the commute distance to the </w:t>
      </w:r>
      <w:r w:rsidR="004A699F">
        <w:t xml:space="preserve">office </w:t>
      </w:r>
      <w:r>
        <w:t>is actually likely to be shorter</w:t>
      </w:r>
      <w:r w:rsidR="004A699F">
        <w:t>.</w:t>
      </w:r>
      <w:r>
        <w:t xml:space="preserve"> This may be a reflection of the supplemental usage of a third </w:t>
      </w:r>
      <w:r w:rsidR="004A699F">
        <w:t>WPL</w:t>
      </w:r>
      <w:r>
        <w:t xml:space="preserve"> for </w:t>
      </w:r>
      <w:r w:rsidR="004A699F">
        <w:t xml:space="preserve">the </w:t>
      </w:r>
      <w:r>
        <w:t xml:space="preserve">office, rather than </w:t>
      </w:r>
      <w:r w:rsidR="004A699F">
        <w:t xml:space="preserve">as </w:t>
      </w:r>
      <w:r>
        <w:t>a</w:t>
      </w:r>
      <w:r w:rsidR="004A699F">
        <w:t xml:space="preserve"> telework alternative to the office</w:t>
      </w:r>
      <w:r>
        <w:t xml:space="preserve">. </w:t>
      </w:r>
      <w:r w:rsidR="004A699F">
        <w:t xml:space="preserve">That is, </w:t>
      </w:r>
      <w:r>
        <w:t xml:space="preserve">employees </w:t>
      </w:r>
      <w:r w:rsidR="004A699F">
        <w:t xml:space="preserve">may </w:t>
      </w:r>
      <w:r>
        <w:t>work from a coffee shop or other shared spaces near their office</w:t>
      </w:r>
      <w:r w:rsidR="004A699F">
        <w:t>, perhaps as an occasional getaway from the office</w:t>
      </w:r>
      <w:r>
        <w:t>.</w:t>
      </w:r>
    </w:p>
    <w:p w14:paraId="6D3805FE" w14:textId="75DA4785" w:rsidR="00723F28" w:rsidRDefault="00723F28" w:rsidP="00723F28">
      <w:pPr>
        <w:spacing w:after="0" w:line="240" w:lineRule="auto"/>
        <w:ind w:firstLine="720"/>
      </w:pPr>
      <w:r>
        <w:rPr>
          <w:szCs w:val="24"/>
        </w:rPr>
        <w:t>Next, b</w:t>
      </w:r>
      <w:r w:rsidRPr="00163851">
        <w:rPr>
          <w:szCs w:val="24"/>
        </w:rPr>
        <w:t>ased on the structure of our latent segmentation model, commute distance is specified to impact WPL choice in the second latent segmen</w:t>
      </w:r>
      <w:r w:rsidR="004A699F">
        <w:rPr>
          <w:szCs w:val="24"/>
        </w:rPr>
        <w:t>t</w:t>
      </w:r>
      <w:r w:rsidRPr="00163851">
        <w:rPr>
          <w:szCs w:val="24"/>
        </w:rPr>
        <w:t xml:space="preserve"> (</w:t>
      </w:r>
      <w:r w:rsidR="004A699F">
        <w:rPr>
          <w:szCs w:val="24"/>
        </w:rPr>
        <w:t xml:space="preserve">that is, </w:t>
      </w:r>
      <w:r w:rsidR="007332AD">
        <w:rPr>
          <w:szCs w:val="24"/>
        </w:rPr>
        <w:t xml:space="preserve">the CT </w:t>
      </w:r>
      <w:r w:rsidR="004A699F">
        <w:rPr>
          <w:szCs w:val="24"/>
        </w:rPr>
        <w:t xml:space="preserve">or “stayer” </w:t>
      </w:r>
      <w:r w:rsidR="007332AD">
        <w:rPr>
          <w:szCs w:val="24"/>
        </w:rPr>
        <w:t>segment</w:t>
      </w:r>
      <w:r w:rsidRPr="00163851">
        <w:rPr>
          <w:szCs w:val="24"/>
        </w:rPr>
        <w:t xml:space="preserve">). </w:t>
      </w:r>
      <w:r w:rsidR="004A699F">
        <w:rPr>
          <w:szCs w:val="24"/>
        </w:rPr>
        <w:t>Again, w</w:t>
      </w:r>
      <w:r w:rsidRPr="00163851">
        <w:rPr>
          <w:szCs w:val="24"/>
        </w:rPr>
        <w:t xml:space="preserve">hile testing the impact of commute distance on WPL choice, we employed the commute distance variable in several functional forms including the continuous form as well as incrementally grouped dummy variable forms. After a series of rigorous tests and based on data fit measures, the final model was specified using </w:t>
      </w:r>
      <w:r>
        <w:rPr>
          <w:szCs w:val="24"/>
        </w:rPr>
        <w:t>three</w:t>
      </w:r>
      <w:r w:rsidRPr="00163851">
        <w:rPr>
          <w:szCs w:val="24"/>
        </w:rPr>
        <w:t xml:space="preserve"> commute distance groupings</w:t>
      </w:r>
      <w:r>
        <w:rPr>
          <w:szCs w:val="24"/>
        </w:rPr>
        <w:t xml:space="preserve"> </w:t>
      </w:r>
      <w:r w:rsidRPr="00163851">
        <w:rPr>
          <w:szCs w:val="24"/>
        </w:rPr>
        <w:t xml:space="preserve">– </w:t>
      </w:r>
      <w:r>
        <w:rPr>
          <w:szCs w:val="24"/>
        </w:rPr>
        <w:t>8</w:t>
      </w:r>
      <w:r w:rsidRPr="00163851">
        <w:rPr>
          <w:szCs w:val="24"/>
        </w:rPr>
        <w:t xml:space="preserve"> miles</w:t>
      </w:r>
      <w:r w:rsidR="003F5BD7">
        <w:rPr>
          <w:szCs w:val="24"/>
        </w:rPr>
        <w:t xml:space="preserve"> or less</w:t>
      </w:r>
      <w:r w:rsidRPr="00163851">
        <w:rPr>
          <w:szCs w:val="24"/>
        </w:rPr>
        <w:t xml:space="preserve">, </w:t>
      </w:r>
      <w:r>
        <w:rPr>
          <w:szCs w:val="24"/>
        </w:rPr>
        <w:t>8</w:t>
      </w:r>
      <w:r w:rsidR="004A699F">
        <w:rPr>
          <w:szCs w:val="24"/>
        </w:rPr>
        <w:t>.01</w:t>
      </w:r>
      <w:r w:rsidRPr="00163851">
        <w:rPr>
          <w:szCs w:val="24"/>
        </w:rPr>
        <w:t xml:space="preserve"> to 1</w:t>
      </w:r>
      <w:r>
        <w:rPr>
          <w:szCs w:val="24"/>
        </w:rPr>
        <w:t>5</w:t>
      </w:r>
      <w:r w:rsidRPr="00163851">
        <w:rPr>
          <w:szCs w:val="24"/>
        </w:rPr>
        <w:t xml:space="preserve"> miles</w:t>
      </w:r>
      <w:r>
        <w:rPr>
          <w:szCs w:val="24"/>
        </w:rPr>
        <w:t xml:space="preserve"> </w:t>
      </w:r>
      <w:r w:rsidRPr="00163851">
        <w:rPr>
          <w:szCs w:val="24"/>
        </w:rPr>
        <w:t xml:space="preserve">(which we used as the base in our final model), and </w:t>
      </w:r>
      <w:r w:rsidR="004A699F">
        <w:rPr>
          <w:szCs w:val="24"/>
        </w:rPr>
        <w:t xml:space="preserve">longer than </w:t>
      </w:r>
      <w:r w:rsidRPr="00163851">
        <w:rPr>
          <w:szCs w:val="24"/>
        </w:rPr>
        <w:t>1</w:t>
      </w:r>
      <w:r>
        <w:rPr>
          <w:szCs w:val="24"/>
        </w:rPr>
        <w:t>5</w:t>
      </w:r>
      <w:r w:rsidRPr="00163851">
        <w:rPr>
          <w:szCs w:val="24"/>
        </w:rPr>
        <w:t xml:space="preserve"> miles </w:t>
      </w:r>
      <w:r w:rsidR="004A699F">
        <w:rPr>
          <w:szCs w:val="24"/>
        </w:rPr>
        <w:t xml:space="preserve">(note that all individuals had a non-zero commute distance, because the survey was administered only to those with a designated physical office). </w:t>
      </w:r>
      <w:r>
        <w:rPr>
          <w:rFonts w:eastAsiaTheme="majorEastAsia"/>
          <w:iCs/>
          <w:szCs w:val="24"/>
        </w:rPr>
        <w:t>A</w:t>
      </w:r>
      <w:r w:rsidRPr="00AE4865">
        <w:rPr>
          <w:rFonts w:eastAsiaTheme="majorEastAsia"/>
          <w:iCs/>
          <w:szCs w:val="24"/>
        </w:rPr>
        <w:t xml:space="preserve">s expected, our results from </w:t>
      </w:r>
      <w:r w:rsidRPr="00AE4865">
        <w:rPr>
          <w:szCs w:val="24"/>
        </w:rPr>
        <w:t xml:space="preserve">Table </w:t>
      </w:r>
      <w:r w:rsidR="009979FE">
        <w:rPr>
          <w:szCs w:val="24"/>
        </w:rPr>
        <w:t>2</w:t>
      </w:r>
      <w:r w:rsidR="004A699F">
        <w:rPr>
          <w:szCs w:val="24"/>
        </w:rPr>
        <w:t>, consistent with the earlier literature,</w:t>
      </w:r>
      <w:r w:rsidRPr="00AE4865">
        <w:rPr>
          <w:szCs w:val="24"/>
        </w:rPr>
        <w:t xml:space="preserve"> indicate that short commute distances </w:t>
      </w:r>
      <w:r w:rsidR="004A699F">
        <w:rPr>
          <w:szCs w:val="24"/>
        </w:rPr>
        <w:t xml:space="preserve">(8 miles </w:t>
      </w:r>
      <w:r w:rsidR="003F5BD7">
        <w:rPr>
          <w:szCs w:val="24"/>
        </w:rPr>
        <w:t xml:space="preserve">or less </w:t>
      </w:r>
      <w:r w:rsidR="004A699F">
        <w:rPr>
          <w:szCs w:val="24"/>
        </w:rPr>
        <w:t xml:space="preserve">one-way) </w:t>
      </w:r>
      <w:r w:rsidRPr="00AE4865">
        <w:rPr>
          <w:szCs w:val="24"/>
        </w:rPr>
        <w:t>are associated with a</w:t>
      </w:r>
      <w:r w:rsidR="004A699F">
        <w:rPr>
          <w:szCs w:val="24"/>
        </w:rPr>
        <w:t xml:space="preserve"> higher baseline preference for </w:t>
      </w:r>
      <w:r w:rsidRPr="00AE4865">
        <w:rPr>
          <w:szCs w:val="24"/>
        </w:rPr>
        <w:t>office</w:t>
      </w:r>
      <w:r w:rsidR="004A699F">
        <w:rPr>
          <w:szCs w:val="24"/>
        </w:rPr>
        <w:t>-based work</w:t>
      </w:r>
      <w:r w:rsidRPr="0033707B">
        <w:t>.</w:t>
      </w:r>
      <w:r>
        <w:rPr>
          <w:szCs w:val="24"/>
        </w:rPr>
        <w:t xml:space="preserve"> </w:t>
      </w:r>
      <w:r w:rsidRPr="0073046B">
        <w:rPr>
          <w:szCs w:val="24"/>
        </w:rPr>
        <w:t xml:space="preserve">However, </w:t>
      </w:r>
      <w:r w:rsidR="004A699F">
        <w:rPr>
          <w:szCs w:val="24"/>
        </w:rPr>
        <w:t>this commute distance effect on WPL</w:t>
      </w:r>
      <w:r w:rsidR="007673C6">
        <w:rPr>
          <w:szCs w:val="24"/>
        </w:rPr>
        <w:t xml:space="preserve"> is</w:t>
      </w:r>
      <w:r w:rsidR="004A699F">
        <w:rPr>
          <w:szCs w:val="24"/>
        </w:rPr>
        <w:t xml:space="preserve"> not monotonic.</w:t>
      </w:r>
      <w:r w:rsidRPr="0073046B">
        <w:rPr>
          <w:szCs w:val="24"/>
        </w:rPr>
        <w:t xml:space="preserve"> </w:t>
      </w:r>
      <w:r w:rsidR="004A699F">
        <w:rPr>
          <w:szCs w:val="24"/>
        </w:rPr>
        <w:t>A</w:t>
      </w:r>
      <w:r w:rsidRPr="0073046B">
        <w:rPr>
          <w:szCs w:val="24"/>
        </w:rPr>
        <w:t>s commute distance surpass</w:t>
      </w:r>
      <w:r w:rsidR="007673C6">
        <w:rPr>
          <w:szCs w:val="24"/>
        </w:rPr>
        <w:t>es</w:t>
      </w:r>
      <w:r w:rsidRPr="0073046B">
        <w:rPr>
          <w:szCs w:val="24"/>
        </w:rPr>
        <w:t xml:space="preserve"> </w:t>
      </w:r>
      <w:r w:rsidR="004A699F">
        <w:rPr>
          <w:szCs w:val="24"/>
        </w:rPr>
        <w:t xml:space="preserve">the 15-mile </w:t>
      </w:r>
      <w:r w:rsidRPr="0073046B">
        <w:rPr>
          <w:szCs w:val="24"/>
        </w:rPr>
        <w:t xml:space="preserve">threshold, employees </w:t>
      </w:r>
      <w:r w:rsidR="0042793A">
        <w:rPr>
          <w:szCs w:val="24"/>
        </w:rPr>
        <w:t xml:space="preserve">appear to </w:t>
      </w:r>
      <w:r w:rsidRPr="0073046B">
        <w:rPr>
          <w:szCs w:val="24"/>
        </w:rPr>
        <w:t xml:space="preserve">show an increased likelihood </w:t>
      </w:r>
      <w:r w:rsidR="004A699F">
        <w:rPr>
          <w:szCs w:val="24"/>
        </w:rPr>
        <w:t xml:space="preserve">again </w:t>
      </w:r>
      <w:r w:rsidRPr="0073046B">
        <w:rPr>
          <w:szCs w:val="24"/>
        </w:rPr>
        <w:t xml:space="preserve">of working from the </w:t>
      </w:r>
      <w:r w:rsidR="004A699F">
        <w:rPr>
          <w:szCs w:val="24"/>
        </w:rPr>
        <w:t>office</w:t>
      </w:r>
      <w:r w:rsidR="0042793A">
        <w:rPr>
          <w:szCs w:val="24"/>
        </w:rPr>
        <w:t>, though there is about a 25% possibility that this effect is a chance occurrence</w:t>
      </w:r>
      <w:r w:rsidRPr="0073046B">
        <w:rPr>
          <w:szCs w:val="24"/>
        </w:rPr>
        <w:t xml:space="preserve">. </w:t>
      </w:r>
      <w:r w:rsidR="0042793A">
        <w:rPr>
          <w:szCs w:val="24"/>
        </w:rPr>
        <w:t xml:space="preserve">While this finding needs </w:t>
      </w:r>
      <w:r w:rsidR="0042793A">
        <w:rPr>
          <w:szCs w:val="24"/>
        </w:rPr>
        <w:lastRenderedPageBreak/>
        <w:t xml:space="preserve">additional scrutiny in future studies, the </w:t>
      </w:r>
      <w:r w:rsidRPr="0073046B">
        <w:rPr>
          <w:szCs w:val="24"/>
        </w:rPr>
        <w:t xml:space="preserve">observation is consistent with the right side of the histogram in Figure </w:t>
      </w:r>
      <w:r w:rsidR="0064392F">
        <w:rPr>
          <w:szCs w:val="24"/>
        </w:rPr>
        <w:t>3</w:t>
      </w:r>
      <w:r w:rsidRPr="0073046B">
        <w:rPr>
          <w:szCs w:val="24"/>
        </w:rPr>
        <w:t xml:space="preserve">, where higher average commute distances correspond to lower levels of remote work participation. </w:t>
      </w:r>
      <w:r w:rsidR="004A699F">
        <w:rPr>
          <w:szCs w:val="24"/>
        </w:rPr>
        <w:t xml:space="preserve">Note that this effect is after accommodating observed factors (such as older individuals having longer commute distances as well as lower telework preferences) as well as unobserved factors through covariance effects in the error terms. </w:t>
      </w:r>
      <w:r w:rsidRPr="0073046B">
        <w:rPr>
          <w:szCs w:val="24"/>
        </w:rPr>
        <w:t xml:space="preserve">One plausible explanation for this </w:t>
      </w:r>
      <w:r w:rsidR="004A699F">
        <w:rPr>
          <w:szCs w:val="24"/>
        </w:rPr>
        <w:t xml:space="preserve">causal effect of commute distance on WPL in the CT (“stayer”) segment </w:t>
      </w:r>
      <w:r w:rsidRPr="0073046B">
        <w:rPr>
          <w:szCs w:val="24"/>
        </w:rPr>
        <w:t>i</w:t>
      </w:r>
      <w:r w:rsidR="004A699F">
        <w:rPr>
          <w:szCs w:val="24"/>
        </w:rPr>
        <w:t xml:space="preserve">s that individuals in this segment truly enjoy their commutes to the point that longer commute distances  spur them to go into the office frequently. </w:t>
      </w:r>
    </w:p>
    <w:p w14:paraId="194ADA96" w14:textId="77777777" w:rsidR="00723F28" w:rsidRDefault="00723F28" w:rsidP="00723F28">
      <w:pPr>
        <w:spacing w:after="0"/>
        <w:ind w:firstLine="720"/>
      </w:pPr>
    </w:p>
    <w:p w14:paraId="67B062F7" w14:textId="1ACA765E" w:rsidR="00723F28" w:rsidRPr="00163851" w:rsidRDefault="004A699F">
      <w:pPr>
        <w:pStyle w:val="Heading4"/>
        <w:numPr>
          <w:ilvl w:val="0"/>
          <w:numId w:val="0"/>
        </w:numPr>
        <w:spacing w:before="0" w:line="240" w:lineRule="auto"/>
        <w:rPr>
          <w:szCs w:val="24"/>
        </w:rPr>
      </w:pPr>
      <w:r>
        <w:rPr>
          <w:szCs w:val="24"/>
        </w:rPr>
        <w:t xml:space="preserve">The </w:t>
      </w:r>
      <w:r w:rsidR="00723F28" w:rsidRPr="00163851">
        <w:rPr>
          <w:szCs w:val="24"/>
        </w:rPr>
        <w:t xml:space="preserve">Constants </w:t>
      </w:r>
    </w:p>
    <w:p w14:paraId="74D17997" w14:textId="4B50F6B3" w:rsidR="00723F28" w:rsidRDefault="00723F28" w:rsidP="00723F28">
      <w:pPr>
        <w:spacing w:after="0" w:line="240" w:lineRule="auto"/>
        <w:rPr>
          <w:szCs w:val="24"/>
        </w:rPr>
      </w:pPr>
      <w:r w:rsidRPr="00163851">
        <w:rPr>
          <w:szCs w:val="24"/>
        </w:rPr>
        <w:t xml:space="preserve">The baseline </w:t>
      </w:r>
      <w:r w:rsidR="004A699F">
        <w:rPr>
          <w:szCs w:val="24"/>
        </w:rPr>
        <w:t xml:space="preserve">preference and satiation constants in the telework MDC model component, and the constants in the commute distance regression, for both the latent segments do not </w:t>
      </w:r>
      <w:r w:rsidRPr="00163851">
        <w:rPr>
          <w:szCs w:val="24"/>
        </w:rPr>
        <w:t>have any substantive behavioral interpretation</w:t>
      </w:r>
      <w:r w:rsidR="004A699F">
        <w:rPr>
          <w:szCs w:val="24"/>
        </w:rPr>
        <w:t>s</w:t>
      </w:r>
      <w:r w:rsidRPr="00163851">
        <w:rPr>
          <w:szCs w:val="24"/>
        </w:rPr>
        <w:t>. They provide the best data fit, after accommodating for the effects of exogenous variables.</w:t>
      </w:r>
      <w:r w:rsidR="004A699F">
        <w:rPr>
          <w:szCs w:val="24"/>
        </w:rPr>
        <w:t xml:space="preserve"> </w:t>
      </w:r>
      <w:r w:rsidR="008E26F5">
        <w:rPr>
          <w:szCs w:val="24"/>
        </w:rPr>
        <w:t>In this regard, i</w:t>
      </w:r>
      <w:r w:rsidR="004A699F">
        <w:rPr>
          <w:szCs w:val="24"/>
        </w:rPr>
        <w:t xml:space="preserve">t may be tempting to draw conclusions about telework and commute distance disparities among the two latent segments based on the relative magnitudes of the constants across the two segments, especially because the effects of all exogenous variables are fixed across the two segments (for reasons discussed earlier) as well as the variances of the error terms are the same across the two segments. But the composition of the two segments itself will be different, and so the ranges of the exogenous variables in the two segments will vary. Thus, it is best not to make any conclusions based on a relative comparison of the constant values across segments. </w:t>
      </w:r>
    </w:p>
    <w:p w14:paraId="441501B4" w14:textId="77777777" w:rsidR="00723F28" w:rsidRDefault="00723F28" w:rsidP="00723F28">
      <w:pPr>
        <w:keepNext/>
        <w:keepLines/>
        <w:spacing w:after="0" w:line="240" w:lineRule="auto"/>
        <w:outlineLvl w:val="3"/>
        <w:rPr>
          <w:rFonts w:eastAsiaTheme="majorEastAsia"/>
          <w:b/>
          <w:szCs w:val="24"/>
        </w:rPr>
      </w:pPr>
    </w:p>
    <w:p w14:paraId="74EF28F5" w14:textId="77777777" w:rsidR="00723F28" w:rsidRPr="00163851" w:rsidRDefault="00723F28" w:rsidP="00864D8F">
      <w:pPr>
        <w:pStyle w:val="Heading3"/>
        <w:ind w:left="540" w:hanging="540"/>
      </w:pPr>
      <w:r w:rsidRPr="00163851">
        <w:t>Covariances</w:t>
      </w:r>
    </w:p>
    <w:p w14:paraId="160345A7" w14:textId="16B5D738" w:rsidR="00723F28" w:rsidRDefault="00723F28" w:rsidP="00617C0C">
      <w:pPr>
        <w:spacing w:after="0" w:line="240" w:lineRule="auto"/>
        <w:rPr>
          <w:szCs w:val="24"/>
        </w:rPr>
      </w:pPr>
      <w:r w:rsidRPr="00163851">
        <w:rPr>
          <w:szCs w:val="24"/>
        </w:rPr>
        <w:t>The covariance matri</w:t>
      </w:r>
      <w:r w:rsidR="004A699F">
        <w:rPr>
          <w:szCs w:val="24"/>
        </w:rPr>
        <w:t>ces</w:t>
      </w:r>
      <w:r w:rsidRPr="00163851">
        <w:rPr>
          <w:szCs w:val="24"/>
        </w:rPr>
        <w:t xml:space="preserve"> for each of the latent segment</w:t>
      </w:r>
      <w:r w:rsidR="004A699F">
        <w:rPr>
          <w:szCs w:val="24"/>
        </w:rPr>
        <w:t>s</w:t>
      </w:r>
      <w:r w:rsidRPr="00163851">
        <w:rPr>
          <w:szCs w:val="24"/>
        </w:rPr>
        <w:t xml:space="preserve"> </w:t>
      </w:r>
      <w:r w:rsidR="004A699F">
        <w:rPr>
          <w:szCs w:val="24"/>
        </w:rPr>
        <w:t>are</w:t>
      </w:r>
      <w:r w:rsidRPr="00163851">
        <w:rPr>
          <w:szCs w:val="24"/>
        </w:rPr>
        <w:t xml:space="preserve"> presented </w:t>
      </w:r>
      <w:r w:rsidR="004A699F">
        <w:rPr>
          <w:szCs w:val="24"/>
        </w:rPr>
        <w:t xml:space="preserve">at the bottom of </w:t>
      </w:r>
      <w:r w:rsidRPr="00163851">
        <w:rPr>
          <w:szCs w:val="24"/>
        </w:rPr>
        <w:t xml:space="preserve">Table </w:t>
      </w:r>
      <w:r w:rsidR="009979FE">
        <w:rPr>
          <w:szCs w:val="24"/>
        </w:rPr>
        <w:t>2</w:t>
      </w:r>
      <w:r w:rsidRPr="00163851">
        <w:rPr>
          <w:szCs w:val="24"/>
        </w:rPr>
        <w:t>. Several elements of the covariance matrix turned out to be significant</w:t>
      </w:r>
      <w:r w:rsidR="0042793A">
        <w:rPr>
          <w:szCs w:val="24"/>
        </w:rPr>
        <w:t xml:space="preserve"> at the 85% confidence level or above</w:t>
      </w:r>
      <w:r w:rsidRPr="00163851">
        <w:rPr>
          <w:szCs w:val="24"/>
        </w:rPr>
        <w:t xml:space="preserve">, </w:t>
      </w:r>
      <w:r w:rsidR="0042793A">
        <w:rPr>
          <w:szCs w:val="24"/>
        </w:rPr>
        <w:t>suggesting</w:t>
      </w:r>
      <w:r w:rsidRPr="00163851">
        <w:rPr>
          <w:szCs w:val="24"/>
        </w:rPr>
        <w:t xml:space="preserve"> the presence of unobserved factors impacting both the commute distance and the WPL choices and reinforcing the “joint” nature of decision-making. However, the elements of this differenced covariance matrix are not interpretable without imposing a structural assumption on the matrix (as several non-differenced matrix may be constructed from the same differenced matrix). </w:t>
      </w:r>
      <w:r w:rsidR="004A699F">
        <w:rPr>
          <w:szCs w:val="24"/>
        </w:rPr>
        <w:t>In this regard, if we assume that the error term for the “work from home” alternative has a low variance and is uncorrelated with all other error terms, the implication would be that unobserved factors that increase the baseline preference for office work also increase the baseline preference for the third WPL</w:t>
      </w:r>
      <w:r w:rsidR="00E749F1">
        <w:rPr>
          <w:szCs w:val="24"/>
        </w:rPr>
        <w:t xml:space="preserve"> (consistent with</w:t>
      </w:r>
      <w:r w:rsidR="00E749F1">
        <w:t xml:space="preserve"> the notion of the supplemental usage of a third WPL for office-based work, as discussed earlier). </w:t>
      </w:r>
      <w:r w:rsidR="004A699F">
        <w:rPr>
          <w:szCs w:val="24"/>
        </w:rPr>
        <w:t>Also, for the TC (“mover”) segment, unobserved factors that increase the baseline preference for the third WPL also increase commute distance</w:t>
      </w:r>
      <w:r w:rsidR="00BC42FF">
        <w:rPr>
          <w:szCs w:val="24"/>
        </w:rPr>
        <w:t xml:space="preserve"> (though this covariance is very mild)</w:t>
      </w:r>
      <w:r w:rsidR="004A699F">
        <w:rPr>
          <w:szCs w:val="24"/>
        </w:rPr>
        <w:t xml:space="preserve">, while, for the CT (“stayer”) segment, unobserved factors that increase the preference for the work office lowers commute distance. This last association may be because, as discussed earlier in Section </w:t>
      </w:r>
      <w:r w:rsidR="008E7D8B" w:rsidRPr="008E7D8B">
        <w:rPr>
          <w:szCs w:val="24"/>
        </w:rPr>
        <w:t>1</w:t>
      </w:r>
      <w:r w:rsidR="004A699F" w:rsidRPr="008E7D8B">
        <w:rPr>
          <w:szCs w:val="24"/>
        </w:rPr>
        <w:t>,</w:t>
      </w:r>
      <w:r w:rsidR="004A699F">
        <w:rPr>
          <w:szCs w:val="24"/>
        </w:rPr>
        <w:t xml:space="preserve"> an </w:t>
      </w:r>
      <w:r w:rsidR="004A699F" w:rsidRPr="00163851">
        <w:rPr>
          <w:color w:val="000000" w:themeColor="text1"/>
          <w:szCs w:val="24"/>
        </w:rPr>
        <w:t xml:space="preserve">extroverted </w:t>
      </w:r>
      <w:r w:rsidR="004A699F">
        <w:rPr>
          <w:color w:val="000000" w:themeColor="text1"/>
          <w:szCs w:val="24"/>
        </w:rPr>
        <w:t xml:space="preserve">person </w:t>
      </w:r>
      <w:r w:rsidR="004A699F" w:rsidRPr="00163851">
        <w:rPr>
          <w:color w:val="000000" w:themeColor="text1"/>
          <w:szCs w:val="24"/>
        </w:rPr>
        <w:t xml:space="preserve">may like to maximize social time within and beyond the </w:t>
      </w:r>
      <w:r w:rsidR="004A699F">
        <w:rPr>
          <w:color w:val="000000" w:themeColor="text1"/>
          <w:szCs w:val="24"/>
        </w:rPr>
        <w:t xml:space="preserve">office </w:t>
      </w:r>
      <w:r w:rsidR="004A699F" w:rsidRPr="00163851">
        <w:rPr>
          <w:color w:val="000000" w:themeColor="text1"/>
          <w:szCs w:val="24"/>
        </w:rPr>
        <w:t xml:space="preserve">working space, thus deciding to work from the office more (telework less) and also stay close to the workplace (short commute). </w:t>
      </w:r>
      <w:r w:rsidR="004A699F">
        <w:rPr>
          <w:szCs w:val="24"/>
        </w:rPr>
        <w:t xml:space="preserve"> </w:t>
      </w:r>
    </w:p>
    <w:p w14:paraId="1693DAE2" w14:textId="77777777" w:rsidR="00723F28" w:rsidRDefault="00723F28" w:rsidP="00723F28">
      <w:pPr>
        <w:spacing w:after="0" w:line="240" w:lineRule="auto"/>
        <w:rPr>
          <w:szCs w:val="24"/>
        </w:rPr>
      </w:pPr>
    </w:p>
    <w:p w14:paraId="4140C0F4" w14:textId="617C30F9" w:rsidR="00723F28" w:rsidRPr="00256DF4" w:rsidRDefault="00723F28" w:rsidP="00864D8F">
      <w:pPr>
        <w:pStyle w:val="Heading3"/>
        <w:ind w:left="540" w:hanging="540"/>
      </w:pPr>
      <w:r>
        <w:t xml:space="preserve">Characteristics of </w:t>
      </w:r>
      <w:r w:rsidR="00864D8F">
        <w:t>L</w:t>
      </w:r>
      <w:r>
        <w:t xml:space="preserve">atent </w:t>
      </w:r>
      <w:r w:rsidR="00864D8F">
        <w:t>S</w:t>
      </w:r>
      <w:r>
        <w:t>egments</w:t>
      </w:r>
    </w:p>
    <w:p w14:paraId="6C373AF6" w14:textId="65C482AE" w:rsidR="00723F28" w:rsidRDefault="00723F28" w:rsidP="00AC1CF9">
      <w:pPr>
        <w:spacing w:after="0"/>
      </w:pPr>
      <w:r>
        <w:t xml:space="preserve">Table </w:t>
      </w:r>
      <w:r w:rsidR="004A699F">
        <w:t>4</w:t>
      </w:r>
      <w:r>
        <w:t xml:space="preserve"> provide</w:t>
      </w:r>
      <w:r w:rsidR="004A699F">
        <w:t>s</w:t>
      </w:r>
      <w:r>
        <w:t xml:space="preserve"> the effects of individu</w:t>
      </w:r>
      <w:r w:rsidR="004A699F">
        <w:t xml:space="preserve">al and </w:t>
      </w:r>
      <w:r>
        <w:t xml:space="preserve">household-level </w:t>
      </w:r>
      <w:r w:rsidR="004A699F">
        <w:t xml:space="preserve">demographics </w:t>
      </w:r>
      <w:r>
        <w:t xml:space="preserve">and residential </w:t>
      </w:r>
      <w:r w:rsidR="004A699F">
        <w:t>attributes</w:t>
      </w:r>
      <w:r>
        <w:t xml:space="preserve"> on </w:t>
      </w:r>
      <w:r w:rsidR="004A699F">
        <w:t xml:space="preserve">segment membership, with </w:t>
      </w:r>
      <w:r w:rsidR="007332AD">
        <w:t>the C</w:t>
      </w:r>
      <w:r w:rsidR="004A699F">
        <w:t>T</w:t>
      </w:r>
      <w:r w:rsidR="007332AD">
        <w:t xml:space="preserve"> segment</w:t>
      </w:r>
      <w:r>
        <w:t xml:space="preserve"> (the </w:t>
      </w:r>
      <w:r w:rsidR="004A699F">
        <w:t>“stayer” segment</w:t>
      </w:r>
      <w:r>
        <w:t>) as the base segment</w:t>
      </w:r>
      <w:r w:rsidR="00F9551D">
        <w:t xml:space="preserve"> (these estimates correspond to the </w:t>
      </w:r>
      <w:r w:rsidR="0084210A" w:rsidRPr="00F9551D">
        <w:rPr>
          <w:rFonts w:eastAsia="Calibri"/>
          <w:noProof/>
          <w:position w:val="-12"/>
          <w:szCs w:val="24"/>
        </w:rPr>
        <w:object w:dxaOrig="279" w:dyaOrig="360" w14:anchorId="013A1F2B">
          <v:shape id="_x0000_i1218" type="#_x0000_t75" alt="" style="width:13.7pt;height:18pt" o:ole="" o:preferrelative="f">
            <v:imagedata r:id="rId369" o:title=""/>
            <o:lock v:ext="edit" aspectratio="f"/>
          </v:shape>
          <o:OLEObject Type="Embed" ProgID="Equation.DSMT4" ShapeID="_x0000_i1218" DrawAspect="Content" ObjectID="_1778701049" r:id="rId370"/>
        </w:object>
      </w:r>
      <w:r w:rsidR="00F9551D">
        <w:rPr>
          <w:rFonts w:eastAsia="Calibri"/>
          <w:noProof/>
          <w:szCs w:val="24"/>
        </w:rPr>
        <w:t xml:space="preserve"> vector for the first TC segment with </w:t>
      </w:r>
      <w:r w:rsidR="0084210A" w:rsidRPr="00F9551D">
        <w:rPr>
          <w:rFonts w:eastAsia="Calibri"/>
          <w:noProof/>
          <w:position w:val="-12"/>
          <w:szCs w:val="24"/>
        </w:rPr>
        <w:object w:dxaOrig="680" w:dyaOrig="360" w14:anchorId="41E6C6B2">
          <v:shape id="_x0000_i1219" type="#_x0000_t75" alt="" style="width:33.85pt;height:18pt" o:ole="" o:preferrelative="f">
            <v:imagedata r:id="rId371" o:title=""/>
            <o:lock v:ext="edit" aspectratio="f"/>
          </v:shape>
          <o:OLEObject Type="Embed" ProgID="Equation.DSMT4" ShapeID="_x0000_i1219" DrawAspect="Content" ObjectID="_1778701050" r:id="rId372"/>
        </w:object>
      </w:r>
      <w:r w:rsidR="00F9551D">
        <w:rPr>
          <w:rFonts w:eastAsia="Calibri"/>
          <w:noProof/>
          <w:szCs w:val="24"/>
        </w:rPr>
        <w:t xml:space="preserve"> for the </w:t>
      </w:r>
      <w:r w:rsidR="00F9551D">
        <w:rPr>
          <w:rFonts w:eastAsia="Calibri"/>
          <w:noProof/>
          <w:szCs w:val="24"/>
        </w:rPr>
        <w:lastRenderedPageBreak/>
        <w:t>CT segment for identification, as discussed in Section 4.2)</w:t>
      </w:r>
      <w:r w:rsidR="008E7D8B">
        <w:t xml:space="preserve">. </w:t>
      </w:r>
      <w:r>
        <w:t xml:space="preserve">Thus, a positive (negative) sign for a variable </w:t>
      </w:r>
      <w:r w:rsidR="004A699F">
        <w:t xml:space="preserve">in the TC segment in Table </w:t>
      </w:r>
      <w:r w:rsidR="009979FE">
        <w:t>3</w:t>
      </w:r>
      <w:r w:rsidR="004A699F">
        <w:t xml:space="preserve"> </w:t>
      </w:r>
      <w:r>
        <w:t>indicates that individuals with the variable characteristic are more (less) likely to be assigned to the TC segment relative to the CT segmen</w:t>
      </w:r>
      <w:r w:rsidR="004A699F">
        <w:t>t.</w:t>
      </w:r>
      <w:r>
        <w:t xml:space="preserve"> </w:t>
      </w:r>
    </w:p>
    <w:p w14:paraId="64C9B68B" w14:textId="4DD5C94D" w:rsidR="00723F28" w:rsidRDefault="00633374" w:rsidP="004A699F">
      <w:pPr>
        <w:spacing w:after="0" w:line="240" w:lineRule="auto"/>
        <w:ind w:firstLine="720"/>
      </w:pPr>
      <w:r>
        <w:t>Two</w:t>
      </w:r>
      <w:r w:rsidR="00723F28">
        <w:t xml:space="preserve"> </w:t>
      </w:r>
      <w:r w:rsidR="004A699F">
        <w:t>lifecycle</w:t>
      </w:r>
      <w:r w:rsidR="00723F28">
        <w:t xml:space="preserve"> variables have an impact on the membership of latent segments. First, </w:t>
      </w:r>
      <w:r>
        <w:t xml:space="preserve">according to our results, though only at an 80% confidence level, </w:t>
      </w:r>
      <w:r w:rsidR="00723F28">
        <w:t xml:space="preserve">employees in households with children </w:t>
      </w:r>
      <w:r w:rsidR="004A699F">
        <w:t xml:space="preserve">aged 12 years or less </w:t>
      </w:r>
      <w:r>
        <w:t xml:space="preserve">appear to be </w:t>
      </w:r>
      <w:r w:rsidR="004A699F">
        <w:t xml:space="preserve">less likely to belong to the </w:t>
      </w:r>
      <w:r w:rsidR="007332AD">
        <w:t xml:space="preserve">TC </w:t>
      </w:r>
      <w:r w:rsidR="004A699F">
        <w:t>(“</w:t>
      </w:r>
      <w:r w:rsidR="009A420E">
        <w:t>m</w:t>
      </w:r>
      <w:r w:rsidR="004A699F">
        <w:t xml:space="preserve">over”) </w:t>
      </w:r>
      <w:r w:rsidR="007332AD">
        <w:t>segment</w:t>
      </w:r>
      <w:r w:rsidR="00E40B20">
        <w:t xml:space="preserve">, a plausible reflection of a well-established support network for pre-adolescent childcare. </w:t>
      </w:r>
      <w:r w:rsidR="00723F28">
        <w:t>In contemporary societies, decisions regarding residential location and the working arrangements of employed parents have become joint decisions, dependent on the age of their children</w:t>
      </w:r>
      <w:r w:rsidR="004A699F">
        <w:t>.</w:t>
      </w:r>
      <w:r w:rsidR="00723F28">
        <w:t xml:space="preserve"> </w:t>
      </w:r>
      <w:r w:rsidR="004A699F">
        <w:t xml:space="preserve">In addition to the presence of children, the presence of a partner also has a membership effect, with those living with their partner </w:t>
      </w:r>
      <w:r w:rsidR="00723F28">
        <w:t xml:space="preserve">less likely to be in the </w:t>
      </w:r>
      <w:r w:rsidR="004A699F">
        <w:t>TC (“</w:t>
      </w:r>
      <w:r w:rsidR="009A420E">
        <w:t>m</w:t>
      </w:r>
      <w:r w:rsidR="004A699F">
        <w:t xml:space="preserve">over”) </w:t>
      </w:r>
      <w:r w:rsidR="00723F28">
        <w:t>segment</w:t>
      </w:r>
      <w:r w:rsidR="004A699F">
        <w:t xml:space="preserve">, presumably due to </w:t>
      </w:r>
      <w:r w:rsidR="00723F28" w:rsidRPr="00487DE0">
        <w:t xml:space="preserve">the additional considerations and compromises that </w:t>
      </w:r>
      <w:r w:rsidR="004A699F">
        <w:t>arise</w:t>
      </w:r>
      <w:r w:rsidR="00723F28" w:rsidRPr="00487DE0">
        <w:t xml:space="preserve"> </w:t>
      </w:r>
      <w:r w:rsidR="004A699F">
        <w:t xml:space="preserve">from relocation-related </w:t>
      </w:r>
      <w:r w:rsidR="00723F28" w:rsidRPr="00487DE0">
        <w:t xml:space="preserve">shared decision-making. </w:t>
      </w:r>
    </w:p>
    <w:p w14:paraId="5DE1C67B" w14:textId="2CA83A19" w:rsidR="004A699F" w:rsidRDefault="004A699F" w:rsidP="004A699F">
      <w:pPr>
        <w:spacing w:after="0" w:line="240" w:lineRule="auto"/>
        <w:ind w:firstLine="720"/>
      </w:pPr>
      <w:r>
        <w:t>In terms of age, y</w:t>
      </w:r>
      <w:r w:rsidR="00723F28">
        <w:t>ounger employees (under 30 years)</w:t>
      </w:r>
      <w:r w:rsidR="00633374">
        <w:t xml:space="preserve"> are </w:t>
      </w:r>
      <w:r w:rsidR="00723F28">
        <w:t xml:space="preserve">more likely to be in the </w:t>
      </w:r>
      <w:r>
        <w:t xml:space="preserve">TC (“mover”) segment relative to their older peers. </w:t>
      </w:r>
      <w:r w:rsidR="001036DC">
        <w:t>While we recognize that this finding may be a result of a 16% chance occurrence, this seems rather intuitive because y</w:t>
      </w:r>
      <w:r w:rsidR="00723F28">
        <w:t xml:space="preserve">ounger adults often have fewer commitments, such as families or mortgages, and </w:t>
      </w:r>
      <w:r>
        <w:t>may be more willing to transplant themselves to another locality based on their teleworking opportunity and frequency. E</w:t>
      </w:r>
      <w:r w:rsidR="00723F28">
        <w:t xml:space="preserve">mployees from lower-income households earning less than $50,000 per year </w:t>
      </w:r>
      <w:r w:rsidR="00E402F1">
        <w:t xml:space="preserve">may </w:t>
      </w:r>
      <w:r>
        <w:t xml:space="preserve">also belong more to </w:t>
      </w:r>
      <w:r w:rsidR="00723F28">
        <w:t xml:space="preserve">the TC </w:t>
      </w:r>
      <w:r>
        <w:t xml:space="preserve">(“mover”) </w:t>
      </w:r>
      <w:r w:rsidR="00723F28">
        <w:t>segment. These households often have tighter budgets</w:t>
      </w:r>
      <w:r>
        <w:t>,</w:t>
      </w:r>
      <w:r w:rsidR="00723F28">
        <w:t xml:space="preserve"> and may choose their residential location based on affordability or the ability to commute to work economically</w:t>
      </w:r>
      <w:r>
        <w:t xml:space="preserve"> (see Robbennolt et al., 2023)</w:t>
      </w:r>
      <w:r w:rsidR="00723F28">
        <w:t xml:space="preserve">. </w:t>
      </w:r>
    </w:p>
    <w:p w14:paraId="38FDFE9C" w14:textId="74004413" w:rsidR="008E26F5" w:rsidRDefault="00723F28" w:rsidP="004A699F">
      <w:pPr>
        <w:spacing w:after="0" w:line="240" w:lineRule="auto"/>
        <w:ind w:firstLine="720"/>
      </w:pPr>
      <w:r w:rsidRPr="00A56767">
        <w:t>Finally</w:t>
      </w:r>
      <w:r w:rsidR="004A699F">
        <w:t>,</w:t>
      </w:r>
      <w:r>
        <w:t xml:space="preserve"> workers residing in suburban neighborhoods are </w:t>
      </w:r>
      <w:r w:rsidR="008E26F5">
        <w:t>more represented</w:t>
      </w:r>
      <w:r>
        <w:t xml:space="preserve"> in the TC </w:t>
      </w:r>
      <w:r w:rsidR="004A699F">
        <w:t xml:space="preserve">(“mover”) </w:t>
      </w:r>
      <w:r>
        <w:t>segment</w:t>
      </w:r>
      <w:r w:rsidR="004A699F">
        <w:t xml:space="preserve"> relative to </w:t>
      </w:r>
      <w:r>
        <w:t>those residing in urban and rural neighborhood. This may be</w:t>
      </w:r>
      <w:r w:rsidR="004A699F">
        <w:t xml:space="preserve"> </w:t>
      </w:r>
      <w:r>
        <w:t>attributed to the COVID-19 triggered phenomenon known as the “suburban flight”</w:t>
      </w:r>
      <w:r w:rsidR="004A699F">
        <w:t xml:space="preserve"> (urban and rural dwellers descending onto suburbia),</w:t>
      </w:r>
      <w:r>
        <w:t xml:space="preserve"> which continues to be observed even today due to the widespread shift to </w:t>
      </w:r>
      <w:r w:rsidR="004A699F">
        <w:t>tele</w:t>
      </w:r>
      <w:r>
        <w:t xml:space="preserve">work. While urban dwellers look for better housing alternatives in and around the suburban neighborhoods, rural dwellers seek better opportunities for recreational and social interaction in the more accessible suburbs. </w:t>
      </w:r>
    </w:p>
    <w:p w14:paraId="4F1B6313" w14:textId="2ABC0066" w:rsidR="00723F28" w:rsidRDefault="00723F28" w:rsidP="004A699F">
      <w:pPr>
        <w:spacing w:after="0" w:line="240" w:lineRule="auto"/>
        <w:ind w:firstLine="720"/>
      </w:pPr>
      <w:r>
        <w:t xml:space="preserve">The constant reported toward the end of Table </w:t>
      </w:r>
      <w:r w:rsidR="009979FE">
        <w:t>3</w:t>
      </w:r>
      <w:r>
        <w:t xml:space="preserve"> has no substantive interpretable meaning</w:t>
      </w:r>
      <w:r w:rsidR="004A699F">
        <w:t>,</w:t>
      </w:r>
      <w:r>
        <w:t xml:space="preserve"> but provides an adjustment factor</w:t>
      </w:r>
      <w:r w:rsidR="008E26F5">
        <w:t>. T</w:t>
      </w:r>
      <w:r w:rsidR="004A699F">
        <w:t>he negative value</w:t>
      </w:r>
      <w:r w:rsidR="008E26F5">
        <w:t>, however,</w:t>
      </w:r>
      <w:r w:rsidR="004A699F">
        <w:t xml:space="preserve"> suggests a smaller segment size of the TC (“mover”) segment compared to the CT (“stayer”) segment, as we discuss below. </w:t>
      </w:r>
      <w:bookmarkStart w:id="17" w:name="_Hlk152330590"/>
      <w:bookmarkStart w:id="18" w:name="_Hlk152330370"/>
      <w:r w:rsidR="00197E69">
        <w:t xml:space="preserve">Another important point to note here is that the causal direction at play (that is, segment to which an individual belongs) is not impacted by any employment characteristic (such as </w:t>
      </w:r>
      <w:r w:rsidR="00197E69">
        <w:rPr>
          <w:color w:val="222222"/>
          <w:szCs w:val="24"/>
        </w:rPr>
        <w:t xml:space="preserve">number of hours of work, number of workdays per week, occupation sector, or company size). This is evidenced by the lack of any employment attribute in Table </w:t>
      </w:r>
      <w:r w:rsidR="009979FE">
        <w:rPr>
          <w:color w:val="222222"/>
          <w:szCs w:val="24"/>
        </w:rPr>
        <w:t>3</w:t>
      </w:r>
      <w:r w:rsidR="00197E69">
        <w:rPr>
          <w:color w:val="222222"/>
          <w:szCs w:val="24"/>
        </w:rPr>
        <w:t xml:space="preserve">. The indication then is that </w:t>
      </w:r>
      <w:r w:rsidR="00725203">
        <w:rPr>
          <w:color w:val="222222"/>
          <w:szCs w:val="24"/>
        </w:rPr>
        <w:t xml:space="preserve">whether an individual is a “mover” or a “stayer” is more determined by basic lifecycle and related demographic attributes, not by employment attributes. This is consistent with recent housing literature </w:t>
      </w:r>
      <w:r w:rsidR="00AB5AF4">
        <w:rPr>
          <w:color w:val="222222"/>
          <w:szCs w:val="24"/>
        </w:rPr>
        <w:t xml:space="preserve">(see, for example, </w:t>
      </w:r>
      <w:r w:rsidR="00014181">
        <w:rPr>
          <w:color w:val="222222"/>
          <w:szCs w:val="24"/>
        </w:rPr>
        <w:t xml:space="preserve">Lei and Liu, 2022 </w:t>
      </w:r>
      <w:r w:rsidR="00AB5AF4">
        <w:rPr>
          <w:color w:val="222222"/>
          <w:szCs w:val="24"/>
        </w:rPr>
        <w:t xml:space="preserve">and Robbennolt et al., 2023) </w:t>
      </w:r>
      <w:r w:rsidR="00725203">
        <w:rPr>
          <w:color w:val="222222"/>
          <w:szCs w:val="24"/>
        </w:rPr>
        <w:t>that suggests that housing choices in a post-COVID era are increasingly lifecycle</w:t>
      </w:r>
      <w:r w:rsidR="00AB5AF4">
        <w:rPr>
          <w:color w:val="222222"/>
          <w:szCs w:val="24"/>
        </w:rPr>
        <w:t>-</w:t>
      </w:r>
      <w:r w:rsidR="00725203">
        <w:rPr>
          <w:color w:val="222222"/>
          <w:szCs w:val="24"/>
        </w:rPr>
        <w:t xml:space="preserve"> and lifestyle</w:t>
      </w:r>
      <w:r w:rsidR="00AB5AF4">
        <w:rPr>
          <w:color w:val="222222"/>
          <w:szCs w:val="24"/>
        </w:rPr>
        <w:t>-</w:t>
      </w:r>
      <w:r w:rsidR="00725203">
        <w:rPr>
          <w:color w:val="222222"/>
          <w:szCs w:val="24"/>
        </w:rPr>
        <w:t xml:space="preserve">driven rather than tied to work-related characteristics. </w:t>
      </w:r>
      <w:bookmarkEnd w:id="17"/>
    </w:p>
    <w:bookmarkEnd w:id="18"/>
    <w:p w14:paraId="68B4BCB2" w14:textId="77777777" w:rsidR="00723F28" w:rsidRDefault="00723F28" w:rsidP="000B49D9">
      <w:pPr>
        <w:spacing w:after="0" w:line="240" w:lineRule="auto"/>
      </w:pPr>
    </w:p>
    <w:p w14:paraId="3FD8ECEA" w14:textId="4149E12D" w:rsidR="00723F28" w:rsidRDefault="00C31072" w:rsidP="00C31072">
      <w:pPr>
        <w:pStyle w:val="Heading2"/>
        <w:numPr>
          <w:ilvl w:val="0"/>
          <w:numId w:val="0"/>
        </w:numPr>
      </w:pPr>
      <w:r>
        <w:t xml:space="preserve">5.2. </w:t>
      </w:r>
      <w:r w:rsidR="00723F28" w:rsidRPr="005E3F39">
        <w:t xml:space="preserve">Latent </w:t>
      </w:r>
      <w:r w:rsidR="004A699F">
        <w:t>S</w:t>
      </w:r>
      <w:r w:rsidR="00723F28" w:rsidRPr="005E3F39">
        <w:t xml:space="preserve">egment </w:t>
      </w:r>
      <w:r w:rsidR="004A699F">
        <w:t>S</w:t>
      </w:r>
      <w:r w:rsidR="00723F28" w:rsidRPr="005E3F39">
        <w:t>ize</w:t>
      </w:r>
      <w:r w:rsidR="004A699F">
        <w:t>s and Characteristics</w:t>
      </w:r>
    </w:p>
    <w:p w14:paraId="00059505" w14:textId="775AE78A" w:rsidR="00723F28" w:rsidRDefault="00723F28" w:rsidP="00617C0C">
      <w:pPr>
        <w:spacing w:after="0" w:line="240" w:lineRule="auto"/>
      </w:pPr>
      <w:r w:rsidRPr="005E3F39">
        <w:t xml:space="preserve">Using the </w:t>
      </w:r>
      <w:r w:rsidR="004A699F">
        <w:t xml:space="preserve">latent class </w:t>
      </w:r>
      <w:r w:rsidRPr="005E3F39">
        <w:t>assignment for each individual</w:t>
      </w:r>
      <w:r w:rsidR="004A699F">
        <w:t>,</w:t>
      </w:r>
      <w:r w:rsidRPr="005E3F39">
        <w:t xml:space="preserve"> we are able to determine the size of each segment through the procedure developed by Bhat (1997). The last row of Table </w:t>
      </w:r>
      <w:r w:rsidR="009979FE">
        <w:t>3</w:t>
      </w:r>
      <w:r w:rsidRPr="005E3F39">
        <w:t xml:space="preserve"> provides the size of the latent segments in terms of percentages</w:t>
      </w:r>
      <w:r w:rsidRPr="00865677">
        <w:t xml:space="preserve">; </w:t>
      </w:r>
      <w:r w:rsidR="00865677" w:rsidRPr="00865677">
        <w:t>20.3</w:t>
      </w:r>
      <w:r w:rsidR="004A699F" w:rsidRPr="00865677">
        <w:t xml:space="preserve">% of the sample is estimated to belong to </w:t>
      </w:r>
      <w:r w:rsidR="004A699F" w:rsidRPr="00865677">
        <w:lastRenderedPageBreak/>
        <w:t>the TC (“</w:t>
      </w:r>
      <w:r w:rsidR="009A420E">
        <w:t>m</w:t>
      </w:r>
      <w:r w:rsidR="004A699F" w:rsidRPr="00865677">
        <w:t xml:space="preserve">over”) segment, while </w:t>
      </w:r>
      <w:r w:rsidR="00865677" w:rsidRPr="00865677">
        <w:t>79.7</w:t>
      </w:r>
      <w:r w:rsidRPr="00865677">
        <w:t xml:space="preserve">% is </w:t>
      </w:r>
      <w:r w:rsidR="004A699F" w:rsidRPr="00865677">
        <w:t>estimated to belong to the CT (“stayer”) segment.</w:t>
      </w:r>
      <w:r w:rsidR="004A699F">
        <w:t xml:space="preserve"> </w:t>
      </w:r>
      <w:r w:rsidRPr="005E3F39">
        <w:t>This indicates that</w:t>
      </w:r>
      <w:r w:rsidR="004A699F">
        <w:t xml:space="preserve">, even in the COVID-era, </w:t>
      </w:r>
      <w:r w:rsidRPr="005E3F39">
        <w:t xml:space="preserve"> </w:t>
      </w:r>
      <w:r w:rsidR="004A699F">
        <w:t>the causal direction is primarily in the form of residential locations being determined without regard to teleworking arrangement, and then individuals teleworking based on commute distance. However, there is a sizeable fraction of the sample for whom teleworking opportunity and frequency impacts residential choice. That is, unlike earlier studies that consider a single causal directionality, our study indicates</w:t>
      </w:r>
      <w:r w:rsidR="008E26F5">
        <w:t xml:space="preserve"> </w:t>
      </w:r>
      <w:r w:rsidR="004A699F">
        <w:t xml:space="preserve">heterogeneity in the population in the causal direction of effect.  </w:t>
      </w:r>
    </w:p>
    <w:p w14:paraId="71328348" w14:textId="32F7E80A" w:rsidR="00723F28" w:rsidRDefault="00723F28" w:rsidP="00E750BB">
      <w:pPr>
        <w:spacing w:after="0" w:line="240" w:lineRule="auto"/>
        <w:ind w:firstLine="720"/>
        <w:rPr>
          <w:szCs w:val="24"/>
        </w:rPr>
      </w:pPr>
      <w:r w:rsidRPr="008354E2">
        <w:rPr>
          <w:szCs w:val="24"/>
        </w:rPr>
        <w:t xml:space="preserve">Table </w:t>
      </w:r>
      <w:r w:rsidR="009979FE">
        <w:rPr>
          <w:szCs w:val="24"/>
        </w:rPr>
        <w:t>4</w:t>
      </w:r>
      <w:r w:rsidRPr="008354E2">
        <w:rPr>
          <w:szCs w:val="24"/>
        </w:rPr>
        <w:t xml:space="preserve"> pr</w:t>
      </w:r>
      <w:r>
        <w:rPr>
          <w:szCs w:val="24"/>
        </w:rPr>
        <w:t>ovides</w:t>
      </w:r>
      <w:r w:rsidRPr="008354E2">
        <w:rPr>
          <w:szCs w:val="24"/>
        </w:rPr>
        <w:t xml:space="preserve"> a detailed overview of the variations of the two segments by demographic attributes</w:t>
      </w:r>
      <w:r>
        <w:rPr>
          <w:szCs w:val="24"/>
        </w:rPr>
        <w:t xml:space="preserve"> in terms of actual percentages (using the procedure in Bhat, 1997)</w:t>
      </w:r>
      <w:r w:rsidRPr="008354E2">
        <w:rPr>
          <w:szCs w:val="24"/>
        </w:rPr>
        <w:t xml:space="preserve">. </w:t>
      </w:r>
      <w:r>
        <w:t>The first broad numeric column “Percent within segment” provides the split of a variable within each segment;</w:t>
      </w:r>
      <w:r w:rsidRPr="008354E2">
        <w:rPr>
          <w:szCs w:val="24"/>
        </w:rPr>
        <w:t xml:space="preserve"> </w:t>
      </w:r>
      <w:r w:rsidRPr="00D45223">
        <w:t>Thus, within the first segment where WPL preference impacts commute distance (CD</w:t>
      </w:r>
      <w:r w:rsidRPr="00767DF9">
        <w:t>), 60.</w:t>
      </w:r>
      <w:r w:rsidR="00767DF9" w:rsidRPr="00767DF9">
        <w:t>7</w:t>
      </w:r>
      <w:r w:rsidRPr="00767DF9">
        <w:t>% percent are women and 39.</w:t>
      </w:r>
      <w:r w:rsidR="00767DF9" w:rsidRPr="00767DF9">
        <w:t>3</w:t>
      </w:r>
      <w:r w:rsidRPr="00767DF9">
        <w:t>% percent are men. Within the second segment where CD impacts WPL preference, the corresponding split between women and men is 59.</w:t>
      </w:r>
      <w:r w:rsidR="00767DF9" w:rsidRPr="00767DF9">
        <w:t>5</w:t>
      </w:r>
      <w:r w:rsidRPr="00767DF9">
        <w:t>% and 40.</w:t>
      </w:r>
      <w:r w:rsidR="00767DF9" w:rsidRPr="00767DF9">
        <w:t>5</w:t>
      </w:r>
      <w:r w:rsidRPr="00767DF9">
        <w:t>%,</w:t>
      </w:r>
      <w:r>
        <w:t xml:space="preserve"> respectively. Another way to present the segment sizes is the entries corresponding to the broad column entitled “Percent within attribute”. </w:t>
      </w:r>
      <w:r w:rsidRPr="008354E2">
        <w:rPr>
          <w:szCs w:val="24"/>
        </w:rPr>
        <w:t xml:space="preserve">These columns provide the binary split between the two segments for each of the </w:t>
      </w:r>
      <w:r w:rsidRPr="00767DF9">
        <w:rPr>
          <w:szCs w:val="24"/>
        </w:rPr>
        <w:t xml:space="preserve">individual variables (or attributes). Here we observe that only </w:t>
      </w:r>
      <w:r w:rsidR="00767DF9" w:rsidRPr="00E750BB">
        <w:rPr>
          <w:szCs w:val="24"/>
        </w:rPr>
        <w:t>20.7</w:t>
      </w:r>
      <w:r w:rsidRPr="00E750BB">
        <w:rPr>
          <w:szCs w:val="24"/>
        </w:rPr>
        <w:t>%</w:t>
      </w:r>
      <w:r w:rsidRPr="00767DF9">
        <w:rPr>
          <w:szCs w:val="24"/>
        </w:rPr>
        <w:t xml:space="preserve"> of women belong to segment one (compared to </w:t>
      </w:r>
      <w:r w:rsidR="00767DF9" w:rsidRPr="00767DF9">
        <w:rPr>
          <w:szCs w:val="24"/>
        </w:rPr>
        <w:t>19.8</w:t>
      </w:r>
      <w:r w:rsidRPr="00767DF9">
        <w:rPr>
          <w:szCs w:val="24"/>
        </w:rPr>
        <w:t xml:space="preserve">% of men), while </w:t>
      </w:r>
      <w:r w:rsidR="00767DF9" w:rsidRPr="00767DF9">
        <w:rPr>
          <w:szCs w:val="24"/>
        </w:rPr>
        <w:t>79.3</w:t>
      </w:r>
      <w:r w:rsidRPr="00767DF9">
        <w:rPr>
          <w:szCs w:val="24"/>
        </w:rPr>
        <w:t xml:space="preserve">% of women belong to segment two (compared to </w:t>
      </w:r>
      <w:r w:rsidR="00767DF9" w:rsidRPr="00767DF9">
        <w:rPr>
          <w:szCs w:val="24"/>
        </w:rPr>
        <w:t>80.2</w:t>
      </w:r>
      <w:r w:rsidRPr="00767DF9">
        <w:rPr>
          <w:szCs w:val="24"/>
        </w:rPr>
        <w:t>% of</w:t>
      </w:r>
      <w:r w:rsidRPr="006B3413">
        <w:rPr>
          <w:szCs w:val="24"/>
        </w:rPr>
        <w:t xml:space="preserve"> men), which nearly align with the segm</w:t>
      </w:r>
      <w:r w:rsidRPr="00767DF9">
        <w:rPr>
          <w:szCs w:val="24"/>
        </w:rPr>
        <w:t xml:space="preserve">ent size splits toward the bottom of Table </w:t>
      </w:r>
      <w:r w:rsidR="009979FE">
        <w:rPr>
          <w:szCs w:val="24"/>
        </w:rPr>
        <w:t>3</w:t>
      </w:r>
      <w:r w:rsidRPr="00767DF9">
        <w:rPr>
          <w:szCs w:val="24"/>
        </w:rPr>
        <w:t xml:space="preserve"> (</w:t>
      </w:r>
      <w:r w:rsidR="00767DF9" w:rsidRPr="00767DF9">
        <w:rPr>
          <w:szCs w:val="24"/>
        </w:rPr>
        <w:t>20.3</w:t>
      </w:r>
      <w:r w:rsidRPr="00767DF9">
        <w:rPr>
          <w:szCs w:val="24"/>
        </w:rPr>
        <w:t xml:space="preserve">% of the sample is part of segment one, while </w:t>
      </w:r>
      <w:r w:rsidR="00767DF9" w:rsidRPr="00767DF9">
        <w:rPr>
          <w:szCs w:val="24"/>
        </w:rPr>
        <w:t>79.7</w:t>
      </w:r>
      <w:r w:rsidRPr="00767DF9">
        <w:rPr>
          <w:szCs w:val="24"/>
        </w:rPr>
        <w:t>% is likely</w:t>
      </w:r>
      <w:r w:rsidRPr="006B3413">
        <w:rPr>
          <w:szCs w:val="24"/>
        </w:rPr>
        <w:t xml:space="preserve"> a member of segment</w:t>
      </w:r>
      <w:r w:rsidRPr="008354E2">
        <w:rPr>
          <w:szCs w:val="24"/>
        </w:rPr>
        <w:t xml:space="preserve"> two), displaying that there is little difference within the gender attribute across the two segments. Other entries </w:t>
      </w:r>
      <w:r>
        <w:rPr>
          <w:szCs w:val="24"/>
        </w:rPr>
        <w:t xml:space="preserve">in the table pertaining to other exogenous variables </w:t>
      </w:r>
      <w:r w:rsidRPr="008354E2">
        <w:rPr>
          <w:szCs w:val="24"/>
        </w:rPr>
        <w:t xml:space="preserve">can be interpreted similarly. </w:t>
      </w:r>
      <w:r>
        <w:rPr>
          <w:szCs w:val="24"/>
        </w:rPr>
        <w:t xml:space="preserve">While the latent segmentation results from Table </w:t>
      </w:r>
      <w:r w:rsidR="009979FE">
        <w:rPr>
          <w:szCs w:val="24"/>
        </w:rPr>
        <w:t>3</w:t>
      </w:r>
      <w:r>
        <w:rPr>
          <w:szCs w:val="24"/>
        </w:rPr>
        <w:t xml:space="preserve"> only suggest a directional influence of the sociodemographic attributes’ impact on segment membership, the segment size values from Table </w:t>
      </w:r>
      <w:r w:rsidR="009979FE">
        <w:rPr>
          <w:szCs w:val="24"/>
        </w:rPr>
        <w:t>4</w:t>
      </w:r>
      <w:r>
        <w:rPr>
          <w:szCs w:val="24"/>
        </w:rPr>
        <w:t xml:space="preserve"> help us </w:t>
      </w:r>
      <w:r w:rsidR="004A699F">
        <w:rPr>
          <w:szCs w:val="24"/>
        </w:rPr>
        <w:t xml:space="preserve">better </w:t>
      </w:r>
      <w:r>
        <w:rPr>
          <w:szCs w:val="24"/>
        </w:rPr>
        <w:t xml:space="preserve">understand the </w:t>
      </w:r>
      <w:r w:rsidR="004A699F">
        <w:rPr>
          <w:szCs w:val="24"/>
        </w:rPr>
        <w:t xml:space="preserve">composition of each </w:t>
      </w:r>
      <w:r>
        <w:rPr>
          <w:szCs w:val="24"/>
        </w:rPr>
        <w:t xml:space="preserve">segment. The percentages of sociodemographic split “within segment” and “within attribute” is conformable with the results obtained in Table </w:t>
      </w:r>
      <w:r w:rsidR="009979FE">
        <w:rPr>
          <w:szCs w:val="24"/>
        </w:rPr>
        <w:t>3</w:t>
      </w:r>
      <w:r>
        <w:rPr>
          <w:szCs w:val="24"/>
        </w:rPr>
        <w:t>; as one would expect, the maximum shifts and changes are observed for the sociodemographic variables th</w:t>
      </w:r>
      <w:r w:rsidR="004A699F">
        <w:rPr>
          <w:szCs w:val="24"/>
        </w:rPr>
        <w:t>at</w:t>
      </w:r>
      <w:r>
        <w:rPr>
          <w:szCs w:val="24"/>
        </w:rPr>
        <w:t xml:space="preserve"> turned out to be significant in the membership model (see, for example, the rows pertaining to the presence of children, age, household income and population density variables), while other sociodemographic attributes</w:t>
      </w:r>
      <w:r w:rsidR="008E26F5">
        <w:rPr>
          <w:szCs w:val="24"/>
        </w:rPr>
        <w:t xml:space="preserve"> have little variation across the segments</w:t>
      </w:r>
      <w:r>
        <w:rPr>
          <w:szCs w:val="24"/>
        </w:rPr>
        <w:t>.</w:t>
      </w:r>
      <w:r w:rsidR="004A699F">
        <w:rPr>
          <w:rStyle w:val="FootnoteReference"/>
          <w:szCs w:val="24"/>
        </w:rPr>
        <w:footnoteReference w:id="11"/>
      </w:r>
      <w:r>
        <w:rPr>
          <w:szCs w:val="24"/>
        </w:rPr>
        <w:t xml:space="preserve"> </w:t>
      </w:r>
    </w:p>
    <w:p w14:paraId="32C7FB4B" w14:textId="08D30041" w:rsidR="008E26F5" w:rsidRPr="009E5248" w:rsidRDefault="004748C2" w:rsidP="006C0D8C">
      <w:pPr>
        <w:spacing w:after="0" w:line="240" w:lineRule="auto"/>
        <w:ind w:firstLine="720"/>
      </w:pPr>
      <w:r>
        <w:t xml:space="preserve">Overall, our results do suggest that </w:t>
      </w:r>
      <w:r w:rsidR="00CD53EE">
        <w:t xml:space="preserve">home-based </w:t>
      </w:r>
      <w:r>
        <w:t xml:space="preserve">telework will inevitably lead to urban sprawl (even if the monthly commute VMT may reduce at moderate to high telework levels, as discussed later in Section 5.4). Our results reveal that about a </w:t>
      </w:r>
      <w:r w:rsidR="00865677">
        <w:t>fifth</w:t>
      </w:r>
      <w:r>
        <w:t xml:space="preserve"> of employees (a predicted </w:t>
      </w:r>
      <w:r w:rsidR="00865677" w:rsidRPr="00865677">
        <w:t>20.3</w:t>
      </w:r>
      <w:r w:rsidRPr="00865677">
        <w:t>%</w:t>
      </w:r>
      <w:r>
        <w:t xml:space="preserve"> of our sample) are expected “movers”, and are likely to base their residential location choice directly on telework opportunities. Thus, telework may result in the abandonment of urban residences near employment-dense areas, with a corresponding increase in the demand for new, rapidly constructed, and often low-quality tract housing developments in suburban or rural areas. While private residential developers may benefit from this trend, increased residential sprawl leads to several challenging issues for many other populations, due, but not limited to, </w:t>
      </w:r>
      <w:r w:rsidR="008E26F5">
        <w:t>(</w:t>
      </w:r>
      <w:r>
        <w:t xml:space="preserve">a) increased infrastructure costs to preserve, modernize and expand highways to the outskirts of cities and the growing suburbs, </w:t>
      </w:r>
      <w:r w:rsidR="008E26F5">
        <w:t>(</w:t>
      </w:r>
      <w:r>
        <w:t xml:space="preserve">b) increased air and other environmental pollution from increased vehicle emissions and the destruction of natural habitats, </w:t>
      </w:r>
      <w:r w:rsidR="008E26F5">
        <w:t>(</w:t>
      </w:r>
      <w:r>
        <w:t xml:space="preserve">c) lack of affordable housing and decrease in </w:t>
      </w:r>
      <w:r>
        <w:lastRenderedPageBreak/>
        <w:t xml:space="preserve">neighborhood quality both within increasingly abandoned cities as well as the growing suburbs, </w:t>
      </w:r>
      <w:r w:rsidR="008E26F5">
        <w:t>(</w:t>
      </w:r>
      <w:r>
        <w:t xml:space="preserve">d) social fragmentation and segregation, </w:t>
      </w:r>
      <w:r w:rsidR="008E26F5">
        <w:t>(</w:t>
      </w:r>
      <w:r w:rsidRPr="00E50A2E">
        <w:t xml:space="preserve">e) </w:t>
      </w:r>
      <w:r>
        <w:t xml:space="preserve">increased energy consumption, </w:t>
      </w:r>
      <w:r w:rsidR="008E26F5">
        <w:t>(</w:t>
      </w:r>
      <w:r>
        <w:t xml:space="preserve">f) underserved </w:t>
      </w:r>
      <w:r w:rsidRPr="00E50A2E">
        <w:t>schools</w:t>
      </w:r>
      <w:r>
        <w:t xml:space="preserve"> and other public services, and </w:t>
      </w:r>
      <w:r w:rsidR="008E26F5">
        <w:t>(</w:t>
      </w:r>
      <w:r>
        <w:t>g) misdirected expenditures of tax money</w:t>
      </w:r>
      <w:r w:rsidRPr="00E50A2E">
        <w:t>.</w:t>
      </w:r>
      <w:r>
        <w:t xml:space="preserve"> For instance, rather than investing in improving existing communities, there has been a recent shift in U.S. tax funds towards subsidizing new sprawling suburban communities. This shift has resulted in cities and counties spending millions of dollars on new schools, infrastructure for roadways, water and sewer lines, and fire and police protection, while placing higher tax burdens on remaining urban residents. It is crucial for governing organizations to recognize the implications of residential sprawl, so that appropriate budgets can be allocated accurately and fairly across all types of local and state regions as the demographic composition of each area begins and continues to change.</w:t>
      </w:r>
    </w:p>
    <w:p w14:paraId="040173ED" w14:textId="2DA086E9" w:rsidR="004748C2" w:rsidRDefault="004748C2" w:rsidP="009E5248">
      <w:pPr>
        <w:spacing w:after="0" w:line="240" w:lineRule="auto"/>
        <w:ind w:firstLine="720"/>
        <w:rPr>
          <w:color w:val="000000" w:themeColor="text1"/>
          <w:szCs w:val="24"/>
        </w:rPr>
      </w:pPr>
      <w:r w:rsidRPr="008A5335">
        <w:rPr>
          <w:color w:val="000000" w:themeColor="text1"/>
          <w:szCs w:val="24"/>
        </w:rPr>
        <w:t xml:space="preserve">Based on individual and household demographics, “movers” inducing </w:t>
      </w:r>
      <w:r>
        <w:rPr>
          <w:color w:val="000000" w:themeColor="text1"/>
          <w:szCs w:val="24"/>
        </w:rPr>
        <w:t xml:space="preserve">residential </w:t>
      </w:r>
      <w:r w:rsidRPr="008A5335">
        <w:rPr>
          <w:color w:val="000000" w:themeColor="text1"/>
          <w:szCs w:val="24"/>
        </w:rPr>
        <w:t xml:space="preserve">sprawl are likely </w:t>
      </w:r>
      <w:r w:rsidRPr="008A5335">
        <w:t>families</w:t>
      </w:r>
      <w:r>
        <w:t xml:space="preserve"> with children (families with </w:t>
      </w:r>
      <w:r w:rsidR="006C0D8C">
        <w:t>young</w:t>
      </w:r>
      <w:r>
        <w:t>er children in particular), employees younger than 50 years (with the highest likelihood for employees less than 30 years old), and those with an annual income lower than $</w:t>
      </w:r>
      <w:r w:rsidR="0049271D">
        <w:t>10</w:t>
      </w:r>
      <w:r w:rsidR="00F47A84">
        <w:t>0</w:t>
      </w:r>
      <w:r>
        <w:t>,000</w:t>
      </w:r>
      <w:r w:rsidR="00865677">
        <w:t xml:space="preserve">. </w:t>
      </w:r>
      <w:r>
        <w:t xml:space="preserve">Given that these households are the primary contributors to residential sprawl, governing and planning bodies may implement effective measures to discourage residential relocation. To retain those with limited budgets, such as single parents and low-income households, targeted initiatives such as rent or home insurance subsidies can be implemented in urban centers, incentivizing them to remain in their current urban dwellings. In contrast, younger employees can be influenced by city-wide marketing campaigns that emphasize the advantages and aesthetic appeal of residing within the city limits. However, it is crucial to acknowledge that these movers often come from communities already grappling with equity challenges. While their departure from urban centers can have repercussions for the entire community, their settlement in newly developed suburban areas can give rise to specific issues for the movers themselves. The expansion of homes and communities further apart amplifies the cost of delivering essential services, potentially leading to less targeted and responsive provisions for the residents of these suburban areas, who may bear the burden of higher local, state, and federal taxes. Consequently, households already lacking financial resources find themselves faced with increased tax obligations, further straining their finances. Moreover, </w:t>
      </w:r>
      <w:r>
        <w:rPr>
          <w:color w:val="000000" w:themeColor="text1"/>
          <w:szCs w:val="24"/>
        </w:rPr>
        <w:t xml:space="preserve">availability of essential amenities such as quality public schools and community services need to be ensured by the government for marginalized sections of the society. Therefore, not only must the government devise strategies to discourage suburban immigration, they must also strive to meet the basic needs of these “movers” (in case, they decide to migrate to the suburban regions) from an equity standpoint. </w:t>
      </w:r>
    </w:p>
    <w:p w14:paraId="6CA9BFA3" w14:textId="4729B42B" w:rsidR="004A699F" w:rsidRDefault="004A699F" w:rsidP="009E5248">
      <w:pPr>
        <w:spacing w:after="0"/>
        <w:rPr>
          <w:szCs w:val="24"/>
        </w:rPr>
      </w:pPr>
    </w:p>
    <w:p w14:paraId="45B0FED9" w14:textId="698665D8" w:rsidR="004A699F" w:rsidRDefault="00D726D7" w:rsidP="00D726D7">
      <w:pPr>
        <w:pStyle w:val="Heading2"/>
        <w:numPr>
          <w:ilvl w:val="0"/>
          <w:numId w:val="0"/>
        </w:numPr>
        <w:ind w:left="360" w:hanging="360"/>
      </w:pPr>
      <w:r>
        <w:t xml:space="preserve">5.3. </w:t>
      </w:r>
      <w:r w:rsidR="004A699F">
        <w:t xml:space="preserve">Data </w:t>
      </w:r>
      <w:r w:rsidR="00864D8F">
        <w:t>F</w:t>
      </w:r>
      <w:r w:rsidR="004A699F">
        <w:t xml:space="preserve">it </w:t>
      </w:r>
      <w:r w:rsidR="00864D8F">
        <w:t>M</w:t>
      </w:r>
      <w:r w:rsidR="004A699F">
        <w:t>easures</w:t>
      </w:r>
      <w:r w:rsidR="00097B14">
        <w:t xml:space="preserve"> and Robustness Discussion</w:t>
      </w:r>
    </w:p>
    <w:p w14:paraId="47225E8F" w14:textId="05A3437A" w:rsidR="004A699F" w:rsidRDefault="004A699F" w:rsidP="00617C0C">
      <w:pPr>
        <w:spacing w:after="0" w:line="240" w:lineRule="auto"/>
      </w:pPr>
      <w:r>
        <w:t xml:space="preserve">The goodness of fit for our proposed joint latent segmentation model may be compared with other restrictive models to evaluate the performance gain in data fit. Specifically, we compare our proposed model with three other restrictive versions: (i) a model that considers the jointness in the telework and commute distance outcomes, but ignores the latent segmentation (Joint Unsegmented Model), (ii) a model that ignores the jointness in the telework and commute distance outcomes, but considers the latent segmentation (Independent Segmented Model), and (iii) a model that ignores both the jointness and the latent segmentation (Independent Unsegmented Model). Since these models are nested within our proposed “Joint Segmented Model”, their performances can be compared using the likelihood ratio test. </w:t>
      </w:r>
    </w:p>
    <w:p w14:paraId="1D35E1BE" w14:textId="3D3C69C6" w:rsidR="00F348B6" w:rsidRDefault="004A699F" w:rsidP="009979FE">
      <w:pPr>
        <w:spacing w:after="0"/>
        <w:ind w:firstLine="720"/>
      </w:pPr>
      <w:r>
        <w:t xml:space="preserve">The data fit measures are provided in Table </w:t>
      </w:r>
      <w:r w:rsidR="009979FE">
        <w:t>5</w:t>
      </w:r>
      <w:r>
        <w:t xml:space="preserve">. The log-likelihood at convergence for our proposed model is lower than the three restrictive versions. The likelihood ratio tests (when the </w:t>
      </w:r>
      <w:r>
        <w:lastRenderedPageBreak/>
        <w:t>proposed model is compared to the three restrictive versions) yield values that are much higher than the critical chi-squared table values at any reasonable level of significance (at the respective degrees of freedom). The adjusted rho-squared value also favors our proposed model relative to the other three models, indicating a superior fit.</w:t>
      </w:r>
      <w:r w:rsidR="00335649">
        <w:rPr>
          <w:rStyle w:val="FootnoteReference"/>
        </w:rPr>
        <w:footnoteReference w:id="12"/>
      </w:r>
      <w:r w:rsidR="00F2534F">
        <w:t xml:space="preserve"> </w:t>
      </w:r>
    </w:p>
    <w:p w14:paraId="4AF74A8B" w14:textId="1C191B6C" w:rsidR="001C0644" w:rsidRDefault="001C0644" w:rsidP="003773C2">
      <w:pPr>
        <w:spacing w:after="0" w:line="240" w:lineRule="auto"/>
        <w:ind w:firstLine="720"/>
        <w:rPr>
          <w:szCs w:val="24"/>
        </w:rPr>
      </w:pPr>
      <w:bookmarkStart w:id="20" w:name="_Hlk153102497"/>
      <w:r w:rsidRPr="00C905D8">
        <w:rPr>
          <w:szCs w:val="24"/>
        </w:rPr>
        <w:t>To further examine data fit issues beyond the rather difficult-to-interpret likelihood fit measures, we use the estimated parameters to develop non-likelihood based data fit metrics by predicting</w:t>
      </w:r>
      <w:r>
        <w:rPr>
          <w:szCs w:val="24"/>
        </w:rPr>
        <w:t xml:space="preserve"> ln(</w:t>
      </w:r>
      <w:r w:rsidRPr="00C905D8">
        <w:rPr>
          <w:szCs w:val="24"/>
        </w:rPr>
        <w:t>commute distances</w:t>
      </w:r>
      <w:r>
        <w:rPr>
          <w:szCs w:val="24"/>
        </w:rPr>
        <w:t>)</w:t>
      </w:r>
      <w:r w:rsidRPr="00C905D8">
        <w:rPr>
          <w:szCs w:val="24"/>
        </w:rPr>
        <w:t xml:space="preserve"> as well as telework choices and compare with the observed values in the sample. To do so, first, within each of the causal direction segments and for each individual, we use a minor modification </w:t>
      </w:r>
      <w:r w:rsidRPr="005C2AEC">
        <w:rPr>
          <w:szCs w:val="24"/>
        </w:rPr>
        <w:t>of the Pinjari and Bhat</w:t>
      </w:r>
      <w:r w:rsidR="005C2130" w:rsidRPr="005C2AEC">
        <w:rPr>
          <w:szCs w:val="24"/>
        </w:rPr>
        <w:t xml:space="preserve"> (</w:t>
      </w:r>
      <w:r w:rsidRPr="005C2AEC">
        <w:rPr>
          <w:szCs w:val="24"/>
        </w:rPr>
        <w:t>202</w:t>
      </w:r>
      <w:r w:rsidR="005C2AEC" w:rsidRPr="005C2AEC">
        <w:rPr>
          <w:szCs w:val="24"/>
        </w:rPr>
        <w:t>1</w:t>
      </w:r>
      <w:r w:rsidR="005C2130" w:rsidRPr="005C2AEC">
        <w:rPr>
          <w:szCs w:val="24"/>
        </w:rPr>
        <w:t>)</w:t>
      </w:r>
      <w:r w:rsidRPr="005C2AEC">
        <w:rPr>
          <w:szCs w:val="24"/>
        </w:rPr>
        <w:t xml:space="preserve"> procedure</w:t>
      </w:r>
      <w:r w:rsidRPr="00C905D8">
        <w:rPr>
          <w:szCs w:val="24"/>
        </w:rPr>
        <w:t xml:space="preserve"> for MDC model forecasting (using draws from the multivariate normal distribution characterizing the errors in the telework split MDC and </w:t>
      </w:r>
      <w:r>
        <w:rPr>
          <w:szCs w:val="24"/>
        </w:rPr>
        <w:t>ln(</w:t>
      </w:r>
      <w:r w:rsidRPr="00C905D8">
        <w:rPr>
          <w:szCs w:val="24"/>
        </w:rPr>
        <w:t>commute distance</w:t>
      </w:r>
      <w:r>
        <w:rPr>
          <w:szCs w:val="24"/>
        </w:rPr>
        <w:t>)</w:t>
      </w:r>
      <w:r w:rsidRPr="00C905D8">
        <w:rPr>
          <w:szCs w:val="24"/>
        </w:rPr>
        <w:t xml:space="preserve"> model components) to predict telework splits as well as </w:t>
      </w:r>
      <w:r>
        <w:rPr>
          <w:szCs w:val="24"/>
        </w:rPr>
        <w:t>ln(</w:t>
      </w:r>
      <w:r w:rsidRPr="00C905D8">
        <w:rPr>
          <w:szCs w:val="24"/>
        </w:rPr>
        <w:t>commute distances</w:t>
      </w:r>
      <w:r>
        <w:rPr>
          <w:szCs w:val="24"/>
        </w:rPr>
        <w:t>)</w:t>
      </w:r>
      <w:r w:rsidRPr="00C905D8">
        <w:rPr>
          <w:szCs w:val="24"/>
        </w:rPr>
        <w:t xml:space="preserve">. Then, employing the estimated latent segmentation parameters too, we next predict, for each individual, the telework splits and </w:t>
      </w:r>
      <w:r>
        <w:rPr>
          <w:szCs w:val="24"/>
        </w:rPr>
        <w:t>ln(</w:t>
      </w:r>
      <w:r w:rsidRPr="00C905D8">
        <w:rPr>
          <w:szCs w:val="24"/>
        </w:rPr>
        <w:t>commute distances</w:t>
      </w:r>
      <w:r>
        <w:rPr>
          <w:szCs w:val="24"/>
        </w:rPr>
        <w:t>)</w:t>
      </w:r>
      <w:r w:rsidRPr="00C905D8">
        <w:rPr>
          <w:szCs w:val="24"/>
        </w:rPr>
        <w:t xml:space="preserve"> across both the causality segments. Using these individual forecasted values, we compute aggregate data fit metrics and compare with the observed data. We do so at three different outcome levels. At the first level, we compare the predicted number of individuals with positive participation in each of the seven possible discrete combinations of work place locations (home only, office only, third WPL only, home and office, home and third WPL, office and third WPL, and all three locations) versus the actual number of individuals with positive participation in the corresponding discrete combination. We achieve this by computing the percentage prediction error in each of the seven possible combinations, and then compute a weighted average percentage error (WAPE) across all the seven possible discrete WPL combinations (we will refer to this metric as the </w:t>
      </w:r>
      <w:r w:rsidRPr="00C905D8">
        <w:rPr>
          <w:i/>
          <w:iCs/>
          <w:szCs w:val="24"/>
        </w:rPr>
        <w:t>discrete participation WAPE</w:t>
      </w:r>
      <w:r w:rsidRPr="00C905D8">
        <w:rPr>
          <w:szCs w:val="24"/>
        </w:rPr>
        <w:t>). We also compute, at this discrete level, the probability of correctly predicting the right discrete category combination (among the seven possible WPL locations) for each individual, and then compute a</w:t>
      </w:r>
      <w:r w:rsidR="00817E7D">
        <w:rPr>
          <w:szCs w:val="24"/>
        </w:rPr>
        <w:t xml:space="preserve"> weighted</w:t>
      </w:r>
      <w:r w:rsidRPr="00C905D8">
        <w:rPr>
          <w:szCs w:val="24"/>
        </w:rPr>
        <w:t xml:space="preserve"> average probability of correct prediction or </w:t>
      </w:r>
      <w:r w:rsidR="00817E7D">
        <w:rPr>
          <w:szCs w:val="24"/>
        </w:rPr>
        <w:t>W</w:t>
      </w:r>
      <w:r w:rsidRPr="00C905D8">
        <w:rPr>
          <w:szCs w:val="24"/>
        </w:rPr>
        <w:t xml:space="preserve">APCP (referred to henceforth as the </w:t>
      </w:r>
      <w:r w:rsidR="00817E7D">
        <w:rPr>
          <w:i/>
          <w:iCs/>
          <w:szCs w:val="24"/>
        </w:rPr>
        <w:t>WA</w:t>
      </w:r>
      <w:r w:rsidRPr="00C905D8">
        <w:rPr>
          <w:i/>
          <w:iCs/>
          <w:szCs w:val="24"/>
        </w:rPr>
        <w:t>PCP of discrete participation</w:t>
      </w:r>
      <w:r w:rsidRPr="00C905D8">
        <w:rPr>
          <w:szCs w:val="24"/>
        </w:rPr>
        <w:t xml:space="preserve">). At the second level, we compare the predicted versus observed aggregate splits for fraction of days at each of the three distinct work place locations and compute the WAPE at this continuous WPL split level (we will refer to this metric as the </w:t>
      </w:r>
      <w:r w:rsidRPr="00C905D8">
        <w:rPr>
          <w:i/>
          <w:iCs/>
          <w:szCs w:val="24"/>
        </w:rPr>
        <w:t>average fractional split of days worked from each WPL WAPE</w:t>
      </w:r>
      <w:r w:rsidRPr="00C905D8">
        <w:rPr>
          <w:szCs w:val="24"/>
        </w:rPr>
        <w:t xml:space="preserve">). Finally, we compute the average of the predicted </w:t>
      </w:r>
      <w:r>
        <w:rPr>
          <w:szCs w:val="24"/>
        </w:rPr>
        <w:t>ln(</w:t>
      </w:r>
      <w:r w:rsidRPr="00C905D8">
        <w:rPr>
          <w:szCs w:val="24"/>
        </w:rPr>
        <w:t>commute distances</w:t>
      </w:r>
      <w:r>
        <w:rPr>
          <w:szCs w:val="24"/>
        </w:rPr>
        <w:t>)</w:t>
      </w:r>
      <w:r w:rsidRPr="00C905D8">
        <w:rPr>
          <w:szCs w:val="24"/>
        </w:rPr>
        <w:t xml:space="preserve"> among individuals predicted to fall within each of the seven discrete WPL combinations, and compare with the average of the actual observed </w:t>
      </w:r>
      <w:r>
        <w:rPr>
          <w:szCs w:val="24"/>
        </w:rPr>
        <w:t>ln(</w:t>
      </w:r>
      <w:r w:rsidRPr="00C905D8">
        <w:rPr>
          <w:szCs w:val="24"/>
        </w:rPr>
        <w:t>commute distances</w:t>
      </w:r>
      <w:r>
        <w:rPr>
          <w:szCs w:val="24"/>
        </w:rPr>
        <w:t xml:space="preserve">) </w:t>
      </w:r>
      <w:r w:rsidRPr="00C905D8">
        <w:rPr>
          <w:szCs w:val="24"/>
        </w:rPr>
        <w:t xml:space="preserve">within the actually chosen WPL combination, followed by the computation of a WAPE measure across all seven combinations (the </w:t>
      </w:r>
      <w:r w:rsidRPr="00C905D8">
        <w:rPr>
          <w:i/>
          <w:iCs/>
          <w:szCs w:val="24"/>
        </w:rPr>
        <w:t xml:space="preserve">average </w:t>
      </w:r>
      <w:r>
        <w:rPr>
          <w:i/>
          <w:iCs/>
          <w:szCs w:val="24"/>
        </w:rPr>
        <w:t>ln(</w:t>
      </w:r>
      <w:r w:rsidRPr="00C905D8">
        <w:rPr>
          <w:i/>
          <w:iCs/>
          <w:szCs w:val="24"/>
        </w:rPr>
        <w:t>commute distance</w:t>
      </w:r>
      <w:r>
        <w:rPr>
          <w:i/>
          <w:iCs/>
          <w:szCs w:val="24"/>
        </w:rPr>
        <w:t>)</w:t>
      </w:r>
      <w:r w:rsidRPr="00C905D8">
        <w:rPr>
          <w:i/>
          <w:iCs/>
          <w:szCs w:val="24"/>
        </w:rPr>
        <w:t xml:space="preserve"> WAPE</w:t>
      </w:r>
      <w:r w:rsidRPr="00C905D8">
        <w:rPr>
          <w:szCs w:val="24"/>
        </w:rPr>
        <w:t xml:space="preserve">). </w:t>
      </w:r>
    </w:p>
    <w:p w14:paraId="47A1EEDA" w14:textId="7FD5D1C1" w:rsidR="00F2534F" w:rsidRDefault="00F348B6" w:rsidP="00002517">
      <w:pPr>
        <w:spacing w:after="0"/>
        <w:ind w:firstLine="720"/>
        <w:rPr>
          <w:szCs w:val="24"/>
        </w:rPr>
      </w:pPr>
      <w:r>
        <w:rPr>
          <w:szCs w:val="24"/>
        </w:rPr>
        <w:t xml:space="preserve">The resulting </w:t>
      </w:r>
      <w:r w:rsidR="00B500CA">
        <w:rPr>
          <w:szCs w:val="24"/>
        </w:rPr>
        <w:t xml:space="preserve">non-likelihood based </w:t>
      </w:r>
      <w:r>
        <w:rPr>
          <w:szCs w:val="24"/>
        </w:rPr>
        <w:t>data fit metrics</w:t>
      </w:r>
      <w:r w:rsidR="005C7138">
        <w:rPr>
          <w:szCs w:val="24"/>
        </w:rPr>
        <w:t xml:space="preserve"> are presented toward the bottom of Table </w:t>
      </w:r>
      <w:r w:rsidR="009979FE">
        <w:rPr>
          <w:szCs w:val="24"/>
        </w:rPr>
        <w:t>5</w:t>
      </w:r>
      <w:r w:rsidR="005C7138">
        <w:rPr>
          <w:szCs w:val="24"/>
        </w:rPr>
        <w:t xml:space="preserve">. </w:t>
      </w:r>
      <w:r w:rsidR="009641ED">
        <w:rPr>
          <w:szCs w:val="24"/>
        </w:rPr>
        <w:t>These metrics indicat</w:t>
      </w:r>
      <w:r w:rsidR="005C5FFE">
        <w:rPr>
          <w:szCs w:val="24"/>
        </w:rPr>
        <w:t xml:space="preserve">e </w:t>
      </w:r>
      <w:r w:rsidR="009641ED">
        <w:rPr>
          <w:szCs w:val="24"/>
        </w:rPr>
        <w:t xml:space="preserve">reasonable WAPE and </w:t>
      </w:r>
      <w:r w:rsidR="00817E7D">
        <w:rPr>
          <w:szCs w:val="24"/>
        </w:rPr>
        <w:t>W</w:t>
      </w:r>
      <w:r w:rsidR="009641ED">
        <w:rPr>
          <w:szCs w:val="24"/>
        </w:rPr>
        <w:t>APCP values across the board</w:t>
      </w:r>
      <w:r w:rsidR="005C5FFE">
        <w:rPr>
          <w:szCs w:val="24"/>
        </w:rPr>
        <w:t xml:space="preserve"> of the different models. </w:t>
      </w:r>
      <w:bookmarkStart w:id="21" w:name="_Hlk153197120"/>
      <w:r w:rsidR="005C5FFE">
        <w:rPr>
          <w:szCs w:val="24"/>
        </w:rPr>
        <w:t xml:space="preserve">To provide a benchmark of the performance of the models, a </w:t>
      </w:r>
      <w:r w:rsidR="00817E7D">
        <w:rPr>
          <w:szCs w:val="24"/>
        </w:rPr>
        <w:t xml:space="preserve">simple sample share </w:t>
      </w:r>
      <w:r w:rsidR="005C5FFE">
        <w:rPr>
          <w:szCs w:val="24"/>
        </w:rPr>
        <w:lastRenderedPageBreak/>
        <w:t>assignment to the seven discrete combinations would result in a</w:t>
      </w:r>
      <w:r w:rsidR="00817E7D">
        <w:rPr>
          <w:szCs w:val="24"/>
        </w:rPr>
        <w:t xml:space="preserve"> W</w:t>
      </w:r>
      <w:r w:rsidR="005C5FFE">
        <w:rPr>
          <w:szCs w:val="24"/>
        </w:rPr>
        <w:t xml:space="preserve">APCP of </w:t>
      </w:r>
      <w:r w:rsidR="00817E7D">
        <w:rPr>
          <w:szCs w:val="24"/>
        </w:rPr>
        <w:t>0.412</w:t>
      </w:r>
      <w:r w:rsidR="005C5FFE">
        <w:rPr>
          <w:szCs w:val="24"/>
        </w:rPr>
        <w:t xml:space="preserve">, </w:t>
      </w:r>
      <w:bookmarkEnd w:id="21"/>
      <w:r w:rsidR="005C5FFE">
        <w:rPr>
          <w:szCs w:val="24"/>
        </w:rPr>
        <w:t xml:space="preserve">while a </w:t>
      </w:r>
      <w:proofErr w:type="gramStart"/>
      <w:r w:rsidR="005C5FFE">
        <w:rPr>
          <w:szCs w:val="24"/>
        </w:rPr>
        <w:t>naïve models</w:t>
      </w:r>
      <w:proofErr w:type="gramEnd"/>
      <w:r w:rsidR="005C5FFE">
        <w:rPr>
          <w:szCs w:val="24"/>
        </w:rPr>
        <w:t xml:space="preserve"> that </w:t>
      </w:r>
      <w:r w:rsidR="009641ED">
        <w:rPr>
          <w:szCs w:val="24"/>
        </w:rPr>
        <w:t>assign</w:t>
      </w:r>
      <w:r w:rsidR="005C5FFE">
        <w:rPr>
          <w:szCs w:val="24"/>
        </w:rPr>
        <w:t>s</w:t>
      </w:r>
      <w:r w:rsidR="009641ED">
        <w:rPr>
          <w:szCs w:val="24"/>
        </w:rPr>
        <w:t xml:space="preserve"> </w:t>
      </w:r>
      <w:r w:rsidR="007D08E5">
        <w:rPr>
          <w:szCs w:val="24"/>
        </w:rPr>
        <w:t xml:space="preserve">the average of commute distance to all individuals </w:t>
      </w:r>
      <w:r w:rsidR="005C5FFE">
        <w:rPr>
          <w:szCs w:val="24"/>
        </w:rPr>
        <w:t xml:space="preserve">results in a </w:t>
      </w:r>
      <w:r w:rsidR="007D08E5">
        <w:rPr>
          <w:szCs w:val="24"/>
        </w:rPr>
        <w:t xml:space="preserve">WAPE of </w:t>
      </w:r>
      <w:r w:rsidR="00817C56">
        <w:rPr>
          <w:szCs w:val="24"/>
        </w:rPr>
        <w:t>31.33</w:t>
      </w:r>
      <w:r w:rsidR="007D08E5">
        <w:rPr>
          <w:szCs w:val="24"/>
        </w:rPr>
        <w:t>%</w:t>
      </w:r>
      <w:r w:rsidR="005C5FFE">
        <w:rPr>
          <w:szCs w:val="24"/>
        </w:rPr>
        <w:t xml:space="preserve">. </w:t>
      </w:r>
      <w:r w:rsidR="007D08E5">
        <w:rPr>
          <w:szCs w:val="24"/>
        </w:rPr>
        <w:t xml:space="preserve">The corresponding Table </w:t>
      </w:r>
      <w:r w:rsidR="009979FE">
        <w:rPr>
          <w:szCs w:val="24"/>
        </w:rPr>
        <w:t>5</w:t>
      </w:r>
      <w:r w:rsidR="007D08E5">
        <w:rPr>
          <w:szCs w:val="24"/>
        </w:rPr>
        <w:t xml:space="preserve"> values are</w:t>
      </w:r>
      <w:r w:rsidR="00817E7D">
        <w:rPr>
          <w:szCs w:val="24"/>
        </w:rPr>
        <w:t xml:space="preserve"> much</w:t>
      </w:r>
      <w:r w:rsidR="007D08E5">
        <w:rPr>
          <w:szCs w:val="24"/>
        </w:rPr>
        <w:t xml:space="preserve"> better. </w:t>
      </w:r>
      <w:r w:rsidR="009641ED">
        <w:rPr>
          <w:szCs w:val="24"/>
        </w:rPr>
        <w:t xml:space="preserve">But, again, the superior fit of the proposed model relative to the other three models is </w:t>
      </w:r>
      <w:r w:rsidR="007D08E5">
        <w:rPr>
          <w:szCs w:val="24"/>
        </w:rPr>
        <w:t>also</w:t>
      </w:r>
      <w:r w:rsidR="005C5FFE">
        <w:rPr>
          <w:szCs w:val="24"/>
        </w:rPr>
        <w:t xml:space="preserve"> </w:t>
      </w:r>
      <w:r w:rsidR="009641ED">
        <w:rPr>
          <w:szCs w:val="24"/>
        </w:rPr>
        <w:t>clear</w:t>
      </w:r>
      <w:r w:rsidR="005C5FFE">
        <w:rPr>
          <w:szCs w:val="24"/>
        </w:rPr>
        <w:t xml:space="preserve"> (and consistently so) across all the fit metrics</w:t>
      </w:r>
      <w:r w:rsidR="009641ED">
        <w:rPr>
          <w:szCs w:val="24"/>
        </w:rPr>
        <w:t xml:space="preserve">. </w:t>
      </w:r>
      <w:r w:rsidR="005C5FFE">
        <w:rPr>
          <w:szCs w:val="24"/>
        </w:rPr>
        <w:t xml:space="preserve">In particular, even the closest competitor to the proposed model (that is, the independent segmented model) has a WAPE that is higher than the proposed model by </w:t>
      </w:r>
      <w:r w:rsidR="00022E51">
        <w:rPr>
          <w:szCs w:val="24"/>
        </w:rPr>
        <w:t xml:space="preserve">about 20% on the dimensions of discrete participation and average fractional split of days worked from each WPL, and by about 11% for the commute distance dimension. Interesting also is that, at least in our empirical context, the independent segmented model performs better than the joint unsegmented model, suggesting that, between considering the population heterogeneity in the causal direction of effect in the telework-commute distance relationship on the one hand and the “spurious” association between telework choice and commute distance on the other, the former effect is more important. However, the results also emphasize that both these issues will generally be at play and it is best to expressly accommodate both of these when investigating the interplay between telework and commute distance. </w:t>
      </w:r>
    </w:p>
    <w:p w14:paraId="65AF61A1" w14:textId="6D6BF09B" w:rsidR="00431696" w:rsidRDefault="00097B14" w:rsidP="009C2F61">
      <w:pPr>
        <w:shd w:val="clear" w:color="auto" w:fill="FFFFFF"/>
        <w:spacing w:after="0" w:line="240" w:lineRule="auto"/>
        <w:ind w:firstLine="720"/>
        <w:rPr>
          <w:color w:val="222222"/>
          <w:szCs w:val="24"/>
        </w:rPr>
      </w:pPr>
      <w:bookmarkStart w:id="22" w:name="_Hlk167335173"/>
      <w:bookmarkStart w:id="23" w:name="_Hlk166746530"/>
      <w:r>
        <w:rPr>
          <w:color w:val="222222"/>
          <w:szCs w:val="24"/>
        </w:rPr>
        <w:t xml:space="preserve">Another important note here beyond data fit relates to considerations of robustness of our estimation and the model results. </w:t>
      </w:r>
      <w:r w:rsidR="00117654">
        <w:rPr>
          <w:color w:val="222222"/>
          <w:szCs w:val="24"/>
        </w:rPr>
        <w:t>There are two main components to the model, one being the MDC component (of telework choice and the continuous commute distance dimension) and the second being the latent segmentation assignment component that i</w:t>
      </w:r>
      <w:r w:rsidR="002C4662">
        <w:rPr>
          <w:color w:val="222222"/>
          <w:szCs w:val="24"/>
        </w:rPr>
        <w:t>s</w:t>
      </w:r>
      <w:r w:rsidR="00117654">
        <w:rPr>
          <w:color w:val="222222"/>
          <w:szCs w:val="24"/>
        </w:rPr>
        <w:t xml:space="preserve"> overlaid on the MDC component. The MDC component employed here is the same as </w:t>
      </w:r>
      <w:r w:rsidR="00117654" w:rsidRPr="00A3148E">
        <w:rPr>
          <w:color w:val="222222"/>
          <w:szCs w:val="24"/>
        </w:rPr>
        <w:t xml:space="preserve">the framework of </w:t>
      </w:r>
      <w:r w:rsidR="00117654" w:rsidRPr="009C2F61">
        <w:rPr>
          <w:color w:val="222222"/>
          <w:szCs w:val="24"/>
        </w:rPr>
        <w:t>Bhat’s (2015)</w:t>
      </w:r>
      <w:r w:rsidR="00117654" w:rsidRPr="00A3148E">
        <w:rPr>
          <w:color w:val="222222"/>
          <w:szCs w:val="24"/>
        </w:rPr>
        <w:t xml:space="preserve"> Generalized Heterogeneous Data Model (GHDM) and its subsequent extensions (Bhat et al., 2016). In prior studies, we have conducted </w:t>
      </w:r>
      <w:r w:rsidR="00117654">
        <w:rPr>
          <w:color w:val="222222"/>
          <w:szCs w:val="24"/>
        </w:rPr>
        <w:t xml:space="preserve">extensive </w:t>
      </w:r>
      <w:r w:rsidR="00117654" w:rsidRPr="00A3148E">
        <w:rPr>
          <w:color w:val="222222"/>
          <w:szCs w:val="24"/>
        </w:rPr>
        <w:t xml:space="preserve">simulation analyses to demonstrate the replicability and robustness of this </w:t>
      </w:r>
      <w:r w:rsidR="00117654">
        <w:rPr>
          <w:color w:val="222222"/>
          <w:szCs w:val="24"/>
        </w:rPr>
        <w:t xml:space="preserve">MDC </w:t>
      </w:r>
      <w:r w:rsidR="00117654" w:rsidRPr="00A3148E">
        <w:rPr>
          <w:color w:val="222222"/>
          <w:szCs w:val="24"/>
        </w:rPr>
        <w:t>modeling approach.</w:t>
      </w:r>
      <w:r w:rsidR="00117654">
        <w:rPr>
          <w:color w:val="222222"/>
          <w:szCs w:val="24"/>
        </w:rPr>
        <w:t xml:space="preserve"> The issue that remains then is the robustness and stability after overlaying the latent segmentation component over the MDC component. </w:t>
      </w:r>
      <w:r>
        <w:rPr>
          <w:color w:val="222222"/>
          <w:szCs w:val="24"/>
        </w:rPr>
        <w:t xml:space="preserve">As discussed at length in </w:t>
      </w:r>
      <w:r w:rsidRPr="009C2F61">
        <w:rPr>
          <w:color w:val="222222"/>
          <w:szCs w:val="24"/>
        </w:rPr>
        <w:t>Bhat (1997),</w:t>
      </w:r>
      <w:r>
        <w:rPr>
          <w:color w:val="222222"/>
          <w:szCs w:val="24"/>
        </w:rPr>
        <w:t xml:space="preserve"> latent segmentation models of the type used here can lead to </w:t>
      </w:r>
      <w:r w:rsidR="003124E3">
        <w:rPr>
          <w:color w:val="222222"/>
          <w:szCs w:val="24"/>
        </w:rPr>
        <w:t xml:space="preserve">convergence instabilities/difficulties, and it is not uncommon to use expectation-maximization (EM) type approaches </w:t>
      </w:r>
      <w:r w:rsidR="00117654">
        <w:rPr>
          <w:color w:val="222222"/>
          <w:szCs w:val="24"/>
        </w:rPr>
        <w:t>in such situation (</w:t>
      </w:r>
      <w:r w:rsidR="003124E3">
        <w:rPr>
          <w:color w:val="222222"/>
          <w:szCs w:val="24"/>
        </w:rPr>
        <w:t>as proposed by Bhat</w:t>
      </w:r>
      <w:r w:rsidR="00117654">
        <w:rPr>
          <w:color w:val="222222"/>
          <w:szCs w:val="24"/>
        </w:rPr>
        <w:t xml:space="preserve">, </w:t>
      </w:r>
      <w:r w:rsidR="003124E3">
        <w:rPr>
          <w:color w:val="222222"/>
          <w:szCs w:val="24"/>
        </w:rPr>
        <w:t xml:space="preserve">1997 </w:t>
      </w:r>
      <w:r w:rsidR="00117654">
        <w:rPr>
          <w:color w:val="222222"/>
          <w:szCs w:val="24"/>
        </w:rPr>
        <w:t>in the context of discrete choice outcomes)</w:t>
      </w:r>
      <w:r w:rsidR="003124E3">
        <w:rPr>
          <w:color w:val="222222"/>
          <w:szCs w:val="24"/>
        </w:rPr>
        <w:t>. While some authors have found EM</w:t>
      </w:r>
      <w:r w:rsidR="00117654">
        <w:rPr>
          <w:color w:val="222222"/>
          <w:szCs w:val="24"/>
        </w:rPr>
        <w:t xml:space="preserve"> approaches to be </w:t>
      </w:r>
      <w:r w:rsidR="003124E3">
        <w:rPr>
          <w:color w:val="222222"/>
          <w:szCs w:val="24"/>
        </w:rPr>
        <w:t>helpful, some others (</w:t>
      </w:r>
      <w:r w:rsidR="003124E3" w:rsidRPr="009C2F61">
        <w:rPr>
          <w:color w:val="222222"/>
          <w:szCs w:val="24"/>
        </w:rPr>
        <w:t xml:space="preserve">see, for example, Greene, </w:t>
      </w:r>
      <w:r w:rsidR="005F7AAA" w:rsidRPr="009C2F61">
        <w:rPr>
          <w:color w:val="222222"/>
          <w:szCs w:val="24"/>
        </w:rPr>
        <w:t>2016</w:t>
      </w:r>
      <w:r w:rsidR="003124E3">
        <w:rPr>
          <w:color w:val="222222"/>
          <w:szCs w:val="24"/>
        </w:rPr>
        <w:t xml:space="preserve">) have not found much value in </w:t>
      </w:r>
      <w:r w:rsidR="00117654">
        <w:rPr>
          <w:color w:val="222222"/>
          <w:szCs w:val="24"/>
        </w:rPr>
        <w:t>these</w:t>
      </w:r>
      <w:r w:rsidR="003124E3">
        <w:rPr>
          <w:color w:val="222222"/>
          <w:szCs w:val="24"/>
        </w:rPr>
        <w:t xml:space="preserve"> EM approaches. In our estimation, we did not have any </w:t>
      </w:r>
      <w:r w:rsidR="00117654">
        <w:rPr>
          <w:color w:val="222222"/>
          <w:szCs w:val="24"/>
        </w:rPr>
        <w:t xml:space="preserve">need to resort to EM approaches because there was stability and </w:t>
      </w:r>
      <w:r w:rsidR="00431696">
        <w:rPr>
          <w:color w:val="222222"/>
          <w:szCs w:val="24"/>
        </w:rPr>
        <w:t xml:space="preserve">rather </w:t>
      </w:r>
      <w:r w:rsidR="00117654">
        <w:rPr>
          <w:color w:val="222222"/>
          <w:szCs w:val="24"/>
        </w:rPr>
        <w:t>smooth convergence directly with the maximum likelihood inference procedure</w:t>
      </w:r>
      <w:r w:rsidR="003124E3">
        <w:rPr>
          <w:color w:val="222222"/>
          <w:szCs w:val="24"/>
        </w:rPr>
        <w:t xml:space="preserve">. Part of the reason is perhaps because we provided good start values by (a) first estimating purely exogenous variable models without any latent segmentation, (b) then feeding these values along with zero coefficients on the endogenous outcome effects on each other in the latent segmentation model, and (c) starting the iterations with close to zero values (but not zero values) for the coefficients in the latent segmentation assignment model component (see Table 3 result; for the iterations to unfold, the latent segmentation assignment component start values must be slightly away from zero). Once the entire model was estimated, we </w:t>
      </w:r>
      <w:r w:rsidR="00117654">
        <w:rPr>
          <w:color w:val="222222"/>
          <w:szCs w:val="24"/>
        </w:rPr>
        <w:t>ran a number of different estimations with quite substantial perturbations from the original start values provided</w:t>
      </w:r>
      <w:r w:rsidR="002C4662">
        <w:rPr>
          <w:color w:val="222222"/>
          <w:szCs w:val="24"/>
        </w:rPr>
        <w:t xml:space="preserve"> (though one needs to be careful not to get too far from the original non-latent class estimation coefficients; the critical issue here is that the probability values for each individual need to be able to be computed at the provided start values at the first iteration). In our many runs, </w:t>
      </w:r>
      <w:r w:rsidR="00117654">
        <w:rPr>
          <w:color w:val="222222"/>
          <w:szCs w:val="24"/>
        </w:rPr>
        <w:t xml:space="preserve">the convergence was to the same point (while this does not preclude the possibility of a local optima, as is the case with literally all models except the simple multinomial logit model, this kind of checking provides some confidence regarding the robustness </w:t>
      </w:r>
      <w:r w:rsidR="002C4662">
        <w:rPr>
          <w:color w:val="222222"/>
          <w:szCs w:val="24"/>
        </w:rPr>
        <w:t xml:space="preserve">and stability </w:t>
      </w:r>
      <w:r w:rsidR="00117654">
        <w:rPr>
          <w:color w:val="222222"/>
          <w:szCs w:val="24"/>
        </w:rPr>
        <w:t xml:space="preserve">of our modeling approach). </w:t>
      </w:r>
      <w:r w:rsidR="002C4662">
        <w:rPr>
          <w:color w:val="222222"/>
          <w:szCs w:val="24"/>
        </w:rPr>
        <w:t xml:space="preserve">Finally, as discussed in footnote </w:t>
      </w:r>
      <w:r w:rsidR="002C4662">
        <w:rPr>
          <w:color w:val="222222"/>
          <w:szCs w:val="24"/>
        </w:rPr>
        <w:lastRenderedPageBreak/>
        <w:t xml:space="preserve">9, the overall estimated effect of each variables changed little across a range of different variable specifications, providing additional confidence regarding the robustness of the model results.  </w:t>
      </w:r>
      <w:bookmarkEnd w:id="22"/>
    </w:p>
    <w:bookmarkEnd w:id="23"/>
    <w:p w14:paraId="04460E94" w14:textId="77777777" w:rsidR="00A3148E" w:rsidRPr="00A3148E" w:rsidRDefault="00A3148E" w:rsidP="009C2F61">
      <w:pPr>
        <w:shd w:val="clear" w:color="auto" w:fill="FFFFFF"/>
        <w:spacing w:after="0" w:line="240" w:lineRule="auto"/>
        <w:ind w:firstLine="720"/>
      </w:pPr>
    </w:p>
    <w:bookmarkEnd w:id="20"/>
    <w:p w14:paraId="608B8371" w14:textId="6FDAF230" w:rsidR="00723F28" w:rsidRDefault="00D726D7" w:rsidP="00D726D7">
      <w:pPr>
        <w:pStyle w:val="Heading2"/>
        <w:numPr>
          <w:ilvl w:val="0"/>
          <w:numId w:val="0"/>
        </w:numPr>
        <w:rPr>
          <w:rFonts w:eastAsiaTheme="minorHAnsi"/>
        </w:rPr>
      </w:pPr>
      <w:r>
        <w:rPr>
          <w:rFonts w:eastAsiaTheme="minorHAnsi"/>
        </w:rPr>
        <w:t>5.4.</w:t>
      </w:r>
      <w:r w:rsidR="00864D8F">
        <w:rPr>
          <w:rFonts w:eastAsiaTheme="minorHAnsi"/>
        </w:rPr>
        <w:t xml:space="preserve"> </w:t>
      </w:r>
      <w:r w:rsidR="00723F28" w:rsidRPr="008354E2">
        <w:rPr>
          <w:rFonts w:eastAsiaTheme="minorHAnsi"/>
        </w:rPr>
        <w:t xml:space="preserve">Effects of WPL Arrangement on </w:t>
      </w:r>
      <w:r w:rsidR="00723F28">
        <w:rPr>
          <w:rFonts w:eastAsiaTheme="minorHAnsi"/>
        </w:rPr>
        <w:t>C</w:t>
      </w:r>
      <w:r w:rsidR="00723F28" w:rsidRPr="008354E2">
        <w:rPr>
          <w:rFonts w:eastAsiaTheme="minorHAnsi"/>
        </w:rPr>
        <w:t xml:space="preserve">ommute </w:t>
      </w:r>
      <w:r w:rsidR="00723F28">
        <w:rPr>
          <w:rFonts w:eastAsiaTheme="minorHAnsi"/>
        </w:rPr>
        <w:t>D</w:t>
      </w:r>
      <w:r w:rsidR="00723F28" w:rsidRPr="008354E2">
        <w:rPr>
          <w:rFonts w:eastAsiaTheme="minorHAnsi"/>
        </w:rPr>
        <w:t>istance</w:t>
      </w:r>
      <w:r w:rsidR="004748C2">
        <w:rPr>
          <w:rFonts w:eastAsiaTheme="minorHAnsi"/>
        </w:rPr>
        <w:t xml:space="preserve"> and Monthly Commute VMT</w:t>
      </w:r>
    </w:p>
    <w:p w14:paraId="633E631C" w14:textId="79EEF1C6" w:rsidR="00723F28" w:rsidRDefault="00723F28" w:rsidP="000B49D9">
      <w:pPr>
        <w:spacing w:after="0" w:line="240" w:lineRule="auto"/>
      </w:pPr>
      <w:r>
        <w:t xml:space="preserve">The estimation results in Sections 5.1, 5.2, and 5.3 offer insights into the effects of exogenous variables on </w:t>
      </w:r>
      <w:r w:rsidR="008E26F5">
        <w:t xml:space="preserve">(a) </w:t>
      </w:r>
      <w:r>
        <w:t xml:space="preserve">the baseline preferences and satiation parameters for the WPL preference, </w:t>
      </w:r>
      <w:r w:rsidR="008E26F5">
        <w:t xml:space="preserve">(b) </w:t>
      </w:r>
      <w:r w:rsidR="004A699F">
        <w:t>the (l</w:t>
      </w:r>
      <w:r w:rsidR="008E26F5">
        <w:t>n</w:t>
      </w:r>
      <w:r w:rsidR="004A699F">
        <w:t>)</w:t>
      </w:r>
      <w:r>
        <w:t xml:space="preserve"> commute distance outcome, </w:t>
      </w:r>
      <w:r w:rsidR="008E26F5">
        <w:t xml:space="preserve">and (c) the </w:t>
      </w:r>
      <w:r>
        <w:t>latent segmentation assignment. But they do not establish an intuitive picture of the true magnitude effect of</w:t>
      </w:r>
      <w:r w:rsidR="004A699F">
        <w:t xml:space="preserve"> telework</w:t>
      </w:r>
      <w:r>
        <w:t xml:space="preserve"> arrangements on commute distance. On the other hand, transportation planners and professionals are interested in understanding the</w:t>
      </w:r>
      <w:r w:rsidR="004A699F">
        <w:t xml:space="preserve"> </w:t>
      </w:r>
      <w:r>
        <w:t xml:space="preserve">tangible </w:t>
      </w:r>
      <w:r w:rsidR="004A699F">
        <w:t xml:space="preserve">travel demand </w:t>
      </w:r>
      <w:r>
        <w:t xml:space="preserve">impacts </w:t>
      </w:r>
      <w:r w:rsidR="004A699F">
        <w:t xml:space="preserve">of telework behavior on commute </w:t>
      </w:r>
      <w:r>
        <w:t xml:space="preserve">vehicle miles traveled (VMT). </w:t>
      </w:r>
      <w:r w:rsidR="004A699F">
        <w:t xml:space="preserve">Toward this end, </w:t>
      </w:r>
      <w:r>
        <w:t xml:space="preserve">we use the findings from </w:t>
      </w:r>
      <w:r w:rsidR="004A699F">
        <w:t xml:space="preserve">our model </w:t>
      </w:r>
      <w:r>
        <w:t xml:space="preserve">to </w:t>
      </w:r>
      <w:r w:rsidR="004A699F">
        <w:t xml:space="preserve">estimate </w:t>
      </w:r>
      <w:r>
        <w:t xml:space="preserve">the expected commute </w:t>
      </w:r>
      <w:r w:rsidR="004A699F">
        <w:t xml:space="preserve">VMT of travel </w:t>
      </w:r>
      <w:r>
        <w:t>for different workplace location arrangements across an entire month.</w:t>
      </w:r>
    </w:p>
    <w:p w14:paraId="6732ECD6" w14:textId="44556286" w:rsidR="004A699F" w:rsidRPr="00617C0C" w:rsidRDefault="008E26F5" w:rsidP="00617C0C">
      <w:pPr>
        <w:spacing w:after="0" w:line="240" w:lineRule="auto"/>
        <w:ind w:firstLine="720"/>
        <w:rPr>
          <w:rFonts w:eastAsia="Calibri"/>
          <w:szCs w:val="24"/>
        </w:rPr>
      </w:pPr>
      <w:r>
        <w:rPr>
          <w:szCs w:val="24"/>
        </w:rPr>
        <w:t>As earlier, l</w:t>
      </w:r>
      <w:r w:rsidR="00723F28">
        <w:rPr>
          <w:szCs w:val="24"/>
        </w:rPr>
        <w:t xml:space="preserve">et </w:t>
      </w:r>
      <w:r w:rsidR="004A639D" w:rsidRPr="005E3F39">
        <w:rPr>
          <w:position w:val="-14"/>
        </w:rPr>
        <w:object w:dxaOrig="320" w:dyaOrig="380" w14:anchorId="584310D6">
          <v:shape id="_x0000_i1220" type="#_x0000_t75" style="width:16.3pt;height:18.85pt" o:ole="">
            <v:imagedata r:id="rId373" o:title=""/>
          </v:shape>
          <o:OLEObject Type="Embed" ProgID="Equation.DSMT4" ShapeID="_x0000_i1220" DrawAspect="Content" ObjectID="_1778701051" r:id="rId374"/>
        </w:object>
      </w:r>
      <w:r w:rsidR="00723F28">
        <w:rPr>
          <w:szCs w:val="24"/>
        </w:rPr>
        <w:t xml:space="preserve">, </w:t>
      </w:r>
      <w:r w:rsidR="004A639D" w:rsidRPr="005E3F39">
        <w:rPr>
          <w:position w:val="-14"/>
        </w:rPr>
        <w:object w:dxaOrig="340" w:dyaOrig="380" w14:anchorId="1FE9D150">
          <v:shape id="_x0000_i1221" type="#_x0000_t75" style="width:17.15pt;height:18.85pt" o:ole="">
            <v:imagedata r:id="rId375" o:title=""/>
          </v:shape>
          <o:OLEObject Type="Embed" ProgID="Equation.DSMT4" ShapeID="_x0000_i1221" DrawAspect="Content" ObjectID="_1778701052" r:id="rId376"/>
        </w:object>
      </w:r>
      <w:r w:rsidR="00723F28">
        <w:rPr>
          <w:szCs w:val="24"/>
        </w:rPr>
        <w:t xml:space="preserve">, and </w:t>
      </w:r>
      <w:r w:rsidR="004A639D" w:rsidRPr="005E3F39">
        <w:rPr>
          <w:position w:val="-14"/>
        </w:rPr>
        <w:object w:dxaOrig="340" w:dyaOrig="380" w14:anchorId="680FAF4B">
          <v:shape id="_x0000_i1222" type="#_x0000_t75" style="width:17.15pt;height:18.85pt" o:ole="">
            <v:imagedata r:id="rId377" o:title=""/>
          </v:shape>
          <o:OLEObject Type="Embed" ProgID="Equation.DSMT4" ShapeID="_x0000_i1222" DrawAspect="Content" ObjectID="_1778701053" r:id="rId378"/>
        </w:object>
      </w:r>
      <w:r w:rsidR="00723F28">
        <w:rPr>
          <w:szCs w:val="24"/>
        </w:rPr>
        <w:t xml:space="preserve"> be the</w:t>
      </w:r>
      <w:r w:rsidR="004A699F">
        <w:rPr>
          <w:szCs w:val="24"/>
        </w:rPr>
        <w:t xml:space="preserve"> WPL frequency proportions</w:t>
      </w:r>
      <w:r w:rsidR="00723F28">
        <w:rPr>
          <w:szCs w:val="24"/>
        </w:rPr>
        <w:t xml:space="preserve"> (over a period of one month) </w:t>
      </w:r>
      <w:r w:rsidR="004A699F">
        <w:rPr>
          <w:szCs w:val="24"/>
        </w:rPr>
        <w:t xml:space="preserve">for the </w:t>
      </w:r>
      <w:r w:rsidR="004748C2">
        <w:rPr>
          <w:szCs w:val="24"/>
        </w:rPr>
        <w:t>work from home, work from the office, and work from a third WPL, respectively,</w:t>
      </w:r>
      <w:r w:rsidR="004A699F">
        <w:rPr>
          <w:szCs w:val="24"/>
        </w:rPr>
        <w:t xml:space="preserve"> </w:t>
      </w:r>
      <w:r w:rsidR="00723F28">
        <w:t xml:space="preserve">for individual </w:t>
      </w:r>
      <w:r w:rsidR="00723F28">
        <w:rPr>
          <w:i/>
        </w:rPr>
        <w:t>q.</w:t>
      </w:r>
      <w:r w:rsidR="00723F28">
        <w:rPr>
          <w:szCs w:val="24"/>
        </w:rPr>
        <w:t xml:space="preserve"> Let</w:t>
      </w:r>
      <w:r w:rsidR="00723F28" w:rsidRPr="00163851">
        <w:rPr>
          <w:szCs w:val="24"/>
        </w:rPr>
        <w:t xml:space="preserve"> </w:t>
      </w:r>
      <w:r w:rsidR="001C096E" w:rsidRPr="00163851">
        <w:rPr>
          <w:rFonts w:eastAsia="Calibri"/>
          <w:position w:val="-14"/>
          <w:szCs w:val="24"/>
        </w:rPr>
        <w:object w:dxaOrig="285" w:dyaOrig="390" w14:anchorId="4FFA1697">
          <v:shape id="_x0000_i1223" type="#_x0000_t75" style="width:13.3pt;height:18.85pt" o:ole="" o:preferrelative="f">
            <v:imagedata r:id="rId156" o:title=""/>
            <o:lock v:ext="edit" aspectratio="f"/>
          </v:shape>
          <o:OLEObject Type="Embed" ProgID="Equation.DSMT4" ShapeID="_x0000_i1223" DrawAspect="Content" ObjectID="_1778701054" r:id="rId379"/>
        </w:object>
      </w:r>
      <w:r w:rsidR="004748C2">
        <w:rPr>
          <w:rFonts w:eastAsia="Calibri"/>
          <w:szCs w:val="24"/>
        </w:rPr>
        <w:t xml:space="preserve"> </w:t>
      </w:r>
      <w:r w:rsidR="00723F28" w:rsidRPr="00163851">
        <w:rPr>
          <w:szCs w:val="24"/>
        </w:rPr>
        <w:t>be the continuous variable denoting the logarithm of the commute distance</w:t>
      </w:r>
      <w:r w:rsidR="004748C2">
        <w:rPr>
          <w:szCs w:val="24"/>
        </w:rPr>
        <w:t xml:space="preserve"> for individual </w:t>
      </w:r>
      <w:r w:rsidR="004748C2" w:rsidRPr="004748C2">
        <w:rPr>
          <w:i/>
          <w:iCs/>
          <w:szCs w:val="24"/>
        </w:rPr>
        <w:t>q</w:t>
      </w:r>
      <w:r w:rsidR="00723F28">
        <w:rPr>
          <w:szCs w:val="24"/>
        </w:rPr>
        <w:t xml:space="preserve">. Then using our joint model, one can compute the </w:t>
      </w:r>
      <w:r w:rsidR="00F56620">
        <w:rPr>
          <w:szCs w:val="24"/>
        </w:rPr>
        <w:t>density function for</w:t>
      </w:r>
      <w:r w:rsidR="00723F28">
        <w:rPr>
          <w:szCs w:val="24"/>
        </w:rPr>
        <w:t xml:space="preserve"> </w:t>
      </w:r>
      <w:r w:rsidR="001C096E" w:rsidRPr="00163851">
        <w:rPr>
          <w:rFonts w:eastAsia="Calibri"/>
          <w:position w:val="-14"/>
          <w:szCs w:val="24"/>
        </w:rPr>
        <w:object w:dxaOrig="285" w:dyaOrig="390" w14:anchorId="48416F54">
          <v:shape id="_x0000_i1224" type="#_x0000_t75" style="width:13.3pt;height:18.85pt" o:ole="" o:preferrelative="f">
            <v:imagedata r:id="rId156" o:title=""/>
            <o:lock v:ext="edit" aspectratio="f"/>
          </v:shape>
          <o:OLEObject Type="Embed" ProgID="Equation.DSMT4" ShapeID="_x0000_i1224" DrawAspect="Content" ObjectID="_1778701055" r:id="rId380"/>
        </w:object>
      </w:r>
      <w:r w:rsidR="00723F28">
        <w:rPr>
          <w:rFonts w:eastAsia="Calibri"/>
          <w:szCs w:val="24"/>
        </w:rPr>
        <w:t xml:space="preserve"> </w:t>
      </w:r>
      <w:r w:rsidR="00F56620">
        <w:rPr>
          <w:rFonts w:eastAsia="Calibri"/>
          <w:szCs w:val="24"/>
        </w:rPr>
        <w:t>at</w:t>
      </w:r>
      <w:r w:rsidR="00723F28">
        <w:rPr>
          <w:rFonts w:eastAsia="Calibri"/>
          <w:szCs w:val="24"/>
        </w:rPr>
        <w:t xml:space="preserve"> a </w:t>
      </w:r>
      <w:r w:rsidR="004A699F">
        <w:rPr>
          <w:rFonts w:eastAsia="Calibri"/>
          <w:szCs w:val="24"/>
        </w:rPr>
        <w:t xml:space="preserve">specific </w:t>
      </w:r>
      <w:r w:rsidR="00723F28">
        <w:rPr>
          <w:rFonts w:eastAsia="Calibri"/>
          <w:szCs w:val="24"/>
        </w:rPr>
        <w:t xml:space="preserve">continuous value of </w:t>
      </w:r>
      <w:r w:rsidR="00723F28">
        <w:rPr>
          <w:rFonts w:eastAsia="Calibri"/>
          <w:i/>
          <w:szCs w:val="24"/>
        </w:rPr>
        <w:t xml:space="preserve">t </w:t>
      </w:r>
      <w:r w:rsidR="00723F28">
        <w:rPr>
          <w:rFonts w:eastAsia="Calibri"/>
          <w:szCs w:val="24"/>
        </w:rPr>
        <w:t xml:space="preserve">for an individual belonging to segment </w:t>
      </w:r>
      <w:r w:rsidR="00723F28">
        <w:rPr>
          <w:rFonts w:eastAsia="Calibri"/>
          <w:i/>
          <w:szCs w:val="24"/>
        </w:rPr>
        <w:t>h</w:t>
      </w:r>
      <w:r w:rsidR="004748C2">
        <w:rPr>
          <w:rFonts w:eastAsia="Calibri"/>
          <w:i/>
          <w:szCs w:val="24"/>
        </w:rPr>
        <w:t xml:space="preserve"> </w:t>
      </w:r>
      <w:r w:rsidR="004748C2" w:rsidRPr="004748C2">
        <w:rPr>
          <w:rFonts w:eastAsia="Calibri"/>
          <w:iCs/>
          <w:szCs w:val="24"/>
        </w:rPr>
        <w:t>and with</w:t>
      </w:r>
      <w:r w:rsidR="004748C2">
        <w:rPr>
          <w:rFonts w:eastAsia="Calibri"/>
          <w:iCs/>
          <w:szCs w:val="24"/>
        </w:rPr>
        <w:t xml:space="preserve"> WPL frequency proportions </w:t>
      </w:r>
      <w:r w:rsidR="004A639D" w:rsidRPr="005E3F39">
        <w:rPr>
          <w:position w:val="-14"/>
        </w:rPr>
        <w:object w:dxaOrig="320" w:dyaOrig="380" w14:anchorId="7F02A9C2">
          <v:shape id="_x0000_i1225" type="#_x0000_t75" style="width:16.3pt;height:18.85pt" o:ole="">
            <v:imagedata r:id="rId373" o:title=""/>
          </v:shape>
          <o:OLEObject Type="Embed" ProgID="Equation.DSMT4" ShapeID="_x0000_i1225" DrawAspect="Content" ObjectID="_1778701056" r:id="rId381"/>
        </w:object>
      </w:r>
      <w:r w:rsidR="004A639D">
        <w:rPr>
          <w:szCs w:val="24"/>
        </w:rPr>
        <w:t xml:space="preserve">, </w:t>
      </w:r>
      <w:r w:rsidR="004A639D" w:rsidRPr="005E3F39">
        <w:rPr>
          <w:position w:val="-14"/>
        </w:rPr>
        <w:object w:dxaOrig="340" w:dyaOrig="380" w14:anchorId="24377236">
          <v:shape id="_x0000_i1226" type="#_x0000_t75" style="width:17.15pt;height:18.85pt" o:ole="">
            <v:imagedata r:id="rId375" o:title=""/>
          </v:shape>
          <o:OLEObject Type="Embed" ProgID="Equation.DSMT4" ShapeID="_x0000_i1226" DrawAspect="Content" ObjectID="_1778701057" r:id="rId382"/>
        </w:object>
      </w:r>
      <w:r w:rsidR="004A639D">
        <w:rPr>
          <w:szCs w:val="24"/>
        </w:rPr>
        <w:t xml:space="preserve">, and </w:t>
      </w:r>
      <w:r w:rsidR="004A639D" w:rsidRPr="005E3F39">
        <w:rPr>
          <w:position w:val="-14"/>
        </w:rPr>
        <w:object w:dxaOrig="340" w:dyaOrig="380" w14:anchorId="7E254978">
          <v:shape id="_x0000_i1227" type="#_x0000_t75" style="width:17.15pt;height:18.85pt" o:ole="">
            <v:imagedata r:id="rId377" o:title=""/>
          </v:shape>
          <o:OLEObject Type="Embed" ProgID="Equation.DSMT4" ShapeID="_x0000_i1227" DrawAspect="Content" ObjectID="_1778701058" r:id="rId383"/>
        </w:object>
      </w:r>
      <w:r w:rsidR="004A639D">
        <w:rPr>
          <w:szCs w:val="24"/>
        </w:rPr>
        <w:t xml:space="preserve"> </w:t>
      </w:r>
      <w:r w:rsidR="00723F28">
        <w:rPr>
          <w:rFonts w:eastAsia="Calibri"/>
          <w:szCs w:val="24"/>
        </w:rPr>
        <w:t>a</w:t>
      </w:r>
      <w:r w:rsidR="004A699F">
        <w:rPr>
          <w:rFonts w:eastAsia="Calibri"/>
          <w:szCs w:val="24"/>
        </w:rPr>
        <w:t xml:space="preserve">s </w:t>
      </w:r>
      <w:r w:rsidR="00723F28">
        <w:rPr>
          <w:rFonts w:eastAsia="Calibri"/>
          <w:szCs w:val="24"/>
        </w:rPr>
        <w:t>follo</w:t>
      </w:r>
      <w:r w:rsidR="004A699F">
        <w:rPr>
          <w:rFonts w:eastAsia="Calibri"/>
          <w:szCs w:val="24"/>
        </w:rPr>
        <w:t>ws</w:t>
      </w:r>
      <w:r w:rsidR="00723F28">
        <w:rPr>
          <w:rFonts w:eastAsia="Calibri"/>
          <w:szCs w:val="24"/>
        </w:rPr>
        <w:t>:</w:t>
      </w:r>
    </w:p>
    <w:p w14:paraId="5388F430" w14:textId="0B4CA986" w:rsidR="00723F28" w:rsidRDefault="001C096E" w:rsidP="001C096E">
      <w:pPr>
        <w:spacing w:after="0" w:line="240" w:lineRule="auto"/>
      </w:pPr>
      <w:r w:rsidRPr="00F56620">
        <w:rPr>
          <w:position w:val="-16"/>
        </w:rPr>
        <w:object w:dxaOrig="2160" w:dyaOrig="400" w14:anchorId="1158C681">
          <v:shape id="_x0000_i1228" type="#_x0000_t75" style="width:108pt;height:20.15pt" o:ole="" o:preferrelative="f">
            <v:imagedata r:id="rId384" o:title=""/>
            <o:lock v:ext="edit" aspectratio="f"/>
          </v:shape>
          <o:OLEObject Type="Embed" ProgID="Equation.DSMT4" ShapeID="_x0000_i1228" DrawAspect="Content" ObjectID="_1778701059" r:id="rId385"/>
        </w:object>
      </w:r>
    </w:p>
    <w:p w14:paraId="480CB3C6" w14:textId="639C8BE8" w:rsidR="00723F28" w:rsidRDefault="001C096E" w:rsidP="003C1B1E">
      <w:pPr>
        <w:spacing w:after="60" w:line="240" w:lineRule="auto"/>
      </w:pPr>
      <w:r w:rsidRPr="005E3F39">
        <w:rPr>
          <w:position w:val="-32"/>
        </w:rPr>
        <w:object w:dxaOrig="2600" w:dyaOrig="740" w14:anchorId="15C4064D">
          <v:shape id="_x0000_i1229" type="#_x0000_t75" style="width:130.7pt;height:36.85pt" o:ole="" o:preferrelative="f">
            <v:imagedata r:id="rId386" o:title=""/>
            <o:lock v:ext="edit" aspectratio="f"/>
          </v:shape>
          <o:OLEObject Type="Embed" ProgID="Equation.DSMT4" ShapeID="_x0000_i1229" DrawAspect="Content" ObjectID="_1778701060" r:id="rId387"/>
        </w:object>
      </w:r>
      <w:r w:rsidR="0040367B">
        <w:tab/>
      </w:r>
      <w:r w:rsidR="0040367B">
        <w:tab/>
      </w:r>
      <w:r w:rsidR="0040367B">
        <w:tab/>
      </w:r>
      <w:r w:rsidR="0040367B">
        <w:tab/>
      </w:r>
      <w:r w:rsidR="0040367B">
        <w:tab/>
      </w:r>
      <w:r w:rsidR="0040367B">
        <w:tab/>
      </w:r>
      <w:r w:rsidR="0040367B">
        <w:tab/>
      </w:r>
      <w:r w:rsidR="00977CD6">
        <w:tab/>
      </w:r>
      <w:r w:rsidR="00977CD6">
        <w:tab/>
      </w:r>
      <w:r w:rsidR="0040367B">
        <w:t xml:space="preserve">     (1</w:t>
      </w:r>
      <w:r w:rsidR="00D45223">
        <w:t>6</w:t>
      </w:r>
      <w:r w:rsidR="0040367B">
        <w:t>)</w:t>
      </w:r>
    </w:p>
    <w:p w14:paraId="14783CD1" w14:textId="7EC64938" w:rsidR="00F56620" w:rsidRDefault="00BC42FF" w:rsidP="00617C0C">
      <w:pPr>
        <w:spacing w:after="0" w:line="240" w:lineRule="auto"/>
      </w:pPr>
      <w:r>
        <w:t xml:space="preserve">where the numerator is the probability density function at a specific value </w:t>
      </w:r>
      <w:r w:rsidRPr="00CD1A11">
        <w:rPr>
          <w:i/>
          <w:iCs/>
        </w:rPr>
        <w:t>t</w:t>
      </w:r>
      <w:r>
        <w:t xml:space="preserve"> of ln(commute distance) and specific proportions of work from the three WPLs, and the denominator is the probability density function at the specific proportions of work from the three WPLs. T</w:t>
      </w:r>
      <w:r w:rsidR="00F56620">
        <w:t xml:space="preserve">he corresponding mixture density function for the individual at the specific continuous value </w:t>
      </w:r>
      <w:r w:rsidR="00F56620" w:rsidRPr="00416197">
        <w:rPr>
          <w:i/>
          <w:iCs/>
        </w:rPr>
        <w:t>t</w:t>
      </w:r>
      <w:r w:rsidR="00F56620">
        <w:t>, given our latent segmentation scheme, as:</w:t>
      </w:r>
    </w:p>
    <w:p w14:paraId="5110E5A9" w14:textId="198481BC" w:rsidR="00F56620" w:rsidRDefault="001C096E" w:rsidP="001C096E">
      <w:pPr>
        <w:spacing w:after="0" w:line="240" w:lineRule="auto"/>
      </w:pPr>
      <w:r w:rsidRPr="0091279C">
        <w:rPr>
          <w:position w:val="-28"/>
        </w:rPr>
        <w:object w:dxaOrig="4959" w:dyaOrig="680" w14:anchorId="59CFE252">
          <v:shape id="_x0000_i1230" type="#_x0000_t75" style="width:247.3pt;height:33.85pt" o:ole="" o:preferrelative="f">
            <v:imagedata r:id="rId388" o:title=""/>
            <o:lock v:ext="edit" aspectratio="f"/>
          </v:shape>
          <o:OLEObject Type="Embed" ProgID="Equation.DSMT4" ShapeID="_x0000_i1230" DrawAspect="Content" ObjectID="_1778701061" r:id="rId389"/>
        </w:object>
      </w:r>
      <w:r w:rsidR="0047787F">
        <w:t>,</w:t>
      </w:r>
    </w:p>
    <w:p w14:paraId="46AB680F" w14:textId="086FFAF4" w:rsidR="00723F28" w:rsidRDefault="0047787F" w:rsidP="00617C0C">
      <w:pPr>
        <w:spacing w:after="0" w:line="240" w:lineRule="auto"/>
      </w:pPr>
      <w:r>
        <w:t xml:space="preserve">where </w:t>
      </w:r>
      <w:r w:rsidR="00864D8F" w:rsidRPr="005E3F39">
        <w:rPr>
          <w:position w:val="-14"/>
        </w:rPr>
        <w:object w:dxaOrig="360" w:dyaOrig="380" w14:anchorId="2BF83D22">
          <v:shape id="_x0000_i1231" type="#_x0000_t75" style="width:18.85pt;height:18.85pt" o:ole="" o:preferrelative="f">
            <v:imagedata r:id="rId390" o:title=""/>
            <o:lock v:ext="edit" aspectratio="f"/>
          </v:shape>
          <o:OLEObject Type="Embed" ProgID="Equation.DSMT4" ShapeID="_x0000_i1231" DrawAspect="Content" ObjectID="_1778701062" r:id="rId391"/>
        </w:object>
      </w:r>
      <w:r>
        <w:t xml:space="preserve"> is the probability of individual </w:t>
      </w:r>
      <w:r>
        <w:rPr>
          <w:i/>
        </w:rPr>
        <w:t>q</w:t>
      </w:r>
      <w:r>
        <w:t xml:space="preserve"> belonging to segment </w:t>
      </w:r>
      <w:proofErr w:type="gramStart"/>
      <w:r>
        <w:rPr>
          <w:i/>
        </w:rPr>
        <w:t>h</w:t>
      </w:r>
      <w:r>
        <w:t>.</w:t>
      </w:r>
      <w:proofErr w:type="gramEnd"/>
      <w:r>
        <w:t xml:space="preserve"> </w:t>
      </w:r>
      <w:r w:rsidR="00723F28">
        <w:t>N</w:t>
      </w:r>
      <w:r w:rsidR="004A699F">
        <w:t>ext, t</w:t>
      </w:r>
      <w:r w:rsidR="00723F28">
        <w:t xml:space="preserve">he expected value of the </w:t>
      </w:r>
      <w:r w:rsidR="00723F28" w:rsidRPr="00163851">
        <w:rPr>
          <w:szCs w:val="24"/>
        </w:rPr>
        <w:t>logarithm of the commute distance</w:t>
      </w:r>
      <w:r w:rsidR="00F56620">
        <w:rPr>
          <w:szCs w:val="24"/>
        </w:rPr>
        <w:t xml:space="preserve"> for individual </w:t>
      </w:r>
      <w:r w:rsidR="00F56620" w:rsidRPr="00416197">
        <w:rPr>
          <w:i/>
          <w:iCs/>
          <w:szCs w:val="24"/>
        </w:rPr>
        <w:t>q</w:t>
      </w:r>
      <w:r w:rsidR="004A699F">
        <w:rPr>
          <w:szCs w:val="24"/>
        </w:rPr>
        <w:t>,</w:t>
      </w:r>
      <w:r w:rsidR="00723F28">
        <w:rPr>
          <w:szCs w:val="24"/>
        </w:rPr>
        <w:t xml:space="preserve"> given the WPL distribution</w:t>
      </w:r>
      <w:r w:rsidR="004A699F">
        <w:rPr>
          <w:szCs w:val="24"/>
        </w:rPr>
        <w:t>,</w:t>
      </w:r>
      <w:r w:rsidR="00723F28">
        <w:rPr>
          <w:szCs w:val="24"/>
        </w:rPr>
        <w:t xml:space="preserve"> may be </w:t>
      </w:r>
      <w:r w:rsidR="004A699F">
        <w:rPr>
          <w:szCs w:val="24"/>
        </w:rPr>
        <w:t>written as</w:t>
      </w:r>
      <w:r w:rsidR="00723F28">
        <w:rPr>
          <w:szCs w:val="24"/>
        </w:rPr>
        <w:t>:</w:t>
      </w:r>
    </w:p>
    <w:p w14:paraId="38C3EC27" w14:textId="48148BD7" w:rsidR="00723F28" w:rsidRDefault="001C096E" w:rsidP="001C096E">
      <w:pPr>
        <w:spacing w:after="0" w:line="240" w:lineRule="auto"/>
      </w:pPr>
      <w:r w:rsidRPr="005C19FE">
        <w:rPr>
          <w:position w:val="-14"/>
        </w:rPr>
        <w:object w:dxaOrig="2460" w:dyaOrig="380" w14:anchorId="580E4CE4">
          <v:shape id="_x0000_i1232" type="#_x0000_t75" style="width:123.85pt;height:18.85pt" o:ole="" o:preferrelative="f">
            <v:imagedata r:id="rId392" o:title=""/>
            <o:lock v:ext="edit" aspectratio="f"/>
          </v:shape>
          <o:OLEObject Type="Embed" ProgID="Equation.DSMT4" ShapeID="_x0000_i1232" DrawAspect="Content" ObjectID="_1778701063" r:id="rId393"/>
        </w:object>
      </w:r>
      <w:r w:rsidR="0040367B">
        <w:tab/>
      </w:r>
      <w:r w:rsidR="0040367B">
        <w:tab/>
      </w:r>
      <w:r w:rsidR="0040367B">
        <w:tab/>
      </w:r>
      <w:r w:rsidR="0040367B">
        <w:tab/>
      </w:r>
      <w:r w:rsidR="0040367B">
        <w:tab/>
      </w:r>
      <w:r w:rsidR="0040367B">
        <w:tab/>
      </w:r>
      <w:r w:rsidR="00977CD6">
        <w:tab/>
      </w:r>
      <w:r w:rsidR="00977CD6">
        <w:tab/>
      </w:r>
      <w:r w:rsidR="0040367B">
        <w:tab/>
        <w:t xml:space="preserve">     (1</w:t>
      </w:r>
      <w:r w:rsidR="00D45223">
        <w:t>7</w:t>
      </w:r>
      <w:r w:rsidR="0040367B">
        <w:t>)</w:t>
      </w:r>
    </w:p>
    <w:p w14:paraId="4F4772CD" w14:textId="0940BB47" w:rsidR="00723F28" w:rsidRDefault="001C096E" w:rsidP="001C096E">
      <w:pPr>
        <w:spacing w:after="0" w:line="240" w:lineRule="auto"/>
      </w:pPr>
      <w:r w:rsidRPr="0047787F">
        <w:rPr>
          <w:position w:val="-30"/>
        </w:rPr>
        <w:object w:dxaOrig="3159" w:dyaOrig="720" w14:anchorId="37A8BE7D">
          <v:shape id="_x0000_i1233" type="#_x0000_t75" style="width:157.3pt;height:36pt" o:ole="" o:preferrelative="f">
            <v:imagedata r:id="rId394" o:title=""/>
            <o:lock v:ext="edit" aspectratio="f"/>
          </v:shape>
          <o:OLEObject Type="Embed" ProgID="Equation.DSMT4" ShapeID="_x0000_i1233" DrawAspect="Content" ObjectID="_1778701064" r:id="rId395"/>
        </w:object>
      </w:r>
    </w:p>
    <w:p w14:paraId="030C0C20" w14:textId="275770BE" w:rsidR="00723F28" w:rsidRDefault="00723F28" w:rsidP="00617C0C">
      <w:pPr>
        <w:spacing w:after="0" w:line="240" w:lineRule="auto"/>
      </w:pPr>
      <w:r>
        <w:t xml:space="preserve">And, the variance of the </w:t>
      </w:r>
      <w:r w:rsidRPr="00163851">
        <w:rPr>
          <w:szCs w:val="24"/>
        </w:rPr>
        <w:t>logarithm of the commute distance</w:t>
      </w:r>
      <w:r w:rsidR="004A699F">
        <w:rPr>
          <w:szCs w:val="24"/>
        </w:rPr>
        <w:t>,</w:t>
      </w:r>
      <w:r>
        <w:rPr>
          <w:szCs w:val="24"/>
        </w:rPr>
        <w:t xml:space="preserve"> given the WPL distribution</w:t>
      </w:r>
      <w:r w:rsidR="004A699F">
        <w:rPr>
          <w:szCs w:val="24"/>
        </w:rPr>
        <w:t>,</w:t>
      </w:r>
      <w:r>
        <w:rPr>
          <w:szCs w:val="24"/>
        </w:rPr>
        <w:t xml:space="preserve"> may be </w:t>
      </w:r>
      <w:r w:rsidR="004A699F">
        <w:rPr>
          <w:szCs w:val="24"/>
        </w:rPr>
        <w:t>written as</w:t>
      </w:r>
      <w:r>
        <w:rPr>
          <w:szCs w:val="24"/>
        </w:rPr>
        <w:t>:</w:t>
      </w:r>
    </w:p>
    <w:p w14:paraId="048FCFFA" w14:textId="13FD66CA" w:rsidR="004A699F" w:rsidRDefault="001C096E" w:rsidP="001C096E">
      <w:pPr>
        <w:spacing w:after="0" w:line="240" w:lineRule="auto"/>
      </w:pPr>
      <w:r w:rsidRPr="005E3F39">
        <w:rPr>
          <w:position w:val="-56"/>
        </w:rPr>
        <w:object w:dxaOrig="6920" w:dyaOrig="1240" w14:anchorId="5FA09E52">
          <v:shape id="_x0000_i1234" type="#_x0000_t75" style="width:346.3pt;height:61.7pt" o:ole="" o:preferrelative="f">
            <v:imagedata r:id="rId396" o:title=""/>
            <o:lock v:ext="edit" aspectratio="f"/>
          </v:shape>
          <o:OLEObject Type="Embed" ProgID="Equation.DSMT4" ShapeID="_x0000_i1234" DrawAspect="Content" ObjectID="_1778701065" r:id="rId397"/>
        </w:object>
      </w:r>
      <w:r w:rsidR="0040367B">
        <w:tab/>
      </w:r>
      <w:r w:rsidR="0040367B">
        <w:tab/>
      </w:r>
      <w:r w:rsidR="0040367B">
        <w:tab/>
      </w:r>
      <w:r w:rsidR="0047787F">
        <w:t xml:space="preserve">    </w:t>
      </w:r>
      <w:r w:rsidR="0040367B">
        <w:t xml:space="preserve"> (1</w:t>
      </w:r>
      <w:r w:rsidR="00D45223">
        <w:t>8</w:t>
      </w:r>
      <w:r w:rsidR="0040367B">
        <w:t>)</w:t>
      </w:r>
    </w:p>
    <w:p w14:paraId="473DFE9E" w14:textId="705836CB" w:rsidR="00723F28" w:rsidRDefault="004A699F" w:rsidP="00617C0C">
      <w:pPr>
        <w:spacing w:after="0" w:line="240" w:lineRule="auto"/>
      </w:pPr>
      <w:r>
        <w:t>Then</w:t>
      </w:r>
      <w:r w:rsidR="00723F28">
        <w:t xml:space="preserve">, the expected commute distance for individual </w:t>
      </w:r>
      <w:r w:rsidR="00723F28">
        <w:rPr>
          <w:i/>
        </w:rPr>
        <w:t>q</w:t>
      </w:r>
      <w:r w:rsidR="00EF28F3">
        <w:t xml:space="preserve"> for the </w:t>
      </w:r>
      <w:r w:rsidR="00723F28">
        <w:t>given WPL proportion</w:t>
      </w:r>
      <w:r>
        <w:t xml:space="preserve">s </w:t>
      </w:r>
      <w:r w:rsidR="00723F28">
        <w:t>is:</w:t>
      </w:r>
    </w:p>
    <w:p w14:paraId="305DDAF2" w14:textId="3E76AE5D" w:rsidR="00723F28" w:rsidRDefault="00F34EFF" w:rsidP="001C096E">
      <w:pPr>
        <w:spacing w:after="0" w:line="240" w:lineRule="auto"/>
      </w:pPr>
      <w:r w:rsidRPr="004A699F">
        <w:rPr>
          <w:position w:val="-34"/>
        </w:rPr>
        <w:object w:dxaOrig="3240" w:dyaOrig="800" w14:anchorId="68AC4C13">
          <v:shape id="_x0000_i1235" type="#_x0000_t75" style="width:162pt;height:40.3pt" o:ole="" o:preferrelative="f">
            <v:imagedata r:id="rId398" o:title=""/>
            <o:lock v:ext="edit" aspectratio="f"/>
          </v:shape>
          <o:OLEObject Type="Embed" ProgID="Equation.DSMT4" ShapeID="_x0000_i1235" DrawAspect="Content" ObjectID="_1778701066" r:id="rId399"/>
        </w:object>
      </w:r>
      <w:r w:rsidR="000B49D9">
        <w:tab/>
      </w:r>
      <w:r w:rsidR="000B49D9">
        <w:tab/>
      </w:r>
      <w:r w:rsidR="00977CD6">
        <w:tab/>
      </w:r>
      <w:r w:rsidR="00977CD6">
        <w:tab/>
      </w:r>
      <w:r w:rsidR="00977CD6">
        <w:tab/>
      </w:r>
      <w:r w:rsidR="00977CD6">
        <w:tab/>
      </w:r>
      <w:r w:rsidR="00977CD6">
        <w:tab/>
      </w:r>
      <w:r w:rsidR="000B49D9">
        <w:tab/>
        <w:t xml:space="preserve">     (1</w:t>
      </w:r>
      <w:r w:rsidR="00D45223">
        <w:t>9</w:t>
      </w:r>
      <w:r w:rsidR="000B49D9">
        <w:t>)</w:t>
      </w:r>
    </w:p>
    <w:p w14:paraId="05824600" w14:textId="1760A494" w:rsidR="004748C2" w:rsidRDefault="004748C2" w:rsidP="00617C0C">
      <w:pPr>
        <w:spacing w:after="120" w:line="240" w:lineRule="auto"/>
      </w:pPr>
      <w:r>
        <w:t xml:space="preserve">From the above, we are able to estimate the overall commute related VMT per month, given the number of workdays of the individual and the proportions. Let the total number of work days for individual </w:t>
      </w:r>
      <w:r w:rsidRPr="004748C2">
        <w:rPr>
          <w:i/>
          <w:iCs/>
        </w:rPr>
        <w:t>q</w:t>
      </w:r>
      <w:r>
        <w:t xml:space="preserve"> be </w:t>
      </w:r>
      <w:r w:rsidR="001C096E" w:rsidRPr="004748C2">
        <w:rPr>
          <w:rFonts w:eastAsia="Calibri"/>
          <w:noProof/>
          <w:position w:val="-14"/>
          <w:szCs w:val="24"/>
        </w:rPr>
        <w:object w:dxaOrig="279" w:dyaOrig="380" w14:anchorId="358A269C">
          <v:shape id="_x0000_i1236" type="#_x0000_t75" alt="" style="width:13.7pt;height:18.85pt" o:ole="" o:preferrelative="f">
            <v:imagedata r:id="rId400" o:title=""/>
            <o:lock v:ext="edit" aspectratio="f"/>
          </v:shape>
          <o:OLEObject Type="Embed" ProgID="Equation.DSMT4" ShapeID="_x0000_i1236" DrawAspect="Content" ObjectID="_1778701067" r:id="rId401"/>
        </w:object>
      </w:r>
      <w:r w:rsidR="00701F8D">
        <w:rPr>
          <w:rFonts w:eastAsia="Calibri"/>
          <w:noProof/>
          <w:szCs w:val="24"/>
        </w:rPr>
        <w:t xml:space="preserve"> (this is observed exogenously). </w:t>
      </w:r>
      <w:r>
        <w:rPr>
          <w:rFonts w:eastAsia="Calibri"/>
          <w:noProof/>
          <w:szCs w:val="24"/>
        </w:rPr>
        <w:t>T</w:t>
      </w:r>
      <w:r>
        <w:t xml:space="preserve">he total </w:t>
      </w:r>
      <w:r w:rsidR="003A54C3">
        <w:t xml:space="preserve">expected monthly </w:t>
      </w:r>
      <w:r>
        <w:t>two-way</w:t>
      </w:r>
      <w:r w:rsidR="003A54C3">
        <w:t xml:space="preserve"> </w:t>
      </w:r>
      <w:r>
        <w:t xml:space="preserve">commute VMT, given the WPL proportions, is: </w:t>
      </w:r>
    </w:p>
    <w:p w14:paraId="247AB96C" w14:textId="744B25E6" w:rsidR="004748C2" w:rsidRPr="004748C2" w:rsidRDefault="001C096E" w:rsidP="003C1B1E">
      <w:pPr>
        <w:spacing w:before="60" w:after="60" w:line="240" w:lineRule="auto"/>
      </w:pPr>
      <w:r w:rsidRPr="005E3F39">
        <w:rPr>
          <w:position w:val="-16"/>
        </w:rPr>
        <w:object w:dxaOrig="5220" w:dyaOrig="440" w14:anchorId="39CCEBE3">
          <v:shape id="_x0000_i1237" type="#_x0000_t75" style="width:261pt;height:22.7pt" o:ole="" o:preferrelative="f">
            <v:imagedata r:id="rId402" o:title=""/>
            <o:lock v:ext="edit" aspectratio="f"/>
          </v:shape>
          <o:OLEObject Type="Embed" ProgID="Equation.DSMT4" ShapeID="_x0000_i1237" DrawAspect="Content" ObjectID="_1778701068" r:id="rId403"/>
        </w:object>
      </w:r>
      <w:r w:rsidR="004748C2">
        <w:tab/>
      </w:r>
      <w:r w:rsidR="00977CD6">
        <w:tab/>
      </w:r>
      <w:r w:rsidR="00977CD6">
        <w:tab/>
      </w:r>
      <w:r w:rsidR="00977CD6">
        <w:tab/>
      </w:r>
      <w:r w:rsidR="004748C2">
        <w:tab/>
        <w:t xml:space="preserve">     (2</w:t>
      </w:r>
      <w:r w:rsidR="00EF28F3">
        <w:t>0</w:t>
      </w:r>
      <w:r w:rsidR="004748C2">
        <w:t>)</w:t>
      </w:r>
    </w:p>
    <w:p w14:paraId="7FFC222A" w14:textId="6B8815B5" w:rsidR="004748C2" w:rsidRDefault="004748C2" w:rsidP="003B0FE0">
      <w:pPr>
        <w:spacing w:after="0" w:line="240" w:lineRule="auto"/>
      </w:pPr>
      <w:r>
        <w:t xml:space="preserve">This value can be computed for each individual, after predicting the optimal allocations for </w:t>
      </w:r>
      <w:r w:rsidR="001C096E" w:rsidRPr="008C5521">
        <w:rPr>
          <w:position w:val="-14"/>
        </w:rPr>
        <w:object w:dxaOrig="1520" w:dyaOrig="380" w14:anchorId="31D9776B">
          <v:shape id="_x0000_i1238" type="#_x0000_t75" style="width:76.7pt;height:18.85pt" o:ole="" o:preferrelative="f">
            <v:imagedata r:id="rId404" o:title=""/>
            <o:lock v:ext="edit" aspectratio="f"/>
          </v:shape>
          <o:OLEObject Type="Embed" ProgID="Equation.DSMT4" ShapeID="_x0000_i1238" DrawAspect="Content" ObjectID="_1778701069" r:id="rId405"/>
        </w:object>
      </w:r>
      <w:r>
        <w:t xml:space="preserve"> from the MDC model (which can be undertaken using the forecasting procedure of Pinjari and Bhat, 202</w:t>
      </w:r>
      <w:r w:rsidR="00F34EFF">
        <w:t>1</w:t>
      </w:r>
      <w:r>
        <w:t xml:space="preserve">) and providing the number of days of work per month </w:t>
      </w:r>
      <w:r w:rsidR="001C096E" w:rsidRPr="004748C2">
        <w:rPr>
          <w:rFonts w:eastAsia="Calibri"/>
          <w:noProof/>
          <w:position w:val="-14"/>
          <w:szCs w:val="24"/>
        </w:rPr>
        <w:object w:dxaOrig="279" w:dyaOrig="380" w14:anchorId="2F914852">
          <v:shape id="_x0000_i1239" type="#_x0000_t75" alt="" style="width:13.7pt;height:18.85pt" o:ole="" o:preferrelative="f">
            <v:imagedata r:id="rId406" o:title=""/>
            <o:lock v:ext="edit" aspectratio="f"/>
          </v:shape>
          <o:OLEObject Type="Embed" ProgID="Equation.DSMT4" ShapeID="_x0000_i1239" DrawAspect="Content" ObjectID="_1778701070" r:id="rId407"/>
        </w:object>
      </w:r>
      <w:r>
        <w:rPr>
          <w:rFonts w:eastAsia="Calibri"/>
          <w:noProof/>
          <w:szCs w:val="24"/>
        </w:rPr>
        <w:t xml:space="preserve"> as input.</w:t>
      </w:r>
      <w:r>
        <w:t xml:space="preserve"> </w:t>
      </w:r>
    </w:p>
    <w:p w14:paraId="78455240" w14:textId="7215F239" w:rsidR="0060740B" w:rsidRDefault="004748C2" w:rsidP="009E5248">
      <w:pPr>
        <w:spacing w:after="0" w:line="240" w:lineRule="auto"/>
        <w:ind w:firstLine="720"/>
      </w:pPr>
      <w:r>
        <w:t>In the current paper, to keep our analysis and presentation tractable</w:t>
      </w:r>
      <w:r w:rsidR="00F55981">
        <w:t>,</w:t>
      </w:r>
      <w:r>
        <w:t xml:space="preserve"> while also getting a sense of the impact of teleworking on commute VMT, </w:t>
      </w:r>
      <w:r w:rsidR="00723F28">
        <w:t xml:space="preserve">we focus on </w:t>
      </w:r>
      <w:r w:rsidR="00EF28F3">
        <w:t>ten</w:t>
      </w:r>
      <w:r w:rsidR="00FE3EAF">
        <w:t xml:space="preserve"> </w:t>
      </w:r>
      <w:r w:rsidR="00723F28">
        <w:t xml:space="preserve">most commonly occurring </w:t>
      </w:r>
      <w:r>
        <w:t xml:space="preserve">proportions (percentages) </w:t>
      </w:r>
      <w:r w:rsidR="00723F28">
        <w:t xml:space="preserve">of </w:t>
      </w:r>
      <w:r w:rsidR="00F55981">
        <w:t>telework</w:t>
      </w:r>
      <w:r w:rsidR="00723F28">
        <w:t xml:space="preserve"> arrangements in our sample (rounding off to reasonable values)</w:t>
      </w:r>
      <w:r w:rsidR="002129C8">
        <w:t xml:space="preserve"> and undertake the analysis by applying these arrangements to </w:t>
      </w:r>
      <w:r w:rsidR="002129C8" w:rsidRPr="00E750BB">
        <w:rPr>
          <w:u w:val="single"/>
        </w:rPr>
        <w:t>every worker</w:t>
      </w:r>
      <w:r w:rsidR="00723F28">
        <w:t xml:space="preserve">. </w:t>
      </w:r>
      <w:r w:rsidR="00F55981">
        <w:t xml:space="preserve">In this sense, all the scenarios presented here are counterfactuals, representing what would happen if each individual in the sample had a specific scenario of telework arrangement (rather than the individual’s current actual telework arrangement), and comparing those results with the alternative counterfactual of each individual working full-time from the office. </w:t>
      </w:r>
      <w:r>
        <w:t>Also, s</w:t>
      </w:r>
      <w:r w:rsidR="00723F28">
        <w:t xml:space="preserve">ince a majority of the sample did not work from the third workplace (only 5.2% of the sample ever worked from a third workplace), we only select </w:t>
      </w:r>
      <w:r w:rsidR="00EF28F3">
        <w:t>two</w:t>
      </w:r>
      <w:r w:rsidR="00723F28">
        <w:t xml:space="preserve"> cases in which there </w:t>
      </w:r>
      <w:r w:rsidR="00701F8D">
        <w:t>i</w:t>
      </w:r>
      <w:r w:rsidR="00723F28">
        <w:t xml:space="preserve">s any third workplace participation. </w:t>
      </w:r>
      <w:r w:rsidR="00F55981">
        <w:t>Further</w:t>
      </w:r>
      <w:r w:rsidR="00EF28F3">
        <w:t xml:space="preserve">, in our </w:t>
      </w:r>
      <w:r w:rsidR="0060740B">
        <w:t xml:space="preserve">subsequent </w:t>
      </w:r>
      <w:r w:rsidR="00EF28F3">
        <w:t xml:space="preserve">analysis, we took the integration in Equations (17) and (18) from </w:t>
      </w:r>
      <w:r w:rsidR="002E21CF">
        <w:t xml:space="preserve">the </w:t>
      </w:r>
      <w:r w:rsidR="00EF28F3">
        <w:t xml:space="preserve"> minimum</w:t>
      </w:r>
      <w:r w:rsidR="002E21CF">
        <w:t xml:space="preserve"> </w:t>
      </w:r>
      <w:r w:rsidR="00EF28F3">
        <w:t xml:space="preserve">to </w:t>
      </w:r>
      <w:r w:rsidR="002E21CF">
        <w:t>the</w:t>
      </w:r>
      <w:r w:rsidR="00EF28F3">
        <w:t xml:space="preserve"> maximum</w:t>
      </w:r>
      <w:r w:rsidR="002E21CF">
        <w:t xml:space="preserve"> </w:t>
      </w:r>
      <w:r w:rsidR="00EF28F3">
        <w:t xml:space="preserve">(in the natural logarithm of miles), based on the distribution of one-way commute distribution in the sample (this precludes </w:t>
      </w:r>
      <w:r w:rsidR="0060740B">
        <w:t xml:space="preserve">long </w:t>
      </w:r>
      <w:r w:rsidR="00EF28F3">
        <w:t>one-way commute distances</w:t>
      </w:r>
      <w:r w:rsidR="0060740B">
        <w:t>, such as 500 miles,</w:t>
      </w:r>
      <w:r w:rsidR="00EF28F3">
        <w:t xml:space="preserve"> that would </w:t>
      </w:r>
      <w:r w:rsidR="0060740B">
        <w:t xml:space="preserve">be infeasible within the context of a working day; note that our sample was restricted to individuals who </w:t>
      </w:r>
      <w:r w:rsidR="0060740B" w:rsidRPr="00163851">
        <w:rPr>
          <w:szCs w:val="24"/>
        </w:rPr>
        <w:t xml:space="preserve">had a designated physical office </w:t>
      </w:r>
      <w:r w:rsidR="0060740B">
        <w:rPr>
          <w:szCs w:val="24"/>
        </w:rPr>
        <w:t xml:space="preserve">in the local area </w:t>
      </w:r>
      <w:r w:rsidR="0060740B" w:rsidRPr="00163851">
        <w:rPr>
          <w:szCs w:val="24"/>
        </w:rPr>
        <w:t>at the time of the surve</w:t>
      </w:r>
      <w:r w:rsidR="0060740B">
        <w:rPr>
          <w:szCs w:val="24"/>
        </w:rPr>
        <w:t>y</w:t>
      </w:r>
      <w:r w:rsidR="0060740B">
        <w:t>)</w:t>
      </w:r>
      <w:r w:rsidR="00EF28F3">
        <w:t xml:space="preserve">. </w:t>
      </w:r>
    </w:p>
    <w:p w14:paraId="2BC70088" w14:textId="564DC5E0" w:rsidR="00962BBF" w:rsidRDefault="00723F28" w:rsidP="00962BBF">
      <w:pPr>
        <w:spacing w:after="0" w:line="240" w:lineRule="auto"/>
        <w:ind w:firstLine="720"/>
      </w:pPr>
      <w:r>
        <w:t>The selected combinations along with their expected commute distance</w:t>
      </w:r>
      <w:r w:rsidR="004748C2">
        <w:t xml:space="preserve">s (based on Equation </w:t>
      </w:r>
      <w:r w:rsidR="00EF28F3">
        <w:t>(19)</w:t>
      </w:r>
      <w:r w:rsidR="004748C2">
        <w:t xml:space="preserve"> above for each individual, and then averaged across all individuals) </w:t>
      </w:r>
      <w:r>
        <w:t xml:space="preserve">are presented in Table </w:t>
      </w:r>
      <w:r w:rsidR="009979FE">
        <w:t>6</w:t>
      </w:r>
      <w:r>
        <w:t xml:space="preserve">. The first broad set of columns present the workplace location </w:t>
      </w:r>
      <w:r w:rsidR="00701F8D">
        <w:t>combination</w:t>
      </w:r>
      <w:r>
        <w:t xml:space="preserve">, followed by the expected commute distance for that combination and the expected commute distance when 100% of the month is worked from the </w:t>
      </w:r>
      <w:r w:rsidR="008E26F5">
        <w:t>office</w:t>
      </w:r>
      <w:r>
        <w:t xml:space="preserve">. The </w:t>
      </w:r>
      <w:r w:rsidR="004748C2">
        <w:t xml:space="preserve">next </w:t>
      </w:r>
      <w:r>
        <w:t xml:space="preserve">column presents the percent increase in </w:t>
      </w:r>
      <w:r w:rsidR="00701F8D">
        <w:t xml:space="preserve">expected </w:t>
      </w:r>
      <w:r>
        <w:t>commute distance as the WPL arrangement shifts from 100% at the office to a different WPL combination</w:t>
      </w:r>
      <w:r w:rsidR="004748C2">
        <w:t>, followed by an analysis of overall changes in monthly two-way commute VMT in the last three columns of the table.</w:t>
      </w:r>
      <w:r>
        <w:t xml:space="preserve"> </w:t>
      </w:r>
      <w:r w:rsidR="004748C2">
        <w:t>Focusing first on the expected one-way commute distance change, a</w:t>
      </w:r>
      <w:r>
        <w:t xml:space="preserve">s one would </w:t>
      </w:r>
      <w:r w:rsidR="004748C2">
        <w:t>expect</w:t>
      </w:r>
      <w:r>
        <w:t xml:space="preserve">, the highest percent increase in </w:t>
      </w:r>
      <w:r w:rsidR="004748C2">
        <w:t xml:space="preserve">one-way </w:t>
      </w:r>
      <w:r>
        <w:t xml:space="preserve">commute distance is for a shift to 100% home-based </w:t>
      </w:r>
      <w:r w:rsidR="004748C2">
        <w:t>tele</w:t>
      </w:r>
      <w:r>
        <w:t>work</w:t>
      </w:r>
      <w:r w:rsidR="00EF28F3">
        <w:t xml:space="preserve"> (see the eight</w:t>
      </w:r>
      <w:r w:rsidR="0060740B">
        <w:t>h</w:t>
      </w:r>
      <w:r w:rsidR="00EF28F3">
        <w:t xml:space="preserve"> combination in the table)</w:t>
      </w:r>
      <w:r>
        <w:t xml:space="preserve">. </w:t>
      </w:r>
      <w:r w:rsidR="004748C2">
        <w:t>Specifically, r</w:t>
      </w:r>
      <w:r>
        <w:t xml:space="preserve">elative to 100% </w:t>
      </w:r>
      <w:r w:rsidR="004748C2">
        <w:t xml:space="preserve">office </w:t>
      </w:r>
      <w:r>
        <w:t>work, shifting to 100% home-based remote work increase</w:t>
      </w:r>
      <w:r w:rsidR="00EF28F3">
        <w:t>s</w:t>
      </w:r>
      <w:r>
        <w:t xml:space="preserve"> average commute distances by </w:t>
      </w:r>
      <w:r w:rsidR="008678DF" w:rsidRPr="00FE3EAF">
        <w:t xml:space="preserve">nearly </w:t>
      </w:r>
      <w:r w:rsidR="006D7837">
        <w:t>65</w:t>
      </w:r>
      <w:r w:rsidRPr="00416197">
        <w:t>%</w:t>
      </w:r>
      <w:r w:rsidR="004748C2" w:rsidRPr="00FE3EAF">
        <w:t xml:space="preserve"> (</w:t>
      </w:r>
      <w:r w:rsidR="00064E4A" w:rsidRPr="00FE3EAF">
        <w:t xml:space="preserve">from </w:t>
      </w:r>
      <w:r w:rsidR="00064E4A" w:rsidRPr="00416197">
        <w:t>12.</w:t>
      </w:r>
      <w:r w:rsidR="006D7837">
        <w:t>5</w:t>
      </w:r>
      <w:r w:rsidR="00FE3EAF" w:rsidRPr="00416197">
        <w:t xml:space="preserve"> </w:t>
      </w:r>
      <w:r w:rsidR="00064E4A" w:rsidRPr="00416197">
        <w:t xml:space="preserve">miles to </w:t>
      </w:r>
      <w:r w:rsidR="006D7837">
        <w:t>20.6</w:t>
      </w:r>
      <w:r w:rsidR="00064E4A" w:rsidRPr="00416197">
        <w:t xml:space="preserve"> miles</w:t>
      </w:r>
      <w:r w:rsidR="00064E4A" w:rsidRPr="00FE3EAF">
        <w:t xml:space="preserve">; </w:t>
      </w:r>
      <w:r w:rsidR="004748C2" w:rsidRPr="00FE3EAF">
        <w:t xml:space="preserve">see the fifth </w:t>
      </w:r>
      <w:r w:rsidR="0060740B">
        <w:t xml:space="preserve">and sixth </w:t>
      </w:r>
      <w:r w:rsidR="004748C2" w:rsidRPr="00FE3EAF">
        <w:t>numeric column</w:t>
      </w:r>
      <w:r w:rsidR="0060740B">
        <w:t>s</w:t>
      </w:r>
      <w:r w:rsidR="004748C2" w:rsidRPr="00FE3EAF">
        <w:t xml:space="preserve"> of the table</w:t>
      </w:r>
      <w:r w:rsidR="0060740B">
        <w:t xml:space="preserve"> for combination #8</w:t>
      </w:r>
      <w:r w:rsidR="004748C2">
        <w:t>)</w:t>
      </w:r>
      <w:r w:rsidRPr="005E3F39">
        <w:t>.</w:t>
      </w:r>
      <w:r w:rsidR="0094704B">
        <w:rPr>
          <w:rStyle w:val="FootnoteReference"/>
        </w:rPr>
        <w:footnoteReference w:id="13"/>
      </w:r>
      <w:r w:rsidR="0094704B">
        <w:t xml:space="preserve"> </w:t>
      </w:r>
      <w:r w:rsidR="00AB7C2E">
        <w:t xml:space="preserve">Also, to be noted is that home-based telework of any amount is </w:t>
      </w:r>
      <w:r w:rsidR="00AB7C2E">
        <w:lastRenderedPageBreak/>
        <w:t xml:space="preserve">associated with an increase in commute distance. </w:t>
      </w:r>
      <w:r w:rsidR="00F55981">
        <w:t xml:space="preserve">This may feel at odds with the finding in Section </w:t>
      </w:r>
      <w:r w:rsidR="004B5D53">
        <w:t>5.1</w:t>
      </w:r>
      <w:r w:rsidR="00F55981">
        <w:t xml:space="preserve"> that the causal effect of telework on commute distance kicks in only at ≥50% home-based telework, but </w:t>
      </w:r>
      <w:r w:rsidR="003F5BD7">
        <w:t xml:space="preserve">note </w:t>
      </w:r>
      <w:r w:rsidR="00F55981">
        <w:t xml:space="preserve">that </w:t>
      </w:r>
      <w:r w:rsidR="003F5BD7">
        <w:t xml:space="preserve">the </w:t>
      </w:r>
      <w:r w:rsidR="00F55981">
        <w:t xml:space="preserve">direct causal effect applies only </w:t>
      </w:r>
      <w:r w:rsidR="003F5BD7">
        <w:t>to</w:t>
      </w:r>
      <w:r w:rsidR="00F55981">
        <w:t xml:space="preserve"> </w:t>
      </w:r>
      <w:r w:rsidR="003F5BD7">
        <w:t>the small-sized TC segment. In addition to this effect, there is also the increased work-from-office for those with low commute distances (≤8 miles) in the large-sized CT segment.</w:t>
      </w:r>
      <w:r w:rsidR="004B5D53">
        <w:rPr>
          <w:rStyle w:val="FootnoteReference"/>
        </w:rPr>
        <w:footnoteReference w:id="14"/>
      </w:r>
      <w:r w:rsidR="003F5BD7">
        <w:t xml:space="preserve"> Thus,</w:t>
      </w:r>
      <w:r w:rsidR="004B5D53">
        <w:t xml:space="preserve"> </w:t>
      </w:r>
      <w:r w:rsidR="003F5BD7">
        <w:t xml:space="preserve">the direction of causal effects in each segment, along with the negative unobserved covariance effect between the office WPL and commute distance (as discussed in Section </w:t>
      </w:r>
      <w:r w:rsidR="004B5D53">
        <w:t xml:space="preserve">5.1.1), all reinforce and lead up to the increased commute distance associated with any non-zero home-based telework arrangement. </w:t>
      </w:r>
      <w:r w:rsidR="00962BBF">
        <w:t xml:space="preserve">In this context, consider </w:t>
      </w:r>
      <w:r w:rsidR="00962BBF" w:rsidRPr="00CC25CB">
        <w:t>the impact of teleworking</w:t>
      </w:r>
      <w:r w:rsidR="00962BBF">
        <w:t xml:space="preserve"> (primarily from home)</w:t>
      </w:r>
      <w:r w:rsidR="00962BBF" w:rsidRPr="00CC25CB">
        <w:t xml:space="preserve"> on commute distance</w:t>
      </w:r>
      <w:r w:rsidR="00962BBF">
        <w:t xml:space="preserve"> </w:t>
      </w:r>
      <w:r w:rsidR="00962BBF" w:rsidRPr="00CC25CB">
        <w:t>when employees work remotely</w:t>
      </w:r>
      <w:r w:rsidR="00962BBF">
        <w:t xml:space="preserve"> </w:t>
      </w:r>
      <w:r w:rsidR="00962BBF" w:rsidRPr="00CC25CB">
        <w:t xml:space="preserve">once a week </w:t>
      </w:r>
      <w:r w:rsidR="00962BBF">
        <w:t xml:space="preserve">(4.4 days a month), which appears to be a rather popular hybrid work arrangement. Indeed, a recent report shows that, today, the average employee works 5.8 remote workdays per month (Flynn, 2023). </w:t>
      </w:r>
      <w:r w:rsidR="00962BBF" w:rsidRPr="00CC25CB">
        <w:t xml:space="preserve">In our analysis, a once-a-week teleworking arrangement would fall within the range of 10% to 20% remote work. Our findings reveal a shift </w:t>
      </w:r>
      <w:r w:rsidR="00962BBF" w:rsidRPr="00471D4A">
        <w:t xml:space="preserve">of </w:t>
      </w:r>
      <w:r w:rsidR="006D7837">
        <w:t>17.6</w:t>
      </w:r>
      <w:r w:rsidR="00962BBF" w:rsidRPr="00471D4A">
        <w:t>% (for 10% home-based and 90% office)</w:t>
      </w:r>
      <w:r w:rsidR="00962BBF" w:rsidRPr="00FE3EAF">
        <w:t xml:space="preserve"> and </w:t>
      </w:r>
      <w:r w:rsidR="006D7837">
        <w:t>21.6</w:t>
      </w:r>
      <w:r w:rsidR="00962BBF" w:rsidRPr="00471D4A">
        <w:t>% (for 20% home-based and 80% office)</w:t>
      </w:r>
      <w:r w:rsidR="00962BBF" w:rsidRPr="00CC25CB">
        <w:t xml:space="preserve"> in terms of increased commute distance. </w:t>
      </w:r>
      <w:r w:rsidR="00962BBF">
        <w:t xml:space="preserve">Overall, considering only home-based telework and office-based work, there is an increase of about </w:t>
      </w:r>
      <w:r w:rsidR="00962BBF" w:rsidRPr="00471D4A">
        <w:t xml:space="preserve">0.5 miles (about </w:t>
      </w:r>
      <w:r w:rsidR="00E23B2F">
        <w:t>4</w:t>
      </w:r>
      <w:r w:rsidR="00962BBF" w:rsidRPr="00471D4A">
        <w:t>%)</w:t>
      </w:r>
      <w:r w:rsidR="00962BBF" w:rsidRPr="00FE3EAF">
        <w:t xml:space="preserve"> in expected one-way commute distance </w:t>
      </w:r>
      <w:r w:rsidR="00962BBF" w:rsidRPr="00471D4A">
        <w:t xml:space="preserve">for every 10% increase in home-based telework from 0% telework to </w:t>
      </w:r>
      <w:r w:rsidR="00701F8D">
        <w:t>8</w:t>
      </w:r>
      <w:r w:rsidR="00962BBF" w:rsidRPr="00471D4A">
        <w:t>0% telework</w:t>
      </w:r>
      <w:r w:rsidR="00962BBF" w:rsidRPr="00FE3EAF">
        <w:t xml:space="preserve">. </w:t>
      </w:r>
      <w:r w:rsidR="00701F8D">
        <w:t>But, f</w:t>
      </w:r>
      <w:r w:rsidR="00962BBF" w:rsidRPr="00FE3EAF">
        <w:t>o</w:t>
      </w:r>
      <w:r w:rsidR="00962BBF">
        <w:t xml:space="preserve">r an increase </w:t>
      </w:r>
      <w:r w:rsidR="00962BBF" w:rsidRPr="00FE3EAF">
        <w:t xml:space="preserve">from </w:t>
      </w:r>
      <w:r w:rsidR="00701F8D">
        <w:t>80% to 90% home-based telework, the expected one-way commute distance increases by 0.</w:t>
      </w:r>
      <w:r w:rsidR="00CD1A11">
        <w:t>8</w:t>
      </w:r>
      <w:r w:rsidR="00701F8D">
        <w:t xml:space="preserve"> miles (</w:t>
      </w:r>
      <w:r w:rsidR="00EE7100">
        <w:t>6</w:t>
      </w:r>
      <w:r w:rsidR="00701F8D">
        <w:t xml:space="preserve">.4% increase), while for an increase from </w:t>
      </w:r>
      <w:r w:rsidR="00962BBF" w:rsidRPr="00471D4A">
        <w:t>90% home-based telework to 100% home-based telework, the expected one-way commute distance jumps by 1.</w:t>
      </w:r>
      <w:r w:rsidR="006D7837">
        <w:t>7</w:t>
      </w:r>
      <w:r w:rsidR="00962BBF" w:rsidRPr="00471D4A">
        <w:t xml:space="preserve"> miles (corresponding to a </w:t>
      </w:r>
      <w:r w:rsidR="00EE7100">
        <w:t>13.6</w:t>
      </w:r>
      <w:r w:rsidR="00962BBF" w:rsidRPr="00471D4A">
        <w:t>% increase).</w:t>
      </w:r>
      <w:r w:rsidR="00962BBF">
        <w:t xml:space="preserve"> </w:t>
      </w:r>
    </w:p>
    <w:p w14:paraId="662E27D9" w14:textId="595B848C" w:rsidR="00723F28" w:rsidRDefault="009C0E7E" w:rsidP="0091279C">
      <w:pPr>
        <w:spacing w:after="0" w:line="240" w:lineRule="auto"/>
        <w:ind w:firstLine="720"/>
      </w:pPr>
      <w:r w:rsidRPr="0091279C">
        <w:t>F</w:t>
      </w:r>
      <w:r w:rsidR="00723F28" w:rsidRPr="009C0E7E">
        <w:t xml:space="preserve">or the cases </w:t>
      </w:r>
      <w:r w:rsidR="004B5D53" w:rsidRPr="00416197">
        <w:t xml:space="preserve">with </w:t>
      </w:r>
      <w:r w:rsidR="00723F28" w:rsidRPr="009C0E7E">
        <w:t>a positive participation percentage for the third workplace</w:t>
      </w:r>
      <w:r w:rsidR="0099337F" w:rsidRPr="00416197">
        <w:t xml:space="preserve"> that takes away from home-based telework</w:t>
      </w:r>
      <w:r w:rsidR="00701F8D">
        <w:t xml:space="preserve"> (the last two row combinations in the table)</w:t>
      </w:r>
      <w:r w:rsidR="00723F28" w:rsidRPr="0091279C">
        <w:t xml:space="preserve">, </w:t>
      </w:r>
      <w:r w:rsidR="00E749F1" w:rsidRPr="00416197">
        <w:t xml:space="preserve">the results show that third WPL telework </w:t>
      </w:r>
      <w:r w:rsidR="00CA72A7" w:rsidRPr="00416197">
        <w:t xml:space="preserve">leads to a </w:t>
      </w:r>
      <w:r w:rsidR="00701F8D">
        <w:t xml:space="preserve">modest </w:t>
      </w:r>
      <w:r w:rsidR="00CA72A7" w:rsidRPr="00416197">
        <w:t xml:space="preserve">reduction in the commute distance </w:t>
      </w:r>
      <w:r w:rsidR="00053623" w:rsidRPr="00416197">
        <w:t xml:space="preserve">in comparison to home-based telework </w:t>
      </w:r>
      <w:r w:rsidR="0099337F" w:rsidRPr="00416197">
        <w:t xml:space="preserve">(compare combinations 1 and 9, </w:t>
      </w:r>
      <w:r w:rsidR="00053623" w:rsidRPr="00416197">
        <w:t xml:space="preserve">and 2 and 10). </w:t>
      </w:r>
      <w:r w:rsidR="00CA72A7" w:rsidRPr="00416197">
        <w:t xml:space="preserve">This decrease in commute distance with an increase in third WPL percentage </w:t>
      </w:r>
      <w:r w:rsidR="00962BBF" w:rsidRPr="00416197">
        <w:t xml:space="preserve">that draws away from home-based telework </w:t>
      </w:r>
      <w:r w:rsidR="00CA72A7" w:rsidRPr="00416197">
        <w:t xml:space="preserve">is a combination of two </w:t>
      </w:r>
      <w:r w:rsidR="00962BBF" w:rsidRPr="00416197">
        <w:t xml:space="preserve">reinforcing </w:t>
      </w:r>
      <w:r w:rsidR="00CA72A7" w:rsidRPr="00416197">
        <w:t xml:space="preserve">effects: (1) the negative effect of any work from the third WPL on commute distance from segment 1 (which overshadows the </w:t>
      </w:r>
      <w:r w:rsidR="0094704B" w:rsidRPr="00416197">
        <w:t xml:space="preserve">mild </w:t>
      </w:r>
      <w:r w:rsidR="00CA72A7" w:rsidRPr="00416197">
        <w:t xml:space="preserve">increase in commute distance associated with increased third WPL telework arising from the positive correlation in this first TC segment between third WPL telework and commute distance, as discussed in Section 5.1.1), and (2) the decrease in commute distance associated with increased third WPL telework arising from the </w:t>
      </w:r>
      <w:r w:rsidR="0094704B" w:rsidRPr="00416197">
        <w:t>relatively strong</w:t>
      </w:r>
      <w:r w:rsidR="00CA72A7" w:rsidRPr="00416197">
        <w:t xml:space="preserve"> correlation in th</w:t>
      </w:r>
      <w:r w:rsidR="0094704B" w:rsidRPr="00416197">
        <w:t>e</w:t>
      </w:r>
      <w:r w:rsidR="00CA72A7" w:rsidRPr="00416197">
        <w:t xml:space="preserve"> </w:t>
      </w:r>
      <w:r w:rsidR="0094704B" w:rsidRPr="00416197">
        <w:t>second</w:t>
      </w:r>
      <w:r w:rsidR="00CA72A7" w:rsidRPr="00416197">
        <w:t xml:space="preserve"> </w:t>
      </w:r>
      <w:r w:rsidR="0094704B" w:rsidRPr="00416197">
        <w:t xml:space="preserve">(and dominant) </w:t>
      </w:r>
      <w:r w:rsidR="00CA72A7" w:rsidRPr="00416197">
        <w:t>C</w:t>
      </w:r>
      <w:r w:rsidR="0094704B" w:rsidRPr="00416197">
        <w:t>T</w:t>
      </w:r>
      <w:r w:rsidR="00CA72A7" w:rsidRPr="00416197">
        <w:t xml:space="preserve"> segment between third WPL telework and commute distance, </w:t>
      </w:r>
      <w:r w:rsidR="0094704B" w:rsidRPr="00416197">
        <w:t xml:space="preserve">also </w:t>
      </w:r>
      <w:r w:rsidR="00CA72A7" w:rsidRPr="00416197">
        <w:t>as discussed in Section 5.1.1)</w:t>
      </w:r>
      <w:r w:rsidR="0094704B" w:rsidRPr="00416197">
        <w:t>.</w:t>
      </w:r>
      <w:r w:rsidR="00CA72A7" w:rsidRPr="00416197">
        <w:t xml:space="preserve"> </w:t>
      </w:r>
    </w:p>
    <w:p w14:paraId="2472F183" w14:textId="16B36D62" w:rsidR="00701F8D" w:rsidRDefault="004748C2" w:rsidP="00CD1A11">
      <w:pPr>
        <w:spacing w:after="0" w:line="240" w:lineRule="auto"/>
        <w:ind w:firstLine="720"/>
      </w:pPr>
      <w:r w:rsidRPr="00E750BB">
        <w:rPr>
          <w:szCs w:val="24"/>
        </w:rPr>
        <w:t xml:space="preserve">Of course, the </w:t>
      </w:r>
      <w:r w:rsidR="009C0E7E">
        <w:rPr>
          <w:szCs w:val="24"/>
        </w:rPr>
        <w:t xml:space="preserve">above changes </w:t>
      </w:r>
      <w:r w:rsidRPr="00E750BB">
        <w:rPr>
          <w:szCs w:val="24"/>
        </w:rPr>
        <w:t xml:space="preserve">in one-way commute distance based on teleworking provides only half the picture. The more critical issue is the contribution of the commute distance to </w:t>
      </w:r>
      <w:r w:rsidR="003A54C3">
        <w:rPr>
          <w:szCs w:val="24"/>
        </w:rPr>
        <w:t xml:space="preserve">monthly </w:t>
      </w:r>
      <w:r w:rsidRPr="00E750BB">
        <w:rPr>
          <w:szCs w:val="24"/>
        </w:rPr>
        <w:t xml:space="preserve">commute VMT. Does a frequent office goer with low commute distance produce an overall higher </w:t>
      </w:r>
      <w:r w:rsidR="003A54C3">
        <w:rPr>
          <w:szCs w:val="24"/>
        </w:rPr>
        <w:t xml:space="preserve">monthly </w:t>
      </w:r>
      <w:r w:rsidRPr="00E750BB">
        <w:rPr>
          <w:szCs w:val="24"/>
        </w:rPr>
        <w:t>VMT, or a rare office goer with high commute distance generate higher VMT? To address this issue, one needs to consider the total commute VMT effect based on teleworking, as provided in Equation (2</w:t>
      </w:r>
      <w:r w:rsidR="003A54C3">
        <w:rPr>
          <w:szCs w:val="24"/>
        </w:rPr>
        <w:t>0</w:t>
      </w:r>
      <w:r w:rsidRPr="00E750BB">
        <w:rPr>
          <w:szCs w:val="24"/>
        </w:rPr>
        <w:t xml:space="preserve">). For this analysis, and given that the third WPL tends to be close to the residence of individuals, we assume that any commute VMT to the third WPL is zero (we need to do so because we do not have information on WPL locations, and these could vary from day to day). The results are provided in the last three columns of Table </w:t>
      </w:r>
      <w:r w:rsidR="00E430DB">
        <w:rPr>
          <w:szCs w:val="24"/>
        </w:rPr>
        <w:t>6</w:t>
      </w:r>
      <w:r w:rsidR="008B3170" w:rsidRPr="00E750BB">
        <w:rPr>
          <w:szCs w:val="24"/>
        </w:rPr>
        <w:t xml:space="preserve">. </w:t>
      </w:r>
      <w:r w:rsidR="00701F8D">
        <w:rPr>
          <w:szCs w:val="24"/>
        </w:rPr>
        <w:t>T</w:t>
      </w:r>
      <w:r w:rsidR="00B02D91" w:rsidRPr="00E750BB">
        <w:rPr>
          <w:szCs w:val="24"/>
        </w:rPr>
        <w:t xml:space="preserve">he individual-level </w:t>
      </w:r>
      <w:r w:rsidR="003A54C3">
        <w:rPr>
          <w:szCs w:val="24"/>
        </w:rPr>
        <w:t xml:space="preserve">expected monthly two-way </w:t>
      </w:r>
      <w:r w:rsidR="00B02D91" w:rsidRPr="00E750BB">
        <w:rPr>
          <w:szCs w:val="24"/>
        </w:rPr>
        <w:t xml:space="preserve">commute </w:t>
      </w:r>
      <w:r w:rsidR="003A54C3">
        <w:rPr>
          <w:szCs w:val="24"/>
        </w:rPr>
        <w:t>VMT</w:t>
      </w:r>
      <w:r w:rsidR="00701F8D">
        <w:rPr>
          <w:szCs w:val="24"/>
        </w:rPr>
        <w:t>, as obtained from Equation (20),</w:t>
      </w:r>
      <w:r w:rsidR="00B02D91" w:rsidRPr="00E750BB">
        <w:rPr>
          <w:szCs w:val="24"/>
        </w:rPr>
        <w:t xml:space="preserve"> is averaged </w:t>
      </w:r>
      <w:r w:rsidR="008B3170" w:rsidRPr="00E750BB">
        <w:rPr>
          <w:szCs w:val="24"/>
        </w:rPr>
        <w:t xml:space="preserve">across all sample </w:t>
      </w:r>
      <w:r w:rsidR="008B3170" w:rsidRPr="00E750BB">
        <w:rPr>
          <w:szCs w:val="24"/>
        </w:rPr>
        <w:lastRenderedPageBreak/>
        <w:t>individuals</w:t>
      </w:r>
      <w:r w:rsidR="00B02D91" w:rsidRPr="00E750BB">
        <w:rPr>
          <w:szCs w:val="24"/>
        </w:rPr>
        <w:t xml:space="preserve"> to obtain the “</w:t>
      </w:r>
      <w:r w:rsidR="002036A6">
        <w:rPr>
          <w:szCs w:val="24"/>
        </w:rPr>
        <w:t xml:space="preserve">Average (Across Workers) of </w:t>
      </w:r>
      <w:r w:rsidR="00B02D91" w:rsidRPr="00E750BB">
        <w:rPr>
          <w:rFonts w:eastAsia="Times New Roman"/>
          <w:color w:val="000000"/>
          <w:szCs w:val="24"/>
        </w:rPr>
        <w:t xml:space="preserve">Expected Monthly 2-way Commute VMT per worker for Given Combination”. </w:t>
      </w:r>
      <w:r w:rsidRPr="00E750BB">
        <w:rPr>
          <w:szCs w:val="24"/>
        </w:rPr>
        <w:t>Low leve</w:t>
      </w:r>
      <w:r>
        <w:t xml:space="preserve">ls of </w:t>
      </w:r>
      <w:r w:rsidRPr="003B0FE0">
        <w:t>telework (</w:t>
      </w:r>
      <w:r w:rsidR="008C0ED2" w:rsidRPr="00416197">
        <w:t xml:space="preserve">to be precise </w:t>
      </w:r>
      <w:r w:rsidRPr="00416197">
        <w:t xml:space="preserve">up to </w:t>
      </w:r>
      <w:r w:rsidR="008C0ED2" w:rsidRPr="00416197">
        <w:t>18.6</w:t>
      </w:r>
      <w:r w:rsidRPr="00416197">
        <w:t>% from home</w:t>
      </w:r>
      <w:r w:rsidRPr="003B0FE0">
        <w:t xml:space="preserve">) are associated with </w:t>
      </w:r>
      <w:r w:rsidR="008C0ED2" w:rsidRPr="003B0FE0">
        <w:t xml:space="preserve">added </w:t>
      </w:r>
      <w:r w:rsidRPr="003B0FE0">
        <w:t>VMT generation comparable to</w:t>
      </w:r>
      <w:r w:rsidR="008C0ED2" w:rsidRPr="003B0FE0">
        <w:t xml:space="preserve"> </w:t>
      </w:r>
      <w:r w:rsidRPr="003B0FE0">
        <w:t>that of no telework at all, due to the combination</w:t>
      </w:r>
      <w:r>
        <w:t xml:space="preserve"> of a lengthened average commute distance and high participation at the office WPL. In </w:t>
      </w:r>
      <w:r w:rsidR="00FF6F77" w:rsidRPr="00FE3EAF">
        <w:t>particular</w:t>
      </w:r>
      <w:r w:rsidRPr="00FE3EAF">
        <w:t xml:space="preserve">, </w:t>
      </w:r>
      <w:r w:rsidRPr="00416197">
        <w:t xml:space="preserve">the 10% telework from home scenario is associated with a higher monthly </w:t>
      </w:r>
      <w:r w:rsidR="00636E71" w:rsidRPr="00416197">
        <w:t xml:space="preserve">commute </w:t>
      </w:r>
      <w:r w:rsidRPr="00416197">
        <w:t>VMT (</w:t>
      </w:r>
      <w:r w:rsidR="006D7837">
        <w:t>5.8</w:t>
      </w:r>
      <w:r w:rsidR="0091279C">
        <w:t>%</w:t>
      </w:r>
      <w:r w:rsidRPr="00416197">
        <w:t xml:space="preserve"> higher</w:t>
      </w:r>
      <w:r w:rsidRPr="00FE3EAF">
        <w:t>)</w:t>
      </w:r>
      <w:r>
        <w:t xml:space="preserve"> relative to the no telework</w:t>
      </w:r>
      <w:r w:rsidR="0091279C">
        <w:t>-</w:t>
      </w:r>
      <w:r>
        <w:t>from</w:t>
      </w:r>
      <w:r w:rsidR="0091279C">
        <w:t>-</w:t>
      </w:r>
      <w:r>
        <w:t xml:space="preserve">home scenario. This could be a cause for concern for transportation professionals, especially as many companies continue to encourage a hybrid structure for WPL arrangements. Our results suggest that limited remote </w:t>
      </w:r>
      <w:r w:rsidRPr="00FE3EAF">
        <w:t xml:space="preserve">work arrangements cannot be a tool for VMT reduction, and may even exacerbate the traffic congestion situation. </w:t>
      </w:r>
      <w:r w:rsidR="00A473A8">
        <w:t xml:space="preserve">This is particularly so because individuals with limited remote work flexibility (say one day a week) are likely to choose Monday or Friday as their remote work day, which, when combined with the longer commute distances, would imply higher VMT in this group on midweek days. </w:t>
      </w:r>
      <w:r w:rsidR="00636E71" w:rsidRPr="00416197">
        <w:t xml:space="preserve">Commute </w:t>
      </w:r>
      <w:r w:rsidRPr="00416197">
        <w:t xml:space="preserve">VMT reductions become </w:t>
      </w:r>
      <w:r w:rsidR="00FF6F77" w:rsidRPr="00416197">
        <w:t xml:space="preserve">tangible </w:t>
      </w:r>
      <w:r w:rsidRPr="00416197">
        <w:t xml:space="preserve">only at about </w:t>
      </w:r>
      <w:r w:rsidR="00636E71" w:rsidRPr="00416197">
        <w:t>30-</w:t>
      </w:r>
      <w:r w:rsidRPr="00416197">
        <w:t xml:space="preserve">40% telework </w:t>
      </w:r>
      <w:r w:rsidR="00636E71" w:rsidRPr="00416197">
        <w:t>(about two days of telework per week for full-time workers with 22 workdays per month</w:t>
      </w:r>
      <w:r w:rsidR="00636E71" w:rsidRPr="00FE3EAF">
        <w:t>)</w:t>
      </w:r>
      <w:r w:rsidRPr="00FE3EAF">
        <w:t xml:space="preserve">. </w:t>
      </w:r>
      <w:r w:rsidR="00636E71" w:rsidRPr="00FE3EAF">
        <w:t>In general, between</w:t>
      </w:r>
      <w:r w:rsidR="00636E71">
        <w:t xml:space="preserve"> 0-40% home-based telework and the remaining at the office, there </w:t>
      </w:r>
      <w:r w:rsidR="00636E71" w:rsidRPr="003B0FE0">
        <w:t>is a 10% commute VMT reduction for each</w:t>
      </w:r>
      <w:r w:rsidR="00636E71">
        <w:t xml:space="preserve"> 10% increase in home-based </w:t>
      </w:r>
      <w:r w:rsidR="00636E71" w:rsidRPr="006D7837">
        <w:t xml:space="preserve">telework. </w:t>
      </w:r>
      <w:r w:rsidRPr="006D7837">
        <w:t xml:space="preserve">Beyond 40% telework, a 60% work from home scenario results in an estimated </w:t>
      </w:r>
      <w:r w:rsidR="006D7837" w:rsidRPr="006D7837">
        <w:t>45.3</w:t>
      </w:r>
      <w:r w:rsidRPr="006D7837">
        <w:t xml:space="preserve">% commute VMT reduction, while 80% or greater teleworking arrangement leads to a reduction of </w:t>
      </w:r>
      <w:r w:rsidR="00FE3EAF" w:rsidRPr="006D7837">
        <w:t>71.</w:t>
      </w:r>
      <w:r w:rsidR="006D7837" w:rsidRPr="006D7837">
        <w:t>0</w:t>
      </w:r>
      <w:r w:rsidRPr="006D7837">
        <w:t xml:space="preserve">% in monthly commute VMT. </w:t>
      </w:r>
      <w:r w:rsidR="00407D33" w:rsidRPr="006D7837">
        <w:t xml:space="preserve">That </w:t>
      </w:r>
      <w:r w:rsidR="00407D33">
        <w:t xml:space="preserve">is, in the range of 40% to 80% home-based telework, there is </w:t>
      </w:r>
      <w:r w:rsidR="00407D33" w:rsidRPr="00FE3EAF">
        <w:t xml:space="preserve">about a </w:t>
      </w:r>
      <w:r w:rsidR="003B0FE0" w:rsidRPr="00734FB5">
        <w:t>13</w:t>
      </w:r>
      <w:r w:rsidR="00407D33" w:rsidRPr="00734FB5">
        <w:t xml:space="preserve">% </w:t>
      </w:r>
      <w:r w:rsidR="00407D33" w:rsidRPr="00416197">
        <w:t>commute VMT reduction for every 10% increase in home-based telework</w:t>
      </w:r>
      <w:r w:rsidR="00407D33" w:rsidRPr="00FE3EAF">
        <w:t xml:space="preserve">. And in the range of 80%-100% home-based telework reduction, there is about a </w:t>
      </w:r>
      <w:r w:rsidR="00407D33" w:rsidRPr="00416197">
        <w:t>15% commute VMT reduction for every 10%</w:t>
      </w:r>
      <w:r w:rsidR="00407D33" w:rsidRPr="00FE3EAF">
        <w:t xml:space="preserve"> increase</w:t>
      </w:r>
      <w:r w:rsidR="00407D33">
        <w:t xml:space="preserve"> in home-based telework. </w:t>
      </w:r>
      <w:r>
        <w:t xml:space="preserve">Based on these findings, moderate to high levels of </w:t>
      </w:r>
      <w:r w:rsidR="00701F8D">
        <w:t xml:space="preserve">home-based </w:t>
      </w:r>
      <w:r>
        <w:t xml:space="preserve">teleworking indeed can serve to reduce commute VMT, and it would behoove transportation planning agencies to incentivize such levels of telework frequency whenever feasible and possible. </w:t>
      </w:r>
      <w:r w:rsidR="00354C74">
        <w:t xml:space="preserve">At the same time, through persuasion or even regulation, cities and </w:t>
      </w:r>
      <w:r w:rsidR="00CA4ED3">
        <w:t xml:space="preserve">state/federal </w:t>
      </w:r>
      <w:r w:rsidR="00354C74">
        <w:t xml:space="preserve">labor </w:t>
      </w:r>
      <w:r w:rsidR="00CA4ED3">
        <w:t xml:space="preserve">agencies </w:t>
      </w:r>
      <w:r w:rsidR="00354C74">
        <w:t xml:space="preserve">may want to discourage employers from providing a telework option </w:t>
      </w:r>
      <w:r w:rsidR="00CA4ED3">
        <w:t xml:space="preserve">involving </w:t>
      </w:r>
      <w:r w:rsidR="00354C74">
        <w:t xml:space="preserve">only </w:t>
      </w:r>
      <w:r w:rsidR="00CA4ED3">
        <w:t xml:space="preserve">very </w:t>
      </w:r>
      <w:r w:rsidR="00354C74">
        <w:t>limited days of a week or a month.</w:t>
      </w:r>
    </w:p>
    <w:p w14:paraId="151289B2" w14:textId="0DC39DD2" w:rsidR="004748C2" w:rsidRPr="00E750BB" w:rsidRDefault="00331488" w:rsidP="00CD1A11">
      <w:pPr>
        <w:spacing w:after="0" w:line="240" w:lineRule="auto"/>
        <w:ind w:firstLine="720"/>
        <w:rPr>
          <w:rFonts w:eastAsia="Times New Roman"/>
          <w:b/>
          <w:bCs/>
          <w:color w:val="000000"/>
          <w:szCs w:val="24"/>
        </w:rPr>
      </w:pPr>
      <w:r>
        <w:t xml:space="preserve">Another observation from the one-way commute VMT statistics in the last two rows of Table </w:t>
      </w:r>
      <w:r w:rsidR="00E430DB">
        <w:t>6</w:t>
      </w:r>
      <w:r>
        <w:t xml:space="preserve"> is that channeling some level of telework away from home to a third WPL reduces commute VMT (albeit rather modestly). Specifically, when comparing combinations 1 and 9, and also 2 and 10, we notice a drop of about 1.3-1.4% in VMT for the combinations with the third WPL relative to the comparative telework intensities solely from home. </w:t>
      </w:r>
      <w:r w:rsidR="00BB657A" w:rsidRPr="00C8568C">
        <w:t xml:space="preserve">One approach </w:t>
      </w:r>
      <w:r w:rsidR="00354C74">
        <w:t xml:space="preserve">for developers and land-use planners </w:t>
      </w:r>
      <w:r w:rsidR="007673C6">
        <w:t xml:space="preserve">to </w:t>
      </w:r>
      <w:r w:rsidR="00BB657A" w:rsidRPr="00C8568C">
        <w:t xml:space="preserve">foster third </w:t>
      </w:r>
      <w:r w:rsidR="00480837" w:rsidRPr="00C8568C">
        <w:t>WPL</w:t>
      </w:r>
      <w:r w:rsidR="00BB657A" w:rsidRPr="00C8568C">
        <w:t xml:space="preserve"> participation </w:t>
      </w:r>
      <w:r w:rsidR="00480837" w:rsidRPr="00C8568C">
        <w:t>may be to</w:t>
      </w:r>
      <w:r w:rsidR="00BB657A" w:rsidRPr="00C8568C">
        <w:t xml:space="preserve"> initially focus </w:t>
      </w:r>
      <w:r w:rsidR="00480837" w:rsidRPr="00C8568C">
        <w:t xml:space="preserve">marketing and new construction of facilities (such as </w:t>
      </w:r>
      <w:proofErr w:type="spellStart"/>
      <w:r w:rsidR="00480837" w:rsidRPr="00C8568C">
        <w:t>WeWork</w:t>
      </w:r>
      <w:proofErr w:type="spellEnd"/>
      <w:r w:rsidR="00480837" w:rsidRPr="00C8568C">
        <w:t xml:space="preserve"> centers or spacious coffee shops and cafes) in</w:t>
      </w:r>
      <w:r w:rsidR="00BB657A" w:rsidRPr="00C8568C">
        <w:t xml:space="preserve"> areas where </w:t>
      </w:r>
      <w:r w:rsidR="001C096E">
        <w:t>“</w:t>
      </w:r>
      <w:r w:rsidR="00BB657A" w:rsidRPr="00C8568C">
        <w:t>stayers</w:t>
      </w:r>
      <w:r w:rsidR="001C096E">
        <w:t>”</w:t>
      </w:r>
      <w:r w:rsidR="00BB657A" w:rsidRPr="00C8568C">
        <w:t xml:space="preserve"> predominantly reside</w:t>
      </w:r>
      <w:r w:rsidR="00480837" w:rsidRPr="00C8568C">
        <w:t xml:space="preserve"> </w:t>
      </w:r>
      <w:r w:rsidR="00480837">
        <w:t>–</w:t>
      </w:r>
      <w:r w:rsidR="00480837" w:rsidRPr="00C8568C">
        <w:t xml:space="preserve"> </w:t>
      </w:r>
      <w:r w:rsidR="00480837">
        <w:t xml:space="preserve">in </w:t>
      </w:r>
      <w:r w:rsidR="00BB657A" w:rsidRPr="00C8568C">
        <w:t>suburban regions</w:t>
      </w:r>
      <w:r w:rsidR="00480837" w:rsidRPr="00C8568C">
        <w:t>. Suburban dwellers may be less</w:t>
      </w:r>
      <w:r w:rsidR="00BB657A" w:rsidRPr="00C8568C">
        <w:t xml:space="preserve"> likely to relocate as a result of the</w:t>
      </w:r>
      <w:r w:rsidR="00480837" w:rsidRPr="00C8568C">
        <w:t>ir</w:t>
      </w:r>
      <w:r w:rsidR="00BB657A" w:rsidRPr="00C8568C">
        <w:t xml:space="preserve"> newfound remote work opportunities</w:t>
      </w:r>
      <w:r w:rsidR="00480837" w:rsidRPr="00C8568C">
        <w:t>, and may appreciate a third WPL when it is introduced within their established community. A second approach for fostering growth in third WPL telework participation is to target all income brackets. Currently,</w:t>
      </w:r>
      <w:r w:rsidR="00BB657A" w:rsidRPr="00C8568C">
        <w:t xml:space="preserve"> higher-income households exhibit a greater propensity for remote work from third workplaces compared to lower-income groups (as observed in Table </w:t>
      </w:r>
      <w:r w:rsidR="00E430DB">
        <w:t>2</w:t>
      </w:r>
      <w:r w:rsidR="00BB657A" w:rsidRPr="00C8568C">
        <w:t xml:space="preserve">). Therefore, </w:t>
      </w:r>
      <w:r w:rsidR="00480837" w:rsidRPr="00C8568C">
        <w:t xml:space="preserve">management of </w:t>
      </w:r>
      <w:r w:rsidR="00BB657A" w:rsidRPr="00C8568C">
        <w:t>th</w:t>
      </w:r>
      <w:r w:rsidR="00480837" w:rsidRPr="00C8568C">
        <w:t>ird WPLs</w:t>
      </w:r>
      <w:r w:rsidR="00BB657A" w:rsidRPr="00C8568C">
        <w:t xml:space="preserve"> must offer affordable monthly membership options and provide amenities equivalent to those found in traditional office spaces. By catering to the needs of lower-income employees, who typically rely on such amenities in their regular workplaces, broader participation across all income groups </w:t>
      </w:r>
      <w:r w:rsidR="00B4536B">
        <w:t>can be achieved</w:t>
      </w:r>
      <w:r w:rsidR="00BB657A" w:rsidRPr="00C8568C">
        <w:t>.</w:t>
      </w:r>
      <w:r w:rsidR="004748C2">
        <w:t xml:space="preserve"> Overall, these findings reinforce the importance of considering differential adoption and locations of teleworking preferences in transportation demand forecasting models at a disaggregate level to accurately represent the evolving commute VMT</w:t>
      </w:r>
      <w:r w:rsidR="00480837">
        <w:t>.</w:t>
      </w:r>
    </w:p>
    <w:p w14:paraId="57970A53" w14:textId="77777777" w:rsidR="00723F28" w:rsidRDefault="00723F28" w:rsidP="009E5248">
      <w:pPr>
        <w:spacing w:after="0" w:line="240" w:lineRule="auto"/>
      </w:pPr>
    </w:p>
    <w:p w14:paraId="39867DC2" w14:textId="43BFB5ED" w:rsidR="009418AE" w:rsidRPr="00163851" w:rsidRDefault="00F070AE" w:rsidP="00864D8F">
      <w:pPr>
        <w:pStyle w:val="Heading1"/>
        <w:spacing w:line="240" w:lineRule="auto"/>
        <w:ind w:left="360" w:hanging="360"/>
      </w:pPr>
      <w:r w:rsidRPr="00163851">
        <w:t>CONCLUSION</w:t>
      </w:r>
    </w:p>
    <w:p w14:paraId="6E510D62" w14:textId="77777777" w:rsidR="00BF1038" w:rsidRDefault="00FF4C7F" w:rsidP="00AE3A06">
      <w:pPr>
        <w:pStyle w:val="ListParagraph"/>
        <w:spacing w:after="0" w:line="240" w:lineRule="auto"/>
        <w:ind w:left="0"/>
        <w:jc w:val="both"/>
        <w:rPr>
          <w:rFonts w:ascii="Times New Roman" w:hAnsi="Times New Roman"/>
          <w:sz w:val="24"/>
          <w:szCs w:val="24"/>
        </w:rPr>
      </w:pPr>
      <w:bookmarkStart w:id="24" w:name="_Hlk138223307"/>
      <w:r w:rsidRPr="004817C2">
        <w:rPr>
          <w:rFonts w:ascii="Times New Roman" w:hAnsi="Times New Roman"/>
          <w:sz w:val="24"/>
          <w:szCs w:val="24"/>
        </w:rPr>
        <w:t xml:space="preserve">In the current landscape, there is a widespread consensus that telework adoption will </w:t>
      </w:r>
      <w:r w:rsidR="004748C2" w:rsidRPr="004817C2">
        <w:rPr>
          <w:rFonts w:ascii="Times New Roman" w:hAnsi="Times New Roman"/>
          <w:sz w:val="24"/>
          <w:szCs w:val="24"/>
        </w:rPr>
        <w:t xml:space="preserve">be at levels higher than </w:t>
      </w:r>
      <w:r w:rsidRPr="004817C2">
        <w:rPr>
          <w:rFonts w:ascii="Times New Roman" w:hAnsi="Times New Roman"/>
          <w:sz w:val="24"/>
          <w:szCs w:val="24"/>
        </w:rPr>
        <w:t>observed prior to the COVID-19 pandemic. This shift is primarily driven by reduced resistance from employers and the firsthand experiences of employees with remote work arrangements. Consequently, understanding the evolving relationship between telework and commute distance is of significant interest not only to transportation professionals but also to urban and land-use planners, geographers, labor market researchers, as well as experts in air quality and environmental studies. In this paper, we model the workplace location (WPL)-commute distance decision-making process as a package choice to account for unobserved factors as well as use a latent segmentation approach to recognize that some individuals may choose their telework arrangement first and then choose their commute distance (</w:t>
      </w:r>
      <w:r w:rsidR="0070102D" w:rsidRPr="004817C2">
        <w:rPr>
          <w:rFonts w:ascii="Times New Roman" w:hAnsi="Times New Roman"/>
          <w:sz w:val="24"/>
          <w:szCs w:val="24"/>
        </w:rPr>
        <w:t>this forms the TC segment in our analysis</w:t>
      </w:r>
      <w:r w:rsidRPr="004817C2">
        <w:rPr>
          <w:rFonts w:ascii="Times New Roman" w:hAnsi="Times New Roman"/>
          <w:sz w:val="24"/>
          <w:szCs w:val="24"/>
        </w:rPr>
        <w:t>), while others may adopt a reverse causal behavioral process</w:t>
      </w:r>
      <w:r w:rsidR="0070102D" w:rsidRPr="004817C2">
        <w:rPr>
          <w:rFonts w:ascii="Times New Roman" w:hAnsi="Times New Roman"/>
          <w:sz w:val="24"/>
          <w:szCs w:val="24"/>
        </w:rPr>
        <w:t xml:space="preserve"> (the CT segment)</w:t>
      </w:r>
      <w:r w:rsidRPr="004817C2">
        <w:rPr>
          <w:rFonts w:ascii="Times New Roman" w:hAnsi="Times New Roman"/>
          <w:sz w:val="24"/>
          <w:szCs w:val="24"/>
        </w:rPr>
        <w:t xml:space="preserve">. The data for the analysis is drawn from a 2022 survey of Texas residents who are workers, have a designated office site (even if they never go in to the office), and have the option of working away from the office. The latent segment modeling methodology combines a multiple discrete-continuous </w:t>
      </w:r>
      <w:proofErr w:type="spellStart"/>
      <w:r w:rsidRPr="004817C2">
        <w:rPr>
          <w:rFonts w:ascii="Times New Roman" w:hAnsi="Times New Roman"/>
          <w:sz w:val="24"/>
          <w:szCs w:val="24"/>
        </w:rPr>
        <w:t>probit</w:t>
      </w:r>
      <w:proofErr w:type="spellEnd"/>
      <w:r w:rsidRPr="004817C2">
        <w:rPr>
          <w:rFonts w:ascii="Times New Roman" w:hAnsi="Times New Roman"/>
          <w:sz w:val="24"/>
          <w:szCs w:val="24"/>
        </w:rPr>
        <w:t xml:space="preserve"> (MDCP) model for telework adoption/intensity in terms of the proportion of monthly workdays worked (a) from home, (b) from the office, and (c) from a variable third workplace, with a log-linear regression model for commute distance (that is, </w:t>
      </w:r>
      <w:r w:rsidR="00D521AA" w:rsidRPr="004817C2">
        <w:rPr>
          <w:rFonts w:ascii="Times New Roman" w:hAnsi="Times New Roman"/>
          <w:sz w:val="24"/>
          <w:szCs w:val="24"/>
        </w:rPr>
        <w:t>home-to-</w:t>
      </w:r>
      <w:r w:rsidRPr="004817C2">
        <w:rPr>
          <w:rFonts w:ascii="Times New Roman" w:hAnsi="Times New Roman"/>
          <w:sz w:val="24"/>
          <w:szCs w:val="24"/>
        </w:rPr>
        <w:t>office distance). To our knowledge, the resulting sample selection-type model, based on a multiple discrete-continuous sample selection mechanism, is a first in the literature.</w:t>
      </w:r>
      <w:r w:rsidR="00B325C9" w:rsidRPr="004817C2">
        <w:rPr>
          <w:rFonts w:ascii="Times New Roman" w:hAnsi="Times New Roman"/>
          <w:sz w:val="24"/>
          <w:szCs w:val="24"/>
        </w:rPr>
        <w:t xml:space="preserve"> </w:t>
      </w:r>
      <w:bookmarkStart w:id="25" w:name="_Hlk166496531"/>
    </w:p>
    <w:p w14:paraId="17C6DB82" w14:textId="199F7D84" w:rsidR="00FF4C7F" w:rsidRPr="00002517" w:rsidRDefault="00502783" w:rsidP="00002517">
      <w:pPr>
        <w:pStyle w:val="ListParagraph"/>
        <w:spacing w:after="0" w:line="240" w:lineRule="auto"/>
        <w:ind w:left="0" w:firstLine="720"/>
        <w:jc w:val="both"/>
        <w:rPr>
          <w:rFonts w:ascii="Times New Roman" w:hAnsi="Times New Roman"/>
          <w:color w:val="222222"/>
          <w:sz w:val="24"/>
          <w:szCs w:val="24"/>
        </w:rPr>
      </w:pPr>
      <w:bookmarkStart w:id="26" w:name="_Hlk167053614"/>
      <w:r>
        <w:rPr>
          <w:rFonts w:ascii="Times New Roman" w:hAnsi="Times New Roman"/>
          <w:color w:val="222222"/>
          <w:sz w:val="24"/>
          <w:szCs w:val="24"/>
        </w:rPr>
        <w:t>This</w:t>
      </w:r>
      <w:r w:rsidRPr="004817C2">
        <w:rPr>
          <w:rFonts w:ascii="Times New Roman" w:hAnsi="Times New Roman"/>
          <w:color w:val="222222"/>
          <w:sz w:val="24"/>
          <w:szCs w:val="24"/>
        </w:rPr>
        <w:t xml:space="preserve"> model </w:t>
      </w:r>
      <w:r>
        <w:rPr>
          <w:rFonts w:ascii="Times New Roman" w:hAnsi="Times New Roman"/>
          <w:color w:val="222222"/>
          <w:sz w:val="24"/>
          <w:szCs w:val="24"/>
        </w:rPr>
        <w:t xml:space="preserve">structure </w:t>
      </w:r>
      <w:r w:rsidRPr="004817C2">
        <w:rPr>
          <w:rFonts w:ascii="Times New Roman" w:hAnsi="Times New Roman"/>
          <w:color w:val="222222"/>
          <w:sz w:val="24"/>
          <w:szCs w:val="24"/>
        </w:rPr>
        <w:t xml:space="preserve">is broadly applicable to a variety of contexts with a joint MDC-continuous model (to capture unobserved associations through error correlations) combined with a latent segmentation scheme (to capture different causal directions of effect between the MDC outcome and the continuous outcome). Examples of such applications include linking telework MDC choice with other continuous travel measures (such as local non-work trip mileage and long distance trip mileage), vehicle body/fuel type MDC choice (types of vehicles owned by a household and motorized mileage on each vehicle) with non-motorized mode mileage, non-sleep activity participation MDC (types of non-sleep activities participated in during some other time unit and the corresponding time investments) and sleep duration, physical activity participation MDC (types of physical activities participated in during some time unit and the corresponding time investments) and health biomarkers (such as body mass index). In each of these cases, the latent segmentation approach recognizes that, after accounting for the jointness in the outcomes, the causal direction between the outcomes may vary across individuals. For example, in the last case, high physical activity participation may lead to good health biomarker metrics for many individuals, but it is also possible that poor health biomarker metrics lead to lower physical activity participation in the first place for other individuals. Of course, our model system can also be easily be extended to cases where the continuous outcome is replaced with a count outcome or an ordinal outcome or even a nominal outcome (leading to latent segment MDC-count models or latent segment MDC-ordinal models or latent segment MDC-nominal outcome models). </w:t>
      </w:r>
      <w:r w:rsidR="00AE3A06" w:rsidRPr="00AE3A06">
        <w:rPr>
          <w:rFonts w:ascii="Times New Roman" w:hAnsi="Times New Roman"/>
          <w:color w:val="222222"/>
          <w:sz w:val="24"/>
          <w:szCs w:val="24"/>
        </w:rPr>
        <w:t xml:space="preserve">Moreover, this methodology could be extended to different </w:t>
      </w:r>
      <w:r w:rsidR="00D0509F">
        <w:rPr>
          <w:rFonts w:ascii="Times New Roman" w:hAnsi="Times New Roman"/>
          <w:color w:val="222222"/>
          <w:sz w:val="24"/>
          <w:szCs w:val="24"/>
        </w:rPr>
        <w:t xml:space="preserve">empirical </w:t>
      </w:r>
      <w:r w:rsidR="00AE3A06" w:rsidRPr="00AE3A06">
        <w:rPr>
          <w:rFonts w:ascii="Times New Roman" w:hAnsi="Times New Roman"/>
          <w:color w:val="222222"/>
          <w:sz w:val="24"/>
          <w:szCs w:val="24"/>
        </w:rPr>
        <w:t>contexts within the emerging technology</w:t>
      </w:r>
      <w:r w:rsidR="00DF4F55">
        <w:rPr>
          <w:rFonts w:ascii="Times New Roman" w:hAnsi="Times New Roman"/>
          <w:color w:val="222222"/>
          <w:sz w:val="24"/>
          <w:szCs w:val="24"/>
        </w:rPr>
        <w:t xml:space="preserve"> field</w:t>
      </w:r>
      <w:r w:rsidR="00AE3A06" w:rsidRPr="00AE3A06">
        <w:rPr>
          <w:rFonts w:ascii="Times New Roman" w:hAnsi="Times New Roman"/>
          <w:color w:val="222222"/>
          <w:sz w:val="24"/>
          <w:szCs w:val="24"/>
        </w:rPr>
        <w:t>. Tele</w:t>
      </w:r>
      <w:r w:rsidR="00AE3A06">
        <w:rPr>
          <w:rFonts w:ascii="Times New Roman" w:hAnsi="Times New Roman"/>
          <w:color w:val="222222"/>
          <w:sz w:val="24"/>
          <w:szCs w:val="24"/>
        </w:rPr>
        <w:t>working</w:t>
      </w:r>
      <w:r w:rsidR="00AE3A06" w:rsidRPr="00AE3A06">
        <w:rPr>
          <w:rFonts w:ascii="Times New Roman" w:hAnsi="Times New Roman"/>
          <w:color w:val="222222"/>
          <w:sz w:val="24"/>
          <w:szCs w:val="24"/>
        </w:rPr>
        <w:t>, while prevalent even before COVID-19, has assumed a distinct</w:t>
      </w:r>
      <w:r w:rsidR="00D0509F">
        <w:rPr>
          <w:rFonts w:ascii="Times New Roman" w:hAnsi="Times New Roman"/>
          <w:color w:val="222222"/>
          <w:sz w:val="24"/>
          <w:szCs w:val="24"/>
        </w:rPr>
        <w:t>ive</w:t>
      </w:r>
      <w:r w:rsidR="00AE3A06" w:rsidRPr="00AE3A06">
        <w:rPr>
          <w:rFonts w:ascii="Times New Roman" w:hAnsi="Times New Roman"/>
          <w:color w:val="222222"/>
          <w:sz w:val="24"/>
          <w:szCs w:val="24"/>
        </w:rPr>
        <w:t xml:space="preserve"> role in the post-pandemic era</w:t>
      </w:r>
      <w:r w:rsidR="00AE3A06">
        <w:rPr>
          <w:rFonts w:ascii="Times New Roman" w:hAnsi="Times New Roman"/>
          <w:color w:val="222222"/>
          <w:sz w:val="24"/>
          <w:szCs w:val="24"/>
        </w:rPr>
        <w:t xml:space="preserve">, due to the </w:t>
      </w:r>
      <w:r w:rsidR="00AE3A06" w:rsidRPr="00AE3A06">
        <w:rPr>
          <w:rFonts w:ascii="Times New Roman" w:hAnsi="Times New Roman"/>
          <w:color w:val="222222"/>
          <w:sz w:val="24"/>
          <w:szCs w:val="24"/>
        </w:rPr>
        <w:t>widespread availability of broadband communication technology in households and alternative work settings</w:t>
      </w:r>
      <w:r w:rsidR="00D0509F">
        <w:rPr>
          <w:rFonts w:ascii="Times New Roman" w:hAnsi="Times New Roman"/>
          <w:color w:val="222222"/>
          <w:sz w:val="24"/>
          <w:szCs w:val="24"/>
        </w:rPr>
        <w:t>, all of</w:t>
      </w:r>
      <w:r w:rsidR="00AE3A06" w:rsidRPr="00AE3A06">
        <w:rPr>
          <w:rFonts w:ascii="Times New Roman" w:hAnsi="Times New Roman"/>
          <w:color w:val="222222"/>
          <w:sz w:val="24"/>
          <w:szCs w:val="24"/>
        </w:rPr>
        <w:t xml:space="preserve"> </w:t>
      </w:r>
      <w:r w:rsidR="00AE3A06">
        <w:rPr>
          <w:rFonts w:ascii="Times New Roman" w:hAnsi="Times New Roman"/>
          <w:color w:val="222222"/>
          <w:sz w:val="24"/>
          <w:szCs w:val="24"/>
        </w:rPr>
        <w:t xml:space="preserve">which </w:t>
      </w:r>
      <w:r w:rsidR="00AE3A06" w:rsidRPr="00AE3A06">
        <w:rPr>
          <w:rFonts w:ascii="Times New Roman" w:hAnsi="Times New Roman"/>
          <w:color w:val="222222"/>
          <w:sz w:val="24"/>
          <w:szCs w:val="24"/>
        </w:rPr>
        <w:t>enable smooth communication, access to cloud-based applications, and video conferencing.</w:t>
      </w:r>
      <w:r w:rsidR="00AE3A06">
        <w:rPr>
          <w:rFonts w:ascii="Times New Roman" w:hAnsi="Times New Roman"/>
          <w:color w:val="222222"/>
          <w:sz w:val="24"/>
          <w:szCs w:val="24"/>
        </w:rPr>
        <w:t xml:space="preserve"> </w:t>
      </w:r>
      <w:r w:rsidR="00AE3A06" w:rsidRPr="00AE3A06">
        <w:rPr>
          <w:rFonts w:ascii="Times New Roman" w:hAnsi="Times New Roman"/>
          <w:color w:val="222222"/>
          <w:sz w:val="24"/>
          <w:szCs w:val="24"/>
        </w:rPr>
        <w:t xml:space="preserve">Similarly, online shopping </w:t>
      </w:r>
      <w:r w:rsidR="00D0509F">
        <w:rPr>
          <w:rFonts w:ascii="Times New Roman" w:hAnsi="Times New Roman"/>
          <w:color w:val="222222"/>
          <w:sz w:val="24"/>
          <w:szCs w:val="24"/>
        </w:rPr>
        <w:t xml:space="preserve">has grown as an additional (to in-person shopping) channel option </w:t>
      </w:r>
      <w:r w:rsidR="00AE3A06" w:rsidRPr="00AE3A06">
        <w:rPr>
          <w:rFonts w:ascii="Times New Roman" w:hAnsi="Times New Roman"/>
          <w:color w:val="222222"/>
          <w:sz w:val="24"/>
          <w:szCs w:val="24"/>
        </w:rPr>
        <w:t xml:space="preserve">for daily activities and appointments. </w:t>
      </w:r>
      <w:r w:rsidR="00D0509F">
        <w:rPr>
          <w:rFonts w:ascii="Times New Roman" w:hAnsi="Times New Roman"/>
          <w:color w:val="222222"/>
          <w:sz w:val="24"/>
          <w:szCs w:val="24"/>
        </w:rPr>
        <w:t xml:space="preserve">Such </w:t>
      </w:r>
      <w:r w:rsidR="00BF1038">
        <w:rPr>
          <w:rFonts w:ascii="Times New Roman" w:hAnsi="Times New Roman"/>
          <w:color w:val="222222"/>
          <w:sz w:val="24"/>
          <w:szCs w:val="24"/>
        </w:rPr>
        <w:lastRenderedPageBreak/>
        <w:t xml:space="preserve">changes in time use or rearrangement of activity participation due to emerging technology’s </w:t>
      </w:r>
      <w:r w:rsidR="00D0509F">
        <w:rPr>
          <w:rFonts w:ascii="Times New Roman" w:hAnsi="Times New Roman"/>
          <w:color w:val="222222"/>
          <w:sz w:val="24"/>
          <w:szCs w:val="24"/>
        </w:rPr>
        <w:t xml:space="preserve">digitizing </w:t>
      </w:r>
      <w:r w:rsidR="00BF1038">
        <w:rPr>
          <w:rFonts w:ascii="Times New Roman" w:hAnsi="Times New Roman"/>
          <w:color w:val="222222"/>
          <w:sz w:val="24"/>
          <w:szCs w:val="24"/>
        </w:rPr>
        <w:t xml:space="preserve">influence </w:t>
      </w:r>
      <w:r w:rsidR="00BF1038" w:rsidRPr="00BF1038">
        <w:rPr>
          <w:rFonts w:ascii="Times New Roman" w:hAnsi="Times New Roman"/>
          <w:color w:val="222222"/>
          <w:sz w:val="24"/>
          <w:szCs w:val="24"/>
        </w:rPr>
        <w:t>impact travel patterns and can be modeled using a framework similar to ours.</w:t>
      </w:r>
      <w:r w:rsidR="00BF1038">
        <w:rPr>
          <w:rFonts w:ascii="Times New Roman" w:hAnsi="Times New Roman"/>
          <w:color w:val="222222"/>
          <w:sz w:val="24"/>
          <w:szCs w:val="24"/>
        </w:rPr>
        <w:t xml:space="preserve"> </w:t>
      </w:r>
      <w:r w:rsidR="00AE3A06" w:rsidRPr="00AE3A06">
        <w:rPr>
          <w:rFonts w:ascii="Times New Roman" w:hAnsi="Times New Roman"/>
          <w:color w:val="222222"/>
          <w:sz w:val="24"/>
          <w:szCs w:val="24"/>
        </w:rPr>
        <w:t xml:space="preserve">Furthermore, advancements in vehicle technology, such as electric and autonomous features, are </w:t>
      </w:r>
      <w:r w:rsidR="00D0509F">
        <w:rPr>
          <w:rFonts w:ascii="Times New Roman" w:hAnsi="Times New Roman"/>
          <w:color w:val="222222"/>
          <w:sz w:val="24"/>
          <w:szCs w:val="24"/>
        </w:rPr>
        <w:t xml:space="preserve">also </w:t>
      </w:r>
      <w:r w:rsidR="00AE3A06" w:rsidRPr="00AE3A06">
        <w:rPr>
          <w:rFonts w:ascii="Times New Roman" w:hAnsi="Times New Roman"/>
          <w:color w:val="222222"/>
          <w:sz w:val="24"/>
          <w:szCs w:val="24"/>
        </w:rPr>
        <w:t xml:space="preserve">reshaping </w:t>
      </w:r>
      <w:r w:rsidR="00DF4F55">
        <w:rPr>
          <w:rFonts w:ascii="Times New Roman" w:hAnsi="Times New Roman"/>
          <w:color w:val="222222"/>
          <w:sz w:val="24"/>
          <w:szCs w:val="24"/>
        </w:rPr>
        <w:t xml:space="preserve">residential location choices, commute distances, </w:t>
      </w:r>
      <w:r w:rsidR="00AE3A06" w:rsidRPr="00AE3A06">
        <w:rPr>
          <w:rFonts w:ascii="Times New Roman" w:hAnsi="Times New Roman"/>
          <w:color w:val="222222"/>
          <w:sz w:val="24"/>
          <w:szCs w:val="24"/>
        </w:rPr>
        <w:t>and activity behavior</w:t>
      </w:r>
      <w:r w:rsidR="00DF4F55">
        <w:rPr>
          <w:rFonts w:ascii="Times New Roman" w:hAnsi="Times New Roman"/>
          <w:color w:val="222222"/>
          <w:sz w:val="24"/>
          <w:szCs w:val="24"/>
        </w:rPr>
        <w:t xml:space="preserve">s.  In this setting, our </w:t>
      </w:r>
      <w:r w:rsidR="00AE3A06" w:rsidRPr="00AE3A06">
        <w:rPr>
          <w:rFonts w:ascii="Times New Roman" w:hAnsi="Times New Roman"/>
          <w:color w:val="222222"/>
          <w:sz w:val="24"/>
          <w:szCs w:val="24"/>
        </w:rPr>
        <w:t>latent segmentation framework</w:t>
      </w:r>
      <w:r w:rsidR="00DF4F55">
        <w:rPr>
          <w:rFonts w:ascii="Times New Roman" w:hAnsi="Times New Roman"/>
          <w:color w:val="222222"/>
          <w:sz w:val="24"/>
          <w:szCs w:val="24"/>
        </w:rPr>
        <w:t xml:space="preserve"> can be employed to investigate </w:t>
      </w:r>
      <w:r w:rsidR="00AE3A06" w:rsidRPr="00AE3A06">
        <w:rPr>
          <w:rFonts w:ascii="Times New Roman" w:hAnsi="Times New Roman"/>
          <w:color w:val="222222"/>
          <w:sz w:val="24"/>
          <w:szCs w:val="24"/>
        </w:rPr>
        <w:t xml:space="preserve">whether the adoption of autonomous vehicle features leads to an increase in annual VMT, or whether individuals who drive more are </w:t>
      </w:r>
      <w:r w:rsidR="00DF4F55">
        <w:rPr>
          <w:rFonts w:ascii="Times New Roman" w:hAnsi="Times New Roman"/>
          <w:color w:val="222222"/>
          <w:sz w:val="24"/>
          <w:szCs w:val="24"/>
        </w:rPr>
        <w:t xml:space="preserve">predisposed to be the early adopters of </w:t>
      </w:r>
      <w:r w:rsidR="00AE3A06" w:rsidRPr="00AE3A06">
        <w:rPr>
          <w:rFonts w:ascii="Times New Roman" w:hAnsi="Times New Roman"/>
          <w:color w:val="222222"/>
          <w:sz w:val="24"/>
          <w:szCs w:val="24"/>
        </w:rPr>
        <w:t xml:space="preserve"> advanced autonomous vehicles. </w:t>
      </w:r>
      <w:r w:rsidR="00DF4F55">
        <w:rPr>
          <w:rFonts w:ascii="Times New Roman" w:hAnsi="Times New Roman"/>
          <w:color w:val="222222"/>
          <w:sz w:val="24"/>
          <w:szCs w:val="24"/>
        </w:rPr>
        <w:t>Such an</w:t>
      </w:r>
      <w:r w:rsidR="00AE3A06" w:rsidRPr="00AE3A06">
        <w:rPr>
          <w:rFonts w:ascii="Times New Roman" w:hAnsi="Times New Roman"/>
          <w:color w:val="222222"/>
          <w:sz w:val="24"/>
          <w:szCs w:val="24"/>
        </w:rPr>
        <w:t xml:space="preserve"> application </w:t>
      </w:r>
      <w:r w:rsidR="00DF4F55">
        <w:rPr>
          <w:rFonts w:ascii="Times New Roman" w:hAnsi="Times New Roman"/>
          <w:color w:val="222222"/>
          <w:sz w:val="24"/>
          <w:szCs w:val="24"/>
        </w:rPr>
        <w:t xml:space="preserve">would </w:t>
      </w:r>
      <w:r w:rsidR="00AE3A06" w:rsidRPr="00AE3A06">
        <w:rPr>
          <w:rFonts w:ascii="Times New Roman" w:hAnsi="Times New Roman"/>
          <w:color w:val="222222"/>
          <w:sz w:val="24"/>
          <w:szCs w:val="24"/>
        </w:rPr>
        <w:t xml:space="preserve">mirror a study by </w:t>
      </w:r>
      <w:r w:rsidR="00AE3A06" w:rsidRPr="009C2F61">
        <w:rPr>
          <w:rFonts w:ascii="Times New Roman" w:hAnsi="Times New Roman"/>
          <w:color w:val="222222"/>
          <w:sz w:val="24"/>
          <w:szCs w:val="24"/>
        </w:rPr>
        <w:t>Asmussen et al. (202</w:t>
      </w:r>
      <w:r w:rsidR="00BF1038" w:rsidRPr="009C2F61">
        <w:rPr>
          <w:rFonts w:ascii="Times New Roman" w:hAnsi="Times New Roman"/>
          <w:color w:val="222222"/>
          <w:sz w:val="24"/>
          <w:szCs w:val="24"/>
        </w:rPr>
        <w:t>2</w:t>
      </w:r>
      <w:r w:rsidR="00AE3A06" w:rsidRPr="009C2F61">
        <w:rPr>
          <w:rFonts w:ascii="Times New Roman" w:hAnsi="Times New Roman"/>
          <w:color w:val="222222"/>
          <w:sz w:val="24"/>
          <w:szCs w:val="24"/>
        </w:rPr>
        <w:t>)</w:t>
      </w:r>
      <w:r w:rsidR="00AE3A06" w:rsidRPr="00AE3A06">
        <w:rPr>
          <w:rFonts w:ascii="Times New Roman" w:hAnsi="Times New Roman"/>
          <w:color w:val="222222"/>
          <w:sz w:val="24"/>
          <w:szCs w:val="24"/>
        </w:rPr>
        <w:t xml:space="preserve"> on partially autom</w:t>
      </w:r>
      <w:r w:rsidR="00DF4F55">
        <w:rPr>
          <w:rFonts w:ascii="Times New Roman" w:hAnsi="Times New Roman"/>
          <w:color w:val="222222"/>
          <w:sz w:val="24"/>
          <w:szCs w:val="24"/>
        </w:rPr>
        <w:t xml:space="preserve">ated </w:t>
      </w:r>
      <w:r w:rsidR="00AE3A06" w:rsidRPr="00AE3A06">
        <w:rPr>
          <w:rFonts w:ascii="Times New Roman" w:hAnsi="Times New Roman"/>
          <w:color w:val="222222"/>
          <w:sz w:val="24"/>
          <w:szCs w:val="24"/>
        </w:rPr>
        <w:t xml:space="preserve">vehicles, where only one direction of effect was considered—specifically, whether Partially Automated Driving (PAF) technology affects annual VMT. </w:t>
      </w:r>
      <w:r w:rsidR="00DF4F55">
        <w:rPr>
          <w:rFonts w:ascii="Times New Roman" w:hAnsi="Times New Roman"/>
          <w:color w:val="222222"/>
          <w:sz w:val="24"/>
          <w:szCs w:val="24"/>
        </w:rPr>
        <w:t>E</w:t>
      </w:r>
      <w:r w:rsidR="00AE3A06" w:rsidRPr="00AE3A06">
        <w:rPr>
          <w:rFonts w:ascii="Times New Roman" w:hAnsi="Times New Roman"/>
          <w:color w:val="222222"/>
          <w:sz w:val="24"/>
          <w:szCs w:val="24"/>
        </w:rPr>
        <w:t xml:space="preserve">xploring the </w:t>
      </w:r>
      <w:r w:rsidR="00DF4F55">
        <w:rPr>
          <w:rFonts w:ascii="Times New Roman" w:hAnsi="Times New Roman"/>
          <w:color w:val="222222"/>
          <w:sz w:val="24"/>
          <w:szCs w:val="24"/>
        </w:rPr>
        <w:t>potential heterogeneity of causal pathway effects</w:t>
      </w:r>
      <w:r w:rsidR="00AE3A06" w:rsidRPr="00AE3A06">
        <w:rPr>
          <w:rFonts w:ascii="Times New Roman" w:hAnsi="Times New Roman"/>
          <w:color w:val="222222"/>
          <w:sz w:val="24"/>
          <w:szCs w:val="24"/>
        </w:rPr>
        <w:t xml:space="preserve">, as conducted in our current study, could offer valuable insights into the complex </w:t>
      </w:r>
      <w:r w:rsidR="00DF4F55">
        <w:rPr>
          <w:rFonts w:ascii="Times New Roman" w:hAnsi="Times New Roman"/>
          <w:color w:val="222222"/>
          <w:sz w:val="24"/>
          <w:szCs w:val="24"/>
        </w:rPr>
        <w:t>interplay between</w:t>
      </w:r>
      <w:r w:rsidR="00AE3A06" w:rsidRPr="00AE3A06">
        <w:rPr>
          <w:rFonts w:ascii="Times New Roman" w:hAnsi="Times New Roman"/>
          <w:color w:val="222222"/>
          <w:sz w:val="24"/>
          <w:szCs w:val="24"/>
        </w:rPr>
        <w:t xml:space="preserve"> technology adoption and travel behavior. </w:t>
      </w:r>
    </w:p>
    <w:bookmarkEnd w:id="25"/>
    <w:bookmarkEnd w:id="26"/>
    <w:p w14:paraId="70063367" w14:textId="4A2DCF87" w:rsidR="00FF4C7F" w:rsidRPr="00080EF9" w:rsidRDefault="00FF4C7F" w:rsidP="00502783">
      <w:pPr>
        <w:spacing w:after="0" w:line="240" w:lineRule="auto"/>
        <w:rPr>
          <w:color w:val="000000" w:themeColor="text1"/>
          <w:szCs w:val="24"/>
        </w:rPr>
      </w:pPr>
      <w:r w:rsidRPr="00502783">
        <w:rPr>
          <w:szCs w:val="24"/>
        </w:rPr>
        <w:tab/>
      </w:r>
      <w:r w:rsidRPr="00FA1F50">
        <w:rPr>
          <w:szCs w:val="24"/>
        </w:rPr>
        <w:t xml:space="preserve">The results from our proposed model indicate that men, younger employees, and those with higher formal education and income are more likely to be home-based teleworkers, while women (who are not single parents), older employees, rural dwellers, those with offices in medium-to-low job density areas, and healthcare workers prefer working from their </w:t>
      </w:r>
      <w:r w:rsidR="00FF6F77" w:rsidRPr="00FA1F50">
        <w:rPr>
          <w:szCs w:val="24"/>
        </w:rPr>
        <w:t>office</w:t>
      </w:r>
      <w:r w:rsidRPr="00080EF9">
        <w:rPr>
          <w:szCs w:val="24"/>
        </w:rPr>
        <w:t xml:space="preserve">. Employees likely working from third </w:t>
      </w:r>
      <w:r w:rsidR="00D04D95" w:rsidRPr="00080EF9">
        <w:rPr>
          <w:szCs w:val="24"/>
        </w:rPr>
        <w:t xml:space="preserve">WPLs </w:t>
      </w:r>
      <w:r w:rsidRPr="00080EF9">
        <w:rPr>
          <w:szCs w:val="24"/>
        </w:rPr>
        <w:t xml:space="preserve">include younger </w:t>
      </w:r>
      <w:r w:rsidR="00FF6F77" w:rsidRPr="00080EF9">
        <w:rPr>
          <w:szCs w:val="24"/>
        </w:rPr>
        <w:t xml:space="preserve">adults </w:t>
      </w:r>
      <w:r w:rsidRPr="00080EF9">
        <w:rPr>
          <w:szCs w:val="24"/>
        </w:rPr>
        <w:t>and those from higher income households. Finally, as expected, relative to having a commute distance between 8</w:t>
      </w:r>
      <w:r w:rsidR="00977CD6" w:rsidRPr="00080EF9">
        <w:rPr>
          <w:szCs w:val="24"/>
        </w:rPr>
        <w:t>.01</w:t>
      </w:r>
      <w:r w:rsidRPr="00080EF9">
        <w:rPr>
          <w:szCs w:val="24"/>
        </w:rPr>
        <w:t xml:space="preserve"> and 15 miles, those with shorter commutes are high frequency office workers, though unexpectedly, those with commutes longer than 15 miles are also high frequency </w:t>
      </w:r>
      <w:r w:rsidR="00FF6F77" w:rsidRPr="00080EF9">
        <w:rPr>
          <w:szCs w:val="24"/>
        </w:rPr>
        <w:t xml:space="preserve">office </w:t>
      </w:r>
      <w:r w:rsidRPr="00080EF9">
        <w:rPr>
          <w:szCs w:val="24"/>
        </w:rPr>
        <w:t xml:space="preserve">workers. With respect to the commute distance outcome, our results indicate that men, single parents, older employees, those with offices in medium-to-low density areas, and full-time workers, are likely to have longer commutes than their fellow counterparts. Additionally, high frequency home-based teleworkers (working over 50% of their month from their homes) are expected to have longer commute distances, while any participation in the third </w:t>
      </w:r>
      <w:r w:rsidR="00D04D95" w:rsidRPr="00080EF9">
        <w:rPr>
          <w:szCs w:val="24"/>
        </w:rPr>
        <w:t xml:space="preserve">WPL </w:t>
      </w:r>
      <w:r w:rsidRPr="00080EF9">
        <w:rPr>
          <w:szCs w:val="24"/>
        </w:rPr>
        <w:t xml:space="preserve">leads to a shorter commute. Results from the latent segmentation membership model and segment profile analysis demonstrate that about a </w:t>
      </w:r>
      <w:r w:rsidR="00865677" w:rsidRPr="00080EF9">
        <w:rPr>
          <w:szCs w:val="24"/>
        </w:rPr>
        <w:t>fifth</w:t>
      </w:r>
      <w:r w:rsidRPr="00080EF9">
        <w:rPr>
          <w:szCs w:val="24"/>
        </w:rPr>
        <w:t xml:space="preserve"> of the sample belong to the TC segment, while a larger </w:t>
      </w:r>
      <w:r w:rsidR="00865677" w:rsidRPr="00080EF9">
        <w:rPr>
          <w:szCs w:val="24"/>
        </w:rPr>
        <w:t>4</w:t>
      </w:r>
      <w:r w:rsidRPr="00080EF9">
        <w:rPr>
          <w:szCs w:val="24"/>
        </w:rPr>
        <w:t>/</w:t>
      </w:r>
      <w:r w:rsidR="00865677" w:rsidRPr="00080EF9">
        <w:rPr>
          <w:szCs w:val="24"/>
        </w:rPr>
        <w:t>5</w:t>
      </w:r>
      <w:r w:rsidRPr="00080EF9">
        <w:rPr>
          <w:szCs w:val="24"/>
          <w:vertAlign w:val="superscript"/>
        </w:rPr>
        <w:t>th</w:t>
      </w:r>
      <w:r w:rsidRPr="00080EF9">
        <w:rPr>
          <w:szCs w:val="24"/>
        </w:rPr>
        <w:t xml:space="preserve"> portion falls within the CT segment. Such a split highlights the bidirectional causal linkage between telework choices and commute distance</w:t>
      </w:r>
      <w:r w:rsidRPr="00080EF9">
        <w:rPr>
          <w:color w:val="000000" w:themeColor="text1"/>
          <w:szCs w:val="24"/>
        </w:rPr>
        <w:t xml:space="preserve">. Individuals in the TC segment </w:t>
      </w:r>
      <w:r w:rsidR="00D04D95" w:rsidRPr="00080EF9">
        <w:rPr>
          <w:color w:val="000000" w:themeColor="text1"/>
          <w:szCs w:val="24"/>
        </w:rPr>
        <w:t xml:space="preserve">are likely </w:t>
      </w:r>
      <w:r w:rsidR="00D04D95" w:rsidRPr="00080EF9">
        <w:rPr>
          <w:szCs w:val="24"/>
        </w:rPr>
        <w:t xml:space="preserve">unmarried, from </w:t>
      </w:r>
      <w:r w:rsidR="00A61E5D" w:rsidRPr="00080EF9">
        <w:rPr>
          <w:szCs w:val="24"/>
        </w:rPr>
        <w:t xml:space="preserve">households </w:t>
      </w:r>
      <w:r w:rsidRPr="00080EF9">
        <w:rPr>
          <w:szCs w:val="24"/>
        </w:rPr>
        <w:t xml:space="preserve">with </w:t>
      </w:r>
      <w:r w:rsidR="00A61E5D" w:rsidRPr="00080EF9">
        <w:rPr>
          <w:szCs w:val="24"/>
        </w:rPr>
        <w:t xml:space="preserve">older </w:t>
      </w:r>
      <w:r w:rsidRPr="00080EF9">
        <w:rPr>
          <w:szCs w:val="24"/>
        </w:rPr>
        <w:t>children</w:t>
      </w:r>
      <w:r w:rsidR="00A61E5D" w:rsidRPr="00080EF9">
        <w:rPr>
          <w:szCs w:val="24"/>
        </w:rPr>
        <w:t xml:space="preserve">, </w:t>
      </w:r>
      <w:r w:rsidR="00D04D95" w:rsidRPr="00080EF9">
        <w:rPr>
          <w:szCs w:val="24"/>
        </w:rPr>
        <w:t xml:space="preserve">are </w:t>
      </w:r>
      <w:r w:rsidRPr="00080EF9">
        <w:rPr>
          <w:szCs w:val="24"/>
        </w:rPr>
        <w:t>younger than 30 years</w:t>
      </w:r>
      <w:r w:rsidR="00D04D95" w:rsidRPr="00080EF9">
        <w:rPr>
          <w:szCs w:val="24"/>
        </w:rPr>
        <w:t xml:space="preserve"> old</w:t>
      </w:r>
      <w:r w:rsidRPr="00080EF9">
        <w:rPr>
          <w:szCs w:val="24"/>
        </w:rPr>
        <w:t xml:space="preserve">, </w:t>
      </w:r>
      <w:r w:rsidR="00D04D95" w:rsidRPr="00080EF9">
        <w:rPr>
          <w:szCs w:val="24"/>
        </w:rPr>
        <w:t>have an</w:t>
      </w:r>
      <w:r w:rsidRPr="00080EF9">
        <w:rPr>
          <w:szCs w:val="24"/>
        </w:rPr>
        <w:t xml:space="preserve"> annual </w:t>
      </w:r>
      <w:r w:rsidR="00D04D95" w:rsidRPr="00080EF9">
        <w:rPr>
          <w:szCs w:val="24"/>
        </w:rPr>
        <w:t xml:space="preserve">household </w:t>
      </w:r>
      <w:r w:rsidRPr="00080EF9">
        <w:rPr>
          <w:szCs w:val="24"/>
        </w:rPr>
        <w:t>income lower than $</w:t>
      </w:r>
      <w:r w:rsidR="00F47A84" w:rsidRPr="00080EF9">
        <w:rPr>
          <w:szCs w:val="24"/>
        </w:rPr>
        <w:t>50</w:t>
      </w:r>
      <w:r w:rsidRPr="00080EF9">
        <w:rPr>
          <w:szCs w:val="24"/>
        </w:rPr>
        <w:t xml:space="preserve">,000, and </w:t>
      </w:r>
      <w:r w:rsidR="00D04D95" w:rsidRPr="00080EF9">
        <w:rPr>
          <w:szCs w:val="24"/>
        </w:rPr>
        <w:t xml:space="preserve">reside </w:t>
      </w:r>
      <w:r w:rsidRPr="00080EF9">
        <w:rPr>
          <w:szCs w:val="24"/>
        </w:rPr>
        <w:t xml:space="preserve">in an urban or rural region. </w:t>
      </w:r>
    </w:p>
    <w:p w14:paraId="38EEE5D6" w14:textId="2600D66F" w:rsidR="00FF4C7F" w:rsidRDefault="00FF4C7F" w:rsidP="0040367B">
      <w:pPr>
        <w:spacing w:after="0" w:line="240" w:lineRule="auto"/>
        <w:rPr>
          <w:color w:val="000000" w:themeColor="text1"/>
          <w:szCs w:val="24"/>
        </w:rPr>
      </w:pPr>
      <w:r>
        <w:rPr>
          <w:color w:val="000000" w:themeColor="text1"/>
          <w:szCs w:val="24"/>
        </w:rPr>
        <w:tab/>
      </w:r>
      <w:r w:rsidRPr="00416197">
        <w:t xml:space="preserve">We further quantify the impact of teleworking on commute distances by computing the expected commute distance for several commonly observed WPL distribution preferences. Using such a metric, we note that a shift from 100% </w:t>
      </w:r>
      <w:r w:rsidR="00D04D95" w:rsidRPr="00416197">
        <w:t>office-based</w:t>
      </w:r>
      <w:r w:rsidRPr="00416197">
        <w:t xml:space="preserve"> work to 100% home-based </w:t>
      </w:r>
      <w:r w:rsidR="00D04D95" w:rsidRPr="00416197">
        <w:t>telework</w:t>
      </w:r>
      <w:r w:rsidRPr="00416197">
        <w:t xml:space="preserve"> increases average commute distance by </w:t>
      </w:r>
      <w:r w:rsidR="00FC5582">
        <w:t>64.8</w:t>
      </w:r>
      <w:r w:rsidRPr="00416197">
        <w:t xml:space="preserve">%, while working from a third </w:t>
      </w:r>
      <w:r w:rsidR="00D04D95" w:rsidRPr="00416197">
        <w:t xml:space="preserve">WPL </w:t>
      </w:r>
      <w:r w:rsidRPr="00416197">
        <w:t xml:space="preserve">for any portion of a month has little impact on commute lengths. In terms of monthly commute VMT, working from home for less than 20% of the month </w:t>
      </w:r>
      <w:r w:rsidR="00407D33" w:rsidRPr="00416197">
        <w:t xml:space="preserve">(about once a week) </w:t>
      </w:r>
      <w:r w:rsidRPr="00416197">
        <w:t>has negligible impact on VMT reduction</w:t>
      </w:r>
      <w:r w:rsidR="00D04D95" w:rsidRPr="00416197">
        <w:t>,</w:t>
      </w:r>
      <w:r w:rsidRPr="00416197">
        <w:t xml:space="preserve"> while working from home for more than </w:t>
      </w:r>
      <w:r w:rsidR="00407D33" w:rsidRPr="00416197">
        <w:t>3</w:t>
      </w:r>
      <w:r w:rsidRPr="00416197">
        <w:t>0</w:t>
      </w:r>
      <w:r w:rsidR="00407D33" w:rsidRPr="00416197">
        <w:t>-40</w:t>
      </w:r>
      <w:r w:rsidRPr="00416197">
        <w:t xml:space="preserve">% of the days </w:t>
      </w:r>
      <w:r w:rsidR="00407D33" w:rsidRPr="00416197">
        <w:t xml:space="preserve">(about twice a week) starts to have a reasonable </w:t>
      </w:r>
      <w:r w:rsidRPr="00416197">
        <w:t>impact</w:t>
      </w:r>
      <w:r w:rsidR="00FF6F77" w:rsidRPr="00416197">
        <w:t>.</w:t>
      </w:r>
      <w:r w:rsidRPr="00416197">
        <w:t xml:space="preserve"> </w:t>
      </w:r>
      <w:r w:rsidR="0031624F" w:rsidRPr="00416197">
        <w:t xml:space="preserve">Additionally, a shift from office-based work to third WPL </w:t>
      </w:r>
      <w:r w:rsidR="00D04D95" w:rsidRPr="00416197">
        <w:t>tele</w:t>
      </w:r>
      <w:r w:rsidR="0031624F" w:rsidRPr="00416197">
        <w:t>work significantly decreases average monthly commute VMT</w:t>
      </w:r>
      <w:r w:rsidR="00A61E5D" w:rsidRPr="00416197">
        <w:t>.</w:t>
      </w:r>
    </w:p>
    <w:p w14:paraId="3ABEE2EC" w14:textId="6757F9D6" w:rsidR="009418AE" w:rsidRDefault="00886EA2" w:rsidP="00E750BB">
      <w:pPr>
        <w:spacing w:after="0" w:line="240" w:lineRule="auto"/>
        <w:rPr>
          <w:szCs w:val="24"/>
        </w:rPr>
      </w:pPr>
      <w:r>
        <w:rPr>
          <w:szCs w:val="24"/>
        </w:rPr>
        <w:tab/>
      </w:r>
      <w:r w:rsidR="009418AE" w:rsidRPr="00163851">
        <w:rPr>
          <w:szCs w:val="24"/>
        </w:rPr>
        <w:t xml:space="preserve">As with any </w:t>
      </w:r>
      <w:r w:rsidR="00FF6F77">
        <w:rPr>
          <w:szCs w:val="24"/>
        </w:rPr>
        <w:t>research investigation</w:t>
      </w:r>
      <w:r w:rsidR="009418AE" w:rsidRPr="00163851">
        <w:rPr>
          <w:szCs w:val="24"/>
        </w:rPr>
        <w:t xml:space="preserve">, there are </w:t>
      </w:r>
      <w:r w:rsidR="00FF4C7F">
        <w:rPr>
          <w:szCs w:val="24"/>
        </w:rPr>
        <w:t>several directions</w:t>
      </w:r>
      <w:r w:rsidR="009418AE" w:rsidRPr="00163851">
        <w:rPr>
          <w:szCs w:val="24"/>
        </w:rPr>
        <w:t xml:space="preserve"> for future research. </w:t>
      </w:r>
      <w:r w:rsidR="00080EF9">
        <w:rPr>
          <w:szCs w:val="24"/>
        </w:rPr>
        <w:t>W</w:t>
      </w:r>
      <w:r w:rsidR="009418AE" w:rsidRPr="00163851">
        <w:rPr>
          <w:szCs w:val="24"/>
        </w:rPr>
        <w:t xml:space="preserve">hile this study explores multiple dimensions of commute distance, it was limited to only the commute distance to the </w:t>
      </w:r>
      <w:r w:rsidR="00FF6F77">
        <w:rPr>
          <w:szCs w:val="24"/>
        </w:rPr>
        <w:t>office</w:t>
      </w:r>
      <w:r w:rsidR="009418AE" w:rsidRPr="00163851">
        <w:rPr>
          <w:szCs w:val="24"/>
        </w:rPr>
        <w:t xml:space="preserve">. Commute distance to a third </w:t>
      </w:r>
      <w:r w:rsidR="00D04D95">
        <w:rPr>
          <w:szCs w:val="24"/>
        </w:rPr>
        <w:t>WPL</w:t>
      </w:r>
      <w:r w:rsidR="00D04D95" w:rsidRPr="00163851">
        <w:rPr>
          <w:szCs w:val="24"/>
        </w:rPr>
        <w:t xml:space="preserve"> </w:t>
      </w:r>
      <w:r w:rsidR="009418AE" w:rsidRPr="00163851">
        <w:rPr>
          <w:szCs w:val="24"/>
        </w:rPr>
        <w:t xml:space="preserve">was not considered, and therefore limited information </w:t>
      </w:r>
      <w:r w:rsidR="00FF6F77">
        <w:rPr>
          <w:szCs w:val="24"/>
        </w:rPr>
        <w:t xml:space="preserve">is available </w:t>
      </w:r>
      <w:r w:rsidR="009418AE" w:rsidRPr="00163851">
        <w:rPr>
          <w:szCs w:val="24"/>
        </w:rPr>
        <w:t xml:space="preserve">on </w:t>
      </w:r>
      <w:r w:rsidR="00FF6F77">
        <w:rPr>
          <w:szCs w:val="24"/>
        </w:rPr>
        <w:t>overall VMT changes due to third WPL participation. Further, b</w:t>
      </w:r>
      <w:r w:rsidR="009418AE" w:rsidRPr="00163851">
        <w:rPr>
          <w:szCs w:val="24"/>
        </w:rPr>
        <w:t xml:space="preserve">ecause </w:t>
      </w:r>
      <w:r w:rsidR="00F97D1D">
        <w:rPr>
          <w:szCs w:val="24"/>
        </w:rPr>
        <w:t>the</w:t>
      </w:r>
      <w:r w:rsidR="00F97D1D" w:rsidRPr="00163851">
        <w:rPr>
          <w:szCs w:val="24"/>
        </w:rPr>
        <w:t xml:space="preserve"> </w:t>
      </w:r>
      <w:r w:rsidR="009418AE" w:rsidRPr="00163851">
        <w:rPr>
          <w:szCs w:val="24"/>
        </w:rPr>
        <w:t xml:space="preserve">third workplace </w:t>
      </w:r>
      <w:r w:rsidR="00F97D1D">
        <w:rPr>
          <w:szCs w:val="24"/>
        </w:rPr>
        <w:t>location</w:t>
      </w:r>
      <w:r w:rsidR="009418AE" w:rsidRPr="00163851">
        <w:rPr>
          <w:szCs w:val="24"/>
        </w:rPr>
        <w:t xml:space="preserve"> </w:t>
      </w:r>
      <w:r w:rsidR="00F97D1D">
        <w:rPr>
          <w:szCs w:val="24"/>
        </w:rPr>
        <w:t>may</w:t>
      </w:r>
      <w:r w:rsidR="00F97D1D" w:rsidRPr="00163851">
        <w:rPr>
          <w:szCs w:val="24"/>
        </w:rPr>
        <w:t xml:space="preserve"> </w:t>
      </w:r>
      <w:r w:rsidR="009418AE" w:rsidRPr="00163851">
        <w:rPr>
          <w:szCs w:val="24"/>
        </w:rPr>
        <w:t xml:space="preserve">change </w:t>
      </w:r>
      <w:r w:rsidR="00F97D1D">
        <w:rPr>
          <w:szCs w:val="24"/>
        </w:rPr>
        <w:t>at each occasion</w:t>
      </w:r>
      <w:r w:rsidR="009418AE" w:rsidRPr="00163851">
        <w:rPr>
          <w:szCs w:val="24"/>
        </w:rPr>
        <w:t xml:space="preserve">, there may even be multiple third </w:t>
      </w:r>
      <w:r w:rsidR="00D04D95">
        <w:rPr>
          <w:szCs w:val="24"/>
        </w:rPr>
        <w:t>WPL</w:t>
      </w:r>
      <w:r w:rsidR="009418AE" w:rsidRPr="00163851">
        <w:rPr>
          <w:szCs w:val="24"/>
        </w:rPr>
        <w:t xml:space="preserve"> commute distances. </w:t>
      </w:r>
      <w:r w:rsidR="00FF6F77">
        <w:rPr>
          <w:szCs w:val="24"/>
        </w:rPr>
        <w:t xml:space="preserve">These issues warrant additional attention in future studies. </w:t>
      </w:r>
      <w:r w:rsidR="009418AE" w:rsidRPr="00163851">
        <w:rPr>
          <w:szCs w:val="24"/>
        </w:rPr>
        <w:t xml:space="preserve">Additionally, while </w:t>
      </w:r>
      <w:r w:rsidR="009418AE" w:rsidRPr="00163851">
        <w:rPr>
          <w:szCs w:val="24"/>
        </w:rPr>
        <w:lastRenderedPageBreak/>
        <w:t>the sample size for this research is reasonable (</w:t>
      </w:r>
      <w:r w:rsidR="00D34242" w:rsidRPr="00163851">
        <w:rPr>
          <w:szCs w:val="24"/>
        </w:rPr>
        <w:t xml:space="preserve">824 </w:t>
      </w:r>
      <w:r w:rsidR="009418AE" w:rsidRPr="00163851">
        <w:rPr>
          <w:szCs w:val="24"/>
        </w:rPr>
        <w:t>respondents), a larger sample size</w:t>
      </w:r>
      <w:r w:rsidR="00FF6F77">
        <w:rPr>
          <w:szCs w:val="24"/>
        </w:rPr>
        <w:t>s</w:t>
      </w:r>
      <w:r w:rsidR="009418AE" w:rsidRPr="00163851">
        <w:rPr>
          <w:szCs w:val="24"/>
        </w:rPr>
        <w:t xml:space="preserve"> in future work </w:t>
      </w:r>
      <w:r w:rsidR="00431696">
        <w:rPr>
          <w:szCs w:val="24"/>
        </w:rPr>
        <w:t xml:space="preserve">would be better able to more definitively characterize (or at least confirm) the effects of variables found in the current study, and the relative sizes of the two causal pathway segments. It would also </w:t>
      </w:r>
      <w:r w:rsidR="00F97D1D">
        <w:rPr>
          <w:szCs w:val="24"/>
        </w:rPr>
        <w:t>help estimate</w:t>
      </w:r>
      <w:r w:rsidR="00F97D1D" w:rsidRPr="00163851">
        <w:rPr>
          <w:szCs w:val="24"/>
        </w:rPr>
        <w:t xml:space="preserve"> </w:t>
      </w:r>
      <w:r w:rsidR="009418AE" w:rsidRPr="00163851">
        <w:rPr>
          <w:szCs w:val="24"/>
        </w:rPr>
        <w:t xml:space="preserve">additional interactions among variables that could not be identified in the current study. </w:t>
      </w:r>
      <w:r w:rsidR="00FF6F77">
        <w:rPr>
          <w:szCs w:val="24"/>
        </w:rPr>
        <w:t>Despite these limitations</w:t>
      </w:r>
      <w:r>
        <w:rPr>
          <w:szCs w:val="24"/>
        </w:rPr>
        <w:t xml:space="preserve">, </w:t>
      </w:r>
      <w:r w:rsidR="004748C2">
        <w:rPr>
          <w:szCs w:val="24"/>
        </w:rPr>
        <w:t>o</w:t>
      </w:r>
      <w:r>
        <w:rPr>
          <w:szCs w:val="24"/>
        </w:rPr>
        <w:t>ur study provides</w:t>
      </w:r>
      <w:r w:rsidR="004748C2">
        <w:rPr>
          <w:szCs w:val="24"/>
        </w:rPr>
        <w:t xml:space="preserve"> </w:t>
      </w:r>
      <w:r>
        <w:rPr>
          <w:szCs w:val="24"/>
        </w:rPr>
        <w:t xml:space="preserve">a </w:t>
      </w:r>
      <w:r w:rsidR="004748C2">
        <w:rPr>
          <w:szCs w:val="24"/>
        </w:rPr>
        <w:t>methodical</w:t>
      </w:r>
      <w:r>
        <w:rPr>
          <w:szCs w:val="24"/>
        </w:rPr>
        <w:t xml:space="preserve"> approach </w:t>
      </w:r>
      <w:r w:rsidR="004748C2">
        <w:rPr>
          <w:szCs w:val="24"/>
        </w:rPr>
        <w:t>to</w:t>
      </w:r>
      <w:r>
        <w:rPr>
          <w:szCs w:val="24"/>
        </w:rPr>
        <w:t xml:space="preserve"> explor</w:t>
      </w:r>
      <w:r w:rsidR="004748C2">
        <w:rPr>
          <w:szCs w:val="24"/>
        </w:rPr>
        <w:t>e</w:t>
      </w:r>
      <w:r>
        <w:rPr>
          <w:szCs w:val="24"/>
        </w:rPr>
        <w:t xml:space="preserve"> </w:t>
      </w:r>
      <w:r w:rsidR="004748C2">
        <w:rPr>
          <w:szCs w:val="24"/>
        </w:rPr>
        <w:t>the nuanced and intricate interplay between telework</w:t>
      </w:r>
      <w:r>
        <w:rPr>
          <w:szCs w:val="24"/>
        </w:rPr>
        <w:t xml:space="preserve"> </w:t>
      </w:r>
      <w:r w:rsidR="00276BAD">
        <w:rPr>
          <w:szCs w:val="24"/>
        </w:rPr>
        <w:t>arrangements</w:t>
      </w:r>
      <w:r>
        <w:rPr>
          <w:szCs w:val="24"/>
        </w:rPr>
        <w:t xml:space="preserve"> and residential location </w:t>
      </w:r>
      <w:r w:rsidR="004748C2">
        <w:rPr>
          <w:szCs w:val="24"/>
        </w:rPr>
        <w:t>decisions</w:t>
      </w:r>
      <w:r w:rsidR="00276BAD">
        <w:rPr>
          <w:szCs w:val="24"/>
        </w:rPr>
        <w:t>.</w:t>
      </w:r>
      <w:r w:rsidR="004748C2">
        <w:rPr>
          <w:szCs w:val="24"/>
        </w:rPr>
        <w:t xml:space="preserve"> T</w:t>
      </w:r>
      <w:r w:rsidR="00276BAD">
        <w:rPr>
          <w:szCs w:val="24"/>
        </w:rPr>
        <w:t xml:space="preserve">he findings </w:t>
      </w:r>
      <w:r w:rsidR="004748C2">
        <w:rPr>
          <w:szCs w:val="24"/>
        </w:rPr>
        <w:t xml:space="preserve">provide important insights into the commute VMT effects of teleworking, </w:t>
      </w:r>
      <w:r w:rsidR="00FF6F77">
        <w:rPr>
          <w:szCs w:val="24"/>
        </w:rPr>
        <w:t xml:space="preserve">which can serve as valuable input to </w:t>
      </w:r>
      <w:r w:rsidR="004748C2">
        <w:rPr>
          <w:szCs w:val="24"/>
        </w:rPr>
        <w:t>land-use and traffic management polic</w:t>
      </w:r>
      <w:r w:rsidR="00FF6F77">
        <w:rPr>
          <w:szCs w:val="24"/>
        </w:rPr>
        <w:t xml:space="preserve">ies. </w:t>
      </w:r>
    </w:p>
    <w:p w14:paraId="263314E6" w14:textId="77777777" w:rsidR="005475AF" w:rsidRDefault="005475AF" w:rsidP="0040367B">
      <w:pPr>
        <w:spacing w:after="0" w:line="240" w:lineRule="auto"/>
        <w:ind w:firstLine="720"/>
        <w:rPr>
          <w:szCs w:val="24"/>
        </w:rPr>
      </w:pPr>
    </w:p>
    <w:p w14:paraId="206976D8" w14:textId="77777777" w:rsidR="005475AF" w:rsidRPr="005475AF" w:rsidRDefault="005475AF" w:rsidP="005475AF">
      <w:pPr>
        <w:spacing w:after="0" w:line="240" w:lineRule="auto"/>
        <w:rPr>
          <w:b/>
          <w:bCs/>
        </w:rPr>
      </w:pPr>
      <w:bookmarkStart w:id="27" w:name="_Hlk167452063"/>
      <w:r w:rsidRPr="005475AF">
        <w:rPr>
          <w:b/>
          <w:bCs/>
        </w:rPr>
        <w:t xml:space="preserve">ACKNOWLEDGEMENTS </w:t>
      </w:r>
    </w:p>
    <w:p w14:paraId="157D4E0F" w14:textId="67FB00E7" w:rsidR="005475AF" w:rsidRDefault="00351D1D" w:rsidP="00035512">
      <w:r w:rsidRPr="00351D1D">
        <w:t>This research was partially supported by the U.S. Department of Transportation through the Center for Understanding Future Travel Behavior and Demand (TBD) (Grant No. 69A3552344815 and No. 69A3552348320).</w:t>
      </w:r>
      <w:r>
        <w:t xml:space="preserve"> </w:t>
      </w:r>
      <w:r>
        <w:t xml:space="preserve">The survey data used in this paper was collected as part of a Texas Department of Transportation (TxDOT) funded project. The authors are grateful to Lisa Macias and Sarah McGavick for help in survey instrument design, and Lisa Macias for additional help in formatting this document. Three anonymous reviewers provided useful comments on an earlier version of this paper. Finally, the authors thank </w:t>
      </w:r>
      <w:proofErr w:type="spellStart"/>
      <w:r>
        <w:t>Michiel</w:t>
      </w:r>
      <w:proofErr w:type="spellEnd"/>
      <w:r>
        <w:t xml:space="preserve"> </w:t>
      </w:r>
      <w:proofErr w:type="spellStart"/>
      <w:r>
        <w:t>Bliemer</w:t>
      </w:r>
      <w:proofErr w:type="spellEnd"/>
      <w:r>
        <w:t xml:space="preserve"> for feedback that helped in preparing the revised version.</w:t>
      </w:r>
    </w:p>
    <w:bookmarkEnd w:id="27"/>
    <w:p w14:paraId="1C202A1D" w14:textId="77777777" w:rsidR="005475AF" w:rsidRPr="00163851" w:rsidRDefault="005475AF" w:rsidP="005475AF">
      <w:pPr>
        <w:spacing w:after="0" w:line="240" w:lineRule="auto"/>
        <w:rPr>
          <w:szCs w:val="24"/>
        </w:rPr>
      </w:pPr>
    </w:p>
    <w:bookmarkEnd w:id="24"/>
    <w:p w14:paraId="0299DF46" w14:textId="43C876D1" w:rsidR="005475AF" w:rsidRPr="00DD0807" w:rsidRDefault="005475AF" w:rsidP="005475AF">
      <w:pPr>
        <w:spacing w:after="0"/>
        <w:ind w:left="540" w:hanging="540"/>
        <w:rPr>
          <w:b/>
          <w:color w:val="222222"/>
          <w:szCs w:val="24"/>
          <w:shd w:val="clear" w:color="auto" w:fill="FFFFFF"/>
        </w:rPr>
      </w:pPr>
      <w:r w:rsidRPr="00DD0807">
        <w:rPr>
          <w:b/>
          <w:color w:val="222222"/>
          <w:szCs w:val="24"/>
          <w:shd w:val="clear" w:color="auto" w:fill="FFFFFF"/>
        </w:rPr>
        <w:t>REFERENCES</w:t>
      </w:r>
    </w:p>
    <w:p w14:paraId="133C2830" w14:textId="77777777" w:rsidR="00733550" w:rsidRPr="00733550" w:rsidRDefault="00733550" w:rsidP="00733550">
      <w:pPr>
        <w:tabs>
          <w:tab w:val="left" w:pos="630"/>
        </w:tabs>
        <w:spacing w:after="0" w:line="240" w:lineRule="auto"/>
        <w:ind w:left="540" w:hanging="540"/>
        <w:rPr>
          <w:bCs/>
          <w:color w:val="222222"/>
          <w:szCs w:val="24"/>
          <w:shd w:val="clear" w:color="auto" w:fill="FFFFFF"/>
        </w:rPr>
      </w:pPr>
      <w:proofErr w:type="spellStart"/>
      <w:r w:rsidRPr="00733550">
        <w:rPr>
          <w:bCs/>
          <w:color w:val="222222"/>
          <w:szCs w:val="24"/>
          <w:shd w:val="clear" w:color="auto" w:fill="FFFFFF"/>
        </w:rPr>
        <w:t>Adobati</w:t>
      </w:r>
      <w:proofErr w:type="spellEnd"/>
      <w:r w:rsidRPr="00733550">
        <w:rPr>
          <w:bCs/>
          <w:color w:val="222222"/>
          <w:szCs w:val="24"/>
          <w:shd w:val="clear" w:color="auto" w:fill="FFFFFF"/>
        </w:rPr>
        <w:t xml:space="preserve">, F., and </w:t>
      </w:r>
      <w:proofErr w:type="spellStart"/>
      <w:r w:rsidRPr="00733550">
        <w:rPr>
          <w:bCs/>
          <w:color w:val="222222"/>
          <w:szCs w:val="24"/>
          <w:shd w:val="clear" w:color="auto" w:fill="FFFFFF"/>
        </w:rPr>
        <w:t>Debernardi</w:t>
      </w:r>
      <w:proofErr w:type="spellEnd"/>
      <w:r w:rsidRPr="00733550">
        <w:rPr>
          <w:bCs/>
          <w:color w:val="222222"/>
          <w:szCs w:val="24"/>
          <w:shd w:val="clear" w:color="auto" w:fill="FFFFFF"/>
        </w:rPr>
        <w:t>, A. (2022). The breath of the Metropolis: Smart working and new urban geographies. </w:t>
      </w:r>
      <w:r w:rsidRPr="00733550">
        <w:rPr>
          <w:bCs/>
          <w:i/>
          <w:iCs/>
          <w:color w:val="222222"/>
          <w:szCs w:val="24"/>
          <w:shd w:val="clear" w:color="auto" w:fill="FFFFFF"/>
        </w:rPr>
        <w:t>Sustainability</w:t>
      </w:r>
      <w:r w:rsidRPr="00733550">
        <w:rPr>
          <w:bCs/>
          <w:color w:val="222222"/>
          <w:szCs w:val="24"/>
          <w:shd w:val="clear" w:color="auto" w:fill="FFFFFF"/>
        </w:rPr>
        <w:t>, </w:t>
      </w:r>
      <w:r w:rsidRPr="00733550">
        <w:rPr>
          <w:bCs/>
          <w:i/>
          <w:iCs/>
          <w:color w:val="222222"/>
          <w:szCs w:val="24"/>
          <w:shd w:val="clear" w:color="auto" w:fill="FFFFFF"/>
        </w:rPr>
        <w:t>14</w:t>
      </w:r>
      <w:r w:rsidRPr="00733550">
        <w:rPr>
          <w:bCs/>
          <w:color w:val="222222"/>
          <w:szCs w:val="24"/>
          <w:shd w:val="clear" w:color="auto" w:fill="FFFFFF"/>
        </w:rPr>
        <w:t>(2), 1028.</w:t>
      </w:r>
    </w:p>
    <w:p w14:paraId="05DE7336" w14:textId="22F54CC1" w:rsidR="00733550" w:rsidRPr="00F61E00" w:rsidRDefault="00733550" w:rsidP="00733550">
      <w:pPr>
        <w:tabs>
          <w:tab w:val="left" w:pos="630"/>
        </w:tabs>
        <w:spacing w:after="0" w:line="240" w:lineRule="auto"/>
        <w:ind w:left="540" w:hanging="540"/>
        <w:rPr>
          <w:bCs/>
          <w:color w:val="222222"/>
          <w:szCs w:val="24"/>
          <w:shd w:val="clear" w:color="auto" w:fill="FFFFFF"/>
        </w:rPr>
      </w:pPr>
      <w:r w:rsidRPr="00F61E00">
        <w:rPr>
          <w:bCs/>
          <w:color w:val="222222"/>
          <w:szCs w:val="24"/>
          <w:shd w:val="clear" w:color="auto" w:fill="FFFFFF"/>
        </w:rPr>
        <w:t xml:space="preserve">Agarwal, </w:t>
      </w:r>
      <w:r w:rsidR="00F61E00" w:rsidRPr="00F61E00">
        <w:rPr>
          <w:bCs/>
          <w:color w:val="222222"/>
          <w:szCs w:val="24"/>
          <w:shd w:val="clear" w:color="auto" w:fill="FFFFFF"/>
        </w:rPr>
        <w:t>M</w:t>
      </w:r>
      <w:r w:rsidRPr="00F61E00">
        <w:rPr>
          <w:bCs/>
          <w:color w:val="222222"/>
          <w:szCs w:val="24"/>
          <w:shd w:val="clear" w:color="auto" w:fill="FFFFFF"/>
        </w:rPr>
        <w:t>.</w:t>
      </w:r>
      <w:r w:rsidR="00F61E00" w:rsidRPr="00F61E00">
        <w:rPr>
          <w:bCs/>
          <w:color w:val="222222"/>
          <w:szCs w:val="24"/>
          <w:shd w:val="clear" w:color="auto" w:fill="FFFFFF"/>
        </w:rPr>
        <w:t xml:space="preserve"> </w:t>
      </w:r>
      <w:r w:rsidRPr="00F61E00">
        <w:rPr>
          <w:bCs/>
          <w:color w:val="222222"/>
          <w:szCs w:val="24"/>
          <w:shd w:val="clear" w:color="auto" w:fill="FFFFFF"/>
        </w:rPr>
        <w:t>(202</w:t>
      </w:r>
      <w:r w:rsidR="00F61E00" w:rsidRPr="00F61E00">
        <w:rPr>
          <w:bCs/>
          <w:color w:val="222222"/>
          <w:szCs w:val="24"/>
          <w:shd w:val="clear" w:color="auto" w:fill="FFFFFF"/>
        </w:rPr>
        <w:t>3, September</w:t>
      </w:r>
      <w:r w:rsidRPr="00F61E00">
        <w:rPr>
          <w:bCs/>
          <w:color w:val="222222"/>
          <w:szCs w:val="24"/>
          <w:shd w:val="clear" w:color="auto" w:fill="FFFFFF"/>
        </w:rPr>
        <w:t xml:space="preserve">). </w:t>
      </w:r>
      <w:r w:rsidR="00F61E00" w:rsidRPr="00F61E00">
        <w:rPr>
          <w:bCs/>
          <w:i/>
          <w:iCs/>
          <w:color w:val="222222"/>
          <w:szCs w:val="24"/>
          <w:shd w:val="clear" w:color="auto" w:fill="FFFFFF"/>
        </w:rPr>
        <w:t xml:space="preserve">The Transformational Impact of Technology on Remote Work </w:t>
      </w:r>
      <w:r w:rsidR="00F61E00" w:rsidRPr="00F61E00">
        <w:rPr>
          <w:bCs/>
          <w:color w:val="222222"/>
          <w:szCs w:val="24"/>
          <w:shd w:val="clear" w:color="auto" w:fill="FFFFFF"/>
        </w:rPr>
        <w:t>[Post]</w:t>
      </w:r>
      <w:r w:rsidRPr="00F61E00">
        <w:rPr>
          <w:bCs/>
          <w:color w:val="222222"/>
          <w:szCs w:val="24"/>
          <w:shd w:val="clear" w:color="auto" w:fill="FFFFFF"/>
        </w:rPr>
        <w:t xml:space="preserve">. </w:t>
      </w:r>
      <w:r w:rsidR="00F61E00" w:rsidRPr="00F61E00">
        <w:rPr>
          <w:bCs/>
          <w:color w:val="222222"/>
          <w:szCs w:val="24"/>
          <w:shd w:val="clear" w:color="auto" w:fill="FFFFFF"/>
        </w:rPr>
        <w:t>LinkedIn</w:t>
      </w:r>
      <w:r w:rsidR="00F61E00">
        <w:rPr>
          <w:bCs/>
          <w:color w:val="222222"/>
          <w:szCs w:val="24"/>
          <w:shd w:val="clear" w:color="auto" w:fill="FFFFFF"/>
        </w:rPr>
        <w:t xml:space="preserve">. </w:t>
      </w:r>
      <w:hyperlink r:id="rId408" w:history="1">
        <w:r w:rsidR="00F61E00" w:rsidRPr="00E63AE0">
          <w:rPr>
            <w:rStyle w:val="Hyperlink"/>
            <w:bCs/>
            <w:szCs w:val="24"/>
            <w:shd w:val="clear" w:color="auto" w:fill="FFFFFF"/>
          </w:rPr>
          <w:t>https://www.linkedin.com/pulse/transformational-impact-technology-remote-work-mayank-agarwal/</w:t>
        </w:r>
      </w:hyperlink>
      <w:r w:rsidR="00F61E00">
        <w:rPr>
          <w:bCs/>
          <w:color w:val="222222"/>
          <w:szCs w:val="24"/>
          <w:shd w:val="clear" w:color="auto" w:fill="FFFFFF"/>
        </w:rPr>
        <w:t xml:space="preserve">. </w:t>
      </w:r>
    </w:p>
    <w:p w14:paraId="41F693D1" w14:textId="15771F1F" w:rsidR="00733550" w:rsidRPr="00733550" w:rsidRDefault="00733550" w:rsidP="00733550">
      <w:pPr>
        <w:tabs>
          <w:tab w:val="left" w:pos="630"/>
        </w:tabs>
        <w:spacing w:after="0" w:line="240" w:lineRule="auto"/>
        <w:ind w:left="540" w:hanging="540"/>
        <w:rPr>
          <w:rStyle w:val="Hyperlink"/>
          <w:bCs/>
          <w:szCs w:val="24"/>
        </w:rPr>
      </w:pPr>
      <w:bookmarkStart w:id="28" w:name="_Hlk126060810"/>
      <w:r w:rsidRPr="00733550">
        <w:rPr>
          <w:bCs/>
          <w:szCs w:val="24"/>
        </w:rPr>
        <w:t xml:space="preserve">Alonso, A., </w:t>
      </w:r>
      <w:proofErr w:type="spellStart"/>
      <w:r w:rsidRPr="00733550">
        <w:rPr>
          <w:bCs/>
          <w:szCs w:val="24"/>
        </w:rPr>
        <w:t>Monzon</w:t>
      </w:r>
      <w:proofErr w:type="spellEnd"/>
      <w:r w:rsidRPr="00733550">
        <w:rPr>
          <w:bCs/>
          <w:szCs w:val="24"/>
        </w:rPr>
        <w:t xml:space="preserve">, A., and Wang, Y. (2017). Modelling land use and transport policies to measure their contribution to urban challenges: The case of Madrid. </w:t>
      </w:r>
      <w:r w:rsidRPr="00733550">
        <w:rPr>
          <w:bCs/>
          <w:i/>
          <w:szCs w:val="24"/>
        </w:rPr>
        <w:t>Sustainability</w:t>
      </w:r>
      <w:r w:rsidRPr="00733550">
        <w:rPr>
          <w:bCs/>
          <w:szCs w:val="24"/>
        </w:rPr>
        <w:t xml:space="preserve">, </w:t>
      </w:r>
      <w:r w:rsidRPr="00733550">
        <w:rPr>
          <w:bCs/>
          <w:i/>
          <w:szCs w:val="24"/>
        </w:rPr>
        <w:t>9</w:t>
      </w:r>
      <w:r w:rsidRPr="00733550">
        <w:rPr>
          <w:bCs/>
          <w:szCs w:val="24"/>
        </w:rPr>
        <w:t>(3), 378.</w:t>
      </w:r>
    </w:p>
    <w:p w14:paraId="2B91916B" w14:textId="25CD5DA9" w:rsidR="00733550" w:rsidRPr="00733550" w:rsidRDefault="00733550" w:rsidP="00733550">
      <w:pPr>
        <w:tabs>
          <w:tab w:val="left" w:pos="630"/>
        </w:tabs>
        <w:spacing w:after="0" w:line="240" w:lineRule="auto"/>
        <w:ind w:left="540" w:hanging="540"/>
        <w:rPr>
          <w:rStyle w:val="Hyperlink"/>
          <w:bCs/>
          <w:color w:val="auto"/>
          <w:szCs w:val="24"/>
          <w:u w:val="none"/>
        </w:rPr>
      </w:pPr>
      <w:r w:rsidRPr="00733550">
        <w:rPr>
          <w:bCs/>
          <w:szCs w:val="24"/>
        </w:rPr>
        <w:t xml:space="preserve">Anderson, M., Guido-Sanz, F., Talbert, S., Blackwell, C. W., Dial, M., McMahan, R. P., and Diaz, D. A. (2022). Augmented Reality (AR) as a </w:t>
      </w:r>
      <w:proofErr w:type="spellStart"/>
      <w:r w:rsidR="000A71F2">
        <w:rPr>
          <w:bCs/>
          <w:szCs w:val="24"/>
        </w:rPr>
        <w:t>p</w:t>
      </w:r>
      <w:r w:rsidRPr="00733550">
        <w:rPr>
          <w:bCs/>
          <w:szCs w:val="24"/>
        </w:rPr>
        <w:t>rebrief</w:t>
      </w:r>
      <w:proofErr w:type="spellEnd"/>
      <w:r w:rsidRPr="00733550">
        <w:rPr>
          <w:bCs/>
          <w:szCs w:val="24"/>
        </w:rPr>
        <w:t xml:space="preserve"> for </w:t>
      </w:r>
      <w:r w:rsidR="000A71F2">
        <w:rPr>
          <w:bCs/>
          <w:szCs w:val="24"/>
        </w:rPr>
        <w:t>a</w:t>
      </w:r>
      <w:r w:rsidRPr="00733550">
        <w:rPr>
          <w:bCs/>
          <w:szCs w:val="24"/>
        </w:rPr>
        <w:t xml:space="preserve">cute </w:t>
      </w:r>
      <w:r w:rsidR="000A71F2">
        <w:rPr>
          <w:bCs/>
          <w:szCs w:val="24"/>
        </w:rPr>
        <w:t>c</w:t>
      </w:r>
      <w:r w:rsidRPr="00733550">
        <w:rPr>
          <w:bCs/>
          <w:szCs w:val="24"/>
        </w:rPr>
        <w:t xml:space="preserve">are </w:t>
      </w:r>
      <w:r w:rsidR="000A71F2">
        <w:rPr>
          <w:bCs/>
          <w:szCs w:val="24"/>
        </w:rPr>
        <w:t>s</w:t>
      </w:r>
      <w:r w:rsidRPr="00733550">
        <w:rPr>
          <w:bCs/>
          <w:szCs w:val="24"/>
        </w:rPr>
        <w:t xml:space="preserve">imulation. </w:t>
      </w:r>
      <w:r w:rsidRPr="00733550">
        <w:rPr>
          <w:bCs/>
          <w:i/>
          <w:iCs/>
          <w:szCs w:val="24"/>
        </w:rPr>
        <w:t>Clinical Simulation in Nursing, 69</w:t>
      </w:r>
      <w:r w:rsidRPr="00733550">
        <w:rPr>
          <w:bCs/>
          <w:szCs w:val="24"/>
        </w:rPr>
        <w:t xml:space="preserve">, 40-48. </w:t>
      </w:r>
    </w:p>
    <w:p w14:paraId="0A847D35" w14:textId="59968079" w:rsidR="00733550" w:rsidRPr="00733550" w:rsidRDefault="00733550" w:rsidP="00733550">
      <w:pPr>
        <w:tabs>
          <w:tab w:val="left" w:pos="630"/>
        </w:tabs>
        <w:spacing w:after="0" w:line="240" w:lineRule="auto"/>
        <w:ind w:left="540" w:hanging="540"/>
        <w:rPr>
          <w:szCs w:val="24"/>
          <w:shd w:val="clear" w:color="auto" w:fill="FFFFFF"/>
        </w:rPr>
      </w:pPr>
      <w:r w:rsidRPr="00733550">
        <w:rPr>
          <w:szCs w:val="24"/>
          <w:shd w:val="clear" w:color="auto" w:fill="FFFFFF"/>
        </w:rPr>
        <w:t>Andrey, J.</w:t>
      </w:r>
      <w:r>
        <w:rPr>
          <w:szCs w:val="24"/>
          <w:shd w:val="clear" w:color="auto" w:fill="FFFFFF"/>
        </w:rPr>
        <w:t xml:space="preserve"> </w:t>
      </w:r>
      <w:r w:rsidRPr="00733550">
        <w:rPr>
          <w:szCs w:val="24"/>
          <w:shd w:val="clear" w:color="auto" w:fill="FFFFFF"/>
        </w:rPr>
        <w:t>C., Burns, K.</w:t>
      </w:r>
      <w:r>
        <w:rPr>
          <w:szCs w:val="24"/>
          <w:shd w:val="clear" w:color="auto" w:fill="FFFFFF"/>
        </w:rPr>
        <w:t xml:space="preserve"> </w:t>
      </w:r>
      <w:r w:rsidRPr="00733550">
        <w:rPr>
          <w:szCs w:val="24"/>
          <w:shd w:val="clear" w:color="auto" w:fill="FFFFFF"/>
        </w:rPr>
        <w:t>R., and Doherty, S.</w:t>
      </w:r>
      <w:r>
        <w:rPr>
          <w:szCs w:val="24"/>
          <w:shd w:val="clear" w:color="auto" w:fill="FFFFFF"/>
        </w:rPr>
        <w:t xml:space="preserve"> </w:t>
      </w:r>
      <w:r w:rsidRPr="00733550">
        <w:rPr>
          <w:szCs w:val="24"/>
          <w:shd w:val="clear" w:color="auto" w:fill="FFFFFF"/>
        </w:rPr>
        <w:t>T. (2004). Toward sustainable transportation: Exploring transportation decision making in teleworking households in a mid-sized Canadian city. </w:t>
      </w:r>
      <w:r w:rsidRPr="00733550">
        <w:rPr>
          <w:i/>
          <w:iCs/>
          <w:szCs w:val="24"/>
          <w:shd w:val="clear" w:color="auto" w:fill="FFFFFF"/>
        </w:rPr>
        <w:t>Canadian Journal of Urban Research</w:t>
      </w:r>
      <w:r w:rsidRPr="00733550">
        <w:rPr>
          <w:szCs w:val="24"/>
          <w:shd w:val="clear" w:color="auto" w:fill="FFFFFF"/>
        </w:rPr>
        <w:t xml:space="preserve">, </w:t>
      </w:r>
      <w:r w:rsidRPr="001C096E">
        <w:rPr>
          <w:bCs/>
          <w:i/>
          <w:iCs/>
          <w:szCs w:val="24"/>
        </w:rPr>
        <w:t>13</w:t>
      </w:r>
      <w:r w:rsidRPr="00733550">
        <w:rPr>
          <w:bCs/>
          <w:szCs w:val="24"/>
        </w:rPr>
        <w:t>(2), 257-277</w:t>
      </w:r>
      <w:r w:rsidRPr="00733550">
        <w:rPr>
          <w:szCs w:val="24"/>
          <w:shd w:val="clear" w:color="auto" w:fill="FFFFFF"/>
        </w:rPr>
        <w:t>.</w:t>
      </w:r>
    </w:p>
    <w:bookmarkEnd w:id="28"/>
    <w:p w14:paraId="17C40ABC" w14:textId="705DD9ED" w:rsidR="00733550" w:rsidRPr="00733550" w:rsidRDefault="00733550" w:rsidP="00733550">
      <w:pPr>
        <w:pStyle w:val="ListParagraph"/>
        <w:tabs>
          <w:tab w:val="left" w:pos="630"/>
        </w:tabs>
        <w:spacing w:after="0" w:line="240" w:lineRule="auto"/>
        <w:ind w:left="540" w:hanging="540"/>
        <w:jc w:val="both"/>
        <w:rPr>
          <w:rFonts w:ascii="Times New Roman" w:hAnsi="Times New Roman"/>
          <w:color w:val="222222"/>
          <w:sz w:val="24"/>
          <w:szCs w:val="24"/>
          <w:shd w:val="clear" w:color="auto" w:fill="FFFFFF"/>
        </w:rPr>
      </w:pPr>
      <w:proofErr w:type="spellStart"/>
      <w:r w:rsidRPr="00733550">
        <w:rPr>
          <w:rFonts w:ascii="Times New Roman" w:hAnsi="Times New Roman"/>
          <w:color w:val="222222"/>
          <w:sz w:val="24"/>
          <w:szCs w:val="24"/>
          <w:shd w:val="clear" w:color="auto" w:fill="FFFFFF"/>
        </w:rPr>
        <w:t>Angueira</w:t>
      </w:r>
      <w:proofErr w:type="spellEnd"/>
      <w:r w:rsidRPr="00733550">
        <w:rPr>
          <w:rFonts w:ascii="Times New Roman" w:hAnsi="Times New Roman"/>
          <w:color w:val="222222"/>
          <w:sz w:val="24"/>
          <w:szCs w:val="24"/>
          <w:shd w:val="clear" w:color="auto" w:fill="FFFFFF"/>
        </w:rPr>
        <w:t xml:space="preserve">, J., </w:t>
      </w:r>
      <w:proofErr w:type="spellStart"/>
      <w:r w:rsidRPr="00733550">
        <w:rPr>
          <w:rFonts w:ascii="Times New Roman" w:hAnsi="Times New Roman"/>
          <w:color w:val="222222"/>
          <w:sz w:val="24"/>
          <w:szCs w:val="24"/>
          <w:shd w:val="clear" w:color="auto" w:fill="FFFFFF"/>
        </w:rPr>
        <w:t>Konduri</w:t>
      </w:r>
      <w:proofErr w:type="spellEnd"/>
      <w:r w:rsidRPr="00733550">
        <w:rPr>
          <w:rFonts w:ascii="Times New Roman" w:hAnsi="Times New Roman"/>
          <w:color w:val="222222"/>
          <w:sz w:val="24"/>
          <w:szCs w:val="24"/>
          <w:shd w:val="clear" w:color="auto" w:fill="FFFFFF"/>
        </w:rPr>
        <w:t xml:space="preserve">, K. C., </w:t>
      </w:r>
      <w:proofErr w:type="spellStart"/>
      <w:r w:rsidRPr="00733550">
        <w:rPr>
          <w:rFonts w:ascii="Times New Roman" w:hAnsi="Times New Roman"/>
          <w:color w:val="222222"/>
          <w:sz w:val="24"/>
          <w:szCs w:val="24"/>
          <w:shd w:val="clear" w:color="auto" w:fill="FFFFFF"/>
        </w:rPr>
        <w:t>Chakour</w:t>
      </w:r>
      <w:proofErr w:type="spellEnd"/>
      <w:r w:rsidRPr="00733550">
        <w:rPr>
          <w:rFonts w:ascii="Times New Roman" w:hAnsi="Times New Roman"/>
          <w:color w:val="222222"/>
          <w:sz w:val="24"/>
          <w:szCs w:val="24"/>
          <w:shd w:val="clear" w:color="auto" w:fill="FFFFFF"/>
        </w:rPr>
        <w:t>, V., and Eluru, N. (2019). Exploring the relationship between vehicle type choice and distance traveled: a latent segmentation approach. </w:t>
      </w:r>
      <w:r w:rsidRPr="00733550">
        <w:rPr>
          <w:rFonts w:ascii="Times New Roman" w:hAnsi="Times New Roman"/>
          <w:i/>
          <w:iCs/>
          <w:color w:val="222222"/>
          <w:sz w:val="24"/>
          <w:szCs w:val="24"/>
          <w:shd w:val="clear" w:color="auto" w:fill="FFFFFF"/>
        </w:rPr>
        <w:t xml:space="preserve">Transportation </w:t>
      </w:r>
      <w:r w:rsidR="001C096E">
        <w:rPr>
          <w:rFonts w:ascii="Times New Roman" w:hAnsi="Times New Roman"/>
          <w:i/>
          <w:iCs/>
          <w:color w:val="222222"/>
          <w:sz w:val="24"/>
          <w:szCs w:val="24"/>
          <w:shd w:val="clear" w:color="auto" w:fill="FFFFFF"/>
        </w:rPr>
        <w:t>L</w:t>
      </w:r>
      <w:r w:rsidRPr="00733550">
        <w:rPr>
          <w:rFonts w:ascii="Times New Roman" w:hAnsi="Times New Roman"/>
          <w:i/>
          <w:iCs/>
          <w:color w:val="222222"/>
          <w:sz w:val="24"/>
          <w:szCs w:val="24"/>
          <w:shd w:val="clear" w:color="auto" w:fill="FFFFFF"/>
        </w:rPr>
        <w:t>etters</w:t>
      </w:r>
      <w:r w:rsidRPr="00733550">
        <w:rPr>
          <w:rFonts w:ascii="Times New Roman" w:hAnsi="Times New Roman"/>
          <w:color w:val="222222"/>
          <w:sz w:val="24"/>
          <w:szCs w:val="24"/>
          <w:shd w:val="clear" w:color="auto" w:fill="FFFFFF"/>
        </w:rPr>
        <w:t>, </w:t>
      </w:r>
      <w:r w:rsidRPr="00733550">
        <w:rPr>
          <w:rFonts w:ascii="Times New Roman" w:hAnsi="Times New Roman"/>
          <w:i/>
          <w:iCs/>
          <w:color w:val="222222"/>
          <w:sz w:val="24"/>
          <w:szCs w:val="24"/>
          <w:shd w:val="clear" w:color="auto" w:fill="FFFFFF"/>
        </w:rPr>
        <w:t>11</w:t>
      </w:r>
      <w:r w:rsidRPr="00733550">
        <w:rPr>
          <w:rFonts w:ascii="Times New Roman" w:hAnsi="Times New Roman"/>
          <w:color w:val="222222"/>
          <w:sz w:val="24"/>
          <w:szCs w:val="24"/>
          <w:shd w:val="clear" w:color="auto" w:fill="FFFFFF"/>
        </w:rPr>
        <w:t>(3), 146-157.</w:t>
      </w:r>
    </w:p>
    <w:p w14:paraId="56DC95C7" w14:textId="77777777" w:rsidR="00733550" w:rsidRPr="00733550" w:rsidRDefault="00733550" w:rsidP="00733550">
      <w:pPr>
        <w:tabs>
          <w:tab w:val="left" w:pos="630"/>
        </w:tabs>
        <w:spacing w:after="0" w:line="240" w:lineRule="auto"/>
        <w:ind w:left="540" w:hanging="540"/>
        <w:rPr>
          <w:bCs/>
          <w:szCs w:val="24"/>
          <w:shd w:val="clear" w:color="auto" w:fill="FFFFFF"/>
        </w:rPr>
      </w:pPr>
      <w:r w:rsidRPr="00733550">
        <w:rPr>
          <w:bCs/>
          <w:szCs w:val="24"/>
          <w:shd w:val="clear" w:color="auto" w:fill="FFFFFF"/>
        </w:rPr>
        <w:t>Aptech (2022). Gauss (21) [Computer Software]. Aptech Systems.</w:t>
      </w:r>
    </w:p>
    <w:p w14:paraId="676AD812" w14:textId="4E3B0D53" w:rsidR="00733550" w:rsidRDefault="00733550" w:rsidP="00733550">
      <w:pPr>
        <w:tabs>
          <w:tab w:val="left" w:pos="630"/>
        </w:tabs>
        <w:spacing w:after="0" w:line="240" w:lineRule="auto"/>
        <w:ind w:left="540" w:hanging="540"/>
        <w:rPr>
          <w:bCs/>
          <w:szCs w:val="24"/>
          <w:shd w:val="clear" w:color="auto" w:fill="FFFFFF"/>
        </w:rPr>
      </w:pPr>
      <w:proofErr w:type="spellStart"/>
      <w:r w:rsidRPr="00733550">
        <w:rPr>
          <w:bCs/>
          <w:szCs w:val="24"/>
          <w:shd w:val="clear" w:color="auto" w:fill="FFFFFF"/>
        </w:rPr>
        <w:t>Asdecker</w:t>
      </w:r>
      <w:proofErr w:type="spellEnd"/>
      <w:r w:rsidRPr="00733550">
        <w:rPr>
          <w:bCs/>
          <w:szCs w:val="24"/>
          <w:shd w:val="clear" w:color="auto" w:fill="FFFFFF"/>
        </w:rPr>
        <w:t>, B. (2022). Travel-related influencer content on Instagram: How social media fuels wanderlust and how to mitigate the effect. </w:t>
      </w:r>
      <w:r w:rsidRPr="00733550">
        <w:rPr>
          <w:bCs/>
          <w:i/>
          <w:iCs/>
          <w:szCs w:val="24"/>
          <w:shd w:val="clear" w:color="auto" w:fill="FFFFFF"/>
        </w:rPr>
        <w:t>Sustainability</w:t>
      </w:r>
      <w:r w:rsidRPr="00733550">
        <w:rPr>
          <w:bCs/>
          <w:szCs w:val="24"/>
          <w:shd w:val="clear" w:color="auto" w:fill="FFFFFF"/>
        </w:rPr>
        <w:t>, </w:t>
      </w:r>
      <w:r w:rsidRPr="00733550">
        <w:rPr>
          <w:bCs/>
          <w:i/>
          <w:iCs/>
          <w:szCs w:val="24"/>
          <w:shd w:val="clear" w:color="auto" w:fill="FFFFFF"/>
        </w:rPr>
        <w:t>14</w:t>
      </w:r>
      <w:r w:rsidRPr="00733550">
        <w:rPr>
          <w:bCs/>
          <w:szCs w:val="24"/>
          <w:shd w:val="clear" w:color="auto" w:fill="FFFFFF"/>
        </w:rPr>
        <w:t>(2), 855.</w:t>
      </w:r>
    </w:p>
    <w:p w14:paraId="4A7B13C6" w14:textId="7C5856EB" w:rsidR="00BF1038" w:rsidRPr="00002517" w:rsidRDefault="00BF1038" w:rsidP="00733550">
      <w:pPr>
        <w:tabs>
          <w:tab w:val="left" w:pos="630"/>
        </w:tabs>
        <w:spacing w:after="0" w:line="240" w:lineRule="auto"/>
        <w:ind w:left="540" w:hanging="540"/>
        <w:rPr>
          <w:bCs/>
          <w:sz w:val="32"/>
          <w:szCs w:val="32"/>
          <w:shd w:val="clear" w:color="auto" w:fill="FFFFFF"/>
        </w:rPr>
      </w:pPr>
      <w:bookmarkStart w:id="29" w:name="_Hlk167363147"/>
      <w:r w:rsidRPr="00002517">
        <w:rPr>
          <w:color w:val="222222"/>
          <w:szCs w:val="24"/>
          <w:shd w:val="clear" w:color="auto" w:fill="FFFFFF"/>
        </w:rPr>
        <w:t xml:space="preserve">Asmussen, K. E., Mondal, A., </w:t>
      </w:r>
      <w:r>
        <w:rPr>
          <w:color w:val="222222"/>
          <w:szCs w:val="24"/>
          <w:shd w:val="clear" w:color="auto" w:fill="FFFFFF"/>
        </w:rPr>
        <w:t xml:space="preserve">and </w:t>
      </w:r>
      <w:r w:rsidRPr="00002517">
        <w:rPr>
          <w:color w:val="222222"/>
          <w:szCs w:val="24"/>
          <w:shd w:val="clear" w:color="auto" w:fill="FFFFFF"/>
        </w:rPr>
        <w:t>Bhat, C. R. (2022). Adoption of partially automated vehicle technology features and impacts on vehicle miles of travel (VMT). </w:t>
      </w:r>
      <w:r w:rsidRPr="00002517">
        <w:rPr>
          <w:i/>
          <w:iCs/>
          <w:color w:val="222222"/>
          <w:szCs w:val="24"/>
          <w:shd w:val="clear" w:color="auto" w:fill="FFFFFF"/>
        </w:rPr>
        <w:t xml:space="preserve">Transportation </w:t>
      </w:r>
      <w:r>
        <w:rPr>
          <w:i/>
          <w:iCs/>
          <w:color w:val="222222"/>
          <w:szCs w:val="24"/>
          <w:shd w:val="clear" w:color="auto" w:fill="FFFFFF"/>
        </w:rPr>
        <w:t>R</w:t>
      </w:r>
      <w:r w:rsidRPr="00002517">
        <w:rPr>
          <w:i/>
          <w:iCs/>
          <w:color w:val="222222"/>
          <w:szCs w:val="24"/>
          <w:shd w:val="clear" w:color="auto" w:fill="FFFFFF"/>
        </w:rPr>
        <w:t xml:space="preserve">esearch </w:t>
      </w:r>
      <w:r>
        <w:rPr>
          <w:i/>
          <w:iCs/>
          <w:color w:val="222222"/>
          <w:szCs w:val="24"/>
          <w:shd w:val="clear" w:color="auto" w:fill="FFFFFF"/>
        </w:rPr>
        <w:t>P</w:t>
      </w:r>
      <w:r w:rsidRPr="00002517">
        <w:rPr>
          <w:i/>
          <w:iCs/>
          <w:color w:val="222222"/>
          <w:szCs w:val="24"/>
          <w:shd w:val="clear" w:color="auto" w:fill="FFFFFF"/>
        </w:rPr>
        <w:t xml:space="preserve">art </w:t>
      </w:r>
      <w:r>
        <w:rPr>
          <w:i/>
          <w:iCs/>
          <w:color w:val="222222"/>
          <w:szCs w:val="24"/>
          <w:shd w:val="clear" w:color="auto" w:fill="FFFFFF"/>
        </w:rPr>
        <w:t>A</w:t>
      </w:r>
      <w:r w:rsidRPr="00002517">
        <w:rPr>
          <w:color w:val="222222"/>
          <w:szCs w:val="24"/>
          <w:shd w:val="clear" w:color="auto" w:fill="FFFFFF"/>
        </w:rPr>
        <w:t>, </w:t>
      </w:r>
      <w:r w:rsidRPr="00002517">
        <w:rPr>
          <w:i/>
          <w:iCs/>
          <w:color w:val="222222"/>
          <w:szCs w:val="24"/>
          <w:shd w:val="clear" w:color="auto" w:fill="FFFFFF"/>
        </w:rPr>
        <w:t>158</w:t>
      </w:r>
      <w:r w:rsidRPr="00002517">
        <w:rPr>
          <w:color w:val="222222"/>
          <w:szCs w:val="24"/>
          <w:shd w:val="clear" w:color="auto" w:fill="FFFFFF"/>
        </w:rPr>
        <w:t>, 156-179.</w:t>
      </w:r>
    </w:p>
    <w:bookmarkEnd w:id="29"/>
    <w:p w14:paraId="7CA81A9A" w14:textId="77D3E541" w:rsidR="00733550" w:rsidRDefault="00733550" w:rsidP="00733550">
      <w:pPr>
        <w:tabs>
          <w:tab w:val="left" w:pos="630"/>
        </w:tabs>
        <w:spacing w:after="0" w:line="240" w:lineRule="auto"/>
        <w:ind w:left="540" w:hanging="540"/>
        <w:rPr>
          <w:bCs/>
          <w:szCs w:val="24"/>
          <w:shd w:val="clear" w:color="auto" w:fill="FFFFFF"/>
        </w:rPr>
      </w:pPr>
      <w:r w:rsidRPr="00733550">
        <w:rPr>
          <w:bCs/>
          <w:szCs w:val="24"/>
          <w:shd w:val="clear" w:color="auto" w:fill="FFFFFF"/>
        </w:rPr>
        <w:t>Asmussen, K.</w:t>
      </w:r>
      <w:r>
        <w:rPr>
          <w:bCs/>
          <w:szCs w:val="24"/>
          <w:shd w:val="clear" w:color="auto" w:fill="FFFFFF"/>
        </w:rPr>
        <w:t xml:space="preserve"> </w:t>
      </w:r>
      <w:r w:rsidRPr="00733550">
        <w:rPr>
          <w:bCs/>
          <w:szCs w:val="24"/>
          <w:shd w:val="clear" w:color="auto" w:fill="FFFFFF"/>
        </w:rPr>
        <w:t>E., Mondal, A., Bhat, C.</w:t>
      </w:r>
      <w:r>
        <w:rPr>
          <w:bCs/>
          <w:szCs w:val="24"/>
          <w:shd w:val="clear" w:color="auto" w:fill="FFFFFF"/>
        </w:rPr>
        <w:t xml:space="preserve"> </w:t>
      </w:r>
      <w:r w:rsidRPr="00733550">
        <w:rPr>
          <w:bCs/>
          <w:szCs w:val="24"/>
          <w:shd w:val="clear" w:color="auto" w:fill="FFFFFF"/>
        </w:rPr>
        <w:t>R., and Pendyala, R.</w:t>
      </w:r>
      <w:r>
        <w:rPr>
          <w:bCs/>
          <w:szCs w:val="24"/>
          <w:shd w:val="clear" w:color="auto" w:fill="FFFFFF"/>
        </w:rPr>
        <w:t xml:space="preserve"> </w:t>
      </w:r>
      <w:r w:rsidRPr="00733550">
        <w:rPr>
          <w:bCs/>
          <w:szCs w:val="24"/>
          <w:shd w:val="clear" w:color="auto" w:fill="FFFFFF"/>
        </w:rPr>
        <w:t>M. (2023). On modeling future workplace location decisions: An analysis of Texas employees.</w:t>
      </w:r>
      <w:r w:rsidRPr="00733550">
        <w:rPr>
          <w:bCs/>
          <w:szCs w:val="24"/>
        </w:rPr>
        <w:t xml:space="preserve"> </w:t>
      </w:r>
      <w:r w:rsidRPr="00733550">
        <w:rPr>
          <w:bCs/>
          <w:i/>
          <w:iCs/>
          <w:szCs w:val="24"/>
          <w:shd w:val="clear" w:color="auto" w:fill="FFFFFF"/>
        </w:rPr>
        <w:t>Transportation Research Part A</w:t>
      </w:r>
      <w:r w:rsidRPr="00733550">
        <w:rPr>
          <w:bCs/>
          <w:iCs/>
          <w:szCs w:val="24"/>
          <w:shd w:val="clear" w:color="auto" w:fill="FFFFFF"/>
        </w:rPr>
        <w:t xml:space="preserve">, </w:t>
      </w:r>
      <w:r w:rsidRPr="00733550">
        <w:rPr>
          <w:bCs/>
          <w:i/>
          <w:iCs/>
          <w:szCs w:val="24"/>
          <w:shd w:val="clear" w:color="auto" w:fill="FFFFFF"/>
        </w:rPr>
        <w:t>172</w:t>
      </w:r>
      <w:r w:rsidRPr="00733550">
        <w:rPr>
          <w:bCs/>
          <w:szCs w:val="24"/>
          <w:shd w:val="clear" w:color="auto" w:fill="FFFFFF"/>
        </w:rPr>
        <w:t>, 103671.</w:t>
      </w:r>
    </w:p>
    <w:p w14:paraId="170EDD49" w14:textId="6D73716D" w:rsidR="002E200B" w:rsidRPr="002E200B" w:rsidRDefault="002E200B" w:rsidP="002E200B">
      <w:pPr>
        <w:tabs>
          <w:tab w:val="left" w:pos="630"/>
        </w:tabs>
        <w:spacing w:after="0" w:line="240" w:lineRule="auto"/>
        <w:ind w:left="540" w:hanging="540"/>
        <w:rPr>
          <w:color w:val="222222"/>
          <w:szCs w:val="24"/>
          <w:shd w:val="clear" w:color="auto" w:fill="FFFFFF"/>
        </w:rPr>
      </w:pPr>
      <w:r w:rsidRPr="00524CC3">
        <w:rPr>
          <w:color w:val="222222"/>
          <w:szCs w:val="24"/>
          <w:shd w:val="clear" w:color="auto" w:fill="FFFFFF"/>
        </w:rPr>
        <w:lastRenderedPageBreak/>
        <w:t xml:space="preserve">Asmussen, K. E., Mondal, A., Batur, I., Dirks, A., Pendyala, R. M., and Bhat, C. R. (2024). An investigation of individual-level </w:t>
      </w:r>
      <w:proofErr w:type="gramStart"/>
      <w:r w:rsidRPr="00524CC3">
        <w:rPr>
          <w:color w:val="222222"/>
          <w:szCs w:val="24"/>
          <w:shd w:val="clear" w:color="auto" w:fill="FFFFFF"/>
        </w:rPr>
        <w:t>telework</w:t>
      </w:r>
      <w:proofErr w:type="gramEnd"/>
      <w:r w:rsidRPr="00524CC3">
        <w:rPr>
          <w:color w:val="222222"/>
          <w:szCs w:val="24"/>
          <w:shd w:val="clear" w:color="auto" w:fill="FFFFFF"/>
        </w:rPr>
        <w:t xml:space="preserve"> arrangements in the COVID-era. </w:t>
      </w:r>
      <w:r w:rsidRPr="00524CC3">
        <w:rPr>
          <w:i/>
          <w:iCs/>
          <w:color w:val="222222"/>
          <w:szCs w:val="24"/>
          <w:shd w:val="clear" w:color="auto" w:fill="FFFFFF"/>
        </w:rPr>
        <w:t>Transportation Research Part A</w:t>
      </w:r>
      <w:r w:rsidRPr="00524CC3">
        <w:rPr>
          <w:color w:val="222222"/>
          <w:szCs w:val="24"/>
          <w:shd w:val="clear" w:color="auto" w:fill="FFFFFF"/>
        </w:rPr>
        <w:t>, </w:t>
      </w:r>
      <w:r w:rsidRPr="00524CC3">
        <w:rPr>
          <w:i/>
          <w:iCs/>
          <w:color w:val="222222"/>
          <w:szCs w:val="24"/>
          <w:shd w:val="clear" w:color="auto" w:fill="FFFFFF"/>
        </w:rPr>
        <w:t>179</w:t>
      </w:r>
      <w:r w:rsidRPr="00524CC3">
        <w:rPr>
          <w:color w:val="222222"/>
          <w:szCs w:val="24"/>
          <w:shd w:val="clear" w:color="auto" w:fill="FFFFFF"/>
        </w:rPr>
        <w:t>, 103888.</w:t>
      </w:r>
    </w:p>
    <w:p w14:paraId="58118ADE" w14:textId="77777777" w:rsidR="00733550" w:rsidRPr="00733550" w:rsidRDefault="00733550" w:rsidP="00733550">
      <w:pPr>
        <w:pStyle w:val="ListParagraph"/>
        <w:tabs>
          <w:tab w:val="left" w:pos="630"/>
        </w:tabs>
        <w:spacing w:after="0" w:line="240" w:lineRule="auto"/>
        <w:ind w:left="540" w:hanging="540"/>
        <w:jc w:val="both"/>
        <w:rPr>
          <w:rFonts w:ascii="Times New Roman" w:hAnsi="Times New Roman"/>
          <w:color w:val="222222"/>
          <w:sz w:val="24"/>
          <w:szCs w:val="24"/>
          <w:shd w:val="clear" w:color="auto" w:fill="FFFFFF"/>
        </w:rPr>
      </w:pPr>
      <w:r w:rsidRPr="00733550">
        <w:rPr>
          <w:rFonts w:ascii="Times New Roman" w:hAnsi="Times New Roman"/>
          <w:color w:val="222222"/>
          <w:sz w:val="24"/>
          <w:szCs w:val="24"/>
          <w:shd w:val="clear" w:color="auto" w:fill="FFFFFF"/>
        </w:rPr>
        <w:t>Astroza, S., Garikapati, V. M., Pendyala, R. M., Bhat, C. R., and Mokhtarian, P. L. (2019). Representing heterogeneity in structural relationships among multiple choice variables using a latent segmentation approach. </w:t>
      </w:r>
      <w:r w:rsidRPr="00733550">
        <w:rPr>
          <w:rFonts w:ascii="Times New Roman" w:hAnsi="Times New Roman"/>
          <w:i/>
          <w:iCs/>
          <w:color w:val="222222"/>
          <w:sz w:val="24"/>
          <w:szCs w:val="24"/>
          <w:shd w:val="clear" w:color="auto" w:fill="FFFFFF"/>
        </w:rPr>
        <w:t>Transportation</w:t>
      </w:r>
      <w:r w:rsidRPr="00733550">
        <w:rPr>
          <w:rFonts w:ascii="Times New Roman" w:hAnsi="Times New Roman"/>
          <w:color w:val="222222"/>
          <w:sz w:val="24"/>
          <w:szCs w:val="24"/>
          <w:shd w:val="clear" w:color="auto" w:fill="FFFFFF"/>
        </w:rPr>
        <w:t>, </w:t>
      </w:r>
      <w:r w:rsidRPr="00733550">
        <w:rPr>
          <w:rFonts w:ascii="Times New Roman" w:hAnsi="Times New Roman"/>
          <w:i/>
          <w:iCs/>
          <w:color w:val="222222"/>
          <w:sz w:val="24"/>
          <w:szCs w:val="24"/>
          <w:shd w:val="clear" w:color="auto" w:fill="FFFFFF"/>
        </w:rPr>
        <w:t>46</w:t>
      </w:r>
      <w:r w:rsidRPr="00733550">
        <w:rPr>
          <w:rFonts w:ascii="Times New Roman" w:hAnsi="Times New Roman"/>
          <w:color w:val="222222"/>
          <w:sz w:val="24"/>
          <w:szCs w:val="24"/>
          <w:shd w:val="clear" w:color="auto" w:fill="FFFFFF"/>
        </w:rPr>
        <w:t>, 1755-1784.</w:t>
      </w:r>
    </w:p>
    <w:p w14:paraId="3409497B" w14:textId="6083685C" w:rsidR="00733550" w:rsidRPr="00733550" w:rsidRDefault="00733550" w:rsidP="00733550">
      <w:pPr>
        <w:tabs>
          <w:tab w:val="left" w:pos="630"/>
        </w:tabs>
        <w:spacing w:after="0" w:line="240" w:lineRule="auto"/>
        <w:ind w:left="540" w:hanging="540"/>
        <w:rPr>
          <w:b/>
          <w:color w:val="222222"/>
          <w:szCs w:val="24"/>
          <w:shd w:val="clear" w:color="auto" w:fill="FFFFFF"/>
        </w:rPr>
      </w:pPr>
      <w:r w:rsidRPr="00733550">
        <w:rPr>
          <w:szCs w:val="24"/>
        </w:rPr>
        <w:t xml:space="preserve">Astroza, S., </w:t>
      </w:r>
      <w:proofErr w:type="spellStart"/>
      <w:r w:rsidRPr="00733550">
        <w:rPr>
          <w:szCs w:val="24"/>
        </w:rPr>
        <w:t>Tirachini</w:t>
      </w:r>
      <w:proofErr w:type="spellEnd"/>
      <w:r w:rsidRPr="00733550">
        <w:rPr>
          <w:szCs w:val="24"/>
        </w:rPr>
        <w:t xml:space="preserve">, A., </w:t>
      </w:r>
      <w:proofErr w:type="spellStart"/>
      <w:r w:rsidRPr="00733550">
        <w:rPr>
          <w:szCs w:val="24"/>
        </w:rPr>
        <w:t>Hurtubia</w:t>
      </w:r>
      <w:proofErr w:type="spellEnd"/>
      <w:r w:rsidRPr="00733550">
        <w:rPr>
          <w:szCs w:val="24"/>
        </w:rPr>
        <w:t>, R., Carrasco, J.</w:t>
      </w:r>
      <w:r>
        <w:rPr>
          <w:szCs w:val="24"/>
        </w:rPr>
        <w:t xml:space="preserve"> </w:t>
      </w:r>
      <w:r w:rsidRPr="00733550">
        <w:rPr>
          <w:szCs w:val="24"/>
        </w:rPr>
        <w:t xml:space="preserve">A., Guevara, A., </w:t>
      </w:r>
      <w:proofErr w:type="spellStart"/>
      <w:r w:rsidRPr="00733550">
        <w:rPr>
          <w:szCs w:val="24"/>
        </w:rPr>
        <w:t>Munizaga</w:t>
      </w:r>
      <w:proofErr w:type="spellEnd"/>
      <w:r w:rsidRPr="00733550">
        <w:rPr>
          <w:szCs w:val="24"/>
        </w:rPr>
        <w:t xml:space="preserve">, M., Figueroa, M., and Torres, V. (2020). Mobility changes, teleworking, and remote communication during the COVID-19 pandemic in Chile. </w:t>
      </w:r>
      <w:r w:rsidRPr="00733550">
        <w:rPr>
          <w:i/>
          <w:szCs w:val="24"/>
        </w:rPr>
        <w:t>Findings</w:t>
      </w:r>
      <w:r w:rsidRPr="00733550">
        <w:rPr>
          <w:szCs w:val="24"/>
        </w:rPr>
        <w:t>, 13489.</w:t>
      </w:r>
    </w:p>
    <w:p w14:paraId="6354BD90" w14:textId="19E5321E" w:rsidR="00733550" w:rsidRPr="00733550" w:rsidRDefault="00733550" w:rsidP="00733550">
      <w:pPr>
        <w:tabs>
          <w:tab w:val="left" w:pos="630"/>
        </w:tabs>
        <w:spacing w:after="0" w:line="240" w:lineRule="auto"/>
        <w:ind w:left="540" w:hanging="540"/>
        <w:rPr>
          <w:bCs/>
          <w:szCs w:val="24"/>
        </w:rPr>
      </w:pPr>
      <w:bookmarkStart w:id="30" w:name="_Toc117243644"/>
      <w:proofErr w:type="spellStart"/>
      <w:r w:rsidRPr="00733550">
        <w:rPr>
          <w:bCs/>
          <w:szCs w:val="24"/>
        </w:rPr>
        <w:t>Axisa</w:t>
      </w:r>
      <w:proofErr w:type="spellEnd"/>
      <w:r w:rsidRPr="00733550">
        <w:rPr>
          <w:bCs/>
          <w:szCs w:val="24"/>
        </w:rPr>
        <w:t>, J.</w:t>
      </w:r>
      <w:r>
        <w:rPr>
          <w:bCs/>
          <w:szCs w:val="24"/>
        </w:rPr>
        <w:t xml:space="preserve"> </w:t>
      </w:r>
      <w:r w:rsidRPr="00733550">
        <w:rPr>
          <w:bCs/>
          <w:szCs w:val="24"/>
        </w:rPr>
        <w:t>J., Scott, D.</w:t>
      </w:r>
      <w:r>
        <w:rPr>
          <w:bCs/>
          <w:szCs w:val="24"/>
        </w:rPr>
        <w:t xml:space="preserve"> </w:t>
      </w:r>
      <w:r w:rsidRPr="00733550">
        <w:rPr>
          <w:bCs/>
          <w:szCs w:val="24"/>
        </w:rPr>
        <w:t>M., and Newbold, K.</w:t>
      </w:r>
      <w:r>
        <w:rPr>
          <w:bCs/>
          <w:szCs w:val="24"/>
        </w:rPr>
        <w:t xml:space="preserve"> </w:t>
      </w:r>
      <w:r w:rsidRPr="00733550">
        <w:rPr>
          <w:bCs/>
          <w:szCs w:val="24"/>
        </w:rPr>
        <w:t>B. (2012). Factors influencing commute distance: a case study of Toronto’s commuter shed. </w:t>
      </w:r>
      <w:r w:rsidRPr="00733550">
        <w:rPr>
          <w:bCs/>
          <w:i/>
          <w:iCs/>
          <w:szCs w:val="24"/>
        </w:rPr>
        <w:t>Journal of Transport Geography</w:t>
      </w:r>
      <w:r w:rsidRPr="00733550">
        <w:rPr>
          <w:bCs/>
          <w:szCs w:val="24"/>
        </w:rPr>
        <w:t>, </w:t>
      </w:r>
      <w:r w:rsidRPr="00733550">
        <w:rPr>
          <w:bCs/>
          <w:i/>
          <w:iCs/>
          <w:szCs w:val="24"/>
        </w:rPr>
        <w:t>24</w:t>
      </w:r>
      <w:r w:rsidRPr="00733550">
        <w:rPr>
          <w:bCs/>
          <w:szCs w:val="24"/>
        </w:rPr>
        <w:t>, 123-129.</w:t>
      </w:r>
      <w:bookmarkEnd w:id="30"/>
    </w:p>
    <w:p w14:paraId="44F91AE6" w14:textId="566E0301" w:rsidR="00733550" w:rsidRPr="00733550" w:rsidRDefault="00733550" w:rsidP="00733550">
      <w:pPr>
        <w:tabs>
          <w:tab w:val="left" w:pos="630"/>
        </w:tabs>
        <w:spacing w:after="0" w:line="240" w:lineRule="auto"/>
        <w:ind w:left="540" w:hanging="540"/>
        <w:rPr>
          <w:b/>
          <w:szCs w:val="24"/>
        </w:rPr>
      </w:pPr>
      <w:r w:rsidRPr="00733550">
        <w:rPr>
          <w:color w:val="222222"/>
          <w:szCs w:val="24"/>
          <w:shd w:val="clear" w:color="auto" w:fill="FFFFFF"/>
        </w:rPr>
        <w:t>Baker, T.</w:t>
      </w:r>
      <w:r>
        <w:rPr>
          <w:color w:val="222222"/>
          <w:szCs w:val="24"/>
          <w:shd w:val="clear" w:color="auto" w:fill="FFFFFF"/>
        </w:rPr>
        <w:t xml:space="preserve"> </w:t>
      </w:r>
      <w:r w:rsidRPr="00733550">
        <w:rPr>
          <w:color w:val="222222"/>
          <w:szCs w:val="24"/>
          <w:shd w:val="clear" w:color="auto" w:fill="FFFFFF"/>
        </w:rPr>
        <w:t>L., Wise, J., Kelley, G., and Skiba, R.</w:t>
      </w:r>
      <w:r>
        <w:rPr>
          <w:color w:val="222222"/>
          <w:szCs w:val="24"/>
          <w:shd w:val="clear" w:color="auto" w:fill="FFFFFF"/>
        </w:rPr>
        <w:t xml:space="preserve"> </w:t>
      </w:r>
      <w:r w:rsidRPr="00733550">
        <w:rPr>
          <w:color w:val="222222"/>
          <w:szCs w:val="24"/>
          <w:shd w:val="clear" w:color="auto" w:fill="FFFFFF"/>
        </w:rPr>
        <w:t>J. (2016). Identifying barriers: Creating solutions to improve family engagement. </w:t>
      </w:r>
      <w:r w:rsidRPr="00733550">
        <w:rPr>
          <w:i/>
          <w:iCs/>
          <w:color w:val="222222"/>
          <w:szCs w:val="24"/>
          <w:shd w:val="clear" w:color="auto" w:fill="FFFFFF"/>
        </w:rPr>
        <w:t>School Community Journal</w:t>
      </w:r>
      <w:r w:rsidRPr="00733550">
        <w:rPr>
          <w:color w:val="222222"/>
          <w:szCs w:val="24"/>
          <w:shd w:val="clear" w:color="auto" w:fill="FFFFFF"/>
        </w:rPr>
        <w:t>, </w:t>
      </w:r>
      <w:r w:rsidRPr="00733550">
        <w:rPr>
          <w:i/>
          <w:iCs/>
          <w:color w:val="222222"/>
          <w:szCs w:val="24"/>
          <w:shd w:val="clear" w:color="auto" w:fill="FFFFFF"/>
        </w:rPr>
        <w:t>26</w:t>
      </w:r>
      <w:r w:rsidRPr="00733550">
        <w:rPr>
          <w:color w:val="222222"/>
          <w:szCs w:val="24"/>
          <w:shd w:val="clear" w:color="auto" w:fill="FFFFFF"/>
        </w:rPr>
        <w:t>(2), 161-184.</w:t>
      </w:r>
    </w:p>
    <w:p w14:paraId="2389BE60" w14:textId="77777777" w:rsidR="00733550" w:rsidRPr="00733550" w:rsidRDefault="00733550" w:rsidP="00733550">
      <w:pPr>
        <w:tabs>
          <w:tab w:val="left" w:pos="630"/>
        </w:tabs>
        <w:spacing w:after="0" w:line="240" w:lineRule="auto"/>
        <w:ind w:left="540" w:hanging="540"/>
        <w:rPr>
          <w:bCs/>
          <w:color w:val="222222"/>
          <w:szCs w:val="24"/>
          <w:shd w:val="clear" w:color="auto" w:fill="FFFFFF"/>
        </w:rPr>
      </w:pPr>
      <w:bookmarkStart w:id="31" w:name="_Hlk126060861"/>
      <w:proofErr w:type="spellStart"/>
      <w:r w:rsidRPr="00733550">
        <w:rPr>
          <w:bCs/>
          <w:color w:val="222222"/>
          <w:szCs w:val="24"/>
          <w:shd w:val="clear" w:color="auto" w:fill="FFFFFF"/>
        </w:rPr>
        <w:t>Bamieh</w:t>
      </w:r>
      <w:proofErr w:type="spellEnd"/>
      <w:r w:rsidRPr="00733550">
        <w:rPr>
          <w:bCs/>
          <w:color w:val="222222"/>
          <w:szCs w:val="24"/>
          <w:shd w:val="clear" w:color="auto" w:fill="FFFFFF"/>
        </w:rPr>
        <w:t>, O., and Ziegler, L. (2022). Are remote work options the new standard? Evidence from vacancy postings during the COVID-19 crisis. </w:t>
      </w:r>
      <w:proofErr w:type="spellStart"/>
      <w:r w:rsidRPr="00733550">
        <w:rPr>
          <w:bCs/>
          <w:i/>
          <w:iCs/>
          <w:color w:val="222222"/>
          <w:szCs w:val="24"/>
          <w:shd w:val="clear" w:color="auto" w:fill="FFFFFF"/>
        </w:rPr>
        <w:t>Labour</w:t>
      </w:r>
      <w:proofErr w:type="spellEnd"/>
      <w:r w:rsidRPr="00733550">
        <w:rPr>
          <w:bCs/>
          <w:i/>
          <w:iCs/>
          <w:color w:val="222222"/>
          <w:szCs w:val="24"/>
          <w:shd w:val="clear" w:color="auto" w:fill="FFFFFF"/>
        </w:rPr>
        <w:t xml:space="preserve"> Economics</w:t>
      </w:r>
      <w:r w:rsidRPr="00733550">
        <w:rPr>
          <w:bCs/>
          <w:color w:val="222222"/>
          <w:szCs w:val="24"/>
          <w:shd w:val="clear" w:color="auto" w:fill="FFFFFF"/>
        </w:rPr>
        <w:t>, </w:t>
      </w:r>
      <w:r w:rsidRPr="00733550">
        <w:rPr>
          <w:bCs/>
          <w:i/>
          <w:iCs/>
          <w:color w:val="222222"/>
          <w:szCs w:val="24"/>
          <w:shd w:val="clear" w:color="auto" w:fill="FFFFFF"/>
        </w:rPr>
        <w:t>76</w:t>
      </w:r>
      <w:r w:rsidRPr="00733550">
        <w:rPr>
          <w:bCs/>
          <w:color w:val="222222"/>
          <w:szCs w:val="24"/>
          <w:shd w:val="clear" w:color="auto" w:fill="FFFFFF"/>
        </w:rPr>
        <w:t>, 102179.</w:t>
      </w:r>
    </w:p>
    <w:bookmarkEnd w:id="31"/>
    <w:p w14:paraId="465B0D9A" w14:textId="42AB564D" w:rsidR="00524CC3" w:rsidRPr="00524CC3" w:rsidRDefault="00524CC3" w:rsidP="00733550">
      <w:pPr>
        <w:tabs>
          <w:tab w:val="left" w:pos="630"/>
        </w:tabs>
        <w:spacing w:after="0" w:line="240" w:lineRule="auto"/>
        <w:ind w:left="540" w:hanging="540"/>
        <w:rPr>
          <w:bCs/>
          <w:sz w:val="32"/>
          <w:szCs w:val="32"/>
        </w:rPr>
      </w:pPr>
      <w:r w:rsidRPr="00524CC3">
        <w:rPr>
          <w:color w:val="222222"/>
          <w:szCs w:val="24"/>
          <w:shd w:val="clear" w:color="auto" w:fill="FFFFFF"/>
        </w:rPr>
        <w:t xml:space="preserve">Batur, I., Dirks, A. C., Mondal, A., Bhat, C. R., and Pendyala, R. M. (2024). Does </w:t>
      </w:r>
      <w:proofErr w:type="spellStart"/>
      <w:r w:rsidRPr="00524CC3">
        <w:rPr>
          <w:color w:val="222222"/>
          <w:szCs w:val="24"/>
          <w:shd w:val="clear" w:color="auto" w:fill="FFFFFF"/>
        </w:rPr>
        <w:t>ridehailing</w:t>
      </w:r>
      <w:proofErr w:type="spellEnd"/>
      <w:r w:rsidRPr="00524CC3">
        <w:rPr>
          <w:color w:val="222222"/>
          <w:szCs w:val="24"/>
          <w:shd w:val="clear" w:color="auto" w:fill="FFFFFF"/>
        </w:rPr>
        <w:t xml:space="preserve"> use affect vehicle ownership or vice versa? An exploratory investigation of the relationship using a latent market segmentation approach. </w:t>
      </w:r>
      <w:r w:rsidRPr="00524CC3">
        <w:rPr>
          <w:i/>
          <w:iCs/>
          <w:color w:val="222222"/>
          <w:szCs w:val="24"/>
          <w:shd w:val="clear" w:color="auto" w:fill="FFFFFF"/>
        </w:rPr>
        <w:t xml:space="preserve">Transportation </w:t>
      </w:r>
      <w:r w:rsidR="001C096E">
        <w:rPr>
          <w:i/>
          <w:iCs/>
          <w:color w:val="222222"/>
          <w:szCs w:val="24"/>
          <w:shd w:val="clear" w:color="auto" w:fill="FFFFFF"/>
        </w:rPr>
        <w:t>R</w:t>
      </w:r>
      <w:r w:rsidRPr="00524CC3">
        <w:rPr>
          <w:i/>
          <w:iCs/>
          <w:color w:val="222222"/>
          <w:szCs w:val="24"/>
          <w:shd w:val="clear" w:color="auto" w:fill="FFFFFF"/>
        </w:rPr>
        <w:t xml:space="preserve">esearch </w:t>
      </w:r>
      <w:r w:rsidR="001C096E">
        <w:rPr>
          <w:i/>
          <w:iCs/>
          <w:color w:val="222222"/>
          <w:szCs w:val="24"/>
          <w:shd w:val="clear" w:color="auto" w:fill="FFFFFF"/>
        </w:rPr>
        <w:t>R</w:t>
      </w:r>
      <w:r w:rsidRPr="00524CC3">
        <w:rPr>
          <w:i/>
          <w:iCs/>
          <w:color w:val="222222"/>
          <w:szCs w:val="24"/>
          <w:shd w:val="clear" w:color="auto" w:fill="FFFFFF"/>
        </w:rPr>
        <w:t>ecord</w:t>
      </w:r>
      <w:r w:rsidRPr="00524CC3">
        <w:rPr>
          <w:color w:val="222222"/>
          <w:szCs w:val="24"/>
          <w:shd w:val="clear" w:color="auto" w:fill="FFFFFF"/>
        </w:rPr>
        <w:t>, </w:t>
      </w:r>
      <w:r w:rsidRPr="00524CC3">
        <w:rPr>
          <w:i/>
          <w:iCs/>
          <w:color w:val="222222"/>
          <w:szCs w:val="24"/>
          <w:shd w:val="clear" w:color="auto" w:fill="FFFFFF"/>
        </w:rPr>
        <w:t>2678</w:t>
      </w:r>
      <w:r w:rsidRPr="00524CC3">
        <w:rPr>
          <w:color w:val="222222"/>
          <w:szCs w:val="24"/>
          <w:shd w:val="clear" w:color="auto" w:fill="FFFFFF"/>
        </w:rPr>
        <w:t>(3), 252-265.</w:t>
      </w:r>
      <w:r w:rsidRPr="00524CC3">
        <w:rPr>
          <w:bCs/>
          <w:sz w:val="32"/>
          <w:szCs w:val="32"/>
        </w:rPr>
        <w:t xml:space="preserve"> </w:t>
      </w:r>
    </w:p>
    <w:p w14:paraId="572DD180" w14:textId="08BFEFB1" w:rsidR="00733550" w:rsidRPr="00733550" w:rsidRDefault="00733550" w:rsidP="00733550">
      <w:pPr>
        <w:tabs>
          <w:tab w:val="left" w:pos="630"/>
        </w:tabs>
        <w:spacing w:after="0" w:line="240" w:lineRule="auto"/>
        <w:ind w:left="540" w:hanging="540"/>
        <w:rPr>
          <w:bCs/>
          <w:szCs w:val="24"/>
        </w:rPr>
      </w:pPr>
      <w:r w:rsidRPr="00733550">
        <w:rPr>
          <w:bCs/>
          <w:szCs w:val="24"/>
        </w:rPr>
        <w:t>Beck, M.</w:t>
      </w:r>
      <w:r>
        <w:rPr>
          <w:bCs/>
          <w:szCs w:val="24"/>
        </w:rPr>
        <w:t xml:space="preserve"> </w:t>
      </w:r>
      <w:r w:rsidRPr="00733550">
        <w:rPr>
          <w:bCs/>
          <w:szCs w:val="24"/>
        </w:rPr>
        <w:t xml:space="preserve">J., </w:t>
      </w:r>
      <w:proofErr w:type="spellStart"/>
      <w:r w:rsidRPr="00733550">
        <w:rPr>
          <w:bCs/>
          <w:szCs w:val="24"/>
        </w:rPr>
        <w:t>Hensher</w:t>
      </w:r>
      <w:proofErr w:type="spellEnd"/>
      <w:r w:rsidRPr="00733550">
        <w:rPr>
          <w:bCs/>
          <w:szCs w:val="24"/>
        </w:rPr>
        <w:t>, D.</w:t>
      </w:r>
      <w:r>
        <w:rPr>
          <w:bCs/>
          <w:szCs w:val="24"/>
        </w:rPr>
        <w:t xml:space="preserve"> </w:t>
      </w:r>
      <w:r w:rsidRPr="00733550">
        <w:rPr>
          <w:bCs/>
          <w:szCs w:val="24"/>
        </w:rPr>
        <w:t xml:space="preserve">A., and Wei, E. (2020). Slowly coming out of COVID-19 restrictions in Australia: Implications for working from home and commuting trips by car and public transport. </w:t>
      </w:r>
      <w:r w:rsidRPr="00733550">
        <w:rPr>
          <w:bCs/>
          <w:i/>
          <w:szCs w:val="24"/>
        </w:rPr>
        <w:t>Journal of Transport Geography</w:t>
      </w:r>
      <w:r w:rsidRPr="00733550">
        <w:rPr>
          <w:bCs/>
          <w:szCs w:val="24"/>
        </w:rPr>
        <w:t>, 88, 102846.</w:t>
      </w:r>
    </w:p>
    <w:p w14:paraId="13CAF724" w14:textId="77777777" w:rsidR="00733550" w:rsidRPr="00733550" w:rsidRDefault="00733550" w:rsidP="00733550">
      <w:pPr>
        <w:tabs>
          <w:tab w:val="left" w:pos="630"/>
        </w:tabs>
        <w:spacing w:after="0" w:line="240" w:lineRule="auto"/>
        <w:ind w:left="540" w:hanging="540"/>
        <w:rPr>
          <w:bCs/>
          <w:color w:val="222222"/>
          <w:szCs w:val="24"/>
          <w:shd w:val="clear" w:color="auto" w:fill="FFFFFF"/>
        </w:rPr>
      </w:pPr>
      <w:r w:rsidRPr="00733550">
        <w:rPr>
          <w:bCs/>
          <w:color w:val="222222"/>
          <w:szCs w:val="24"/>
          <w:shd w:val="clear" w:color="auto" w:fill="FFFFFF"/>
        </w:rPr>
        <w:t xml:space="preserve">Beckman, M. (2022). Single Fathers Have 8 Times More Wealth Than Single Mothers, Data Shows. NASDAQ. Available at: </w:t>
      </w:r>
      <w:hyperlink r:id="rId409" w:history="1">
        <w:r w:rsidRPr="00733550">
          <w:rPr>
            <w:rStyle w:val="Hyperlink"/>
            <w:bCs/>
            <w:szCs w:val="24"/>
            <w:shd w:val="clear" w:color="auto" w:fill="FFFFFF"/>
          </w:rPr>
          <w:t>https://www.nasdaq.com/articles/single-fathers-have-8-times-more-wealth-than-single-mothers-data-shows</w:t>
        </w:r>
      </w:hyperlink>
      <w:r w:rsidRPr="00733550">
        <w:rPr>
          <w:bCs/>
          <w:color w:val="222222"/>
          <w:szCs w:val="24"/>
          <w:shd w:val="clear" w:color="auto" w:fill="FFFFFF"/>
        </w:rPr>
        <w:t xml:space="preserve">. Accessed on May 30, 2023. </w:t>
      </w:r>
    </w:p>
    <w:p w14:paraId="6C77D92C" w14:textId="40FB6242" w:rsidR="00733550" w:rsidRPr="00733550" w:rsidRDefault="00733550" w:rsidP="00733550">
      <w:pPr>
        <w:tabs>
          <w:tab w:val="left" w:pos="630"/>
        </w:tabs>
        <w:spacing w:after="0" w:line="240" w:lineRule="auto"/>
        <w:ind w:left="540" w:hanging="540"/>
        <w:rPr>
          <w:szCs w:val="24"/>
        </w:rPr>
      </w:pPr>
      <w:proofErr w:type="spellStart"/>
      <w:r w:rsidRPr="00733550">
        <w:rPr>
          <w:szCs w:val="24"/>
        </w:rPr>
        <w:t>Belostecinic</w:t>
      </w:r>
      <w:proofErr w:type="spellEnd"/>
      <w:r w:rsidRPr="00733550">
        <w:rPr>
          <w:szCs w:val="24"/>
        </w:rPr>
        <w:t xml:space="preserve">, G., </w:t>
      </w:r>
      <w:proofErr w:type="spellStart"/>
      <w:r w:rsidRPr="00733550">
        <w:rPr>
          <w:szCs w:val="24"/>
        </w:rPr>
        <w:t>Mogoș</w:t>
      </w:r>
      <w:proofErr w:type="spellEnd"/>
      <w:r w:rsidRPr="00733550">
        <w:rPr>
          <w:szCs w:val="24"/>
        </w:rPr>
        <w:t>, R.</w:t>
      </w:r>
      <w:r>
        <w:rPr>
          <w:szCs w:val="24"/>
        </w:rPr>
        <w:t xml:space="preserve"> </w:t>
      </w:r>
      <w:r w:rsidRPr="00733550">
        <w:rPr>
          <w:szCs w:val="24"/>
        </w:rPr>
        <w:t>I., Popescu, M.</w:t>
      </w:r>
      <w:r>
        <w:rPr>
          <w:szCs w:val="24"/>
        </w:rPr>
        <w:t xml:space="preserve"> </w:t>
      </w:r>
      <w:r w:rsidRPr="00733550">
        <w:rPr>
          <w:szCs w:val="24"/>
        </w:rPr>
        <w:t xml:space="preserve">L., </w:t>
      </w:r>
      <w:proofErr w:type="spellStart"/>
      <w:r w:rsidRPr="00733550">
        <w:rPr>
          <w:szCs w:val="24"/>
        </w:rPr>
        <w:t>Burlacu</w:t>
      </w:r>
      <w:proofErr w:type="spellEnd"/>
      <w:r w:rsidRPr="00733550">
        <w:rPr>
          <w:szCs w:val="24"/>
        </w:rPr>
        <w:t xml:space="preserve">, S., </w:t>
      </w:r>
      <w:proofErr w:type="spellStart"/>
      <w:r w:rsidRPr="00733550">
        <w:rPr>
          <w:szCs w:val="24"/>
        </w:rPr>
        <w:t>Rădulescu</w:t>
      </w:r>
      <w:proofErr w:type="spellEnd"/>
      <w:r w:rsidRPr="00733550">
        <w:rPr>
          <w:szCs w:val="24"/>
        </w:rPr>
        <w:t>, C.</w:t>
      </w:r>
      <w:r>
        <w:rPr>
          <w:szCs w:val="24"/>
        </w:rPr>
        <w:t xml:space="preserve"> </w:t>
      </w:r>
      <w:r w:rsidRPr="00733550">
        <w:rPr>
          <w:szCs w:val="24"/>
        </w:rPr>
        <w:t xml:space="preserve">V., </w:t>
      </w:r>
      <w:proofErr w:type="spellStart"/>
      <w:r w:rsidRPr="00733550">
        <w:rPr>
          <w:szCs w:val="24"/>
        </w:rPr>
        <w:t>Bodislav</w:t>
      </w:r>
      <w:proofErr w:type="spellEnd"/>
      <w:r w:rsidRPr="00733550">
        <w:rPr>
          <w:szCs w:val="24"/>
        </w:rPr>
        <w:t>, D.</w:t>
      </w:r>
      <w:r>
        <w:rPr>
          <w:szCs w:val="24"/>
        </w:rPr>
        <w:t xml:space="preserve"> </w:t>
      </w:r>
      <w:r w:rsidRPr="00733550">
        <w:rPr>
          <w:szCs w:val="24"/>
        </w:rPr>
        <w:t xml:space="preserve">A., Bran, F., and </w:t>
      </w:r>
      <w:proofErr w:type="spellStart"/>
      <w:r w:rsidRPr="00733550">
        <w:rPr>
          <w:szCs w:val="24"/>
        </w:rPr>
        <w:t>Oancea-Negescu</w:t>
      </w:r>
      <w:proofErr w:type="spellEnd"/>
      <w:r w:rsidRPr="00733550">
        <w:rPr>
          <w:szCs w:val="24"/>
        </w:rPr>
        <w:t>, M.</w:t>
      </w:r>
      <w:r w:rsidR="00681AAB">
        <w:rPr>
          <w:szCs w:val="24"/>
        </w:rPr>
        <w:t xml:space="preserve"> </w:t>
      </w:r>
      <w:r w:rsidRPr="00733550">
        <w:rPr>
          <w:szCs w:val="24"/>
        </w:rPr>
        <w:t xml:space="preserve">D. (2021). Teleworking-An economic and social impact during COVID-19 pandemic: A data mining analysis. </w:t>
      </w:r>
      <w:r w:rsidRPr="00733550">
        <w:rPr>
          <w:i/>
          <w:iCs/>
          <w:szCs w:val="24"/>
        </w:rPr>
        <w:t>International Journal of Environmental Research and Public Health, 19</w:t>
      </w:r>
      <w:r w:rsidRPr="00733550">
        <w:rPr>
          <w:szCs w:val="24"/>
        </w:rPr>
        <w:t>(1), 298.</w:t>
      </w:r>
    </w:p>
    <w:p w14:paraId="4CD3568F" w14:textId="77777777" w:rsidR="00733550" w:rsidRPr="00733550" w:rsidRDefault="00733550" w:rsidP="00733550">
      <w:pPr>
        <w:tabs>
          <w:tab w:val="left" w:pos="630"/>
        </w:tabs>
        <w:spacing w:after="0" w:line="240" w:lineRule="auto"/>
        <w:ind w:left="540" w:hanging="540"/>
        <w:rPr>
          <w:bCs/>
          <w:color w:val="222222"/>
          <w:szCs w:val="24"/>
          <w:shd w:val="clear" w:color="auto" w:fill="FFFFFF"/>
        </w:rPr>
      </w:pPr>
      <w:r w:rsidRPr="00733550">
        <w:rPr>
          <w:bCs/>
          <w:color w:val="222222"/>
          <w:szCs w:val="24"/>
          <w:shd w:val="clear" w:color="auto" w:fill="FFFFFF"/>
        </w:rPr>
        <w:t xml:space="preserve">Ben-Akiva, M. E. and </w:t>
      </w:r>
      <w:proofErr w:type="spellStart"/>
      <w:r w:rsidRPr="00733550">
        <w:rPr>
          <w:bCs/>
          <w:color w:val="222222"/>
          <w:szCs w:val="24"/>
          <w:shd w:val="clear" w:color="auto" w:fill="FFFFFF"/>
        </w:rPr>
        <w:t>Lerman</w:t>
      </w:r>
      <w:proofErr w:type="spellEnd"/>
      <w:r w:rsidRPr="00733550">
        <w:rPr>
          <w:bCs/>
          <w:color w:val="222222"/>
          <w:szCs w:val="24"/>
          <w:shd w:val="clear" w:color="auto" w:fill="FFFFFF"/>
        </w:rPr>
        <w:t xml:space="preserve">, S. R. (1985). </w:t>
      </w:r>
      <w:r w:rsidRPr="001C096E">
        <w:rPr>
          <w:bCs/>
          <w:i/>
          <w:iCs/>
          <w:color w:val="222222"/>
          <w:szCs w:val="24"/>
          <w:shd w:val="clear" w:color="auto" w:fill="FFFFFF"/>
        </w:rPr>
        <w:t>Discrete Choice Analysis: Theory and Application to Travel Demand</w:t>
      </w:r>
      <w:r w:rsidRPr="00733550">
        <w:rPr>
          <w:bCs/>
          <w:color w:val="222222"/>
          <w:szCs w:val="24"/>
          <w:shd w:val="clear" w:color="auto" w:fill="FFFFFF"/>
        </w:rPr>
        <w:t xml:space="preserve">, 9. MIT Press. </w:t>
      </w:r>
    </w:p>
    <w:p w14:paraId="62AC833D" w14:textId="06F54DA1" w:rsidR="00733550" w:rsidRPr="00733550" w:rsidRDefault="00733550" w:rsidP="00733550">
      <w:pPr>
        <w:tabs>
          <w:tab w:val="left" w:pos="630"/>
        </w:tabs>
        <w:spacing w:after="0" w:line="240" w:lineRule="auto"/>
        <w:ind w:left="540" w:hanging="540"/>
        <w:rPr>
          <w:bCs/>
          <w:color w:val="222222"/>
          <w:szCs w:val="24"/>
          <w:shd w:val="clear" w:color="auto" w:fill="FFFFFF"/>
        </w:rPr>
      </w:pPr>
      <w:r w:rsidRPr="00733550">
        <w:rPr>
          <w:bCs/>
          <w:color w:val="222222"/>
          <w:szCs w:val="24"/>
          <w:shd w:val="clear" w:color="auto" w:fill="FFFFFF"/>
        </w:rPr>
        <w:t>Bhat, C.</w:t>
      </w:r>
      <w:r w:rsidR="00681AAB">
        <w:rPr>
          <w:bCs/>
          <w:color w:val="222222"/>
          <w:szCs w:val="24"/>
          <w:shd w:val="clear" w:color="auto" w:fill="FFFFFF"/>
        </w:rPr>
        <w:t xml:space="preserve"> </w:t>
      </w:r>
      <w:r w:rsidRPr="00733550">
        <w:rPr>
          <w:bCs/>
          <w:color w:val="222222"/>
          <w:szCs w:val="24"/>
          <w:shd w:val="clear" w:color="auto" w:fill="FFFFFF"/>
        </w:rPr>
        <w:t>R. (1997). An endogenous segmentation mode choice model with an application to intercity travel. </w:t>
      </w:r>
      <w:r w:rsidRPr="00733550">
        <w:rPr>
          <w:bCs/>
          <w:i/>
          <w:iCs/>
          <w:color w:val="222222"/>
          <w:szCs w:val="24"/>
          <w:shd w:val="clear" w:color="auto" w:fill="FFFFFF"/>
        </w:rPr>
        <w:t>Transportation Science</w:t>
      </w:r>
      <w:r w:rsidRPr="00733550">
        <w:rPr>
          <w:bCs/>
          <w:color w:val="222222"/>
          <w:szCs w:val="24"/>
          <w:shd w:val="clear" w:color="auto" w:fill="FFFFFF"/>
        </w:rPr>
        <w:t>, </w:t>
      </w:r>
      <w:r w:rsidRPr="00733550">
        <w:rPr>
          <w:bCs/>
          <w:i/>
          <w:iCs/>
          <w:color w:val="222222"/>
          <w:szCs w:val="24"/>
          <w:shd w:val="clear" w:color="auto" w:fill="FFFFFF"/>
        </w:rPr>
        <w:t>31</w:t>
      </w:r>
      <w:r w:rsidRPr="00733550">
        <w:rPr>
          <w:bCs/>
          <w:color w:val="222222"/>
          <w:szCs w:val="24"/>
          <w:shd w:val="clear" w:color="auto" w:fill="FFFFFF"/>
        </w:rPr>
        <w:t>(1), 34-48.</w:t>
      </w:r>
    </w:p>
    <w:p w14:paraId="0F33AC74" w14:textId="27B31018" w:rsidR="00733550" w:rsidRPr="00733550" w:rsidRDefault="00733550" w:rsidP="00733550">
      <w:pPr>
        <w:tabs>
          <w:tab w:val="left" w:pos="630"/>
        </w:tabs>
        <w:spacing w:after="0" w:line="240" w:lineRule="auto"/>
        <w:ind w:left="540" w:hanging="540"/>
        <w:rPr>
          <w:bCs/>
          <w:color w:val="222222"/>
          <w:szCs w:val="24"/>
          <w:shd w:val="clear" w:color="auto" w:fill="FFFFFF"/>
        </w:rPr>
      </w:pPr>
      <w:bookmarkStart w:id="32" w:name="_Hlk125958151"/>
      <w:r w:rsidRPr="00733550">
        <w:rPr>
          <w:bCs/>
          <w:color w:val="222222"/>
          <w:szCs w:val="24"/>
          <w:shd w:val="clear" w:color="auto" w:fill="FFFFFF"/>
        </w:rPr>
        <w:t xml:space="preserve">Bhat, </w:t>
      </w:r>
      <w:r w:rsidR="00681AAB">
        <w:rPr>
          <w:bCs/>
          <w:color w:val="222222"/>
          <w:szCs w:val="24"/>
          <w:shd w:val="clear" w:color="auto" w:fill="FFFFFF"/>
        </w:rPr>
        <w:t>C. R.</w:t>
      </w:r>
      <w:r w:rsidRPr="00733550">
        <w:rPr>
          <w:bCs/>
          <w:color w:val="222222"/>
          <w:szCs w:val="24"/>
          <w:shd w:val="clear" w:color="auto" w:fill="FFFFFF"/>
        </w:rPr>
        <w:t xml:space="preserve"> (2008). The multiple discrete-continuous extreme value (MDCEV) model: Role of utility function parameters, identification considerations, and model extensions. </w:t>
      </w:r>
      <w:r w:rsidRPr="00733550">
        <w:rPr>
          <w:bCs/>
          <w:i/>
          <w:iCs/>
          <w:color w:val="222222"/>
          <w:szCs w:val="24"/>
          <w:shd w:val="clear" w:color="auto" w:fill="FFFFFF"/>
        </w:rPr>
        <w:t>Transportation Research Part B</w:t>
      </w:r>
      <w:r w:rsidRPr="00733550">
        <w:rPr>
          <w:bCs/>
          <w:color w:val="222222"/>
          <w:szCs w:val="24"/>
          <w:shd w:val="clear" w:color="auto" w:fill="FFFFFF"/>
        </w:rPr>
        <w:t>, </w:t>
      </w:r>
      <w:r w:rsidRPr="00733550">
        <w:rPr>
          <w:bCs/>
          <w:i/>
          <w:iCs/>
          <w:color w:val="222222"/>
          <w:szCs w:val="24"/>
          <w:shd w:val="clear" w:color="auto" w:fill="FFFFFF"/>
        </w:rPr>
        <w:t>42</w:t>
      </w:r>
      <w:r w:rsidRPr="00733550">
        <w:rPr>
          <w:bCs/>
          <w:color w:val="222222"/>
          <w:szCs w:val="24"/>
          <w:shd w:val="clear" w:color="auto" w:fill="FFFFFF"/>
        </w:rPr>
        <w:t>(3), 274-303.</w:t>
      </w:r>
      <w:bookmarkEnd w:id="32"/>
    </w:p>
    <w:p w14:paraId="4C6BAA31" w14:textId="629DEBDA" w:rsidR="00733550" w:rsidRPr="00733550" w:rsidRDefault="00733550" w:rsidP="00733550">
      <w:pPr>
        <w:tabs>
          <w:tab w:val="left" w:pos="630"/>
        </w:tabs>
        <w:spacing w:after="0" w:line="240" w:lineRule="auto"/>
        <w:ind w:left="540" w:hanging="540"/>
        <w:rPr>
          <w:bCs/>
          <w:color w:val="222222"/>
          <w:szCs w:val="24"/>
          <w:shd w:val="clear" w:color="auto" w:fill="FFFFFF"/>
        </w:rPr>
      </w:pPr>
      <w:r w:rsidRPr="00733550">
        <w:rPr>
          <w:bCs/>
          <w:color w:val="222222"/>
          <w:szCs w:val="24"/>
          <w:shd w:val="clear" w:color="auto" w:fill="FFFFFF"/>
        </w:rPr>
        <w:t xml:space="preserve">Bhat, </w:t>
      </w:r>
      <w:r w:rsidR="00681AAB">
        <w:rPr>
          <w:bCs/>
          <w:color w:val="222222"/>
          <w:szCs w:val="24"/>
          <w:shd w:val="clear" w:color="auto" w:fill="FFFFFF"/>
        </w:rPr>
        <w:t>C. R.</w:t>
      </w:r>
      <w:r w:rsidRPr="00733550">
        <w:rPr>
          <w:bCs/>
          <w:color w:val="222222"/>
          <w:szCs w:val="24"/>
          <w:shd w:val="clear" w:color="auto" w:fill="FFFFFF"/>
        </w:rPr>
        <w:t xml:space="preserve"> (2015). A new generalized heterogeneous data model (GHDM) to jointly model mixed types of dependent variables. </w:t>
      </w:r>
      <w:r w:rsidRPr="00733550">
        <w:rPr>
          <w:bCs/>
          <w:i/>
          <w:iCs/>
          <w:color w:val="222222"/>
          <w:szCs w:val="24"/>
          <w:shd w:val="clear" w:color="auto" w:fill="FFFFFF"/>
        </w:rPr>
        <w:t>Transportation Research Part B</w:t>
      </w:r>
      <w:r w:rsidRPr="00733550">
        <w:rPr>
          <w:bCs/>
          <w:color w:val="222222"/>
          <w:szCs w:val="24"/>
          <w:shd w:val="clear" w:color="auto" w:fill="FFFFFF"/>
        </w:rPr>
        <w:t>, </w:t>
      </w:r>
      <w:r w:rsidRPr="00733550">
        <w:rPr>
          <w:bCs/>
          <w:i/>
          <w:iCs/>
          <w:color w:val="222222"/>
          <w:szCs w:val="24"/>
          <w:shd w:val="clear" w:color="auto" w:fill="FFFFFF"/>
        </w:rPr>
        <w:t>79</w:t>
      </w:r>
      <w:r w:rsidRPr="00733550">
        <w:rPr>
          <w:bCs/>
          <w:color w:val="222222"/>
          <w:szCs w:val="24"/>
          <w:shd w:val="clear" w:color="auto" w:fill="FFFFFF"/>
        </w:rPr>
        <w:t>, 50-77.</w:t>
      </w:r>
    </w:p>
    <w:p w14:paraId="596D01A6" w14:textId="17FCC5FC" w:rsidR="00733550" w:rsidRPr="00733550" w:rsidRDefault="00733550" w:rsidP="00733550">
      <w:pPr>
        <w:tabs>
          <w:tab w:val="left" w:pos="630"/>
        </w:tabs>
        <w:spacing w:after="0" w:line="240" w:lineRule="auto"/>
        <w:ind w:left="540" w:hanging="540"/>
        <w:rPr>
          <w:bCs/>
          <w:color w:val="222222"/>
          <w:szCs w:val="24"/>
          <w:shd w:val="clear" w:color="auto" w:fill="FFFFFF"/>
        </w:rPr>
      </w:pPr>
      <w:r w:rsidRPr="00733550">
        <w:rPr>
          <w:color w:val="222222"/>
          <w:szCs w:val="24"/>
          <w:shd w:val="clear" w:color="auto" w:fill="FFFFFF"/>
        </w:rPr>
        <w:t xml:space="preserve">Bhat, </w:t>
      </w:r>
      <w:r w:rsidR="00681AAB">
        <w:rPr>
          <w:color w:val="222222"/>
          <w:szCs w:val="24"/>
          <w:shd w:val="clear" w:color="auto" w:fill="FFFFFF"/>
        </w:rPr>
        <w:t>C. R.</w:t>
      </w:r>
      <w:r w:rsidRPr="00733550">
        <w:rPr>
          <w:color w:val="222222"/>
          <w:szCs w:val="24"/>
          <w:shd w:val="clear" w:color="auto" w:fill="FFFFFF"/>
        </w:rPr>
        <w:t xml:space="preserve"> (2018). New matrix-based methods for the analytic evaluation of the multivariate cumulative normal distribution function. </w:t>
      </w:r>
      <w:r w:rsidRPr="00733550">
        <w:rPr>
          <w:i/>
          <w:iCs/>
          <w:color w:val="222222"/>
          <w:szCs w:val="24"/>
          <w:shd w:val="clear" w:color="auto" w:fill="FFFFFF"/>
        </w:rPr>
        <w:t>Transportation Research Part B</w:t>
      </w:r>
      <w:r w:rsidRPr="00733550">
        <w:rPr>
          <w:color w:val="222222"/>
          <w:szCs w:val="24"/>
          <w:shd w:val="clear" w:color="auto" w:fill="FFFFFF"/>
        </w:rPr>
        <w:t>, </w:t>
      </w:r>
      <w:r w:rsidRPr="00733550">
        <w:rPr>
          <w:i/>
          <w:iCs/>
          <w:color w:val="222222"/>
          <w:szCs w:val="24"/>
          <w:shd w:val="clear" w:color="auto" w:fill="FFFFFF"/>
        </w:rPr>
        <w:t>109</w:t>
      </w:r>
      <w:r w:rsidRPr="00733550">
        <w:rPr>
          <w:color w:val="222222"/>
          <w:szCs w:val="24"/>
          <w:shd w:val="clear" w:color="auto" w:fill="FFFFFF"/>
        </w:rPr>
        <w:t>, 238-256.</w:t>
      </w:r>
    </w:p>
    <w:p w14:paraId="45E53411" w14:textId="7A954461" w:rsidR="00733550" w:rsidRDefault="00733550" w:rsidP="00733550">
      <w:pPr>
        <w:tabs>
          <w:tab w:val="left" w:pos="630"/>
        </w:tabs>
        <w:spacing w:after="0" w:line="240" w:lineRule="auto"/>
        <w:ind w:left="540" w:hanging="540"/>
        <w:rPr>
          <w:color w:val="222222"/>
          <w:szCs w:val="24"/>
          <w:shd w:val="clear" w:color="auto" w:fill="FFFFFF"/>
        </w:rPr>
      </w:pPr>
      <w:r w:rsidRPr="00733550">
        <w:rPr>
          <w:color w:val="222222"/>
          <w:szCs w:val="24"/>
          <w:shd w:val="clear" w:color="auto" w:fill="FFFFFF"/>
        </w:rPr>
        <w:t xml:space="preserve">Bhat, </w:t>
      </w:r>
      <w:r w:rsidR="00681AAB">
        <w:rPr>
          <w:color w:val="222222"/>
          <w:szCs w:val="24"/>
          <w:shd w:val="clear" w:color="auto" w:fill="FFFFFF"/>
        </w:rPr>
        <w:t>C. R.</w:t>
      </w:r>
      <w:r w:rsidRPr="00733550">
        <w:rPr>
          <w:color w:val="222222"/>
          <w:szCs w:val="24"/>
          <w:shd w:val="clear" w:color="auto" w:fill="FFFFFF"/>
        </w:rPr>
        <w:t xml:space="preserve"> (2022). Data </w:t>
      </w:r>
      <w:r w:rsidR="00220225">
        <w:rPr>
          <w:color w:val="222222"/>
          <w:szCs w:val="24"/>
          <w:shd w:val="clear" w:color="auto" w:fill="FFFFFF"/>
        </w:rPr>
        <w:t>c</w:t>
      </w:r>
      <w:r w:rsidRPr="00733550">
        <w:rPr>
          <w:color w:val="222222"/>
          <w:szCs w:val="24"/>
          <w:shd w:val="clear" w:color="auto" w:fill="FFFFFF"/>
        </w:rPr>
        <w:t xml:space="preserve">ollection </w:t>
      </w:r>
      <w:r w:rsidR="00220225">
        <w:rPr>
          <w:color w:val="222222"/>
          <w:szCs w:val="24"/>
          <w:shd w:val="clear" w:color="auto" w:fill="FFFFFF"/>
        </w:rPr>
        <w:t>m</w:t>
      </w:r>
      <w:r w:rsidRPr="00733550">
        <w:rPr>
          <w:color w:val="222222"/>
          <w:szCs w:val="24"/>
          <w:shd w:val="clear" w:color="auto" w:fill="FFFFFF"/>
        </w:rPr>
        <w:t xml:space="preserve">ethods and </w:t>
      </w:r>
      <w:r w:rsidR="00220225">
        <w:rPr>
          <w:color w:val="222222"/>
          <w:szCs w:val="24"/>
          <w:shd w:val="clear" w:color="auto" w:fill="FFFFFF"/>
        </w:rPr>
        <w:t>a</w:t>
      </w:r>
      <w:r w:rsidRPr="00733550">
        <w:rPr>
          <w:color w:val="222222"/>
          <w:szCs w:val="24"/>
          <w:shd w:val="clear" w:color="auto" w:fill="FFFFFF"/>
        </w:rPr>
        <w:t>ctivity-</w:t>
      </w:r>
      <w:r w:rsidR="00220225">
        <w:rPr>
          <w:color w:val="222222"/>
          <w:szCs w:val="24"/>
          <w:shd w:val="clear" w:color="auto" w:fill="FFFFFF"/>
        </w:rPr>
        <w:t>t</w:t>
      </w:r>
      <w:r w:rsidRPr="00733550">
        <w:rPr>
          <w:color w:val="222222"/>
          <w:szCs w:val="24"/>
          <w:shd w:val="clear" w:color="auto" w:fill="FFFFFF"/>
        </w:rPr>
        <w:t xml:space="preserve">ravel </w:t>
      </w:r>
      <w:r w:rsidR="00220225">
        <w:rPr>
          <w:color w:val="222222"/>
          <w:szCs w:val="24"/>
          <w:shd w:val="clear" w:color="auto" w:fill="FFFFFF"/>
        </w:rPr>
        <w:t>b</w:t>
      </w:r>
      <w:r w:rsidRPr="00733550">
        <w:rPr>
          <w:color w:val="222222"/>
          <w:szCs w:val="24"/>
          <w:shd w:val="clear" w:color="auto" w:fill="FFFFFF"/>
        </w:rPr>
        <w:t xml:space="preserve">ehavior </w:t>
      </w:r>
      <w:r w:rsidR="00220225">
        <w:rPr>
          <w:color w:val="222222"/>
          <w:szCs w:val="24"/>
          <w:shd w:val="clear" w:color="auto" w:fill="FFFFFF"/>
        </w:rPr>
        <w:t>a</w:t>
      </w:r>
      <w:r w:rsidRPr="00733550">
        <w:rPr>
          <w:color w:val="222222"/>
          <w:szCs w:val="24"/>
          <w:shd w:val="clear" w:color="auto" w:fill="FFFFFF"/>
        </w:rPr>
        <w:t xml:space="preserve">nalysis in a </w:t>
      </w:r>
      <w:r w:rsidR="00220225">
        <w:rPr>
          <w:color w:val="222222"/>
          <w:szCs w:val="24"/>
          <w:shd w:val="clear" w:color="auto" w:fill="FFFFFF"/>
        </w:rPr>
        <w:t>f</w:t>
      </w:r>
      <w:r w:rsidRPr="00733550">
        <w:rPr>
          <w:color w:val="222222"/>
          <w:szCs w:val="24"/>
          <w:shd w:val="clear" w:color="auto" w:fill="FFFFFF"/>
        </w:rPr>
        <w:t xml:space="preserve">ast </w:t>
      </w:r>
      <w:r w:rsidR="00220225">
        <w:rPr>
          <w:color w:val="222222"/>
          <w:szCs w:val="24"/>
          <w:shd w:val="clear" w:color="auto" w:fill="FFFFFF"/>
        </w:rPr>
        <w:t>e</w:t>
      </w:r>
      <w:r w:rsidRPr="00733550">
        <w:rPr>
          <w:color w:val="222222"/>
          <w:szCs w:val="24"/>
          <w:shd w:val="clear" w:color="auto" w:fill="FFFFFF"/>
        </w:rPr>
        <w:t xml:space="preserve">volving </w:t>
      </w:r>
      <w:r w:rsidR="00220225">
        <w:rPr>
          <w:color w:val="222222"/>
          <w:szCs w:val="24"/>
          <w:shd w:val="clear" w:color="auto" w:fill="FFFFFF"/>
        </w:rPr>
        <w:t>t</w:t>
      </w:r>
      <w:r w:rsidRPr="00733550">
        <w:rPr>
          <w:color w:val="222222"/>
          <w:szCs w:val="24"/>
          <w:shd w:val="clear" w:color="auto" w:fill="FFFFFF"/>
        </w:rPr>
        <w:t xml:space="preserve">echnological </w:t>
      </w:r>
      <w:r w:rsidR="00220225">
        <w:rPr>
          <w:color w:val="222222"/>
          <w:szCs w:val="24"/>
          <w:shd w:val="clear" w:color="auto" w:fill="FFFFFF"/>
        </w:rPr>
        <w:t>f</w:t>
      </w:r>
      <w:r w:rsidRPr="00733550">
        <w:rPr>
          <w:color w:val="222222"/>
          <w:szCs w:val="24"/>
          <w:shd w:val="clear" w:color="auto" w:fill="FFFFFF"/>
        </w:rPr>
        <w:t>uture. </w:t>
      </w:r>
      <w:r w:rsidRPr="00733550">
        <w:rPr>
          <w:i/>
          <w:iCs/>
          <w:color w:val="222222"/>
          <w:szCs w:val="24"/>
          <w:shd w:val="clear" w:color="auto" w:fill="FFFFFF"/>
        </w:rPr>
        <w:t>ITE Journal</w:t>
      </w:r>
      <w:r w:rsidRPr="00733550">
        <w:rPr>
          <w:color w:val="222222"/>
          <w:szCs w:val="24"/>
          <w:shd w:val="clear" w:color="auto" w:fill="FFFFFF"/>
        </w:rPr>
        <w:t>, </w:t>
      </w:r>
      <w:r w:rsidRPr="00733550">
        <w:rPr>
          <w:i/>
          <w:iCs/>
          <w:color w:val="222222"/>
          <w:szCs w:val="24"/>
          <w:shd w:val="clear" w:color="auto" w:fill="FFFFFF"/>
        </w:rPr>
        <w:t>92</w:t>
      </w:r>
      <w:r w:rsidRPr="00733550">
        <w:rPr>
          <w:color w:val="222222"/>
          <w:szCs w:val="24"/>
          <w:shd w:val="clear" w:color="auto" w:fill="FFFFFF"/>
        </w:rPr>
        <w:t>(10)</w:t>
      </w:r>
      <w:r w:rsidR="00220225">
        <w:rPr>
          <w:color w:val="222222"/>
          <w:szCs w:val="24"/>
          <w:shd w:val="clear" w:color="auto" w:fill="FFFFFF"/>
        </w:rPr>
        <w:t>, 29-33</w:t>
      </w:r>
      <w:r w:rsidRPr="00733550">
        <w:rPr>
          <w:color w:val="222222"/>
          <w:szCs w:val="24"/>
          <w:shd w:val="clear" w:color="auto" w:fill="FFFFFF"/>
        </w:rPr>
        <w:t>.</w:t>
      </w:r>
    </w:p>
    <w:p w14:paraId="36C08631" w14:textId="3745A77F" w:rsidR="00076F44" w:rsidRDefault="00076F44" w:rsidP="00733550">
      <w:pPr>
        <w:tabs>
          <w:tab w:val="left" w:pos="630"/>
        </w:tabs>
        <w:spacing w:after="0" w:line="240" w:lineRule="auto"/>
        <w:ind w:left="540" w:hanging="540"/>
        <w:rPr>
          <w:color w:val="222222"/>
          <w:szCs w:val="24"/>
          <w:shd w:val="clear" w:color="auto" w:fill="FFFFFF"/>
        </w:rPr>
      </w:pPr>
      <w:r w:rsidRPr="00076F44">
        <w:rPr>
          <w:color w:val="222222"/>
          <w:szCs w:val="24"/>
          <w:shd w:val="clear" w:color="auto" w:fill="FFFFFF"/>
        </w:rPr>
        <w:t xml:space="preserve">Bhat, C. R., Castro, M., and Khan, M. (2013). A new estimation approach for the multiple discrete–continuous </w:t>
      </w:r>
      <w:proofErr w:type="spellStart"/>
      <w:r w:rsidRPr="00076F44">
        <w:rPr>
          <w:color w:val="222222"/>
          <w:szCs w:val="24"/>
          <w:shd w:val="clear" w:color="auto" w:fill="FFFFFF"/>
        </w:rPr>
        <w:t>probit</w:t>
      </w:r>
      <w:proofErr w:type="spellEnd"/>
      <w:r w:rsidRPr="00076F44">
        <w:rPr>
          <w:color w:val="222222"/>
          <w:szCs w:val="24"/>
          <w:shd w:val="clear" w:color="auto" w:fill="FFFFFF"/>
        </w:rPr>
        <w:t xml:space="preserve"> (MDCP) choice model. </w:t>
      </w:r>
      <w:r w:rsidRPr="00076F44">
        <w:rPr>
          <w:i/>
          <w:iCs/>
          <w:color w:val="222222"/>
          <w:szCs w:val="24"/>
          <w:shd w:val="clear" w:color="auto" w:fill="FFFFFF"/>
        </w:rPr>
        <w:t>Transportation Research Part B</w:t>
      </w:r>
      <w:r w:rsidRPr="00076F44">
        <w:rPr>
          <w:color w:val="222222"/>
          <w:szCs w:val="24"/>
          <w:shd w:val="clear" w:color="auto" w:fill="FFFFFF"/>
        </w:rPr>
        <w:t>, </w:t>
      </w:r>
      <w:r w:rsidRPr="00076F44">
        <w:rPr>
          <w:i/>
          <w:iCs/>
          <w:color w:val="222222"/>
          <w:szCs w:val="24"/>
          <w:shd w:val="clear" w:color="auto" w:fill="FFFFFF"/>
        </w:rPr>
        <w:t>55</w:t>
      </w:r>
      <w:r w:rsidRPr="00076F44">
        <w:rPr>
          <w:color w:val="222222"/>
          <w:szCs w:val="24"/>
          <w:shd w:val="clear" w:color="auto" w:fill="FFFFFF"/>
        </w:rPr>
        <w:t>, 1-22.</w:t>
      </w:r>
    </w:p>
    <w:p w14:paraId="3B316197" w14:textId="77777777" w:rsidR="002E200B" w:rsidRDefault="008228FD" w:rsidP="002E200B">
      <w:pPr>
        <w:tabs>
          <w:tab w:val="left" w:pos="630"/>
        </w:tabs>
        <w:spacing w:after="0" w:line="240" w:lineRule="auto"/>
        <w:ind w:left="540" w:hanging="540"/>
        <w:rPr>
          <w:color w:val="222222"/>
          <w:szCs w:val="24"/>
          <w:shd w:val="clear" w:color="auto" w:fill="FFFFFF"/>
        </w:rPr>
      </w:pPr>
      <w:r w:rsidRPr="008228FD">
        <w:rPr>
          <w:color w:val="222222"/>
          <w:szCs w:val="24"/>
          <w:shd w:val="clear" w:color="auto" w:fill="FFFFFF"/>
        </w:rPr>
        <w:t>Bhat, C. R., Astroza, S., Sidharthan, R., and Bhat, P. C. (2014). A multivariate hurdle count data model with an endogenous multiple discrete–continuous selection system. </w:t>
      </w:r>
      <w:r w:rsidRPr="008228FD">
        <w:rPr>
          <w:i/>
          <w:iCs/>
          <w:color w:val="222222"/>
          <w:szCs w:val="24"/>
          <w:shd w:val="clear" w:color="auto" w:fill="FFFFFF"/>
        </w:rPr>
        <w:t>Transportation Research Part B</w:t>
      </w:r>
      <w:r w:rsidRPr="008228FD">
        <w:rPr>
          <w:color w:val="222222"/>
          <w:szCs w:val="24"/>
          <w:shd w:val="clear" w:color="auto" w:fill="FFFFFF"/>
        </w:rPr>
        <w:t>, </w:t>
      </w:r>
      <w:r w:rsidRPr="008228FD">
        <w:rPr>
          <w:i/>
          <w:iCs/>
          <w:color w:val="222222"/>
          <w:szCs w:val="24"/>
          <w:shd w:val="clear" w:color="auto" w:fill="FFFFFF"/>
        </w:rPr>
        <w:t>63</w:t>
      </w:r>
      <w:r w:rsidRPr="008228FD">
        <w:rPr>
          <w:color w:val="222222"/>
          <w:szCs w:val="24"/>
          <w:shd w:val="clear" w:color="auto" w:fill="FFFFFF"/>
        </w:rPr>
        <w:t>, 77-97.</w:t>
      </w:r>
    </w:p>
    <w:p w14:paraId="4DCAAEFE" w14:textId="523AF763" w:rsidR="008228FD" w:rsidRPr="002E200B" w:rsidRDefault="008228FD" w:rsidP="002E200B">
      <w:pPr>
        <w:keepLines/>
        <w:tabs>
          <w:tab w:val="left" w:pos="630"/>
        </w:tabs>
        <w:spacing w:after="0" w:line="240" w:lineRule="auto"/>
        <w:ind w:left="547" w:hanging="547"/>
        <w:rPr>
          <w:color w:val="222222"/>
          <w:szCs w:val="24"/>
          <w:shd w:val="clear" w:color="auto" w:fill="FFFFFF"/>
        </w:rPr>
      </w:pPr>
      <w:r w:rsidRPr="008228FD">
        <w:rPr>
          <w:color w:val="222222"/>
          <w:szCs w:val="24"/>
          <w:shd w:val="clear" w:color="auto" w:fill="FFFFFF"/>
        </w:rPr>
        <w:lastRenderedPageBreak/>
        <w:t>Bhat, C. R., Astroza, S., Bhat, A. C., and Nagel, K. (2016). Incorporating a multiple discrete-continuous outcome in the generalized heterogeneous data model: Application to residential self-selection effects analysis in an activity time-use behavior model. </w:t>
      </w:r>
      <w:r w:rsidRPr="008228FD">
        <w:rPr>
          <w:i/>
          <w:iCs/>
          <w:color w:val="222222"/>
          <w:szCs w:val="24"/>
          <w:shd w:val="clear" w:color="auto" w:fill="FFFFFF"/>
        </w:rPr>
        <w:t>Transportation Research Part B</w:t>
      </w:r>
      <w:r w:rsidRPr="008228FD">
        <w:rPr>
          <w:color w:val="222222"/>
          <w:szCs w:val="24"/>
          <w:shd w:val="clear" w:color="auto" w:fill="FFFFFF"/>
        </w:rPr>
        <w:t>, </w:t>
      </w:r>
      <w:r w:rsidRPr="008228FD">
        <w:rPr>
          <w:i/>
          <w:iCs/>
          <w:color w:val="222222"/>
          <w:szCs w:val="24"/>
          <w:shd w:val="clear" w:color="auto" w:fill="FFFFFF"/>
        </w:rPr>
        <w:t>91</w:t>
      </w:r>
      <w:r w:rsidRPr="008228FD">
        <w:rPr>
          <w:color w:val="222222"/>
          <w:szCs w:val="24"/>
          <w:shd w:val="clear" w:color="auto" w:fill="FFFFFF"/>
        </w:rPr>
        <w:t>, 52-76.</w:t>
      </w:r>
    </w:p>
    <w:p w14:paraId="050B4633" w14:textId="44385040" w:rsidR="00733550" w:rsidRPr="00733550" w:rsidRDefault="00733550" w:rsidP="00733550">
      <w:pPr>
        <w:tabs>
          <w:tab w:val="left" w:pos="630"/>
        </w:tabs>
        <w:spacing w:after="0" w:line="240" w:lineRule="auto"/>
        <w:ind w:left="540" w:hanging="540"/>
        <w:rPr>
          <w:bCs/>
          <w:color w:val="222222"/>
          <w:szCs w:val="24"/>
          <w:shd w:val="clear" w:color="auto" w:fill="FFFFFF"/>
        </w:rPr>
      </w:pPr>
      <w:r w:rsidRPr="00733550">
        <w:rPr>
          <w:bCs/>
          <w:color w:val="222222"/>
          <w:szCs w:val="24"/>
          <w:shd w:val="clear" w:color="auto" w:fill="FFFFFF"/>
        </w:rPr>
        <w:t xml:space="preserve">Bhat, </w:t>
      </w:r>
      <w:r w:rsidR="00681AAB">
        <w:rPr>
          <w:bCs/>
          <w:color w:val="222222"/>
          <w:szCs w:val="24"/>
          <w:shd w:val="clear" w:color="auto" w:fill="FFFFFF"/>
        </w:rPr>
        <w:t>C. R.</w:t>
      </w:r>
      <w:r w:rsidRPr="00733550">
        <w:rPr>
          <w:bCs/>
          <w:color w:val="222222"/>
          <w:szCs w:val="24"/>
          <w:shd w:val="clear" w:color="auto" w:fill="FFFFFF"/>
        </w:rPr>
        <w:t xml:space="preserve"> and Lavieri, P.</w:t>
      </w:r>
      <w:r w:rsidR="00681AAB">
        <w:rPr>
          <w:bCs/>
          <w:color w:val="222222"/>
          <w:szCs w:val="24"/>
          <w:shd w:val="clear" w:color="auto" w:fill="FFFFFF"/>
        </w:rPr>
        <w:t xml:space="preserve"> </w:t>
      </w:r>
      <w:r w:rsidRPr="00733550">
        <w:rPr>
          <w:bCs/>
          <w:color w:val="222222"/>
          <w:szCs w:val="24"/>
          <w:shd w:val="clear" w:color="auto" w:fill="FFFFFF"/>
        </w:rPr>
        <w:t>S. (2018). A new mixed MNP model accommodating a variety of dependent non-normal coefficient distributions</w:t>
      </w:r>
      <w:r w:rsidR="00220225">
        <w:rPr>
          <w:bCs/>
          <w:color w:val="222222"/>
          <w:szCs w:val="24"/>
          <w:shd w:val="clear" w:color="auto" w:fill="FFFFFF"/>
        </w:rPr>
        <w:t>.</w:t>
      </w:r>
      <w:r w:rsidRPr="00733550">
        <w:rPr>
          <w:bCs/>
          <w:color w:val="222222"/>
          <w:szCs w:val="24"/>
          <w:shd w:val="clear" w:color="auto" w:fill="FFFFFF"/>
        </w:rPr>
        <w:t xml:space="preserve"> </w:t>
      </w:r>
      <w:r w:rsidRPr="00733550">
        <w:rPr>
          <w:bCs/>
          <w:i/>
          <w:iCs/>
          <w:color w:val="222222"/>
          <w:szCs w:val="24"/>
          <w:shd w:val="clear" w:color="auto" w:fill="FFFFFF"/>
        </w:rPr>
        <w:t>Theory and Decision</w:t>
      </w:r>
      <w:r w:rsidRPr="00220225">
        <w:rPr>
          <w:bCs/>
          <w:color w:val="222222"/>
          <w:szCs w:val="24"/>
          <w:shd w:val="clear" w:color="auto" w:fill="FFFFFF"/>
        </w:rPr>
        <w:t xml:space="preserve">, </w:t>
      </w:r>
      <w:r w:rsidRPr="00733550">
        <w:rPr>
          <w:bCs/>
          <w:i/>
          <w:iCs/>
          <w:color w:val="222222"/>
          <w:szCs w:val="24"/>
          <w:shd w:val="clear" w:color="auto" w:fill="FFFFFF"/>
        </w:rPr>
        <w:t>84</w:t>
      </w:r>
      <w:r w:rsidRPr="00733550">
        <w:rPr>
          <w:bCs/>
          <w:color w:val="222222"/>
          <w:szCs w:val="24"/>
          <w:shd w:val="clear" w:color="auto" w:fill="FFFFFF"/>
        </w:rPr>
        <w:t>(2), 239-275.</w:t>
      </w:r>
    </w:p>
    <w:p w14:paraId="1C90B3B9" w14:textId="25FD92A2" w:rsidR="00733550" w:rsidRPr="00733550" w:rsidRDefault="00733550" w:rsidP="00733550">
      <w:pPr>
        <w:tabs>
          <w:tab w:val="left" w:pos="630"/>
        </w:tabs>
        <w:spacing w:after="0" w:line="240" w:lineRule="auto"/>
        <w:ind w:left="540" w:hanging="540"/>
        <w:rPr>
          <w:bCs/>
          <w:color w:val="222222"/>
          <w:szCs w:val="24"/>
          <w:shd w:val="clear" w:color="auto" w:fill="FFFFFF"/>
        </w:rPr>
      </w:pPr>
      <w:r w:rsidRPr="00733550">
        <w:rPr>
          <w:bCs/>
          <w:color w:val="222222"/>
          <w:szCs w:val="24"/>
          <w:shd w:val="clear" w:color="auto" w:fill="FFFFFF"/>
        </w:rPr>
        <w:t>Bhuiyan, M.</w:t>
      </w:r>
      <w:r w:rsidR="00681AAB">
        <w:rPr>
          <w:bCs/>
          <w:color w:val="222222"/>
          <w:szCs w:val="24"/>
          <w:shd w:val="clear" w:color="auto" w:fill="FFFFFF"/>
        </w:rPr>
        <w:t xml:space="preserve"> </w:t>
      </w:r>
      <w:r w:rsidRPr="00733550">
        <w:rPr>
          <w:bCs/>
          <w:color w:val="222222"/>
          <w:szCs w:val="24"/>
          <w:shd w:val="clear" w:color="auto" w:fill="FFFFFF"/>
        </w:rPr>
        <w:t>A.</w:t>
      </w:r>
      <w:r w:rsidR="00681AAB">
        <w:rPr>
          <w:bCs/>
          <w:color w:val="222222"/>
          <w:szCs w:val="24"/>
          <w:shd w:val="clear" w:color="auto" w:fill="FFFFFF"/>
        </w:rPr>
        <w:t xml:space="preserve"> </w:t>
      </w:r>
      <w:r w:rsidRPr="00733550">
        <w:rPr>
          <w:bCs/>
          <w:color w:val="222222"/>
          <w:szCs w:val="24"/>
          <w:shd w:val="clear" w:color="auto" w:fill="FFFFFF"/>
        </w:rPr>
        <w:t xml:space="preserve">A., </w:t>
      </w:r>
      <w:proofErr w:type="spellStart"/>
      <w:r w:rsidRPr="00733550">
        <w:rPr>
          <w:bCs/>
          <w:color w:val="222222"/>
          <w:szCs w:val="24"/>
          <w:shd w:val="clear" w:color="auto" w:fill="FFFFFF"/>
        </w:rPr>
        <w:t>Rifaat</w:t>
      </w:r>
      <w:proofErr w:type="spellEnd"/>
      <w:r w:rsidRPr="00733550">
        <w:rPr>
          <w:bCs/>
          <w:color w:val="222222"/>
          <w:szCs w:val="24"/>
          <w:shd w:val="clear" w:color="auto" w:fill="FFFFFF"/>
        </w:rPr>
        <w:t>, S.</w:t>
      </w:r>
      <w:r w:rsidR="00681AAB">
        <w:rPr>
          <w:bCs/>
          <w:color w:val="222222"/>
          <w:szCs w:val="24"/>
          <w:shd w:val="clear" w:color="auto" w:fill="FFFFFF"/>
        </w:rPr>
        <w:t xml:space="preserve"> </w:t>
      </w:r>
      <w:r w:rsidRPr="00733550">
        <w:rPr>
          <w:bCs/>
          <w:color w:val="222222"/>
          <w:szCs w:val="24"/>
          <w:shd w:val="clear" w:color="auto" w:fill="FFFFFF"/>
        </w:rPr>
        <w:t>M., Tay, R., and De Barros, A. (2020). Influence of community design and sociodemographic characteristics on teleworking. </w:t>
      </w:r>
      <w:r w:rsidRPr="00733550">
        <w:rPr>
          <w:bCs/>
          <w:i/>
          <w:iCs/>
          <w:color w:val="222222"/>
          <w:szCs w:val="24"/>
          <w:shd w:val="clear" w:color="auto" w:fill="FFFFFF"/>
        </w:rPr>
        <w:t>Sustainability</w:t>
      </w:r>
      <w:r w:rsidRPr="00733550">
        <w:rPr>
          <w:bCs/>
          <w:color w:val="222222"/>
          <w:szCs w:val="24"/>
          <w:shd w:val="clear" w:color="auto" w:fill="FFFFFF"/>
        </w:rPr>
        <w:t>, </w:t>
      </w:r>
      <w:r w:rsidRPr="00733550">
        <w:rPr>
          <w:bCs/>
          <w:i/>
          <w:iCs/>
          <w:color w:val="222222"/>
          <w:szCs w:val="24"/>
          <w:shd w:val="clear" w:color="auto" w:fill="FFFFFF"/>
        </w:rPr>
        <w:t>12</w:t>
      </w:r>
      <w:r w:rsidRPr="00733550">
        <w:rPr>
          <w:bCs/>
          <w:color w:val="222222"/>
          <w:szCs w:val="24"/>
          <w:shd w:val="clear" w:color="auto" w:fill="FFFFFF"/>
        </w:rPr>
        <w:t>(14), 5781.</w:t>
      </w:r>
    </w:p>
    <w:p w14:paraId="764B8596" w14:textId="77777777" w:rsidR="00733550" w:rsidRPr="00733550" w:rsidRDefault="00733550" w:rsidP="00733550">
      <w:pPr>
        <w:tabs>
          <w:tab w:val="left" w:pos="630"/>
        </w:tabs>
        <w:spacing w:after="0" w:line="240" w:lineRule="auto"/>
        <w:ind w:left="540" w:hanging="540"/>
        <w:rPr>
          <w:bCs/>
          <w:color w:val="222222"/>
          <w:szCs w:val="24"/>
          <w:shd w:val="clear" w:color="auto" w:fill="FFFFFF"/>
        </w:rPr>
      </w:pPr>
      <w:proofErr w:type="spellStart"/>
      <w:r w:rsidRPr="00733550">
        <w:rPr>
          <w:bCs/>
          <w:color w:val="222222"/>
          <w:szCs w:val="24"/>
          <w:shd w:val="clear" w:color="auto" w:fill="FFFFFF"/>
        </w:rPr>
        <w:t>Blumenberg</w:t>
      </w:r>
      <w:proofErr w:type="spellEnd"/>
      <w:r w:rsidRPr="00733550">
        <w:rPr>
          <w:bCs/>
          <w:color w:val="222222"/>
          <w:szCs w:val="24"/>
          <w:shd w:val="clear" w:color="auto" w:fill="FFFFFF"/>
        </w:rPr>
        <w:t>, E., and King, H. (2019). Low-income workers, residential location, and the changing commute in the United States. </w:t>
      </w:r>
      <w:r w:rsidRPr="00733550">
        <w:rPr>
          <w:bCs/>
          <w:i/>
          <w:iCs/>
          <w:color w:val="222222"/>
          <w:szCs w:val="24"/>
          <w:shd w:val="clear" w:color="auto" w:fill="FFFFFF"/>
        </w:rPr>
        <w:t>Built Environment</w:t>
      </w:r>
      <w:r w:rsidRPr="00733550">
        <w:rPr>
          <w:bCs/>
          <w:color w:val="222222"/>
          <w:szCs w:val="24"/>
          <w:shd w:val="clear" w:color="auto" w:fill="FFFFFF"/>
        </w:rPr>
        <w:t>, </w:t>
      </w:r>
      <w:r w:rsidRPr="00733550">
        <w:rPr>
          <w:bCs/>
          <w:i/>
          <w:iCs/>
          <w:color w:val="222222"/>
          <w:szCs w:val="24"/>
          <w:shd w:val="clear" w:color="auto" w:fill="FFFFFF"/>
        </w:rPr>
        <w:t>45</w:t>
      </w:r>
      <w:r w:rsidRPr="00733550">
        <w:rPr>
          <w:bCs/>
          <w:color w:val="222222"/>
          <w:szCs w:val="24"/>
          <w:shd w:val="clear" w:color="auto" w:fill="FFFFFF"/>
        </w:rPr>
        <w:t>(4), 563-581.</w:t>
      </w:r>
    </w:p>
    <w:p w14:paraId="4A50D356" w14:textId="0759F7B3" w:rsidR="00733550" w:rsidRPr="00733550" w:rsidRDefault="00733550" w:rsidP="00733550">
      <w:pPr>
        <w:shd w:val="clear" w:color="auto" w:fill="FFFFFF"/>
        <w:tabs>
          <w:tab w:val="left" w:pos="630"/>
        </w:tabs>
        <w:spacing w:after="0" w:line="240" w:lineRule="auto"/>
        <w:ind w:left="540" w:hanging="540"/>
        <w:rPr>
          <w:color w:val="222222"/>
          <w:szCs w:val="24"/>
          <w:shd w:val="clear" w:color="auto" w:fill="FFFFFF"/>
        </w:rPr>
      </w:pPr>
      <w:r w:rsidRPr="00733550">
        <w:rPr>
          <w:color w:val="222222"/>
          <w:szCs w:val="24"/>
          <w:shd w:val="clear" w:color="auto" w:fill="FFFFFF"/>
        </w:rPr>
        <w:t xml:space="preserve">Brennan, A., Angus, C., Pryce, R., </w:t>
      </w:r>
      <w:proofErr w:type="spellStart"/>
      <w:r w:rsidRPr="00733550">
        <w:rPr>
          <w:color w:val="222222"/>
          <w:szCs w:val="24"/>
          <w:shd w:val="clear" w:color="auto" w:fill="FFFFFF"/>
        </w:rPr>
        <w:t>Buykx</w:t>
      </w:r>
      <w:proofErr w:type="spellEnd"/>
      <w:r w:rsidRPr="00733550">
        <w:rPr>
          <w:color w:val="222222"/>
          <w:szCs w:val="24"/>
          <w:shd w:val="clear" w:color="auto" w:fill="FFFFFF"/>
        </w:rPr>
        <w:t xml:space="preserve">, P., </w:t>
      </w:r>
      <w:proofErr w:type="spellStart"/>
      <w:r w:rsidRPr="00733550">
        <w:rPr>
          <w:color w:val="222222"/>
          <w:szCs w:val="24"/>
          <w:shd w:val="clear" w:color="auto" w:fill="FFFFFF"/>
        </w:rPr>
        <w:t>Henney</w:t>
      </w:r>
      <w:proofErr w:type="spellEnd"/>
      <w:r w:rsidRPr="00733550">
        <w:rPr>
          <w:color w:val="222222"/>
          <w:szCs w:val="24"/>
          <w:shd w:val="clear" w:color="auto" w:fill="FFFFFF"/>
        </w:rPr>
        <w:t xml:space="preserve">, M., Gillespie, D., Holmes, J., and Meier, P. S. (2021). Potential effects of minimum unit pricing at local authority level on alcohol-attributed harms in North West and North East England: </w:t>
      </w:r>
      <w:r w:rsidR="00974CD8">
        <w:rPr>
          <w:color w:val="222222"/>
          <w:szCs w:val="24"/>
          <w:shd w:val="clear" w:color="auto" w:fill="FFFFFF"/>
        </w:rPr>
        <w:t>A</w:t>
      </w:r>
      <w:r w:rsidRPr="00733550">
        <w:rPr>
          <w:color w:val="222222"/>
          <w:szCs w:val="24"/>
          <w:shd w:val="clear" w:color="auto" w:fill="FFFFFF"/>
        </w:rPr>
        <w:t xml:space="preserve"> modelling study. </w:t>
      </w:r>
      <w:r w:rsidRPr="00733550">
        <w:rPr>
          <w:i/>
          <w:iCs/>
          <w:color w:val="222222"/>
          <w:szCs w:val="24"/>
          <w:shd w:val="clear" w:color="auto" w:fill="FFFFFF"/>
        </w:rPr>
        <w:t>Public Health Research</w:t>
      </w:r>
      <w:r w:rsidRPr="00733550">
        <w:rPr>
          <w:color w:val="222222"/>
          <w:szCs w:val="24"/>
          <w:shd w:val="clear" w:color="auto" w:fill="FFFFFF"/>
        </w:rPr>
        <w:t>, </w:t>
      </w:r>
      <w:r w:rsidRPr="00733550">
        <w:rPr>
          <w:i/>
          <w:iCs/>
          <w:color w:val="222222"/>
          <w:szCs w:val="24"/>
          <w:shd w:val="clear" w:color="auto" w:fill="FFFFFF"/>
        </w:rPr>
        <w:t>9</w:t>
      </w:r>
      <w:r w:rsidRPr="00733550">
        <w:rPr>
          <w:color w:val="222222"/>
          <w:szCs w:val="24"/>
          <w:shd w:val="clear" w:color="auto" w:fill="FFFFFF"/>
        </w:rPr>
        <w:t>(4).</w:t>
      </w:r>
    </w:p>
    <w:p w14:paraId="19C87039" w14:textId="77777777" w:rsidR="00733550" w:rsidRPr="00733550" w:rsidRDefault="00733550" w:rsidP="00733550">
      <w:pPr>
        <w:tabs>
          <w:tab w:val="left" w:pos="630"/>
        </w:tabs>
        <w:spacing w:after="0" w:line="240" w:lineRule="auto"/>
        <w:ind w:left="540" w:hanging="540"/>
        <w:rPr>
          <w:bCs/>
          <w:color w:val="222222"/>
          <w:szCs w:val="24"/>
          <w:shd w:val="clear" w:color="auto" w:fill="FFFFFF"/>
        </w:rPr>
      </w:pPr>
      <w:proofErr w:type="spellStart"/>
      <w:r w:rsidRPr="00733550">
        <w:rPr>
          <w:bCs/>
          <w:color w:val="222222"/>
          <w:szCs w:val="24"/>
          <w:shd w:val="clear" w:color="auto" w:fill="FFFFFF"/>
        </w:rPr>
        <w:t>Caldarola</w:t>
      </w:r>
      <w:proofErr w:type="spellEnd"/>
      <w:r w:rsidRPr="00733550">
        <w:rPr>
          <w:bCs/>
          <w:color w:val="222222"/>
          <w:szCs w:val="24"/>
          <w:shd w:val="clear" w:color="auto" w:fill="FFFFFF"/>
        </w:rPr>
        <w:t>, B., and Sorrell, S. (2022). Do teleworkers travel less? Evidence from the English national travel survey. </w:t>
      </w:r>
      <w:r w:rsidRPr="00733550">
        <w:rPr>
          <w:bCs/>
          <w:i/>
          <w:iCs/>
          <w:color w:val="222222"/>
          <w:szCs w:val="24"/>
          <w:shd w:val="clear" w:color="auto" w:fill="FFFFFF"/>
        </w:rPr>
        <w:t>Transportation Research Part A</w:t>
      </w:r>
      <w:r w:rsidRPr="00733550">
        <w:rPr>
          <w:bCs/>
          <w:color w:val="222222"/>
          <w:szCs w:val="24"/>
          <w:shd w:val="clear" w:color="auto" w:fill="FFFFFF"/>
        </w:rPr>
        <w:t>, </w:t>
      </w:r>
      <w:r w:rsidRPr="00733550">
        <w:rPr>
          <w:bCs/>
          <w:i/>
          <w:iCs/>
          <w:color w:val="222222"/>
          <w:szCs w:val="24"/>
          <w:shd w:val="clear" w:color="auto" w:fill="FFFFFF"/>
        </w:rPr>
        <w:t>159</w:t>
      </w:r>
      <w:r w:rsidRPr="00733550">
        <w:rPr>
          <w:bCs/>
          <w:color w:val="222222"/>
          <w:szCs w:val="24"/>
          <w:shd w:val="clear" w:color="auto" w:fill="FFFFFF"/>
        </w:rPr>
        <w:t>, 282-303.</w:t>
      </w:r>
    </w:p>
    <w:p w14:paraId="3985F65A" w14:textId="3AA16B70" w:rsidR="00733550" w:rsidRPr="00733550" w:rsidRDefault="00733550" w:rsidP="00733550">
      <w:pPr>
        <w:tabs>
          <w:tab w:val="left" w:pos="630"/>
        </w:tabs>
        <w:spacing w:after="0" w:line="240" w:lineRule="auto"/>
        <w:ind w:left="540" w:hanging="540"/>
        <w:rPr>
          <w:bCs/>
          <w:color w:val="222222"/>
          <w:szCs w:val="24"/>
          <w:shd w:val="clear" w:color="auto" w:fill="FFFFFF"/>
        </w:rPr>
      </w:pPr>
      <w:bookmarkStart w:id="33" w:name="_Hlk101596046"/>
      <w:proofErr w:type="spellStart"/>
      <w:r w:rsidRPr="00733550">
        <w:rPr>
          <w:bCs/>
          <w:color w:val="222222"/>
          <w:szCs w:val="24"/>
          <w:shd w:val="clear" w:color="auto" w:fill="FFFFFF"/>
        </w:rPr>
        <w:t>Castrillon</w:t>
      </w:r>
      <w:bookmarkEnd w:id="33"/>
      <w:proofErr w:type="spellEnd"/>
      <w:r w:rsidRPr="00733550">
        <w:rPr>
          <w:bCs/>
          <w:color w:val="222222"/>
          <w:szCs w:val="24"/>
          <w:shd w:val="clear" w:color="auto" w:fill="FFFFFF"/>
        </w:rPr>
        <w:t>, C.</w:t>
      </w:r>
      <w:r w:rsidR="00681AAB">
        <w:rPr>
          <w:bCs/>
          <w:color w:val="222222"/>
          <w:szCs w:val="24"/>
          <w:shd w:val="clear" w:color="auto" w:fill="FFFFFF"/>
        </w:rPr>
        <w:t xml:space="preserve"> </w:t>
      </w:r>
      <w:r w:rsidRPr="00733550">
        <w:rPr>
          <w:bCs/>
          <w:color w:val="222222"/>
          <w:szCs w:val="24"/>
          <w:shd w:val="clear" w:color="auto" w:fill="FFFFFF"/>
        </w:rPr>
        <w:t>I.</w:t>
      </w:r>
      <w:r w:rsidR="00681AAB">
        <w:rPr>
          <w:bCs/>
          <w:color w:val="222222"/>
          <w:szCs w:val="24"/>
          <w:shd w:val="clear" w:color="auto" w:fill="FFFFFF"/>
        </w:rPr>
        <w:t xml:space="preserve"> </w:t>
      </w:r>
      <w:r w:rsidRPr="00733550">
        <w:rPr>
          <w:bCs/>
          <w:color w:val="222222"/>
          <w:szCs w:val="24"/>
          <w:shd w:val="clear" w:color="auto" w:fill="FFFFFF"/>
        </w:rPr>
        <w:t xml:space="preserve">M., </w:t>
      </w:r>
      <w:proofErr w:type="spellStart"/>
      <w:r w:rsidRPr="00733550">
        <w:rPr>
          <w:bCs/>
          <w:color w:val="222222"/>
          <w:szCs w:val="24"/>
          <w:shd w:val="clear" w:color="auto" w:fill="FFFFFF"/>
        </w:rPr>
        <w:t>Beckenkamp</w:t>
      </w:r>
      <w:proofErr w:type="spellEnd"/>
      <w:r w:rsidRPr="00733550">
        <w:rPr>
          <w:bCs/>
          <w:color w:val="222222"/>
          <w:szCs w:val="24"/>
          <w:shd w:val="clear" w:color="auto" w:fill="FFFFFF"/>
        </w:rPr>
        <w:t>, P.</w:t>
      </w:r>
      <w:r w:rsidR="00681AAB">
        <w:rPr>
          <w:bCs/>
          <w:color w:val="222222"/>
          <w:szCs w:val="24"/>
          <w:shd w:val="clear" w:color="auto" w:fill="FFFFFF"/>
        </w:rPr>
        <w:t xml:space="preserve"> </w:t>
      </w:r>
      <w:r w:rsidRPr="00733550">
        <w:rPr>
          <w:bCs/>
          <w:color w:val="222222"/>
          <w:szCs w:val="24"/>
          <w:shd w:val="clear" w:color="auto" w:fill="FFFFFF"/>
        </w:rPr>
        <w:t>R., Ferreira, M.</w:t>
      </w:r>
      <w:r w:rsidR="00681AAB">
        <w:rPr>
          <w:bCs/>
          <w:color w:val="222222"/>
          <w:szCs w:val="24"/>
          <w:shd w:val="clear" w:color="auto" w:fill="FFFFFF"/>
        </w:rPr>
        <w:t xml:space="preserve"> </w:t>
      </w:r>
      <w:r w:rsidRPr="00733550">
        <w:rPr>
          <w:bCs/>
          <w:color w:val="222222"/>
          <w:szCs w:val="24"/>
          <w:shd w:val="clear" w:color="auto" w:fill="FFFFFF"/>
        </w:rPr>
        <w:t>L., Michell, J.</w:t>
      </w:r>
      <w:r w:rsidR="00681AAB">
        <w:rPr>
          <w:bCs/>
          <w:color w:val="222222"/>
          <w:szCs w:val="24"/>
          <w:shd w:val="clear" w:color="auto" w:fill="FFFFFF"/>
        </w:rPr>
        <w:t xml:space="preserve"> </w:t>
      </w:r>
      <w:r w:rsidRPr="00733550">
        <w:rPr>
          <w:bCs/>
          <w:color w:val="222222"/>
          <w:szCs w:val="24"/>
          <w:shd w:val="clear" w:color="auto" w:fill="FFFFFF"/>
        </w:rPr>
        <w:t>A., de Aguiar Mendes, V.</w:t>
      </w:r>
      <w:r w:rsidR="00681AAB">
        <w:rPr>
          <w:bCs/>
          <w:color w:val="222222"/>
          <w:szCs w:val="24"/>
          <w:shd w:val="clear" w:color="auto" w:fill="FFFFFF"/>
        </w:rPr>
        <w:t xml:space="preserve"> </w:t>
      </w:r>
      <w:r w:rsidRPr="00733550">
        <w:rPr>
          <w:bCs/>
          <w:color w:val="222222"/>
          <w:szCs w:val="24"/>
          <w:shd w:val="clear" w:color="auto" w:fill="FFFFFF"/>
        </w:rPr>
        <w:t>A., Luscombe, G.</w:t>
      </w:r>
      <w:r w:rsidR="00681AAB">
        <w:rPr>
          <w:bCs/>
          <w:color w:val="222222"/>
          <w:szCs w:val="24"/>
          <w:shd w:val="clear" w:color="auto" w:fill="FFFFFF"/>
        </w:rPr>
        <w:t xml:space="preserve"> </w:t>
      </w:r>
      <w:r w:rsidRPr="00733550">
        <w:rPr>
          <w:bCs/>
          <w:color w:val="222222"/>
          <w:szCs w:val="24"/>
          <w:shd w:val="clear" w:color="auto" w:fill="FFFFFF"/>
        </w:rPr>
        <w:t>M., Stamatakis, E., and Ferreira, P.</w:t>
      </w:r>
      <w:r w:rsidR="00681AAB">
        <w:rPr>
          <w:bCs/>
          <w:color w:val="222222"/>
          <w:szCs w:val="24"/>
          <w:shd w:val="clear" w:color="auto" w:fill="FFFFFF"/>
        </w:rPr>
        <w:t xml:space="preserve"> </w:t>
      </w:r>
      <w:r w:rsidRPr="00733550">
        <w:rPr>
          <w:bCs/>
          <w:color w:val="222222"/>
          <w:szCs w:val="24"/>
          <w:shd w:val="clear" w:color="auto" w:fill="FFFFFF"/>
        </w:rPr>
        <w:t xml:space="preserve">H. (2020). Are people in the bush really physically active? A systematic review and meta-analysis of physical activity and sedentary </w:t>
      </w:r>
      <w:proofErr w:type="spellStart"/>
      <w:r w:rsidRPr="00733550">
        <w:rPr>
          <w:bCs/>
          <w:color w:val="222222"/>
          <w:szCs w:val="24"/>
          <w:shd w:val="clear" w:color="auto" w:fill="FFFFFF"/>
        </w:rPr>
        <w:t>behaviour</w:t>
      </w:r>
      <w:proofErr w:type="spellEnd"/>
      <w:r w:rsidRPr="00733550">
        <w:rPr>
          <w:bCs/>
          <w:color w:val="222222"/>
          <w:szCs w:val="24"/>
          <w:shd w:val="clear" w:color="auto" w:fill="FFFFFF"/>
        </w:rPr>
        <w:t xml:space="preserve"> in rural Australians populations. </w:t>
      </w:r>
      <w:r w:rsidRPr="00733550">
        <w:rPr>
          <w:bCs/>
          <w:i/>
          <w:iCs/>
          <w:color w:val="222222"/>
          <w:szCs w:val="24"/>
          <w:shd w:val="clear" w:color="auto" w:fill="FFFFFF"/>
        </w:rPr>
        <w:t>Journal of Global Health</w:t>
      </w:r>
      <w:r w:rsidRPr="00733550">
        <w:rPr>
          <w:bCs/>
          <w:color w:val="222222"/>
          <w:szCs w:val="24"/>
          <w:shd w:val="clear" w:color="auto" w:fill="FFFFFF"/>
        </w:rPr>
        <w:t>, </w:t>
      </w:r>
      <w:r w:rsidRPr="00733550">
        <w:rPr>
          <w:bCs/>
          <w:i/>
          <w:iCs/>
          <w:color w:val="222222"/>
          <w:szCs w:val="24"/>
          <w:shd w:val="clear" w:color="auto" w:fill="FFFFFF"/>
        </w:rPr>
        <w:t>10</w:t>
      </w:r>
      <w:r w:rsidRPr="00733550">
        <w:rPr>
          <w:bCs/>
          <w:color w:val="222222"/>
          <w:szCs w:val="24"/>
          <w:shd w:val="clear" w:color="auto" w:fill="FFFFFF"/>
        </w:rPr>
        <w:t>(1)</w:t>
      </w:r>
      <w:r w:rsidR="00C07C76">
        <w:rPr>
          <w:bCs/>
          <w:color w:val="222222"/>
          <w:szCs w:val="24"/>
          <w:shd w:val="clear" w:color="auto" w:fill="FFFFFF"/>
        </w:rPr>
        <w:t xml:space="preserve">, </w:t>
      </w:r>
      <w:r w:rsidR="00C07C76" w:rsidRPr="00C07C76">
        <w:t>010410</w:t>
      </w:r>
      <w:r w:rsidRPr="00733550">
        <w:rPr>
          <w:bCs/>
          <w:color w:val="222222"/>
          <w:szCs w:val="24"/>
          <w:shd w:val="clear" w:color="auto" w:fill="FFFFFF"/>
        </w:rPr>
        <w:t>.</w:t>
      </w:r>
    </w:p>
    <w:p w14:paraId="6348A4A6" w14:textId="05F1512F" w:rsidR="00733550" w:rsidRPr="00733550" w:rsidRDefault="00733550" w:rsidP="00733550">
      <w:pPr>
        <w:tabs>
          <w:tab w:val="left" w:pos="630"/>
        </w:tabs>
        <w:spacing w:after="0" w:line="240" w:lineRule="auto"/>
        <w:ind w:left="540" w:hanging="540"/>
        <w:rPr>
          <w:b/>
          <w:color w:val="222222"/>
          <w:szCs w:val="24"/>
          <w:shd w:val="clear" w:color="auto" w:fill="FFFFFF"/>
        </w:rPr>
      </w:pPr>
      <w:bookmarkStart w:id="34" w:name="_Hlk126061662"/>
      <w:proofErr w:type="spellStart"/>
      <w:r w:rsidRPr="00733550">
        <w:rPr>
          <w:color w:val="222222"/>
          <w:szCs w:val="24"/>
          <w:shd w:val="clear" w:color="auto" w:fill="FFFFFF"/>
        </w:rPr>
        <w:t>Cerqueira</w:t>
      </w:r>
      <w:proofErr w:type="spellEnd"/>
      <w:r w:rsidRPr="00733550">
        <w:rPr>
          <w:color w:val="222222"/>
          <w:szCs w:val="24"/>
          <w:shd w:val="clear" w:color="auto" w:fill="FFFFFF"/>
        </w:rPr>
        <w:t>, E.</w:t>
      </w:r>
      <w:r w:rsidR="00681AAB">
        <w:rPr>
          <w:color w:val="222222"/>
          <w:szCs w:val="24"/>
          <w:shd w:val="clear" w:color="auto" w:fill="FFFFFF"/>
        </w:rPr>
        <w:t xml:space="preserve"> </w:t>
      </w:r>
      <w:r w:rsidRPr="00733550">
        <w:rPr>
          <w:color w:val="222222"/>
          <w:szCs w:val="24"/>
          <w:shd w:val="clear" w:color="auto" w:fill="FFFFFF"/>
        </w:rPr>
        <w:t>D.</w:t>
      </w:r>
      <w:r w:rsidR="00681AAB">
        <w:rPr>
          <w:color w:val="222222"/>
          <w:szCs w:val="24"/>
          <w:shd w:val="clear" w:color="auto" w:fill="FFFFFF"/>
        </w:rPr>
        <w:t xml:space="preserve"> </w:t>
      </w:r>
      <w:r w:rsidRPr="00733550">
        <w:rPr>
          <w:color w:val="222222"/>
          <w:szCs w:val="24"/>
          <w:shd w:val="clear" w:color="auto" w:fill="FFFFFF"/>
        </w:rPr>
        <w:t>V., Motte-</w:t>
      </w:r>
      <w:proofErr w:type="spellStart"/>
      <w:r w:rsidRPr="00733550">
        <w:rPr>
          <w:color w:val="222222"/>
          <w:szCs w:val="24"/>
          <w:shd w:val="clear" w:color="auto" w:fill="FFFFFF"/>
        </w:rPr>
        <w:t>Baumvol</w:t>
      </w:r>
      <w:proofErr w:type="spellEnd"/>
      <w:r w:rsidRPr="00733550">
        <w:rPr>
          <w:color w:val="222222"/>
          <w:szCs w:val="24"/>
          <w:shd w:val="clear" w:color="auto" w:fill="FFFFFF"/>
        </w:rPr>
        <w:t xml:space="preserve">, B., </w:t>
      </w:r>
      <w:proofErr w:type="spellStart"/>
      <w:r w:rsidRPr="00733550">
        <w:rPr>
          <w:color w:val="222222"/>
          <w:szCs w:val="24"/>
          <w:shd w:val="clear" w:color="auto" w:fill="FFFFFF"/>
        </w:rPr>
        <w:t>Chevallier</w:t>
      </w:r>
      <w:proofErr w:type="spellEnd"/>
      <w:r w:rsidRPr="00733550">
        <w:rPr>
          <w:color w:val="222222"/>
          <w:szCs w:val="24"/>
          <w:shd w:val="clear" w:color="auto" w:fill="FFFFFF"/>
        </w:rPr>
        <w:t>, L.</w:t>
      </w:r>
      <w:r w:rsidR="00681AAB">
        <w:rPr>
          <w:color w:val="222222"/>
          <w:szCs w:val="24"/>
          <w:shd w:val="clear" w:color="auto" w:fill="FFFFFF"/>
        </w:rPr>
        <w:t xml:space="preserve"> </w:t>
      </w:r>
      <w:r w:rsidRPr="00733550">
        <w:rPr>
          <w:color w:val="222222"/>
          <w:szCs w:val="24"/>
          <w:shd w:val="clear" w:color="auto" w:fill="FFFFFF"/>
        </w:rPr>
        <w:t>B., and Bonin, O. (2020). Does working from home reduce CO2 emissions? An analysis of travel patterns as dictated by workplaces. </w:t>
      </w:r>
      <w:r w:rsidRPr="00733550">
        <w:rPr>
          <w:i/>
          <w:iCs/>
          <w:color w:val="222222"/>
          <w:szCs w:val="24"/>
          <w:shd w:val="clear" w:color="auto" w:fill="FFFFFF"/>
        </w:rPr>
        <w:t>Transportation Research Part D</w:t>
      </w:r>
      <w:r w:rsidRPr="00733550">
        <w:rPr>
          <w:color w:val="222222"/>
          <w:szCs w:val="24"/>
          <w:shd w:val="clear" w:color="auto" w:fill="FFFFFF"/>
        </w:rPr>
        <w:t>, </w:t>
      </w:r>
      <w:r w:rsidRPr="00733550">
        <w:rPr>
          <w:i/>
          <w:iCs/>
          <w:color w:val="222222"/>
          <w:szCs w:val="24"/>
          <w:shd w:val="clear" w:color="auto" w:fill="FFFFFF"/>
        </w:rPr>
        <w:t>83</w:t>
      </w:r>
      <w:r w:rsidRPr="00733550">
        <w:rPr>
          <w:color w:val="222222"/>
          <w:szCs w:val="24"/>
          <w:shd w:val="clear" w:color="auto" w:fill="FFFFFF"/>
        </w:rPr>
        <w:t>, 102338.</w:t>
      </w:r>
    </w:p>
    <w:p w14:paraId="74E158DB" w14:textId="77777777" w:rsidR="00733550" w:rsidRPr="00733550" w:rsidRDefault="00733550" w:rsidP="00733550">
      <w:pPr>
        <w:tabs>
          <w:tab w:val="left" w:pos="630"/>
        </w:tabs>
        <w:spacing w:after="0" w:line="240" w:lineRule="auto"/>
        <w:ind w:left="540" w:hanging="540"/>
        <w:rPr>
          <w:bCs/>
          <w:color w:val="222222"/>
          <w:szCs w:val="24"/>
          <w:shd w:val="clear" w:color="auto" w:fill="FFFFFF"/>
        </w:rPr>
      </w:pPr>
      <w:r w:rsidRPr="00733550">
        <w:rPr>
          <w:bCs/>
          <w:color w:val="222222"/>
          <w:szCs w:val="24"/>
          <w:shd w:val="clear" w:color="auto" w:fill="FFFFFF"/>
        </w:rPr>
        <w:t xml:space="preserve">Chakrabarti, S. (2018). Does telecommuting promote sustainable travel and physical activity?. </w:t>
      </w:r>
      <w:r w:rsidRPr="00733550">
        <w:rPr>
          <w:bCs/>
          <w:i/>
          <w:iCs/>
          <w:color w:val="222222"/>
          <w:szCs w:val="24"/>
          <w:shd w:val="clear" w:color="auto" w:fill="FFFFFF"/>
        </w:rPr>
        <w:t>Journal of Transport and Health</w:t>
      </w:r>
      <w:r w:rsidRPr="00733550">
        <w:rPr>
          <w:bCs/>
          <w:color w:val="222222"/>
          <w:szCs w:val="24"/>
          <w:shd w:val="clear" w:color="auto" w:fill="FFFFFF"/>
        </w:rPr>
        <w:t>, </w:t>
      </w:r>
      <w:r w:rsidRPr="00733550">
        <w:rPr>
          <w:bCs/>
          <w:i/>
          <w:iCs/>
          <w:color w:val="222222"/>
          <w:szCs w:val="24"/>
          <w:shd w:val="clear" w:color="auto" w:fill="FFFFFF"/>
        </w:rPr>
        <w:t>9</w:t>
      </w:r>
      <w:r w:rsidRPr="00733550">
        <w:rPr>
          <w:bCs/>
          <w:color w:val="222222"/>
          <w:szCs w:val="24"/>
          <w:shd w:val="clear" w:color="auto" w:fill="FFFFFF"/>
        </w:rPr>
        <w:t>, 19-33.</w:t>
      </w:r>
    </w:p>
    <w:bookmarkEnd w:id="34"/>
    <w:p w14:paraId="041AC0A0" w14:textId="5C38E866" w:rsidR="00733550" w:rsidRPr="00733550" w:rsidRDefault="00733550" w:rsidP="00733550">
      <w:pPr>
        <w:tabs>
          <w:tab w:val="left" w:pos="630"/>
        </w:tabs>
        <w:spacing w:after="0" w:line="240" w:lineRule="auto"/>
        <w:ind w:left="540" w:hanging="540"/>
        <w:rPr>
          <w:b/>
          <w:color w:val="222222"/>
          <w:szCs w:val="24"/>
          <w:shd w:val="clear" w:color="auto" w:fill="FFFFFF"/>
        </w:rPr>
      </w:pPr>
      <w:r w:rsidRPr="00733550">
        <w:rPr>
          <w:szCs w:val="24"/>
        </w:rPr>
        <w:t>Cheng, Y.</w:t>
      </w:r>
      <w:r w:rsidR="00681AAB">
        <w:rPr>
          <w:szCs w:val="24"/>
        </w:rPr>
        <w:t xml:space="preserve"> </w:t>
      </w:r>
      <w:r w:rsidRPr="00733550">
        <w:rPr>
          <w:szCs w:val="24"/>
        </w:rPr>
        <w:t>T., Lavieri, P.</w:t>
      </w:r>
      <w:r w:rsidR="00681AAB">
        <w:rPr>
          <w:szCs w:val="24"/>
        </w:rPr>
        <w:t xml:space="preserve"> </w:t>
      </w:r>
      <w:r w:rsidRPr="00733550">
        <w:rPr>
          <w:szCs w:val="24"/>
        </w:rPr>
        <w:t xml:space="preserve">S., and Astroza, S. (2022). How did the COVID-19 </w:t>
      </w:r>
      <w:r w:rsidR="00C07C76">
        <w:rPr>
          <w:szCs w:val="24"/>
        </w:rPr>
        <w:t>p</w:t>
      </w:r>
      <w:r w:rsidRPr="00733550">
        <w:rPr>
          <w:szCs w:val="24"/>
        </w:rPr>
        <w:t xml:space="preserve">andemic </w:t>
      </w:r>
      <w:r w:rsidR="00C07C76">
        <w:rPr>
          <w:szCs w:val="24"/>
        </w:rPr>
        <w:t>i</w:t>
      </w:r>
      <w:r w:rsidRPr="00733550">
        <w:rPr>
          <w:szCs w:val="24"/>
        </w:rPr>
        <w:t xml:space="preserve">mpact the </w:t>
      </w:r>
      <w:r w:rsidR="00C07C76">
        <w:rPr>
          <w:szCs w:val="24"/>
        </w:rPr>
        <w:t>l</w:t>
      </w:r>
      <w:r w:rsidRPr="00733550">
        <w:rPr>
          <w:szCs w:val="24"/>
        </w:rPr>
        <w:t xml:space="preserve">ocation and </w:t>
      </w:r>
      <w:r w:rsidR="00C07C76">
        <w:rPr>
          <w:szCs w:val="24"/>
        </w:rPr>
        <w:t>d</w:t>
      </w:r>
      <w:r w:rsidRPr="00733550">
        <w:rPr>
          <w:szCs w:val="24"/>
        </w:rPr>
        <w:t xml:space="preserve">uration of </w:t>
      </w:r>
      <w:r w:rsidR="00C07C76">
        <w:rPr>
          <w:szCs w:val="24"/>
        </w:rPr>
        <w:t>w</w:t>
      </w:r>
      <w:r w:rsidRPr="00733550">
        <w:rPr>
          <w:szCs w:val="24"/>
        </w:rPr>
        <w:t xml:space="preserve">ork </w:t>
      </w:r>
      <w:r w:rsidR="00C07C76">
        <w:rPr>
          <w:szCs w:val="24"/>
        </w:rPr>
        <w:t>a</w:t>
      </w:r>
      <w:r w:rsidRPr="00733550">
        <w:rPr>
          <w:szCs w:val="24"/>
        </w:rPr>
        <w:t xml:space="preserve">ctivities? A </w:t>
      </w:r>
      <w:r w:rsidR="00C07C76">
        <w:rPr>
          <w:szCs w:val="24"/>
        </w:rPr>
        <w:t>l</w:t>
      </w:r>
      <w:r w:rsidRPr="00733550">
        <w:rPr>
          <w:szCs w:val="24"/>
        </w:rPr>
        <w:t xml:space="preserve">atent </w:t>
      </w:r>
      <w:r w:rsidR="00C07C76">
        <w:rPr>
          <w:szCs w:val="24"/>
        </w:rPr>
        <w:t>c</w:t>
      </w:r>
      <w:r w:rsidRPr="00733550">
        <w:rPr>
          <w:szCs w:val="24"/>
        </w:rPr>
        <w:t xml:space="preserve">lass </w:t>
      </w:r>
      <w:r w:rsidR="00C07C76">
        <w:rPr>
          <w:szCs w:val="24"/>
        </w:rPr>
        <w:t>t</w:t>
      </w:r>
      <w:r w:rsidRPr="00733550">
        <w:rPr>
          <w:szCs w:val="24"/>
        </w:rPr>
        <w:t>ime-</w:t>
      </w:r>
      <w:r w:rsidR="00C07C76">
        <w:rPr>
          <w:szCs w:val="24"/>
        </w:rPr>
        <w:t>u</w:t>
      </w:r>
      <w:r w:rsidRPr="00733550">
        <w:rPr>
          <w:szCs w:val="24"/>
        </w:rPr>
        <w:t xml:space="preserve">se </w:t>
      </w:r>
      <w:r w:rsidR="00C07C76">
        <w:rPr>
          <w:szCs w:val="24"/>
        </w:rPr>
        <w:t>s</w:t>
      </w:r>
      <w:r w:rsidRPr="00733550">
        <w:rPr>
          <w:szCs w:val="24"/>
        </w:rPr>
        <w:t xml:space="preserve">tudy. </w:t>
      </w:r>
      <w:r w:rsidRPr="00733550">
        <w:rPr>
          <w:i/>
          <w:iCs/>
          <w:szCs w:val="24"/>
        </w:rPr>
        <w:t>Findings</w:t>
      </w:r>
      <w:r w:rsidRPr="00C07C76">
        <w:rPr>
          <w:szCs w:val="24"/>
        </w:rPr>
        <w:t xml:space="preserve">, </w:t>
      </w:r>
      <w:r w:rsidRPr="00733550">
        <w:rPr>
          <w:szCs w:val="24"/>
        </w:rPr>
        <w:t>35621.</w:t>
      </w:r>
    </w:p>
    <w:p w14:paraId="115C5F5E" w14:textId="7EDB2C60" w:rsidR="00733550" w:rsidRPr="00733550" w:rsidRDefault="00733550" w:rsidP="00733550">
      <w:pPr>
        <w:tabs>
          <w:tab w:val="left" w:pos="630"/>
        </w:tabs>
        <w:spacing w:after="0" w:line="240" w:lineRule="auto"/>
        <w:ind w:left="540" w:hanging="540"/>
        <w:rPr>
          <w:bCs/>
          <w:color w:val="222222"/>
          <w:szCs w:val="24"/>
          <w:shd w:val="clear" w:color="auto" w:fill="FFFFFF"/>
        </w:rPr>
      </w:pPr>
      <w:r w:rsidRPr="00733550">
        <w:rPr>
          <w:bCs/>
          <w:color w:val="222222"/>
          <w:szCs w:val="24"/>
          <w:shd w:val="clear" w:color="auto" w:fill="FFFFFF"/>
        </w:rPr>
        <w:t>Chong, S., Huang, Y., and Chang, C.</w:t>
      </w:r>
      <w:r w:rsidR="00681AAB">
        <w:rPr>
          <w:bCs/>
          <w:color w:val="222222"/>
          <w:szCs w:val="24"/>
          <w:shd w:val="clear" w:color="auto" w:fill="FFFFFF"/>
        </w:rPr>
        <w:t xml:space="preserve"> </w:t>
      </w:r>
      <w:r w:rsidRPr="00733550">
        <w:rPr>
          <w:bCs/>
          <w:color w:val="222222"/>
          <w:szCs w:val="24"/>
          <w:shd w:val="clear" w:color="auto" w:fill="FFFFFF"/>
        </w:rPr>
        <w:t>H.</w:t>
      </w:r>
      <w:r w:rsidR="00681AAB">
        <w:rPr>
          <w:bCs/>
          <w:color w:val="222222"/>
          <w:szCs w:val="24"/>
          <w:shd w:val="clear" w:color="auto" w:fill="FFFFFF"/>
        </w:rPr>
        <w:t xml:space="preserve"> </w:t>
      </w:r>
      <w:r w:rsidRPr="00733550">
        <w:rPr>
          <w:bCs/>
          <w:color w:val="222222"/>
          <w:szCs w:val="24"/>
          <w:shd w:val="clear" w:color="auto" w:fill="FFFFFF"/>
        </w:rPr>
        <w:t>D. (2020). Supporting interdependent telework employees: A moderated-mediation model linking daily COVID-19 task setbacks to next-day work withdrawal. </w:t>
      </w:r>
      <w:r w:rsidRPr="00733550">
        <w:rPr>
          <w:bCs/>
          <w:i/>
          <w:iCs/>
          <w:color w:val="222222"/>
          <w:szCs w:val="24"/>
          <w:shd w:val="clear" w:color="auto" w:fill="FFFFFF"/>
        </w:rPr>
        <w:t>Journal of Applied Psychology</w:t>
      </w:r>
      <w:r w:rsidRPr="00733550">
        <w:rPr>
          <w:bCs/>
          <w:color w:val="222222"/>
          <w:szCs w:val="24"/>
          <w:shd w:val="clear" w:color="auto" w:fill="FFFFFF"/>
        </w:rPr>
        <w:t>, </w:t>
      </w:r>
      <w:r w:rsidRPr="00733550">
        <w:rPr>
          <w:bCs/>
          <w:i/>
          <w:iCs/>
          <w:color w:val="222222"/>
          <w:szCs w:val="24"/>
          <w:shd w:val="clear" w:color="auto" w:fill="FFFFFF"/>
        </w:rPr>
        <w:t>105</w:t>
      </w:r>
      <w:r w:rsidRPr="00733550">
        <w:rPr>
          <w:bCs/>
          <w:color w:val="222222"/>
          <w:szCs w:val="24"/>
          <w:shd w:val="clear" w:color="auto" w:fill="FFFFFF"/>
        </w:rPr>
        <w:t>(12), 1408.</w:t>
      </w:r>
    </w:p>
    <w:p w14:paraId="1FC35731" w14:textId="39424F45" w:rsidR="00733550" w:rsidRPr="00733550" w:rsidRDefault="00733550" w:rsidP="00733550">
      <w:pPr>
        <w:tabs>
          <w:tab w:val="left" w:pos="630"/>
        </w:tabs>
        <w:spacing w:after="0" w:line="240" w:lineRule="auto"/>
        <w:ind w:left="540" w:hanging="540"/>
        <w:rPr>
          <w:b/>
          <w:color w:val="222222"/>
          <w:szCs w:val="24"/>
          <w:shd w:val="clear" w:color="auto" w:fill="FFFFFF"/>
        </w:rPr>
      </w:pPr>
      <w:r w:rsidRPr="00733550">
        <w:rPr>
          <w:color w:val="222222"/>
          <w:szCs w:val="24"/>
          <w:shd w:val="clear" w:color="auto" w:fill="FFFFFF"/>
        </w:rPr>
        <w:t>Choo, S., Mokhtarian, P.</w:t>
      </w:r>
      <w:r w:rsidR="00681AAB">
        <w:rPr>
          <w:color w:val="222222"/>
          <w:szCs w:val="24"/>
          <w:shd w:val="clear" w:color="auto" w:fill="FFFFFF"/>
        </w:rPr>
        <w:t xml:space="preserve"> </w:t>
      </w:r>
      <w:r w:rsidRPr="00733550">
        <w:rPr>
          <w:color w:val="222222"/>
          <w:szCs w:val="24"/>
          <w:shd w:val="clear" w:color="auto" w:fill="FFFFFF"/>
        </w:rPr>
        <w:t>L., and Salomon, I. (2005). Does telecommuting reduce vehicle-miles traveled? An aggregate time series analysis for the US. </w:t>
      </w:r>
      <w:r w:rsidRPr="00733550">
        <w:rPr>
          <w:i/>
          <w:iCs/>
          <w:color w:val="222222"/>
          <w:szCs w:val="24"/>
          <w:shd w:val="clear" w:color="auto" w:fill="FFFFFF"/>
        </w:rPr>
        <w:t>Transportation</w:t>
      </w:r>
      <w:r w:rsidRPr="00733550">
        <w:rPr>
          <w:color w:val="222222"/>
          <w:szCs w:val="24"/>
          <w:shd w:val="clear" w:color="auto" w:fill="FFFFFF"/>
        </w:rPr>
        <w:t>, </w:t>
      </w:r>
      <w:r w:rsidRPr="00733550">
        <w:rPr>
          <w:i/>
          <w:iCs/>
          <w:color w:val="222222"/>
          <w:szCs w:val="24"/>
          <w:shd w:val="clear" w:color="auto" w:fill="FFFFFF"/>
        </w:rPr>
        <w:t>32</w:t>
      </w:r>
      <w:r w:rsidRPr="00733550">
        <w:rPr>
          <w:color w:val="222222"/>
          <w:szCs w:val="24"/>
          <w:shd w:val="clear" w:color="auto" w:fill="FFFFFF"/>
        </w:rPr>
        <w:t>, 37-64.</w:t>
      </w:r>
    </w:p>
    <w:p w14:paraId="23F4B590" w14:textId="77777777" w:rsidR="00733550" w:rsidRPr="00733550" w:rsidRDefault="00733550" w:rsidP="00733550">
      <w:pPr>
        <w:tabs>
          <w:tab w:val="left" w:pos="630"/>
        </w:tabs>
        <w:spacing w:after="0" w:line="240" w:lineRule="auto"/>
        <w:ind w:left="540" w:hanging="540"/>
        <w:rPr>
          <w:bCs/>
          <w:color w:val="222222"/>
          <w:szCs w:val="24"/>
          <w:shd w:val="clear" w:color="auto" w:fill="FFFFFF"/>
        </w:rPr>
      </w:pPr>
      <w:proofErr w:type="spellStart"/>
      <w:r w:rsidRPr="00733550">
        <w:rPr>
          <w:bCs/>
          <w:color w:val="222222"/>
          <w:szCs w:val="24"/>
          <w:shd w:val="clear" w:color="auto" w:fill="FFFFFF"/>
        </w:rPr>
        <w:t>Coate</w:t>
      </w:r>
      <w:proofErr w:type="spellEnd"/>
      <w:r w:rsidRPr="00733550">
        <w:rPr>
          <w:bCs/>
          <w:color w:val="222222"/>
          <w:szCs w:val="24"/>
          <w:shd w:val="clear" w:color="auto" w:fill="FFFFFF"/>
        </w:rPr>
        <w:t xml:space="preserve">, P. (2021). Remote Work Before, During and After the Pandemic. NCCI. Available at: </w:t>
      </w:r>
      <w:hyperlink r:id="rId410" w:history="1">
        <w:r w:rsidRPr="00733550">
          <w:rPr>
            <w:rStyle w:val="Hyperlink"/>
            <w:bCs/>
            <w:szCs w:val="24"/>
            <w:shd w:val="clear" w:color="auto" w:fill="FFFFFF"/>
          </w:rPr>
          <w:t>https://www.ncci.com/SecureDocuments/QEB/QEB_Q4_2020_RemoteWork.html</w:t>
        </w:r>
      </w:hyperlink>
      <w:r w:rsidRPr="00733550">
        <w:rPr>
          <w:bCs/>
          <w:color w:val="222222"/>
          <w:szCs w:val="24"/>
          <w:shd w:val="clear" w:color="auto" w:fill="FFFFFF"/>
        </w:rPr>
        <w:t>. Accessed on March 1, 2023.</w:t>
      </w:r>
    </w:p>
    <w:p w14:paraId="7DE62914" w14:textId="3FE7CF3A" w:rsidR="00733550" w:rsidRPr="00733550" w:rsidRDefault="00733550" w:rsidP="00733550">
      <w:pPr>
        <w:tabs>
          <w:tab w:val="left" w:pos="630"/>
        </w:tabs>
        <w:spacing w:after="0" w:line="240" w:lineRule="auto"/>
        <w:ind w:left="540" w:hanging="540"/>
        <w:rPr>
          <w:bCs/>
          <w:color w:val="222222"/>
          <w:szCs w:val="24"/>
          <w:shd w:val="clear" w:color="auto" w:fill="FFFFFF"/>
        </w:rPr>
      </w:pPr>
      <w:bookmarkStart w:id="35" w:name="_Hlk125724635"/>
      <w:bookmarkStart w:id="36" w:name="_Hlk126061487"/>
      <w:bookmarkStart w:id="37" w:name="_Hlk126061800"/>
      <w:proofErr w:type="spellStart"/>
      <w:r w:rsidRPr="00733550">
        <w:rPr>
          <w:bCs/>
          <w:color w:val="222222"/>
          <w:szCs w:val="24"/>
          <w:shd w:val="clear" w:color="auto" w:fill="FFFFFF"/>
        </w:rPr>
        <w:t>Cuerdo-Vilches</w:t>
      </w:r>
      <w:bookmarkEnd w:id="35"/>
      <w:proofErr w:type="spellEnd"/>
      <w:r w:rsidRPr="00733550">
        <w:rPr>
          <w:bCs/>
          <w:color w:val="222222"/>
          <w:szCs w:val="24"/>
          <w:shd w:val="clear" w:color="auto" w:fill="FFFFFF"/>
        </w:rPr>
        <w:t xml:space="preserve">, T., </w:t>
      </w:r>
      <w:proofErr w:type="spellStart"/>
      <w:r w:rsidRPr="00733550">
        <w:rPr>
          <w:bCs/>
          <w:color w:val="222222"/>
          <w:szCs w:val="24"/>
          <w:shd w:val="clear" w:color="auto" w:fill="FFFFFF"/>
        </w:rPr>
        <w:t>Navas</w:t>
      </w:r>
      <w:proofErr w:type="spellEnd"/>
      <w:r w:rsidRPr="00733550">
        <w:rPr>
          <w:bCs/>
          <w:color w:val="222222"/>
          <w:szCs w:val="24"/>
          <w:shd w:val="clear" w:color="auto" w:fill="FFFFFF"/>
        </w:rPr>
        <w:t>-Martín, M.</w:t>
      </w:r>
      <w:r w:rsidR="00681AAB">
        <w:rPr>
          <w:bCs/>
          <w:color w:val="222222"/>
          <w:szCs w:val="24"/>
          <w:shd w:val="clear" w:color="auto" w:fill="FFFFFF"/>
        </w:rPr>
        <w:t xml:space="preserve"> </w:t>
      </w:r>
      <w:r w:rsidRPr="00733550">
        <w:rPr>
          <w:bCs/>
          <w:color w:val="222222"/>
          <w:szCs w:val="24"/>
          <w:shd w:val="clear" w:color="auto" w:fill="FFFFFF"/>
        </w:rPr>
        <w:t xml:space="preserve">Á., March, S., and </w:t>
      </w:r>
      <w:proofErr w:type="spellStart"/>
      <w:r w:rsidRPr="00733550">
        <w:rPr>
          <w:bCs/>
          <w:color w:val="222222"/>
          <w:szCs w:val="24"/>
          <w:shd w:val="clear" w:color="auto" w:fill="FFFFFF"/>
        </w:rPr>
        <w:t>Oteiza</w:t>
      </w:r>
      <w:proofErr w:type="spellEnd"/>
      <w:r w:rsidRPr="00733550">
        <w:rPr>
          <w:bCs/>
          <w:color w:val="222222"/>
          <w:szCs w:val="24"/>
          <w:shd w:val="clear" w:color="auto" w:fill="FFFFFF"/>
        </w:rPr>
        <w:t>, I. (2021). Adequacy of telework spaces in homes during the lockdown in Madrid, according to socioeconomic factors and home features. </w:t>
      </w:r>
      <w:r w:rsidRPr="00733550">
        <w:rPr>
          <w:bCs/>
          <w:i/>
          <w:iCs/>
          <w:color w:val="222222"/>
          <w:szCs w:val="24"/>
          <w:shd w:val="clear" w:color="auto" w:fill="FFFFFF"/>
        </w:rPr>
        <w:t>Sustainable Cities and Society</w:t>
      </w:r>
      <w:r w:rsidRPr="00733550">
        <w:rPr>
          <w:bCs/>
          <w:color w:val="222222"/>
          <w:szCs w:val="24"/>
          <w:shd w:val="clear" w:color="auto" w:fill="FFFFFF"/>
        </w:rPr>
        <w:t>, </w:t>
      </w:r>
      <w:r w:rsidRPr="00733550">
        <w:rPr>
          <w:bCs/>
          <w:i/>
          <w:iCs/>
          <w:color w:val="222222"/>
          <w:szCs w:val="24"/>
          <w:shd w:val="clear" w:color="auto" w:fill="FFFFFF"/>
        </w:rPr>
        <w:t>75</w:t>
      </w:r>
      <w:r w:rsidRPr="00733550">
        <w:rPr>
          <w:bCs/>
          <w:color w:val="222222"/>
          <w:szCs w:val="24"/>
          <w:shd w:val="clear" w:color="auto" w:fill="FFFFFF"/>
        </w:rPr>
        <w:t>, 103262.</w:t>
      </w:r>
    </w:p>
    <w:bookmarkEnd w:id="36"/>
    <w:bookmarkEnd w:id="37"/>
    <w:p w14:paraId="01C2E752" w14:textId="77777777" w:rsidR="00733550" w:rsidRPr="00733550" w:rsidRDefault="00733550" w:rsidP="00733550">
      <w:pPr>
        <w:tabs>
          <w:tab w:val="left" w:pos="630"/>
        </w:tabs>
        <w:spacing w:after="0" w:line="240" w:lineRule="auto"/>
        <w:ind w:left="540" w:hanging="540"/>
        <w:rPr>
          <w:bCs/>
          <w:color w:val="222222"/>
          <w:szCs w:val="24"/>
          <w:shd w:val="clear" w:color="auto" w:fill="FFFFFF"/>
        </w:rPr>
      </w:pPr>
      <w:r w:rsidRPr="00733550">
        <w:rPr>
          <w:bCs/>
          <w:color w:val="222222"/>
          <w:szCs w:val="24"/>
          <w:shd w:val="clear" w:color="auto" w:fill="FFFFFF"/>
        </w:rPr>
        <w:t>Davies, A. (2021). COVID-19 and ICT-supported remote working: Opportunities for rural economies. </w:t>
      </w:r>
      <w:r w:rsidRPr="00733550">
        <w:rPr>
          <w:bCs/>
          <w:i/>
          <w:iCs/>
          <w:color w:val="222222"/>
          <w:szCs w:val="24"/>
          <w:shd w:val="clear" w:color="auto" w:fill="FFFFFF"/>
        </w:rPr>
        <w:t>World</w:t>
      </w:r>
      <w:r w:rsidRPr="00733550">
        <w:rPr>
          <w:bCs/>
          <w:color w:val="222222"/>
          <w:szCs w:val="24"/>
          <w:shd w:val="clear" w:color="auto" w:fill="FFFFFF"/>
        </w:rPr>
        <w:t>, </w:t>
      </w:r>
      <w:r w:rsidRPr="00733550">
        <w:rPr>
          <w:bCs/>
          <w:i/>
          <w:iCs/>
          <w:color w:val="222222"/>
          <w:szCs w:val="24"/>
          <w:shd w:val="clear" w:color="auto" w:fill="FFFFFF"/>
        </w:rPr>
        <w:t>2</w:t>
      </w:r>
      <w:r w:rsidRPr="00733550">
        <w:rPr>
          <w:bCs/>
          <w:color w:val="222222"/>
          <w:szCs w:val="24"/>
          <w:shd w:val="clear" w:color="auto" w:fill="FFFFFF"/>
        </w:rPr>
        <w:t>(1), 139-152.</w:t>
      </w:r>
    </w:p>
    <w:p w14:paraId="2D30DC6D" w14:textId="77777777" w:rsidR="00733550" w:rsidRPr="00733550" w:rsidRDefault="00733550" w:rsidP="00733550">
      <w:pPr>
        <w:tabs>
          <w:tab w:val="left" w:pos="630"/>
        </w:tabs>
        <w:spacing w:after="0" w:line="240" w:lineRule="auto"/>
        <w:ind w:left="540" w:hanging="540"/>
        <w:rPr>
          <w:bCs/>
          <w:color w:val="222222"/>
          <w:szCs w:val="24"/>
          <w:shd w:val="clear" w:color="auto" w:fill="FFFFFF"/>
        </w:rPr>
      </w:pPr>
      <w:r w:rsidRPr="00733550">
        <w:rPr>
          <w:bCs/>
          <w:color w:val="222222"/>
          <w:szCs w:val="24"/>
          <w:shd w:val="clear" w:color="auto" w:fill="FFFFFF"/>
        </w:rPr>
        <w:t>de Abreu e Silva, J. (2022). Residential preferences, telework perceptions, and the intention to telework: insights from the Lisbon Metropolitan Area during the COVID‐19 pandemic. </w:t>
      </w:r>
      <w:r w:rsidRPr="00733550">
        <w:rPr>
          <w:bCs/>
          <w:i/>
          <w:iCs/>
          <w:color w:val="222222"/>
          <w:szCs w:val="24"/>
          <w:shd w:val="clear" w:color="auto" w:fill="FFFFFF"/>
        </w:rPr>
        <w:t>Regional Science Policy and Practice</w:t>
      </w:r>
      <w:r w:rsidRPr="00733550">
        <w:rPr>
          <w:bCs/>
          <w:color w:val="222222"/>
          <w:szCs w:val="24"/>
          <w:shd w:val="clear" w:color="auto" w:fill="FFFFFF"/>
        </w:rPr>
        <w:t>, </w:t>
      </w:r>
      <w:r w:rsidRPr="00733550">
        <w:rPr>
          <w:bCs/>
          <w:i/>
          <w:iCs/>
          <w:color w:val="222222"/>
          <w:szCs w:val="24"/>
          <w:shd w:val="clear" w:color="auto" w:fill="FFFFFF"/>
        </w:rPr>
        <w:t>14</w:t>
      </w:r>
      <w:r w:rsidRPr="00733550">
        <w:rPr>
          <w:bCs/>
          <w:color w:val="222222"/>
          <w:szCs w:val="24"/>
          <w:shd w:val="clear" w:color="auto" w:fill="FFFFFF"/>
        </w:rPr>
        <w:t>, 142-161.</w:t>
      </w:r>
    </w:p>
    <w:p w14:paraId="46851ED0" w14:textId="3B05B0A6" w:rsidR="00733550" w:rsidRPr="00733550" w:rsidRDefault="00733550" w:rsidP="00733550">
      <w:pPr>
        <w:tabs>
          <w:tab w:val="left" w:pos="630"/>
        </w:tabs>
        <w:spacing w:after="0" w:line="240" w:lineRule="auto"/>
        <w:ind w:left="540" w:hanging="540"/>
        <w:rPr>
          <w:bCs/>
          <w:color w:val="222222"/>
          <w:szCs w:val="24"/>
          <w:shd w:val="clear" w:color="auto" w:fill="FFFFFF"/>
        </w:rPr>
      </w:pPr>
      <w:r w:rsidRPr="00733550">
        <w:rPr>
          <w:bCs/>
          <w:color w:val="222222"/>
          <w:szCs w:val="24"/>
          <w:shd w:val="clear" w:color="auto" w:fill="FFFFFF"/>
        </w:rPr>
        <w:t>de Abreu e Silva, J., and Melo, P.</w:t>
      </w:r>
      <w:r w:rsidR="00681AAB">
        <w:rPr>
          <w:bCs/>
          <w:color w:val="222222"/>
          <w:szCs w:val="24"/>
          <w:shd w:val="clear" w:color="auto" w:fill="FFFFFF"/>
        </w:rPr>
        <w:t xml:space="preserve"> </w:t>
      </w:r>
      <w:r w:rsidRPr="00733550">
        <w:rPr>
          <w:bCs/>
          <w:color w:val="222222"/>
          <w:szCs w:val="24"/>
          <w:shd w:val="clear" w:color="auto" w:fill="FFFFFF"/>
        </w:rPr>
        <w:t>C. (2018). Does home-based telework reduce household total travel? A path analysis using single and two worker British households. </w:t>
      </w:r>
      <w:r w:rsidRPr="00733550">
        <w:rPr>
          <w:bCs/>
          <w:i/>
          <w:iCs/>
          <w:color w:val="222222"/>
          <w:szCs w:val="24"/>
          <w:shd w:val="clear" w:color="auto" w:fill="FFFFFF"/>
        </w:rPr>
        <w:t>Journal of Transport Geography</w:t>
      </w:r>
      <w:r w:rsidRPr="00733550">
        <w:rPr>
          <w:bCs/>
          <w:color w:val="222222"/>
          <w:szCs w:val="24"/>
          <w:shd w:val="clear" w:color="auto" w:fill="FFFFFF"/>
        </w:rPr>
        <w:t>, </w:t>
      </w:r>
      <w:r w:rsidRPr="00733550">
        <w:rPr>
          <w:bCs/>
          <w:i/>
          <w:iCs/>
          <w:color w:val="222222"/>
          <w:szCs w:val="24"/>
          <w:shd w:val="clear" w:color="auto" w:fill="FFFFFF"/>
        </w:rPr>
        <w:t>73</w:t>
      </w:r>
      <w:r w:rsidRPr="00733550">
        <w:rPr>
          <w:bCs/>
          <w:color w:val="222222"/>
          <w:szCs w:val="24"/>
          <w:shd w:val="clear" w:color="auto" w:fill="FFFFFF"/>
        </w:rPr>
        <w:t>, 148-162.</w:t>
      </w:r>
    </w:p>
    <w:p w14:paraId="7BFBDA8A" w14:textId="77777777" w:rsidR="00733550" w:rsidRPr="00733550" w:rsidRDefault="00733550" w:rsidP="00733550">
      <w:pPr>
        <w:tabs>
          <w:tab w:val="left" w:pos="630"/>
        </w:tabs>
        <w:spacing w:after="0" w:line="240" w:lineRule="auto"/>
        <w:ind w:left="540" w:hanging="540"/>
        <w:rPr>
          <w:bCs/>
          <w:color w:val="222222"/>
          <w:szCs w:val="24"/>
          <w:shd w:val="clear" w:color="auto" w:fill="FFFFFF"/>
        </w:rPr>
      </w:pPr>
      <w:bookmarkStart w:id="38" w:name="_Hlk126060780"/>
      <w:r w:rsidRPr="00733550">
        <w:rPr>
          <w:bCs/>
          <w:color w:val="222222"/>
          <w:szCs w:val="24"/>
          <w:shd w:val="clear" w:color="auto" w:fill="FFFFFF"/>
        </w:rPr>
        <w:lastRenderedPageBreak/>
        <w:t xml:space="preserve">DeVos, D., </w:t>
      </w:r>
      <w:proofErr w:type="spellStart"/>
      <w:r w:rsidRPr="00733550">
        <w:rPr>
          <w:bCs/>
          <w:color w:val="222222"/>
          <w:szCs w:val="24"/>
          <w:shd w:val="clear" w:color="auto" w:fill="FFFFFF"/>
        </w:rPr>
        <w:t>Meijers</w:t>
      </w:r>
      <w:proofErr w:type="spellEnd"/>
      <w:r w:rsidRPr="00733550">
        <w:rPr>
          <w:bCs/>
          <w:color w:val="222222"/>
          <w:szCs w:val="24"/>
          <w:shd w:val="clear" w:color="auto" w:fill="FFFFFF"/>
        </w:rPr>
        <w:t>, E., and van Ham, M. (2018). Working from home and the willingness to accept a longer commute. </w:t>
      </w:r>
      <w:r w:rsidRPr="00733550">
        <w:rPr>
          <w:bCs/>
          <w:i/>
          <w:iCs/>
          <w:color w:val="222222"/>
          <w:szCs w:val="24"/>
          <w:shd w:val="clear" w:color="auto" w:fill="FFFFFF"/>
        </w:rPr>
        <w:t>The Annals of Regional Science</w:t>
      </w:r>
      <w:r w:rsidRPr="00733550">
        <w:rPr>
          <w:bCs/>
          <w:color w:val="222222"/>
          <w:szCs w:val="24"/>
          <w:shd w:val="clear" w:color="auto" w:fill="FFFFFF"/>
        </w:rPr>
        <w:t>, </w:t>
      </w:r>
      <w:r w:rsidRPr="00733550">
        <w:rPr>
          <w:bCs/>
          <w:i/>
          <w:iCs/>
          <w:color w:val="222222"/>
          <w:szCs w:val="24"/>
          <w:shd w:val="clear" w:color="auto" w:fill="FFFFFF"/>
        </w:rPr>
        <w:t>61</w:t>
      </w:r>
      <w:r w:rsidRPr="00733550">
        <w:rPr>
          <w:bCs/>
          <w:color w:val="222222"/>
          <w:szCs w:val="24"/>
          <w:shd w:val="clear" w:color="auto" w:fill="FFFFFF"/>
        </w:rPr>
        <w:t>(2), 375-398.</w:t>
      </w:r>
    </w:p>
    <w:p w14:paraId="07FBDD31" w14:textId="64569C35" w:rsidR="00733550" w:rsidRPr="00733550" w:rsidRDefault="00733550" w:rsidP="00733550">
      <w:pPr>
        <w:tabs>
          <w:tab w:val="left" w:pos="630"/>
        </w:tabs>
        <w:spacing w:after="0" w:line="240" w:lineRule="auto"/>
        <w:ind w:left="540" w:hanging="540"/>
        <w:rPr>
          <w:bCs/>
          <w:color w:val="222222"/>
          <w:szCs w:val="24"/>
          <w:shd w:val="clear" w:color="auto" w:fill="FFFFFF"/>
        </w:rPr>
      </w:pPr>
      <w:bookmarkStart w:id="39" w:name="_Hlk126061008"/>
      <w:bookmarkEnd w:id="38"/>
      <w:r w:rsidRPr="00733550">
        <w:rPr>
          <w:bCs/>
          <w:color w:val="222222"/>
          <w:szCs w:val="24"/>
          <w:shd w:val="clear" w:color="auto" w:fill="FFFFFF"/>
        </w:rPr>
        <w:t xml:space="preserve">DeVos, D., van Ham, M., and </w:t>
      </w:r>
      <w:proofErr w:type="spellStart"/>
      <w:r w:rsidRPr="00733550">
        <w:rPr>
          <w:bCs/>
          <w:color w:val="222222"/>
          <w:szCs w:val="24"/>
          <w:shd w:val="clear" w:color="auto" w:fill="FFFFFF"/>
        </w:rPr>
        <w:t>Meijers</w:t>
      </w:r>
      <w:proofErr w:type="spellEnd"/>
      <w:r w:rsidRPr="00733550">
        <w:rPr>
          <w:bCs/>
          <w:color w:val="222222"/>
          <w:szCs w:val="24"/>
          <w:shd w:val="clear" w:color="auto" w:fill="FFFFFF"/>
        </w:rPr>
        <w:t>, E.</w:t>
      </w:r>
      <w:r w:rsidR="00681AAB">
        <w:rPr>
          <w:bCs/>
          <w:color w:val="222222"/>
          <w:szCs w:val="24"/>
          <w:shd w:val="clear" w:color="auto" w:fill="FFFFFF"/>
        </w:rPr>
        <w:t xml:space="preserve"> </w:t>
      </w:r>
      <w:r w:rsidRPr="00733550">
        <w:rPr>
          <w:bCs/>
          <w:color w:val="222222"/>
          <w:szCs w:val="24"/>
          <w:shd w:val="clear" w:color="auto" w:fill="FFFFFF"/>
        </w:rPr>
        <w:t xml:space="preserve">J. (2019). Working from home and commuting: Heterogeneity over time, space, and occupations. </w:t>
      </w:r>
      <w:r w:rsidRPr="00733550">
        <w:rPr>
          <w:szCs w:val="24"/>
        </w:rPr>
        <w:t>IZA Discussion Paper No. 12578, IZA Institute of Labor Economics, Bonn, Germany</w:t>
      </w:r>
    </w:p>
    <w:bookmarkEnd w:id="39"/>
    <w:p w14:paraId="64615A6B" w14:textId="77777777" w:rsidR="00733550" w:rsidRPr="00733550" w:rsidRDefault="00733550" w:rsidP="00733550">
      <w:pPr>
        <w:tabs>
          <w:tab w:val="left" w:pos="630"/>
        </w:tabs>
        <w:spacing w:after="0" w:line="240" w:lineRule="auto"/>
        <w:ind w:left="540" w:hanging="540"/>
        <w:rPr>
          <w:bCs/>
          <w:color w:val="222222"/>
          <w:szCs w:val="24"/>
          <w:shd w:val="clear" w:color="auto" w:fill="FFFFFF"/>
        </w:rPr>
      </w:pPr>
      <w:proofErr w:type="spellStart"/>
      <w:r w:rsidRPr="00733550">
        <w:rPr>
          <w:bCs/>
          <w:color w:val="222222"/>
          <w:szCs w:val="24"/>
          <w:shd w:val="clear" w:color="auto" w:fill="FFFFFF"/>
        </w:rPr>
        <w:t>Elldér</w:t>
      </w:r>
      <w:proofErr w:type="spellEnd"/>
      <w:r w:rsidRPr="00733550">
        <w:rPr>
          <w:bCs/>
          <w:color w:val="222222"/>
          <w:szCs w:val="24"/>
          <w:shd w:val="clear" w:color="auto" w:fill="FFFFFF"/>
        </w:rPr>
        <w:t>, E. (2020). Telework and daily travel: New evidence from Sweden. </w:t>
      </w:r>
      <w:r w:rsidRPr="00733550">
        <w:rPr>
          <w:bCs/>
          <w:i/>
          <w:iCs/>
          <w:color w:val="222222"/>
          <w:szCs w:val="24"/>
          <w:shd w:val="clear" w:color="auto" w:fill="FFFFFF"/>
        </w:rPr>
        <w:t>Journal of Transport Geography</w:t>
      </w:r>
      <w:r w:rsidRPr="00733550">
        <w:rPr>
          <w:bCs/>
          <w:color w:val="222222"/>
          <w:szCs w:val="24"/>
          <w:shd w:val="clear" w:color="auto" w:fill="FFFFFF"/>
        </w:rPr>
        <w:t>, </w:t>
      </w:r>
      <w:r w:rsidRPr="00733550">
        <w:rPr>
          <w:bCs/>
          <w:i/>
          <w:iCs/>
          <w:color w:val="222222"/>
          <w:szCs w:val="24"/>
          <w:shd w:val="clear" w:color="auto" w:fill="FFFFFF"/>
        </w:rPr>
        <w:t>86</w:t>
      </w:r>
      <w:r w:rsidRPr="00733550">
        <w:rPr>
          <w:bCs/>
          <w:color w:val="222222"/>
          <w:szCs w:val="24"/>
          <w:shd w:val="clear" w:color="auto" w:fill="FFFFFF"/>
        </w:rPr>
        <w:t>, 102777.</w:t>
      </w:r>
    </w:p>
    <w:p w14:paraId="05D6AEDD" w14:textId="77777777" w:rsidR="00733550" w:rsidRPr="00733550" w:rsidRDefault="00733550" w:rsidP="00733550">
      <w:pPr>
        <w:tabs>
          <w:tab w:val="left" w:pos="630"/>
        </w:tabs>
        <w:spacing w:after="0" w:line="240" w:lineRule="auto"/>
        <w:ind w:left="540" w:hanging="540"/>
        <w:rPr>
          <w:bCs/>
          <w:color w:val="222222"/>
          <w:szCs w:val="24"/>
          <w:shd w:val="clear" w:color="auto" w:fill="FFFFFF"/>
        </w:rPr>
      </w:pPr>
      <w:proofErr w:type="spellStart"/>
      <w:r w:rsidRPr="00733550">
        <w:rPr>
          <w:bCs/>
          <w:color w:val="222222"/>
          <w:szCs w:val="24"/>
          <w:shd w:val="clear" w:color="auto" w:fill="FFFFFF"/>
        </w:rPr>
        <w:t>Ettema</w:t>
      </w:r>
      <w:proofErr w:type="spellEnd"/>
      <w:r w:rsidRPr="00733550">
        <w:rPr>
          <w:bCs/>
          <w:color w:val="222222"/>
          <w:szCs w:val="24"/>
          <w:shd w:val="clear" w:color="auto" w:fill="FFFFFF"/>
        </w:rPr>
        <w:t>, D. (2010). The impact of telecommuting on residential relocation and residential preferences: a latent class modeling approach. </w:t>
      </w:r>
      <w:r w:rsidRPr="00733550">
        <w:rPr>
          <w:bCs/>
          <w:i/>
          <w:iCs/>
          <w:color w:val="222222"/>
          <w:szCs w:val="24"/>
          <w:shd w:val="clear" w:color="auto" w:fill="FFFFFF"/>
        </w:rPr>
        <w:t>Journal of Transport and Land Use</w:t>
      </w:r>
      <w:r w:rsidRPr="00733550">
        <w:rPr>
          <w:bCs/>
          <w:color w:val="222222"/>
          <w:szCs w:val="24"/>
          <w:shd w:val="clear" w:color="auto" w:fill="FFFFFF"/>
        </w:rPr>
        <w:t>, </w:t>
      </w:r>
      <w:r w:rsidRPr="00733550">
        <w:rPr>
          <w:bCs/>
          <w:i/>
          <w:iCs/>
          <w:color w:val="222222"/>
          <w:szCs w:val="24"/>
          <w:shd w:val="clear" w:color="auto" w:fill="FFFFFF"/>
        </w:rPr>
        <w:t>3</w:t>
      </w:r>
      <w:r w:rsidRPr="00733550">
        <w:rPr>
          <w:bCs/>
          <w:color w:val="222222"/>
          <w:szCs w:val="24"/>
          <w:shd w:val="clear" w:color="auto" w:fill="FFFFFF"/>
        </w:rPr>
        <w:t>(1), 7-24.</w:t>
      </w:r>
    </w:p>
    <w:p w14:paraId="17FF0EA8" w14:textId="77777777" w:rsidR="00733550" w:rsidRPr="00733550" w:rsidRDefault="00733550" w:rsidP="00733550">
      <w:pPr>
        <w:tabs>
          <w:tab w:val="left" w:pos="630"/>
        </w:tabs>
        <w:spacing w:after="0" w:line="240" w:lineRule="auto"/>
        <w:ind w:left="540" w:hanging="540"/>
        <w:rPr>
          <w:bCs/>
          <w:color w:val="222222"/>
          <w:szCs w:val="24"/>
          <w:shd w:val="clear" w:color="auto" w:fill="FFFFFF"/>
        </w:rPr>
      </w:pPr>
      <w:r w:rsidRPr="00733550">
        <w:rPr>
          <w:bCs/>
          <w:color w:val="222222"/>
          <w:szCs w:val="24"/>
          <w:shd w:val="clear" w:color="auto" w:fill="FFFFFF"/>
        </w:rPr>
        <w:t xml:space="preserve">Flynn, J. (2023). 25 Trending Remote Work Statistics [2023]: Facts, Trends, and Projections. </w:t>
      </w:r>
      <w:proofErr w:type="spellStart"/>
      <w:r w:rsidRPr="00733550">
        <w:rPr>
          <w:bCs/>
          <w:color w:val="222222"/>
          <w:szCs w:val="24"/>
          <w:shd w:val="clear" w:color="auto" w:fill="FFFFFF"/>
        </w:rPr>
        <w:t>Zippia</w:t>
      </w:r>
      <w:proofErr w:type="spellEnd"/>
      <w:r w:rsidRPr="00733550">
        <w:rPr>
          <w:bCs/>
          <w:color w:val="222222"/>
          <w:szCs w:val="24"/>
          <w:shd w:val="clear" w:color="auto" w:fill="FFFFFF"/>
        </w:rPr>
        <w:t xml:space="preserve">. Available at: </w:t>
      </w:r>
      <w:hyperlink r:id="rId411" w:anchor=":~:text=66%25%20of%20U.S.%20employees%20work,5.8%20remote%20workdays%20per%20month" w:history="1">
        <w:r w:rsidRPr="00733550">
          <w:rPr>
            <w:rStyle w:val="Hyperlink"/>
            <w:bCs/>
            <w:szCs w:val="24"/>
            <w:shd w:val="clear" w:color="auto" w:fill="FFFFFF"/>
          </w:rPr>
          <w:t>https://www.zippia.com/advice/remote-work-statistics/#:~:text=66%25%20of%20U.S.%20employees%20work,5.8%20remote%20workdays%20per%20month</w:t>
        </w:r>
      </w:hyperlink>
      <w:r w:rsidRPr="00733550">
        <w:rPr>
          <w:bCs/>
          <w:color w:val="222222"/>
          <w:szCs w:val="24"/>
          <w:shd w:val="clear" w:color="auto" w:fill="FFFFFF"/>
        </w:rPr>
        <w:t>. Accessed on: June 18, 2023.</w:t>
      </w:r>
    </w:p>
    <w:p w14:paraId="2EE2099D" w14:textId="77777777" w:rsidR="00733550" w:rsidRPr="00733550" w:rsidRDefault="00733550" w:rsidP="00733550">
      <w:pPr>
        <w:tabs>
          <w:tab w:val="left" w:pos="630"/>
        </w:tabs>
        <w:spacing w:after="0" w:line="240" w:lineRule="auto"/>
        <w:ind w:left="540" w:hanging="540"/>
        <w:rPr>
          <w:bCs/>
          <w:color w:val="222222"/>
          <w:szCs w:val="24"/>
          <w:shd w:val="clear" w:color="auto" w:fill="FFFFFF"/>
        </w:rPr>
      </w:pPr>
      <w:r w:rsidRPr="00733550">
        <w:rPr>
          <w:szCs w:val="24"/>
        </w:rPr>
        <w:t>Foucault, M., and Galasso, V. (2020). Working after COVID-19: Cross-country evidence from real-time survey data. Science Po CEVIPOF Research Note, 9.</w:t>
      </w:r>
    </w:p>
    <w:p w14:paraId="3097A9EC" w14:textId="77777777" w:rsidR="00733550" w:rsidRPr="00733550" w:rsidRDefault="00733550" w:rsidP="00733550">
      <w:pPr>
        <w:tabs>
          <w:tab w:val="left" w:pos="630"/>
        </w:tabs>
        <w:spacing w:after="0" w:line="240" w:lineRule="auto"/>
        <w:ind w:left="540" w:hanging="540"/>
        <w:rPr>
          <w:bCs/>
          <w:szCs w:val="24"/>
        </w:rPr>
      </w:pPr>
      <w:bookmarkStart w:id="40" w:name="_Hlk126061108"/>
      <w:r w:rsidRPr="00733550">
        <w:rPr>
          <w:bCs/>
          <w:szCs w:val="24"/>
        </w:rPr>
        <w:t>Frick, N., and Marx, J. (2021). Integrating digital nomads in corporate structures: Managerial contemplations. In Proceedings of the 54th Hawaii International Conference on System Sciences (p. 2111).</w:t>
      </w:r>
    </w:p>
    <w:p w14:paraId="455E8D10" w14:textId="24EF8543" w:rsidR="00733550" w:rsidRPr="00733550" w:rsidRDefault="00733550" w:rsidP="00733550">
      <w:pPr>
        <w:tabs>
          <w:tab w:val="left" w:pos="630"/>
        </w:tabs>
        <w:spacing w:after="0" w:line="240" w:lineRule="auto"/>
        <w:ind w:left="540" w:hanging="540"/>
        <w:rPr>
          <w:bCs/>
          <w:color w:val="222222"/>
          <w:szCs w:val="24"/>
          <w:shd w:val="clear" w:color="auto" w:fill="FFFFFF"/>
        </w:rPr>
      </w:pPr>
      <w:bookmarkStart w:id="41" w:name="_Hlk126061396"/>
      <w:bookmarkEnd w:id="40"/>
      <w:r w:rsidRPr="00733550">
        <w:rPr>
          <w:bCs/>
          <w:color w:val="222222"/>
          <w:szCs w:val="24"/>
          <w:shd w:val="clear" w:color="auto" w:fill="FFFFFF"/>
        </w:rPr>
        <w:t>Fu, M., Kelly, J.</w:t>
      </w:r>
      <w:r w:rsidR="00681AAB">
        <w:rPr>
          <w:bCs/>
          <w:color w:val="222222"/>
          <w:szCs w:val="24"/>
          <w:shd w:val="clear" w:color="auto" w:fill="FFFFFF"/>
        </w:rPr>
        <w:t xml:space="preserve"> </w:t>
      </w:r>
      <w:r w:rsidRPr="00733550">
        <w:rPr>
          <w:bCs/>
          <w:color w:val="222222"/>
          <w:szCs w:val="24"/>
          <w:shd w:val="clear" w:color="auto" w:fill="FFFFFF"/>
        </w:rPr>
        <w:t>A., Clinch, J.</w:t>
      </w:r>
      <w:r w:rsidR="00681AAB">
        <w:rPr>
          <w:bCs/>
          <w:color w:val="222222"/>
          <w:szCs w:val="24"/>
          <w:shd w:val="clear" w:color="auto" w:fill="FFFFFF"/>
        </w:rPr>
        <w:t xml:space="preserve"> </w:t>
      </w:r>
      <w:r w:rsidRPr="00733550">
        <w:rPr>
          <w:bCs/>
          <w:color w:val="222222"/>
          <w:szCs w:val="24"/>
          <w:shd w:val="clear" w:color="auto" w:fill="FFFFFF"/>
        </w:rPr>
        <w:t>P., and King, F. (2012). Environmental policy implications of working from home: Modelling the impacts of land-use, infrastructure and socio-demographics. </w:t>
      </w:r>
      <w:r w:rsidRPr="00733550">
        <w:rPr>
          <w:bCs/>
          <w:i/>
          <w:iCs/>
          <w:color w:val="222222"/>
          <w:szCs w:val="24"/>
          <w:shd w:val="clear" w:color="auto" w:fill="FFFFFF"/>
        </w:rPr>
        <w:t>Energy Policy</w:t>
      </w:r>
      <w:r w:rsidRPr="00733550">
        <w:rPr>
          <w:bCs/>
          <w:color w:val="222222"/>
          <w:szCs w:val="24"/>
          <w:shd w:val="clear" w:color="auto" w:fill="FFFFFF"/>
        </w:rPr>
        <w:t>, </w:t>
      </w:r>
      <w:r w:rsidRPr="00733550">
        <w:rPr>
          <w:bCs/>
          <w:i/>
          <w:iCs/>
          <w:color w:val="222222"/>
          <w:szCs w:val="24"/>
          <w:shd w:val="clear" w:color="auto" w:fill="FFFFFF"/>
        </w:rPr>
        <w:t>47</w:t>
      </w:r>
      <w:r w:rsidRPr="00733550">
        <w:rPr>
          <w:bCs/>
          <w:color w:val="222222"/>
          <w:szCs w:val="24"/>
          <w:shd w:val="clear" w:color="auto" w:fill="FFFFFF"/>
        </w:rPr>
        <w:t>, 416-423.</w:t>
      </w:r>
    </w:p>
    <w:p w14:paraId="57567FD8" w14:textId="67CD9F45" w:rsidR="00733550" w:rsidRPr="00733550" w:rsidRDefault="00733550" w:rsidP="00733550">
      <w:pPr>
        <w:tabs>
          <w:tab w:val="left" w:pos="630"/>
        </w:tabs>
        <w:spacing w:after="0" w:line="240" w:lineRule="auto"/>
        <w:ind w:left="540" w:hanging="540"/>
        <w:rPr>
          <w:bCs/>
          <w:color w:val="222222"/>
          <w:szCs w:val="24"/>
          <w:shd w:val="clear" w:color="auto" w:fill="FFFFFF"/>
        </w:rPr>
      </w:pPr>
      <w:proofErr w:type="spellStart"/>
      <w:r w:rsidRPr="00733550">
        <w:rPr>
          <w:bCs/>
          <w:color w:val="222222"/>
          <w:szCs w:val="24"/>
          <w:shd w:val="clear" w:color="auto" w:fill="FFFFFF"/>
        </w:rPr>
        <w:t>Gaduena</w:t>
      </w:r>
      <w:proofErr w:type="spellEnd"/>
      <w:r w:rsidRPr="00733550">
        <w:rPr>
          <w:bCs/>
          <w:color w:val="222222"/>
          <w:szCs w:val="24"/>
          <w:shd w:val="clear" w:color="auto" w:fill="FFFFFF"/>
        </w:rPr>
        <w:t xml:space="preserve">, A., </w:t>
      </w:r>
      <w:proofErr w:type="spellStart"/>
      <w:r w:rsidRPr="00733550">
        <w:rPr>
          <w:bCs/>
          <w:color w:val="222222"/>
          <w:szCs w:val="24"/>
          <w:shd w:val="clear" w:color="auto" w:fill="FFFFFF"/>
        </w:rPr>
        <w:t>Caboverde</w:t>
      </w:r>
      <w:proofErr w:type="spellEnd"/>
      <w:r w:rsidRPr="00733550">
        <w:rPr>
          <w:bCs/>
          <w:color w:val="222222"/>
          <w:szCs w:val="24"/>
          <w:shd w:val="clear" w:color="auto" w:fill="FFFFFF"/>
        </w:rPr>
        <w:t>, C.</w:t>
      </w:r>
      <w:r w:rsidR="00681AAB">
        <w:rPr>
          <w:bCs/>
          <w:color w:val="222222"/>
          <w:szCs w:val="24"/>
          <w:shd w:val="clear" w:color="auto" w:fill="FFFFFF"/>
        </w:rPr>
        <w:t xml:space="preserve"> </w:t>
      </w:r>
      <w:r w:rsidRPr="00733550">
        <w:rPr>
          <w:bCs/>
          <w:color w:val="222222"/>
          <w:szCs w:val="24"/>
          <w:shd w:val="clear" w:color="auto" w:fill="FFFFFF"/>
        </w:rPr>
        <w:t xml:space="preserve">E., and </w:t>
      </w:r>
      <w:proofErr w:type="spellStart"/>
      <w:r w:rsidRPr="00733550">
        <w:rPr>
          <w:bCs/>
          <w:color w:val="222222"/>
          <w:szCs w:val="24"/>
          <w:shd w:val="clear" w:color="auto" w:fill="FFFFFF"/>
        </w:rPr>
        <w:t>Flaminiano</w:t>
      </w:r>
      <w:proofErr w:type="spellEnd"/>
      <w:r w:rsidRPr="00733550">
        <w:rPr>
          <w:bCs/>
          <w:color w:val="222222"/>
          <w:szCs w:val="24"/>
          <w:shd w:val="clear" w:color="auto" w:fill="FFFFFF"/>
        </w:rPr>
        <w:t>, J.</w:t>
      </w:r>
      <w:r w:rsidR="00681AAB">
        <w:rPr>
          <w:bCs/>
          <w:color w:val="222222"/>
          <w:szCs w:val="24"/>
          <w:shd w:val="clear" w:color="auto" w:fill="FFFFFF"/>
        </w:rPr>
        <w:t xml:space="preserve"> </w:t>
      </w:r>
      <w:r w:rsidRPr="00733550">
        <w:rPr>
          <w:bCs/>
          <w:color w:val="222222"/>
          <w:szCs w:val="24"/>
          <w:shd w:val="clear" w:color="auto" w:fill="FFFFFF"/>
        </w:rPr>
        <w:t>P. (2022). Telework potential in the Philippines. </w:t>
      </w:r>
      <w:r w:rsidRPr="00733550">
        <w:rPr>
          <w:bCs/>
          <w:i/>
          <w:iCs/>
          <w:color w:val="222222"/>
          <w:szCs w:val="24"/>
          <w:shd w:val="clear" w:color="auto" w:fill="FFFFFF"/>
        </w:rPr>
        <w:t xml:space="preserve">The Economic and </w:t>
      </w:r>
      <w:proofErr w:type="spellStart"/>
      <w:r w:rsidRPr="00733550">
        <w:rPr>
          <w:bCs/>
          <w:i/>
          <w:iCs/>
          <w:color w:val="222222"/>
          <w:szCs w:val="24"/>
          <w:shd w:val="clear" w:color="auto" w:fill="FFFFFF"/>
        </w:rPr>
        <w:t>Labour</w:t>
      </w:r>
      <w:proofErr w:type="spellEnd"/>
      <w:r w:rsidRPr="00733550">
        <w:rPr>
          <w:bCs/>
          <w:i/>
          <w:iCs/>
          <w:color w:val="222222"/>
          <w:szCs w:val="24"/>
          <w:shd w:val="clear" w:color="auto" w:fill="FFFFFF"/>
        </w:rPr>
        <w:t xml:space="preserve"> Relations Review</w:t>
      </w:r>
      <w:r w:rsidRPr="00733550">
        <w:rPr>
          <w:bCs/>
          <w:color w:val="222222"/>
          <w:szCs w:val="24"/>
          <w:shd w:val="clear" w:color="auto" w:fill="FFFFFF"/>
        </w:rPr>
        <w:t>, </w:t>
      </w:r>
      <w:r w:rsidRPr="00733550">
        <w:rPr>
          <w:bCs/>
          <w:i/>
          <w:iCs/>
          <w:color w:val="222222"/>
          <w:szCs w:val="24"/>
          <w:shd w:val="clear" w:color="auto" w:fill="FFFFFF"/>
        </w:rPr>
        <w:t>33</w:t>
      </w:r>
      <w:r w:rsidRPr="00733550">
        <w:rPr>
          <w:bCs/>
          <w:color w:val="222222"/>
          <w:szCs w:val="24"/>
          <w:shd w:val="clear" w:color="auto" w:fill="FFFFFF"/>
        </w:rPr>
        <w:t>(2), 434-454.</w:t>
      </w:r>
    </w:p>
    <w:p w14:paraId="2C7363ED" w14:textId="77777777" w:rsidR="00733550" w:rsidRPr="00733550" w:rsidRDefault="00733550" w:rsidP="00733550">
      <w:pPr>
        <w:tabs>
          <w:tab w:val="left" w:pos="630"/>
        </w:tabs>
        <w:spacing w:after="0" w:line="240" w:lineRule="auto"/>
        <w:ind w:left="540" w:hanging="540"/>
        <w:rPr>
          <w:b/>
          <w:color w:val="222222"/>
          <w:szCs w:val="24"/>
          <w:shd w:val="clear" w:color="auto" w:fill="FFFFFF"/>
        </w:rPr>
      </w:pPr>
      <w:bookmarkStart w:id="42" w:name="_Hlk126061179"/>
      <w:proofErr w:type="spellStart"/>
      <w:r w:rsidRPr="00733550">
        <w:rPr>
          <w:color w:val="222222"/>
          <w:szCs w:val="24"/>
          <w:shd w:val="clear" w:color="auto" w:fill="FFFFFF"/>
        </w:rPr>
        <w:t>Giovanis</w:t>
      </w:r>
      <w:proofErr w:type="spellEnd"/>
      <w:r w:rsidRPr="00733550">
        <w:rPr>
          <w:color w:val="222222"/>
          <w:szCs w:val="24"/>
          <w:shd w:val="clear" w:color="auto" w:fill="FFFFFF"/>
        </w:rPr>
        <w:t>, E. (2018). The relationship between teleworking, traffic and air pollution. </w:t>
      </w:r>
      <w:r w:rsidRPr="00733550">
        <w:rPr>
          <w:i/>
          <w:iCs/>
          <w:color w:val="222222"/>
          <w:szCs w:val="24"/>
          <w:shd w:val="clear" w:color="auto" w:fill="FFFFFF"/>
        </w:rPr>
        <w:t>Atmospheric Pollution Research</w:t>
      </w:r>
      <w:r w:rsidRPr="00733550">
        <w:rPr>
          <w:color w:val="222222"/>
          <w:szCs w:val="24"/>
          <w:shd w:val="clear" w:color="auto" w:fill="FFFFFF"/>
        </w:rPr>
        <w:t>, </w:t>
      </w:r>
      <w:r w:rsidRPr="00733550">
        <w:rPr>
          <w:i/>
          <w:iCs/>
          <w:color w:val="222222"/>
          <w:szCs w:val="24"/>
          <w:shd w:val="clear" w:color="auto" w:fill="FFFFFF"/>
        </w:rPr>
        <w:t>9</w:t>
      </w:r>
      <w:r w:rsidRPr="00733550">
        <w:rPr>
          <w:color w:val="222222"/>
          <w:szCs w:val="24"/>
          <w:shd w:val="clear" w:color="auto" w:fill="FFFFFF"/>
        </w:rPr>
        <w:t>(1), 1-14.</w:t>
      </w:r>
    </w:p>
    <w:p w14:paraId="61CD487F" w14:textId="138A6CA6" w:rsidR="00733550" w:rsidRPr="00733550" w:rsidRDefault="00733550" w:rsidP="00733550">
      <w:pPr>
        <w:tabs>
          <w:tab w:val="left" w:pos="630"/>
        </w:tabs>
        <w:spacing w:after="0" w:line="240" w:lineRule="auto"/>
        <w:ind w:left="540" w:hanging="540"/>
        <w:rPr>
          <w:szCs w:val="24"/>
        </w:rPr>
      </w:pPr>
      <w:bookmarkStart w:id="43" w:name="_Hlk153246406"/>
      <w:bookmarkStart w:id="44" w:name="_Hlk153102939"/>
      <w:bookmarkEnd w:id="41"/>
      <w:bookmarkEnd w:id="42"/>
      <w:proofErr w:type="spellStart"/>
      <w:r w:rsidRPr="00733550">
        <w:rPr>
          <w:color w:val="000000"/>
          <w:szCs w:val="24"/>
        </w:rPr>
        <w:t>Giselmar</w:t>
      </w:r>
      <w:proofErr w:type="spellEnd"/>
      <w:r w:rsidRPr="00733550">
        <w:rPr>
          <w:color w:val="000000"/>
          <w:szCs w:val="24"/>
        </w:rPr>
        <w:t xml:space="preserve"> </w:t>
      </w:r>
      <w:bookmarkEnd w:id="43"/>
      <w:r w:rsidRPr="00733550">
        <w:rPr>
          <w:color w:val="000000"/>
          <w:szCs w:val="24"/>
        </w:rPr>
        <w:t>A. J.</w:t>
      </w:r>
      <w:r w:rsidR="00681AAB">
        <w:rPr>
          <w:color w:val="000000"/>
          <w:szCs w:val="24"/>
        </w:rPr>
        <w:t xml:space="preserve">, </w:t>
      </w:r>
      <w:proofErr w:type="spellStart"/>
      <w:r w:rsidRPr="00733550">
        <w:rPr>
          <w:color w:val="000000"/>
          <w:szCs w:val="24"/>
        </w:rPr>
        <w:t>Hemmert</w:t>
      </w:r>
      <w:proofErr w:type="spellEnd"/>
      <w:r w:rsidRPr="00733550">
        <w:rPr>
          <w:color w:val="000000"/>
          <w:szCs w:val="24"/>
        </w:rPr>
        <w:t>, G.</w:t>
      </w:r>
      <w:r w:rsidR="00681AAB">
        <w:rPr>
          <w:color w:val="000000"/>
          <w:szCs w:val="24"/>
        </w:rPr>
        <w:t xml:space="preserve"> </w:t>
      </w:r>
      <w:r w:rsidRPr="00733550">
        <w:rPr>
          <w:color w:val="000000"/>
          <w:szCs w:val="24"/>
        </w:rPr>
        <w:t>A.</w:t>
      </w:r>
      <w:r w:rsidR="00681AAB">
        <w:rPr>
          <w:color w:val="000000"/>
          <w:szCs w:val="24"/>
        </w:rPr>
        <w:t xml:space="preserve"> </w:t>
      </w:r>
      <w:r w:rsidRPr="00733550">
        <w:rPr>
          <w:color w:val="000000"/>
          <w:szCs w:val="24"/>
        </w:rPr>
        <w:t xml:space="preserve">J., </w:t>
      </w:r>
      <w:proofErr w:type="spellStart"/>
      <w:r w:rsidRPr="00733550">
        <w:rPr>
          <w:color w:val="000000"/>
          <w:szCs w:val="24"/>
        </w:rPr>
        <w:t>Schons</w:t>
      </w:r>
      <w:proofErr w:type="spellEnd"/>
      <w:r w:rsidRPr="00733550">
        <w:rPr>
          <w:color w:val="000000"/>
          <w:szCs w:val="24"/>
        </w:rPr>
        <w:t>, L.</w:t>
      </w:r>
      <w:r w:rsidR="00681AAB">
        <w:rPr>
          <w:color w:val="000000"/>
          <w:szCs w:val="24"/>
        </w:rPr>
        <w:t xml:space="preserve"> </w:t>
      </w:r>
      <w:r w:rsidRPr="00733550">
        <w:rPr>
          <w:color w:val="000000"/>
          <w:szCs w:val="24"/>
        </w:rPr>
        <w:t xml:space="preserve">M., </w:t>
      </w:r>
      <w:proofErr w:type="spellStart"/>
      <w:r w:rsidRPr="00733550">
        <w:rPr>
          <w:color w:val="000000"/>
          <w:szCs w:val="24"/>
        </w:rPr>
        <w:t>Wieseke</w:t>
      </w:r>
      <w:proofErr w:type="spellEnd"/>
      <w:r w:rsidRPr="00733550">
        <w:rPr>
          <w:color w:val="000000"/>
          <w:szCs w:val="24"/>
        </w:rPr>
        <w:t xml:space="preserve">, J., and </w:t>
      </w:r>
      <w:proofErr w:type="spellStart"/>
      <w:r w:rsidRPr="00733550">
        <w:rPr>
          <w:color w:val="000000"/>
          <w:szCs w:val="24"/>
        </w:rPr>
        <w:t>Schimmelpfennig</w:t>
      </w:r>
      <w:proofErr w:type="spellEnd"/>
      <w:r w:rsidRPr="00733550">
        <w:rPr>
          <w:color w:val="000000"/>
          <w:szCs w:val="24"/>
        </w:rPr>
        <w:t>, H. (2018)</w:t>
      </w:r>
      <w:r w:rsidR="00681AAB">
        <w:rPr>
          <w:color w:val="000000"/>
          <w:szCs w:val="24"/>
        </w:rPr>
        <w:t>.</w:t>
      </w:r>
      <w:r w:rsidRPr="00733550">
        <w:rPr>
          <w:color w:val="000000"/>
          <w:szCs w:val="24"/>
        </w:rPr>
        <w:t xml:space="preserve"> </w:t>
      </w:r>
      <w:r w:rsidRPr="00733550">
        <w:rPr>
          <w:szCs w:val="24"/>
        </w:rPr>
        <w:t>Log-likelihood-based Pseudo-</w:t>
      </w:r>
      <w:r w:rsidRPr="00733550">
        <w:rPr>
          <w:i/>
          <w:iCs/>
          <w:szCs w:val="24"/>
        </w:rPr>
        <w:t>R</w:t>
      </w:r>
      <w:r w:rsidRPr="00733550">
        <w:rPr>
          <w:szCs w:val="24"/>
          <w:vertAlign w:val="superscript"/>
        </w:rPr>
        <w:t>2</w:t>
      </w:r>
      <w:r w:rsidRPr="00733550">
        <w:rPr>
          <w:szCs w:val="24"/>
        </w:rPr>
        <w:t> in Logistic Regression: </w:t>
      </w:r>
      <w:r w:rsidRPr="00733550">
        <w:rPr>
          <w:rStyle w:val="Subtitle1"/>
          <w:szCs w:val="24"/>
        </w:rPr>
        <w:t>Deriving Sample-sensitive Benchmarks</w:t>
      </w:r>
      <w:r w:rsidR="00681AAB">
        <w:rPr>
          <w:rStyle w:val="Subtitle1"/>
          <w:szCs w:val="24"/>
        </w:rPr>
        <w:t>.</w:t>
      </w:r>
      <w:r w:rsidRPr="00733550">
        <w:rPr>
          <w:rStyle w:val="Subtitle1"/>
          <w:szCs w:val="24"/>
        </w:rPr>
        <w:t xml:space="preserve"> </w:t>
      </w:r>
      <w:r w:rsidRPr="00681AAB">
        <w:rPr>
          <w:i/>
          <w:iCs/>
          <w:szCs w:val="24"/>
        </w:rPr>
        <w:t>Sociological Methods &amp; Research</w:t>
      </w:r>
      <w:r w:rsidRPr="00220225">
        <w:rPr>
          <w:szCs w:val="24"/>
        </w:rPr>
        <w:t xml:space="preserve">, </w:t>
      </w:r>
      <w:r w:rsidRPr="00681AAB">
        <w:rPr>
          <w:i/>
          <w:iCs/>
          <w:szCs w:val="24"/>
        </w:rPr>
        <w:t>47</w:t>
      </w:r>
      <w:r w:rsidRPr="00681AAB">
        <w:rPr>
          <w:rStyle w:val="delimiter"/>
          <w:i/>
          <w:iCs/>
          <w:szCs w:val="24"/>
        </w:rPr>
        <w:t>(</w:t>
      </w:r>
      <w:r w:rsidRPr="00733550">
        <w:rPr>
          <w:szCs w:val="24"/>
        </w:rPr>
        <w:t>3)</w:t>
      </w:r>
      <w:r w:rsidRPr="00733550">
        <w:rPr>
          <w:rStyle w:val="delimiter"/>
          <w:szCs w:val="24"/>
        </w:rPr>
        <w:t>, </w:t>
      </w:r>
      <w:r w:rsidRPr="00733550">
        <w:rPr>
          <w:szCs w:val="24"/>
        </w:rPr>
        <w:t>507-531</w:t>
      </w:r>
    </w:p>
    <w:bookmarkEnd w:id="44"/>
    <w:p w14:paraId="1B632254" w14:textId="72167CE3" w:rsidR="00733550" w:rsidRDefault="00733550" w:rsidP="00733550">
      <w:pPr>
        <w:tabs>
          <w:tab w:val="left" w:pos="630"/>
        </w:tabs>
        <w:spacing w:after="0" w:line="240" w:lineRule="auto"/>
        <w:ind w:left="540" w:hanging="540"/>
        <w:rPr>
          <w:bCs/>
          <w:color w:val="222222"/>
          <w:szCs w:val="24"/>
          <w:shd w:val="clear" w:color="auto" w:fill="FFFFFF"/>
        </w:rPr>
      </w:pPr>
      <w:proofErr w:type="spellStart"/>
      <w:r w:rsidRPr="00733550">
        <w:rPr>
          <w:bCs/>
          <w:color w:val="222222"/>
          <w:szCs w:val="24"/>
          <w:shd w:val="clear" w:color="auto" w:fill="FFFFFF"/>
        </w:rPr>
        <w:t>Glaeser</w:t>
      </w:r>
      <w:proofErr w:type="spellEnd"/>
      <w:r w:rsidRPr="00733550">
        <w:rPr>
          <w:bCs/>
          <w:color w:val="222222"/>
          <w:szCs w:val="24"/>
          <w:shd w:val="clear" w:color="auto" w:fill="FFFFFF"/>
        </w:rPr>
        <w:t>, E.</w:t>
      </w:r>
      <w:r w:rsidR="00681AAB">
        <w:rPr>
          <w:bCs/>
          <w:color w:val="222222"/>
          <w:szCs w:val="24"/>
          <w:shd w:val="clear" w:color="auto" w:fill="FFFFFF"/>
        </w:rPr>
        <w:t xml:space="preserve"> </w:t>
      </w:r>
      <w:r w:rsidRPr="00733550">
        <w:rPr>
          <w:bCs/>
          <w:color w:val="222222"/>
          <w:szCs w:val="24"/>
          <w:shd w:val="clear" w:color="auto" w:fill="FFFFFF"/>
        </w:rPr>
        <w:t>L., Kahn, M.</w:t>
      </w:r>
      <w:r w:rsidR="00681AAB">
        <w:rPr>
          <w:bCs/>
          <w:color w:val="222222"/>
          <w:szCs w:val="24"/>
          <w:shd w:val="clear" w:color="auto" w:fill="FFFFFF"/>
        </w:rPr>
        <w:t xml:space="preserve"> </w:t>
      </w:r>
      <w:r w:rsidRPr="00733550">
        <w:rPr>
          <w:bCs/>
          <w:color w:val="222222"/>
          <w:szCs w:val="24"/>
          <w:shd w:val="clear" w:color="auto" w:fill="FFFFFF"/>
        </w:rPr>
        <w:t>E., and Chu, C. (2001). </w:t>
      </w:r>
      <w:r w:rsidRPr="00733550">
        <w:rPr>
          <w:bCs/>
          <w:iCs/>
          <w:color w:val="222222"/>
          <w:szCs w:val="24"/>
          <w:shd w:val="clear" w:color="auto" w:fill="FFFFFF"/>
        </w:rPr>
        <w:t>Job sprawl: Employment location in US metropolitan areas</w:t>
      </w:r>
      <w:r w:rsidRPr="00733550">
        <w:rPr>
          <w:bCs/>
          <w:color w:val="222222"/>
          <w:szCs w:val="24"/>
          <w:shd w:val="clear" w:color="auto" w:fill="FFFFFF"/>
        </w:rPr>
        <w:t>. Washington, DC: Brookings Institution, Center on Urban and Metropolitan Policy.</w:t>
      </w:r>
    </w:p>
    <w:p w14:paraId="7109D407" w14:textId="2B744780" w:rsidR="00891728" w:rsidRPr="002E200B" w:rsidRDefault="00891728" w:rsidP="002E200B">
      <w:pPr>
        <w:tabs>
          <w:tab w:val="left" w:pos="630"/>
        </w:tabs>
        <w:spacing w:after="0" w:line="240" w:lineRule="auto"/>
        <w:ind w:left="540" w:hanging="540"/>
        <w:rPr>
          <w:bCs/>
          <w:szCs w:val="24"/>
          <w:shd w:val="clear" w:color="auto" w:fill="FFFFFF"/>
        </w:rPr>
      </w:pPr>
      <w:bookmarkStart w:id="45" w:name="_Hlk167363124"/>
      <w:r w:rsidRPr="00891728">
        <w:rPr>
          <w:szCs w:val="24"/>
        </w:rPr>
        <w:t>Greene, W. H. (201</w:t>
      </w:r>
      <w:r>
        <w:rPr>
          <w:szCs w:val="24"/>
        </w:rPr>
        <w:t>6</w:t>
      </w:r>
      <w:r w:rsidRPr="00891728">
        <w:rPr>
          <w:szCs w:val="24"/>
        </w:rPr>
        <w:t xml:space="preserve">). </w:t>
      </w:r>
      <w:proofErr w:type="spellStart"/>
      <w:r w:rsidR="002E200B" w:rsidRPr="002E200B">
        <w:rPr>
          <w:i/>
          <w:iCs/>
          <w:szCs w:val="24"/>
        </w:rPr>
        <w:t>Nlogit</w:t>
      </w:r>
      <w:proofErr w:type="spellEnd"/>
      <w:r w:rsidR="002E200B" w:rsidRPr="002E200B">
        <w:rPr>
          <w:i/>
          <w:iCs/>
          <w:szCs w:val="24"/>
        </w:rPr>
        <w:t xml:space="preserve"> Version 6.0 Reference Guide</w:t>
      </w:r>
      <w:r w:rsidR="002E200B" w:rsidRPr="002E200B">
        <w:rPr>
          <w:szCs w:val="24"/>
        </w:rPr>
        <w:t>. Econometric Software Inc., Plainview, NY</w:t>
      </w:r>
      <w:r w:rsidRPr="002E200B">
        <w:rPr>
          <w:szCs w:val="24"/>
        </w:rPr>
        <w:t>.</w:t>
      </w:r>
      <w:bookmarkEnd w:id="45"/>
    </w:p>
    <w:p w14:paraId="4528C376" w14:textId="7883BD80" w:rsidR="00733550" w:rsidRPr="00733550" w:rsidRDefault="00733550" w:rsidP="00733550">
      <w:pPr>
        <w:tabs>
          <w:tab w:val="left" w:pos="630"/>
        </w:tabs>
        <w:spacing w:after="0" w:line="240" w:lineRule="auto"/>
        <w:ind w:left="540" w:hanging="540"/>
        <w:rPr>
          <w:bCs/>
          <w:color w:val="222222"/>
          <w:szCs w:val="24"/>
          <w:shd w:val="clear" w:color="auto" w:fill="FFFFFF"/>
        </w:rPr>
      </w:pPr>
      <w:proofErr w:type="spellStart"/>
      <w:r w:rsidRPr="00733550">
        <w:rPr>
          <w:bCs/>
          <w:color w:val="222222"/>
          <w:szCs w:val="24"/>
          <w:shd w:val="clear" w:color="auto" w:fill="FFFFFF"/>
        </w:rPr>
        <w:t>Gubins</w:t>
      </w:r>
      <w:proofErr w:type="spellEnd"/>
      <w:r w:rsidRPr="00733550">
        <w:rPr>
          <w:bCs/>
          <w:color w:val="222222"/>
          <w:szCs w:val="24"/>
          <w:shd w:val="clear" w:color="auto" w:fill="FFFFFF"/>
        </w:rPr>
        <w:t>, S., van Ommeren, J., and de Graaff, T. (2019). Does new information technology change commuting behavior?. </w:t>
      </w:r>
      <w:r w:rsidRPr="00733550">
        <w:rPr>
          <w:bCs/>
          <w:i/>
          <w:iCs/>
          <w:color w:val="222222"/>
          <w:szCs w:val="24"/>
          <w:shd w:val="clear" w:color="auto" w:fill="FFFFFF"/>
        </w:rPr>
        <w:t>The Annals of Regional Science</w:t>
      </w:r>
      <w:r w:rsidRPr="00733550">
        <w:rPr>
          <w:bCs/>
          <w:color w:val="222222"/>
          <w:szCs w:val="24"/>
          <w:shd w:val="clear" w:color="auto" w:fill="FFFFFF"/>
        </w:rPr>
        <w:t>, </w:t>
      </w:r>
      <w:r w:rsidRPr="00733550">
        <w:rPr>
          <w:bCs/>
          <w:i/>
          <w:iCs/>
          <w:color w:val="222222"/>
          <w:szCs w:val="24"/>
          <w:shd w:val="clear" w:color="auto" w:fill="FFFFFF"/>
        </w:rPr>
        <w:t>62</w:t>
      </w:r>
      <w:r w:rsidRPr="00733550">
        <w:rPr>
          <w:bCs/>
          <w:color w:val="222222"/>
          <w:szCs w:val="24"/>
          <w:shd w:val="clear" w:color="auto" w:fill="FFFFFF"/>
        </w:rPr>
        <w:t>(1), 187-210.</w:t>
      </w:r>
    </w:p>
    <w:p w14:paraId="47DF62A1" w14:textId="16781D86" w:rsidR="00733550" w:rsidRPr="00733550" w:rsidRDefault="00733550" w:rsidP="00733550">
      <w:pPr>
        <w:tabs>
          <w:tab w:val="left" w:pos="630"/>
        </w:tabs>
        <w:spacing w:after="0" w:line="240" w:lineRule="auto"/>
        <w:ind w:left="540" w:hanging="540"/>
        <w:rPr>
          <w:bCs/>
          <w:color w:val="222222"/>
          <w:szCs w:val="24"/>
          <w:shd w:val="clear" w:color="auto" w:fill="FFFFFF"/>
        </w:rPr>
      </w:pPr>
      <w:r w:rsidRPr="00733550">
        <w:rPr>
          <w:bCs/>
          <w:color w:val="222222"/>
          <w:szCs w:val="24"/>
          <w:shd w:val="clear" w:color="auto" w:fill="FFFFFF"/>
        </w:rPr>
        <w:t>Haider, M., and Anwar, A.</w:t>
      </w:r>
      <w:r w:rsidR="00681AAB">
        <w:rPr>
          <w:bCs/>
          <w:color w:val="222222"/>
          <w:szCs w:val="24"/>
          <w:shd w:val="clear" w:color="auto" w:fill="FFFFFF"/>
        </w:rPr>
        <w:t xml:space="preserve"> </w:t>
      </w:r>
      <w:r w:rsidRPr="00733550">
        <w:rPr>
          <w:bCs/>
          <w:color w:val="222222"/>
          <w:szCs w:val="24"/>
          <w:shd w:val="clear" w:color="auto" w:fill="FFFFFF"/>
        </w:rPr>
        <w:t>I. (2023). The prevalence of telework under Covid-19 in Canada. </w:t>
      </w:r>
      <w:r w:rsidRPr="00733550">
        <w:rPr>
          <w:bCs/>
          <w:i/>
          <w:iCs/>
          <w:color w:val="222222"/>
          <w:szCs w:val="24"/>
          <w:shd w:val="clear" w:color="auto" w:fill="FFFFFF"/>
        </w:rPr>
        <w:t>Information Technology and People</w:t>
      </w:r>
      <w:r w:rsidRPr="00733550">
        <w:rPr>
          <w:bCs/>
          <w:color w:val="222222"/>
          <w:szCs w:val="24"/>
          <w:shd w:val="clear" w:color="auto" w:fill="FFFFFF"/>
        </w:rPr>
        <w:t>, </w:t>
      </w:r>
      <w:r w:rsidRPr="00733550">
        <w:rPr>
          <w:bCs/>
          <w:i/>
          <w:iCs/>
          <w:color w:val="222222"/>
          <w:szCs w:val="24"/>
          <w:shd w:val="clear" w:color="auto" w:fill="FFFFFF"/>
        </w:rPr>
        <w:t>36</w:t>
      </w:r>
      <w:r w:rsidRPr="00733550">
        <w:rPr>
          <w:bCs/>
          <w:color w:val="222222"/>
          <w:szCs w:val="24"/>
          <w:shd w:val="clear" w:color="auto" w:fill="FFFFFF"/>
        </w:rPr>
        <w:t>(1), 196-223.</w:t>
      </w:r>
    </w:p>
    <w:p w14:paraId="5FD78F61" w14:textId="77777777" w:rsidR="00733550" w:rsidRPr="00733550" w:rsidRDefault="00733550" w:rsidP="00733550">
      <w:pPr>
        <w:tabs>
          <w:tab w:val="left" w:pos="630"/>
        </w:tabs>
        <w:spacing w:after="0" w:line="240" w:lineRule="auto"/>
        <w:ind w:left="540" w:hanging="540"/>
        <w:rPr>
          <w:bCs/>
          <w:color w:val="222222"/>
          <w:szCs w:val="24"/>
          <w:shd w:val="clear" w:color="auto" w:fill="FFFFFF"/>
        </w:rPr>
      </w:pPr>
      <w:proofErr w:type="spellStart"/>
      <w:r w:rsidRPr="00733550">
        <w:rPr>
          <w:bCs/>
          <w:color w:val="222222"/>
          <w:szCs w:val="24"/>
          <w:shd w:val="clear" w:color="auto" w:fill="FFFFFF"/>
        </w:rPr>
        <w:t>Hannonen</w:t>
      </w:r>
      <w:proofErr w:type="spellEnd"/>
      <w:r w:rsidRPr="00733550">
        <w:rPr>
          <w:bCs/>
          <w:color w:val="222222"/>
          <w:szCs w:val="24"/>
          <w:shd w:val="clear" w:color="auto" w:fill="FFFFFF"/>
        </w:rPr>
        <w:t>, O. (2020). In search of a digital nomad: defining the phenomenon. </w:t>
      </w:r>
      <w:r w:rsidRPr="00733550">
        <w:rPr>
          <w:bCs/>
          <w:i/>
          <w:iCs/>
          <w:color w:val="222222"/>
          <w:szCs w:val="24"/>
          <w:shd w:val="clear" w:color="auto" w:fill="FFFFFF"/>
        </w:rPr>
        <w:t>Information Technology and Tourism</w:t>
      </w:r>
      <w:r w:rsidRPr="00733550">
        <w:rPr>
          <w:bCs/>
          <w:color w:val="222222"/>
          <w:szCs w:val="24"/>
          <w:shd w:val="clear" w:color="auto" w:fill="FFFFFF"/>
        </w:rPr>
        <w:t>, </w:t>
      </w:r>
      <w:r w:rsidRPr="00733550">
        <w:rPr>
          <w:bCs/>
          <w:i/>
          <w:iCs/>
          <w:color w:val="222222"/>
          <w:szCs w:val="24"/>
          <w:shd w:val="clear" w:color="auto" w:fill="FFFFFF"/>
        </w:rPr>
        <w:t>22</w:t>
      </w:r>
      <w:r w:rsidRPr="00733550">
        <w:rPr>
          <w:bCs/>
          <w:color w:val="222222"/>
          <w:szCs w:val="24"/>
          <w:shd w:val="clear" w:color="auto" w:fill="FFFFFF"/>
        </w:rPr>
        <w:t>(3), 335-353.</w:t>
      </w:r>
    </w:p>
    <w:p w14:paraId="6BA474B8" w14:textId="7A73DC7F" w:rsidR="00733550" w:rsidRPr="00733550" w:rsidRDefault="00733550" w:rsidP="00681AAB">
      <w:pPr>
        <w:tabs>
          <w:tab w:val="left" w:pos="630"/>
        </w:tabs>
        <w:spacing w:after="0" w:line="240" w:lineRule="auto"/>
        <w:ind w:left="540" w:hanging="540"/>
        <w:rPr>
          <w:szCs w:val="24"/>
        </w:rPr>
      </w:pPr>
      <w:r w:rsidRPr="00733550">
        <w:rPr>
          <w:szCs w:val="24"/>
        </w:rPr>
        <w:t>Hastie, R. (20</w:t>
      </w:r>
      <w:r w:rsidR="00637483">
        <w:rPr>
          <w:szCs w:val="24"/>
        </w:rPr>
        <w:t>1</w:t>
      </w:r>
      <w:r w:rsidRPr="00733550">
        <w:rPr>
          <w:szCs w:val="24"/>
        </w:rPr>
        <w:t xml:space="preserve">5). Causal </w:t>
      </w:r>
      <w:r w:rsidR="00220225">
        <w:rPr>
          <w:szCs w:val="24"/>
        </w:rPr>
        <w:t>t</w:t>
      </w:r>
      <w:r w:rsidRPr="00733550">
        <w:rPr>
          <w:szCs w:val="24"/>
        </w:rPr>
        <w:t xml:space="preserve">hinking in </w:t>
      </w:r>
      <w:r w:rsidR="00220225">
        <w:rPr>
          <w:szCs w:val="24"/>
        </w:rPr>
        <w:t>j</w:t>
      </w:r>
      <w:r w:rsidRPr="00733550">
        <w:rPr>
          <w:szCs w:val="24"/>
        </w:rPr>
        <w:t xml:space="preserve">udgments. In: Keren G, Wu G, eds. </w:t>
      </w:r>
      <w:r w:rsidRPr="00733550">
        <w:rPr>
          <w:i/>
          <w:iCs/>
          <w:szCs w:val="24"/>
        </w:rPr>
        <w:t>The Wiley Blackwell Handbook of Judgment and Decision Making</w:t>
      </w:r>
      <w:r w:rsidRPr="00733550">
        <w:rPr>
          <w:szCs w:val="24"/>
        </w:rPr>
        <w:t xml:space="preserve">, </w:t>
      </w:r>
      <w:r w:rsidR="00A273D3">
        <w:rPr>
          <w:szCs w:val="24"/>
        </w:rPr>
        <w:t>21</w:t>
      </w:r>
      <w:r w:rsidRPr="00733550">
        <w:rPr>
          <w:szCs w:val="24"/>
        </w:rPr>
        <w:t>, 590-628. John Wiley &amp; Sons, Ltd.</w:t>
      </w:r>
      <w:r w:rsidR="00220225">
        <w:rPr>
          <w:szCs w:val="24"/>
        </w:rPr>
        <w:t xml:space="preserve">, </w:t>
      </w:r>
      <w:r w:rsidR="00220225" w:rsidRPr="00733550">
        <w:rPr>
          <w:szCs w:val="24"/>
        </w:rPr>
        <w:t>Chichester, UK</w:t>
      </w:r>
      <w:r w:rsidR="00220225">
        <w:rPr>
          <w:szCs w:val="24"/>
        </w:rPr>
        <w:t>.</w:t>
      </w:r>
    </w:p>
    <w:p w14:paraId="1F1EBA0C" w14:textId="77777777" w:rsidR="00733550" w:rsidRPr="00733550" w:rsidRDefault="00733550" w:rsidP="00733550">
      <w:pPr>
        <w:tabs>
          <w:tab w:val="left" w:pos="630"/>
        </w:tabs>
        <w:spacing w:after="0" w:line="240" w:lineRule="auto"/>
        <w:ind w:left="540" w:hanging="540"/>
        <w:rPr>
          <w:bCs/>
          <w:color w:val="222222"/>
          <w:szCs w:val="24"/>
          <w:shd w:val="clear" w:color="auto" w:fill="FFFFFF"/>
        </w:rPr>
      </w:pPr>
      <w:r w:rsidRPr="00733550">
        <w:rPr>
          <w:bCs/>
          <w:color w:val="222222"/>
          <w:szCs w:val="24"/>
          <w:shd w:val="clear" w:color="auto" w:fill="FFFFFF"/>
        </w:rPr>
        <w:t xml:space="preserve">Helminen, V., and </w:t>
      </w:r>
      <w:proofErr w:type="spellStart"/>
      <w:r w:rsidRPr="00733550">
        <w:rPr>
          <w:bCs/>
          <w:color w:val="222222"/>
          <w:szCs w:val="24"/>
          <w:shd w:val="clear" w:color="auto" w:fill="FFFFFF"/>
        </w:rPr>
        <w:t>Ristimäki</w:t>
      </w:r>
      <w:proofErr w:type="spellEnd"/>
      <w:r w:rsidRPr="00733550">
        <w:rPr>
          <w:bCs/>
          <w:color w:val="222222"/>
          <w:szCs w:val="24"/>
          <w:shd w:val="clear" w:color="auto" w:fill="FFFFFF"/>
        </w:rPr>
        <w:t>, M. (2007). Relationships between commuting distance, frequency and telework in Finland. </w:t>
      </w:r>
      <w:r w:rsidRPr="00733550">
        <w:rPr>
          <w:bCs/>
          <w:i/>
          <w:iCs/>
          <w:color w:val="222222"/>
          <w:szCs w:val="24"/>
          <w:shd w:val="clear" w:color="auto" w:fill="FFFFFF"/>
        </w:rPr>
        <w:t>Journal of Transport Geography</w:t>
      </w:r>
      <w:r w:rsidRPr="00733550">
        <w:rPr>
          <w:bCs/>
          <w:color w:val="222222"/>
          <w:szCs w:val="24"/>
          <w:shd w:val="clear" w:color="auto" w:fill="FFFFFF"/>
        </w:rPr>
        <w:t>, </w:t>
      </w:r>
      <w:r w:rsidRPr="00733550">
        <w:rPr>
          <w:bCs/>
          <w:i/>
          <w:iCs/>
          <w:color w:val="222222"/>
          <w:szCs w:val="24"/>
          <w:shd w:val="clear" w:color="auto" w:fill="FFFFFF"/>
        </w:rPr>
        <w:t>15</w:t>
      </w:r>
      <w:r w:rsidRPr="00733550">
        <w:rPr>
          <w:bCs/>
          <w:color w:val="222222"/>
          <w:szCs w:val="24"/>
          <w:shd w:val="clear" w:color="auto" w:fill="FFFFFF"/>
        </w:rPr>
        <w:t>(5), 331-342.</w:t>
      </w:r>
    </w:p>
    <w:p w14:paraId="78D413EE" w14:textId="77777777" w:rsidR="00733550" w:rsidRPr="00733550" w:rsidRDefault="00733550" w:rsidP="00733550">
      <w:pPr>
        <w:tabs>
          <w:tab w:val="left" w:pos="630"/>
        </w:tabs>
        <w:spacing w:after="0" w:line="240" w:lineRule="auto"/>
        <w:ind w:left="540" w:hanging="540"/>
        <w:rPr>
          <w:bCs/>
          <w:color w:val="222222"/>
          <w:szCs w:val="24"/>
          <w:shd w:val="clear" w:color="auto" w:fill="FFFFFF"/>
        </w:rPr>
      </w:pPr>
      <w:r w:rsidRPr="00733550">
        <w:rPr>
          <w:bCs/>
          <w:color w:val="222222"/>
          <w:szCs w:val="24"/>
          <w:shd w:val="clear" w:color="auto" w:fill="FFFFFF"/>
        </w:rPr>
        <w:lastRenderedPageBreak/>
        <w:t xml:space="preserve">Higgins, V. (2017). Augmented and Virtual Reality: The future of work, not just play. </w:t>
      </w:r>
      <w:r w:rsidRPr="00733550">
        <w:rPr>
          <w:bCs/>
          <w:i/>
          <w:iCs/>
          <w:color w:val="222222"/>
          <w:szCs w:val="24"/>
          <w:shd w:val="clear" w:color="auto" w:fill="FFFFFF"/>
        </w:rPr>
        <w:t>Professional Safety, 62</w:t>
      </w:r>
      <w:r w:rsidRPr="00733550">
        <w:rPr>
          <w:bCs/>
          <w:color w:val="222222"/>
          <w:szCs w:val="24"/>
          <w:shd w:val="clear" w:color="auto" w:fill="FFFFFF"/>
        </w:rPr>
        <w:t xml:space="preserve">(6), 86. </w:t>
      </w:r>
    </w:p>
    <w:p w14:paraId="7B0D8CCA" w14:textId="773801DE" w:rsidR="00733550" w:rsidRPr="00733550" w:rsidRDefault="00733550" w:rsidP="00733550">
      <w:pPr>
        <w:tabs>
          <w:tab w:val="left" w:pos="630"/>
        </w:tabs>
        <w:spacing w:after="0" w:line="240" w:lineRule="auto"/>
        <w:ind w:left="540" w:hanging="540"/>
        <w:rPr>
          <w:bCs/>
          <w:color w:val="222222"/>
          <w:szCs w:val="24"/>
          <w:shd w:val="clear" w:color="auto" w:fill="FFFFFF"/>
        </w:rPr>
      </w:pPr>
      <w:bookmarkStart w:id="46" w:name="_Hlk126061343"/>
      <w:r w:rsidRPr="00733550">
        <w:rPr>
          <w:bCs/>
          <w:color w:val="222222"/>
          <w:szCs w:val="24"/>
          <w:shd w:val="clear" w:color="auto" w:fill="FFFFFF"/>
        </w:rPr>
        <w:t xml:space="preserve">Hook, A., </w:t>
      </w:r>
      <w:proofErr w:type="spellStart"/>
      <w:r w:rsidRPr="00733550">
        <w:rPr>
          <w:bCs/>
          <w:color w:val="222222"/>
          <w:szCs w:val="24"/>
          <w:shd w:val="clear" w:color="auto" w:fill="FFFFFF"/>
        </w:rPr>
        <w:t>Sovacool</w:t>
      </w:r>
      <w:proofErr w:type="spellEnd"/>
      <w:r w:rsidRPr="00733550">
        <w:rPr>
          <w:bCs/>
          <w:color w:val="222222"/>
          <w:szCs w:val="24"/>
          <w:shd w:val="clear" w:color="auto" w:fill="FFFFFF"/>
        </w:rPr>
        <w:t>, B.</w:t>
      </w:r>
      <w:r w:rsidR="00681AAB">
        <w:rPr>
          <w:bCs/>
          <w:color w:val="222222"/>
          <w:szCs w:val="24"/>
          <w:shd w:val="clear" w:color="auto" w:fill="FFFFFF"/>
        </w:rPr>
        <w:t xml:space="preserve"> </w:t>
      </w:r>
      <w:r w:rsidRPr="00733550">
        <w:rPr>
          <w:bCs/>
          <w:color w:val="222222"/>
          <w:szCs w:val="24"/>
          <w:shd w:val="clear" w:color="auto" w:fill="FFFFFF"/>
        </w:rPr>
        <w:t>K., and Sorrell, S. (2020). A systematic review of the energy and climate impacts of teleworking. </w:t>
      </w:r>
      <w:r w:rsidRPr="00733550">
        <w:rPr>
          <w:bCs/>
          <w:i/>
          <w:iCs/>
          <w:color w:val="222222"/>
          <w:szCs w:val="24"/>
          <w:shd w:val="clear" w:color="auto" w:fill="FFFFFF"/>
        </w:rPr>
        <w:t>Environmental Research Letters</w:t>
      </w:r>
      <w:r w:rsidRPr="00733550">
        <w:rPr>
          <w:bCs/>
          <w:color w:val="222222"/>
          <w:szCs w:val="24"/>
          <w:shd w:val="clear" w:color="auto" w:fill="FFFFFF"/>
        </w:rPr>
        <w:t>, </w:t>
      </w:r>
      <w:r w:rsidRPr="00733550">
        <w:rPr>
          <w:bCs/>
          <w:i/>
          <w:iCs/>
          <w:color w:val="222222"/>
          <w:szCs w:val="24"/>
          <w:shd w:val="clear" w:color="auto" w:fill="FFFFFF"/>
        </w:rPr>
        <w:t>15</w:t>
      </w:r>
      <w:r w:rsidRPr="00733550">
        <w:rPr>
          <w:bCs/>
          <w:color w:val="222222"/>
          <w:szCs w:val="24"/>
          <w:shd w:val="clear" w:color="auto" w:fill="FFFFFF"/>
        </w:rPr>
        <w:t>(9), 093003.</w:t>
      </w:r>
    </w:p>
    <w:p w14:paraId="51DF20FC" w14:textId="77777777" w:rsidR="00733550" w:rsidRPr="00733550" w:rsidRDefault="00733550" w:rsidP="00733550">
      <w:pPr>
        <w:tabs>
          <w:tab w:val="left" w:pos="630"/>
        </w:tabs>
        <w:spacing w:after="0" w:line="240" w:lineRule="auto"/>
        <w:ind w:left="540" w:hanging="540"/>
        <w:rPr>
          <w:bCs/>
          <w:color w:val="222222"/>
          <w:szCs w:val="24"/>
          <w:shd w:val="clear" w:color="auto" w:fill="FFFFFF"/>
        </w:rPr>
      </w:pPr>
      <w:bookmarkStart w:id="47" w:name="_Hlk126750519"/>
      <w:bookmarkEnd w:id="46"/>
      <w:r w:rsidRPr="00733550">
        <w:rPr>
          <w:bCs/>
          <w:color w:val="222222"/>
          <w:szCs w:val="24"/>
          <w:shd w:val="clear" w:color="auto" w:fill="FFFFFF"/>
        </w:rPr>
        <w:t>Hostettler</w:t>
      </w:r>
      <w:bookmarkEnd w:id="47"/>
      <w:r w:rsidRPr="00733550">
        <w:rPr>
          <w:bCs/>
          <w:color w:val="222222"/>
          <w:szCs w:val="24"/>
          <w:shd w:val="clear" w:color="auto" w:fill="FFFFFF"/>
        </w:rPr>
        <w:t xml:space="preserve"> Macias, L., </w:t>
      </w:r>
      <w:proofErr w:type="spellStart"/>
      <w:r w:rsidRPr="00733550">
        <w:rPr>
          <w:bCs/>
          <w:color w:val="222222"/>
          <w:szCs w:val="24"/>
          <w:shd w:val="clear" w:color="auto" w:fill="FFFFFF"/>
        </w:rPr>
        <w:t>Ravalet</w:t>
      </w:r>
      <w:proofErr w:type="spellEnd"/>
      <w:r w:rsidRPr="00733550">
        <w:rPr>
          <w:bCs/>
          <w:color w:val="222222"/>
          <w:szCs w:val="24"/>
          <w:shd w:val="clear" w:color="auto" w:fill="FFFFFF"/>
        </w:rPr>
        <w:t xml:space="preserve">, E., and </w:t>
      </w:r>
      <w:proofErr w:type="spellStart"/>
      <w:r w:rsidRPr="00733550">
        <w:rPr>
          <w:bCs/>
          <w:color w:val="222222"/>
          <w:szCs w:val="24"/>
          <w:shd w:val="clear" w:color="auto" w:fill="FFFFFF"/>
        </w:rPr>
        <w:t>Rérat</w:t>
      </w:r>
      <w:proofErr w:type="spellEnd"/>
      <w:r w:rsidRPr="00733550">
        <w:rPr>
          <w:bCs/>
          <w:color w:val="222222"/>
          <w:szCs w:val="24"/>
          <w:shd w:val="clear" w:color="auto" w:fill="FFFFFF"/>
        </w:rPr>
        <w:t>, P. (2022). Potential rebound effects of teleworking on residential and daily mobility. </w:t>
      </w:r>
      <w:r w:rsidRPr="00733550">
        <w:rPr>
          <w:bCs/>
          <w:i/>
          <w:iCs/>
          <w:color w:val="222222"/>
          <w:szCs w:val="24"/>
          <w:shd w:val="clear" w:color="auto" w:fill="FFFFFF"/>
        </w:rPr>
        <w:t>Geography Compass</w:t>
      </w:r>
      <w:r w:rsidRPr="00733550">
        <w:rPr>
          <w:bCs/>
          <w:color w:val="222222"/>
          <w:szCs w:val="24"/>
          <w:shd w:val="clear" w:color="auto" w:fill="FFFFFF"/>
        </w:rPr>
        <w:t>, </w:t>
      </w:r>
      <w:r w:rsidRPr="00733550">
        <w:rPr>
          <w:bCs/>
          <w:i/>
          <w:iCs/>
          <w:color w:val="222222"/>
          <w:szCs w:val="24"/>
          <w:shd w:val="clear" w:color="auto" w:fill="FFFFFF"/>
        </w:rPr>
        <w:t>16</w:t>
      </w:r>
      <w:r w:rsidRPr="00733550">
        <w:rPr>
          <w:bCs/>
          <w:color w:val="222222"/>
          <w:szCs w:val="24"/>
          <w:shd w:val="clear" w:color="auto" w:fill="FFFFFF"/>
        </w:rPr>
        <w:t>(9), e12657</w:t>
      </w:r>
      <w:r w:rsidRPr="00733550">
        <w:rPr>
          <w:bCs/>
          <w:color w:val="000000" w:themeColor="text1"/>
          <w:szCs w:val="24"/>
        </w:rPr>
        <w:t>.</w:t>
      </w:r>
    </w:p>
    <w:p w14:paraId="78014A45" w14:textId="27CDE952" w:rsidR="00733550" w:rsidRPr="00733550" w:rsidRDefault="00733550" w:rsidP="00733550">
      <w:pPr>
        <w:tabs>
          <w:tab w:val="left" w:pos="630"/>
        </w:tabs>
        <w:spacing w:after="0" w:line="240" w:lineRule="auto"/>
        <w:ind w:left="540" w:hanging="540"/>
        <w:rPr>
          <w:bCs/>
          <w:szCs w:val="24"/>
        </w:rPr>
      </w:pPr>
      <w:bookmarkStart w:id="48" w:name="_Toc117243672"/>
      <w:r w:rsidRPr="00733550">
        <w:rPr>
          <w:bCs/>
          <w:szCs w:val="24"/>
        </w:rPr>
        <w:t xml:space="preserve">Hu, L. (2021). Gender differences in commuting travel in the US: </w:t>
      </w:r>
      <w:r w:rsidR="00C07C76">
        <w:rPr>
          <w:bCs/>
          <w:szCs w:val="24"/>
        </w:rPr>
        <w:t>I</w:t>
      </w:r>
      <w:r w:rsidRPr="00733550">
        <w:rPr>
          <w:bCs/>
          <w:szCs w:val="24"/>
        </w:rPr>
        <w:t>nteractive effects of race/ethnicity and household structure. </w:t>
      </w:r>
      <w:r w:rsidRPr="00733550">
        <w:rPr>
          <w:bCs/>
          <w:i/>
          <w:iCs/>
          <w:szCs w:val="24"/>
        </w:rPr>
        <w:t>Transportation</w:t>
      </w:r>
      <w:r w:rsidRPr="00733550">
        <w:rPr>
          <w:bCs/>
          <w:szCs w:val="24"/>
        </w:rPr>
        <w:t>, </w:t>
      </w:r>
      <w:r w:rsidRPr="00733550">
        <w:rPr>
          <w:bCs/>
          <w:i/>
          <w:iCs/>
          <w:szCs w:val="24"/>
        </w:rPr>
        <w:t>48</w:t>
      </w:r>
      <w:r w:rsidRPr="00733550">
        <w:rPr>
          <w:bCs/>
          <w:szCs w:val="24"/>
        </w:rPr>
        <w:t>(2), 909-929.</w:t>
      </w:r>
      <w:bookmarkEnd w:id="48"/>
    </w:p>
    <w:p w14:paraId="648B3A64" w14:textId="77777777" w:rsidR="00733550" w:rsidRPr="00733550" w:rsidRDefault="00733550" w:rsidP="00733550">
      <w:pPr>
        <w:tabs>
          <w:tab w:val="left" w:pos="630"/>
        </w:tabs>
        <w:spacing w:after="0" w:line="240" w:lineRule="auto"/>
        <w:ind w:left="540" w:hanging="540"/>
        <w:rPr>
          <w:bCs/>
          <w:color w:val="222222"/>
          <w:szCs w:val="24"/>
          <w:shd w:val="clear" w:color="auto" w:fill="FFFFFF"/>
        </w:rPr>
      </w:pPr>
      <w:proofErr w:type="spellStart"/>
      <w:r w:rsidRPr="00733550">
        <w:rPr>
          <w:bCs/>
          <w:color w:val="222222"/>
          <w:szCs w:val="24"/>
          <w:shd w:val="clear" w:color="auto" w:fill="FFFFFF"/>
        </w:rPr>
        <w:t>Isono</w:t>
      </w:r>
      <w:proofErr w:type="spellEnd"/>
      <w:r w:rsidRPr="00733550">
        <w:rPr>
          <w:bCs/>
          <w:color w:val="222222"/>
          <w:szCs w:val="24"/>
          <w:shd w:val="clear" w:color="auto" w:fill="FFFFFF"/>
        </w:rPr>
        <w:t>, I., and Nara, K. (2022). </w:t>
      </w:r>
      <w:r w:rsidRPr="00733550">
        <w:rPr>
          <w:bCs/>
          <w:i/>
          <w:iCs/>
          <w:color w:val="222222"/>
          <w:szCs w:val="24"/>
          <w:shd w:val="clear" w:color="auto" w:fill="FFFFFF"/>
        </w:rPr>
        <w:t>COVID-19, Telework Patterns Within a City, and Changes in Urban Structure: Preliminary Findings</w:t>
      </w:r>
      <w:r w:rsidRPr="00733550">
        <w:rPr>
          <w:bCs/>
          <w:color w:val="222222"/>
          <w:szCs w:val="24"/>
          <w:shd w:val="clear" w:color="auto" w:fill="FFFFFF"/>
        </w:rPr>
        <w:t>. Economic Research Institute for ASEAN and East Asia.</w:t>
      </w:r>
    </w:p>
    <w:p w14:paraId="4C4BFBF3" w14:textId="705F261F" w:rsidR="00733550" w:rsidRPr="00733550" w:rsidRDefault="00733550" w:rsidP="00733550">
      <w:pPr>
        <w:tabs>
          <w:tab w:val="left" w:pos="630"/>
        </w:tabs>
        <w:spacing w:after="0" w:line="240" w:lineRule="auto"/>
        <w:ind w:left="540" w:hanging="540"/>
        <w:rPr>
          <w:bCs/>
          <w:szCs w:val="24"/>
          <w:shd w:val="clear" w:color="auto" w:fill="FFFFFF"/>
        </w:rPr>
      </w:pPr>
      <w:bookmarkStart w:id="49" w:name="_Toc99017855"/>
      <w:proofErr w:type="spellStart"/>
      <w:r w:rsidRPr="00733550">
        <w:rPr>
          <w:bCs/>
          <w:szCs w:val="24"/>
          <w:shd w:val="clear" w:color="auto" w:fill="FFFFFF"/>
        </w:rPr>
        <w:t>Jaff</w:t>
      </w:r>
      <w:proofErr w:type="spellEnd"/>
      <w:r w:rsidRPr="00733550">
        <w:rPr>
          <w:bCs/>
          <w:szCs w:val="24"/>
          <w:shd w:val="clear" w:color="auto" w:fill="FFFFFF"/>
        </w:rPr>
        <w:t>, M.</w:t>
      </w:r>
      <w:r w:rsidR="00681AAB">
        <w:rPr>
          <w:bCs/>
          <w:szCs w:val="24"/>
          <w:shd w:val="clear" w:color="auto" w:fill="FFFFFF"/>
        </w:rPr>
        <w:t xml:space="preserve"> </w:t>
      </w:r>
      <w:r w:rsidRPr="00733550">
        <w:rPr>
          <w:bCs/>
          <w:szCs w:val="24"/>
          <w:shd w:val="clear" w:color="auto" w:fill="FFFFFF"/>
        </w:rPr>
        <w:t xml:space="preserve">M., and </w:t>
      </w:r>
      <w:proofErr w:type="spellStart"/>
      <w:r w:rsidRPr="00733550">
        <w:rPr>
          <w:bCs/>
          <w:szCs w:val="24"/>
          <w:shd w:val="clear" w:color="auto" w:fill="FFFFFF"/>
        </w:rPr>
        <w:t>Hamsa</w:t>
      </w:r>
      <w:proofErr w:type="spellEnd"/>
      <w:r w:rsidRPr="00733550">
        <w:rPr>
          <w:bCs/>
          <w:szCs w:val="24"/>
          <w:shd w:val="clear" w:color="auto" w:fill="FFFFFF"/>
        </w:rPr>
        <w:t>, A.</w:t>
      </w:r>
      <w:r w:rsidR="00681AAB">
        <w:rPr>
          <w:bCs/>
          <w:szCs w:val="24"/>
          <w:shd w:val="clear" w:color="auto" w:fill="FFFFFF"/>
        </w:rPr>
        <w:t xml:space="preserve"> </w:t>
      </w:r>
      <w:r w:rsidRPr="00733550">
        <w:rPr>
          <w:bCs/>
          <w:szCs w:val="24"/>
          <w:shd w:val="clear" w:color="auto" w:fill="FFFFFF"/>
        </w:rPr>
        <w:t>A.</w:t>
      </w:r>
      <w:r w:rsidR="00681AAB">
        <w:rPr>
          <w:bCs/>
          <w:szCs w:val="24"/>
          <w:shd w:val="clear" w:color="auto" w:fill="FFFFFF"/>
        </w:rPr>
        <w:t xml:space="preserve"> </w:t>
      </w:r>
      <w:r w:rsidRPr="00733550">
        <w:rPr>
          <w:bCs/>
          <w:szCs w:val="24"/>
          <w:shd w:val="clear" w:color="auto" w:fill="FFFFFF"/>
        </w:rPr>
        <w:t>K. (2021). Exploratory factor analysis on advantages and disadvantages of potential female telecommuters in Kuala Lumpur. </w:t>
      </w:r>
      <w:r w:rsidRPr="00733550">
        <w:rPr>
          <w:bCs/>
          <w:i/>
          <w:iCs/>
          <w:szCs w:val="24"/>
          <w:shd w:val="clear" w:color="auto" w:fill="FFFFFF"/>
        </w:rPr>
        <w:t>Asian Transport Studies</w:t>
      </w:r>
      <w:r w:rsidRPr="00733550">
        <w:rPr>
          <w:bCs/>
          <w:szCs w:val="24"/>
          <w:shd w:val="clear" w:color="auto" w:fill="FFFFFF"/>
        </w:rPr>
        <w:t>, </w:t>
      </w:r>
      <w:r w:rsidRPr="00733550">
        <w:rPr>
          <w:bCs/>
          <w:i/>
          <w:iCs/>
          <w:szCs w:val="24"/>
          <w:shd w:val="clear" w:color="auto" w:fill="FFFFFF"/>
        </w:rPr>
        <w:t>7</w:t>
      </w:r>
      <w:r w:rsidRPr="00733550">
        <w:rPr>
          <w:bCs/>
          <w:szCs w:val="24"/>
          <w:shd w:val="clear" w:color="auto" w:fill="FFFFFF"/>
        </w:rPr>
        <w:t>, 100034.</w:t>
      </w:r>
      <w:bookmarkEnd w:id="49"/>
    </w:p>
    <w:p w14:paraId="1A0D6927" w14:textId="77777777" w:rsidR="00733550" w:rsidRPr="00733550" w:rsidRDefault="00733550" w:rsidP="00733550">
      <w:pPr>
        <w:tabs>
          <w:tab w:val="left" w:pos="630"/>
        </w:tabs>
        <w:spacing w:after="0" w:line="240" w:lineRule="auto"/>
        <w:ind w:left="540" w:hanging="540"/>
        <w:rPr>
          <w:bCs/>
          <w:color w:val="222222"/>
          <w:szCs w:val="24"/>
          <w:shd w:val="clear" w:color="auto" w:fill="FFFFFF"/>
        </w:rPr>
      </w:pPr>
      <w:proofErr w:type="spellStart"/>
      <w:r w:rsidRPr="00733550">
        <w:rPr>
          <w:bCs/>
          <w:color w:val="222222"/>
          <w:szCs w:val="24"/>
          <w:shd w:val="clear" w:color="auto" w:fill="FFFFFF"/>
        </w:rPr>
        <w:t>Kersting</w:t>
      </w:r>
      <w:proofErr w:type="spellEnd"/>
      <w:r w:rsidRPr="00733550">
        <w:rPr>
          <w:bCs/>
          <w:color w:val="222222"/>
          <w:szCs w:val="24"/>
          <w:shd w:val="clear" w:color="auto" w:fill="FFFFFF"/>
        </w:rPr>
        <w:t xml:space="preserve">, M., </w:t>
      </w:r>
      <w:proofErr w:type="spellStart"/>
      <w:r w:rsidRPr="00733550">
        <w:rPr>
          <w:bCs/>
          <w:color w:val="222222"/>
          <w:szCs w:val="24"/>
          <w:shd w:val="clear" w:color="auto" w:fill="FFFFFF"/>
        </w:rPr>
        <w:t>Matthies</w:t>
      </w:r>
      <w:proofErr w:type="spellEnd"/>
      <w:r w:rsidRPr="00733550">
        <w:rPr>
          <w:bCs/>
          <w:color w:val="222222"/>
          <w:szCs w:val="24"/>
          <w:shd w:val="clear" w:color="auto" w:fill="FFFFFF"/>
        </w:rPr>
        <w:t xml:space="preserve">, E., </w:t>
      </w:r>
      <w:proofErr w:type="spellStart"/>
      <w:r w:rsidRPr="00733550">
        <w:rPr>
          <w:bCs/>
          <w:color w:val="222222"/>
          <w:szCs w:val="24"/>
          <w:shd w:val="clear" w:color="auto" w:fill="FFFFFF"/>
        </w:rPr>
        <w:t>Lahner</w:t>
      </w:r>
      <w:proofErr w:type="spellEnd"/>
      <w:r w:rsidRPr="00733550">
        <w:rPr>
          <w:bCs/>
          <w:color w:val="222222"/>
          <w:szCs w:val="24"/>
          <w:shd w:val="clear" w:color="auto" w:fill="FFFFFF"/>
        </w:rPr>
        <w:t>, J., and Schlüter, J. (2021). A socioeconomic analysis of commuting professionals. </w:t>
      </w:r>
      <w:r w:rsidRPr="00733550">
        <w:rPr>
          <w:bCs/>
          <w:i/>
          <w:iCs/>
          <w:color w:val="222222"/>
          <w:szCs w:val="24"/>
          <w:shd w:val="clear" w:color="auto" w:fill="FFFFFF"/>
        </w:rPr>
        <w:t>Transportation</w:t>
      </w:r>
      <w:r w:rsidRPr="00733550">
        <w:rPr>
          <w:bCs/>
          <w:color w:val="222222"/>
          <w:szCs w:val="24"/>
          <w:shd w:val="clear" w:color="auto" w:fill="FFFFFF"/>
        </w:rPr>
        <w:t>, </w:t>
      </w:r>
      <w:r w:rsidRPr="00733550">
        <w:rPr>
          <w:bCs/>
          <w:i/>
          <w:iCs/>
          <w:color w:val="222222"/>
          <w:szCs w:val="24"/>
          <w:shd w:val="clear" w:color="auto" w:fill="FFFFFF"/>
        </w:rPr>
        <w:t>48</w:t>
      </w:r>
      <w:r w:rsidRPr="00733550">
        <w:rPr>
          <w:bCs/>
          <w:color w:val="222222"/>
          <w:szCs w:val="24"/>
          <w:shd w:val="clear" w:color="auto" w:fill="FFFFFF"/>
        </w:rPr>
        <w:t>, 2127-2158.</w:t>
      </w:r>
    </w:p>
    <w:p w14:paraId="0F87C8C6" w14:textId="2706C71A" w:rsidR="00733550" w:rsidRPr="00733550" w:rsidRDefault="00733550" w:rsidP="00733550">
      <w:pPr>
        <w:pStyle w:val="ListParagraph"/>
        <w:tabs>
          <w:tab w:val="left" w:pos="630"/>
        </w:tabs>
        <w:spacing w:after="0" w:line="240" w:lineRule="auto"/>
        <w:ind w:left="540" w:hanging="540"/>
        <w:jc w:val="both"/>
        <w:rPr>
          <w:rFonts w:ascii="Times New Roman" w:hAnsi="Times New Roman"/>
          <w:color w:val="222222"/>
          <w:sz w:val="24"/>
          <w:szCs w:val="24"/>
          <w:shd w:val="clear" w:color="auto" w:fill="FFFFFF"/>
        </w:rPr>
      </w:pPr>
      <w:r w:rsidRPr="00733550">
        <w:rPr>
          <w:rFonts w:ascii="Times New Roman" w:hAnsi="Times New Roman"/>
          <w:color w:val="222222"/>
          <w:sz w:val="24"/>
          <w:szCs w:val="24"/>
          <w:shd w:val="clear" w:color="auto" w:fill="FFFFFF"/>
        </w:rPr>
        <w:t xml:space="preserve">Keya, N., </w:t>
      </w:r>
      <w:proofErr w:type="spellStart"/>
      <w:r w:rsidRPr="00733550">
        <w:rPr>
          <w:rFonts w:ascii="Times New Roman" w:hAnsi="Times New Roman"/>
          <w:color w:val="222222"/>
          <w:sz w:val="24"/>
          <w:szCs w:val="24"/>
          <w:shd w:val="clear" w:color="auto" w:fill="FFFFFF"/>
        </w:rPr>
        <w:t>Anowar</w:t>
      </w:r>
      <w:proofErr w:type="spellEnd"/>
      <w:r w:rsidRPr="00733550">
        <w:rPr>
          <w:rFonts w:ascii="Times New Roman" w:hAnsi="Times New Roman"/>
          <w:color w:val="222222"/>
          <w:sz w:val="24"/>
          <w:szCs w:val="24"/>
          <w:shd w:val="clear" w:color="auto" w:fill="FFFFFF"/>
        </w:rPr>
        <w:t>, S., Bhowmik, T., and Eluru, N. (2021). A joint framework for modeling freight mode and destination choice: Application to the US commodity flow survey data. </w:t>
      </w:r>
      <w:r w:rsidRPr="00733550">
        <w:rPr>
          <w:rFonts w:ascii="Times New Roman" w:hAnsi="Times New Roman"/>
          <w:i/>
          <w:iCs/>
          <w:color w:val="222222"/>
          <w:sz w:val="24"/>
          <w:szCs w:val="24"/>
          <w:shd w:val="clear" w:color="auto" w:fill="FFFFFF"/>
        </w:rPr>
        <w:t>Transportation Research Part E</w:t>
      </w:r>
      <w:r w:rsidRPr="00733550">
        <w:rPr>
          <w:rFonts w:ascii="Times New Roman" w:hAnsi="Times New Roman"/>
          <w:color w:val="222222"/>
          <w:sz w:val="24"/>
          <w:szCs w:val="24"/>
          <w:shd w:val="clear" w:color="auto" w:fill="FFFFFF"/>
        </w:rPr>
        <w:t>, </w:t>
      </w:r>
      <w:r w:rsidRPr="00733550">
        <w:rPr>
          <w:rFonts w:ascii="Times New Roman" w:hAnsi="Times New Roman"/>
          <w:i/>
          <w:iCs/>
          <w:color w:val="222222"/>
          <w:sz w:val="24"/>
          <w:szCs w:val="24"/>
          <w:shd w:val="clear" w:color="auto" w:fill="FFFFFF"/>
        </w:rPr>
        <w:t>146</w:t>
      </w:r>
      <w:r w:rsidRPr="00733550">
        <w:rPr>
          <w:rFonts w:ascii="Times New Roman" w:hAnsi="Times New Roman"/>
          <w:color w:val="222222"/>
          <w:sz w:val="24"/>
          <w:szCs w:val="24"/>
          <w:shd w:val="clear" w:color="auto" w:fill="FFFFFF"/>
        </w:rPr>
        <w:t>, 102208.</w:t>
      </w:r>
    </w:p>
    <w:p w14:paraId="5330E880" w14:textId="77777777" w:rsidR="0036154B" w:rsidRPr="00035512" w:rsidRDefault="0036154B" w:rsidP="0036154B">
      <w:pPr>
        <w:tabs>
          <w:tab w:val="left" w:pos="630"/>
        </w:tabs>
        <w:spacing w:after="0" w:line="240" w:lineRule="auto"/>
        <w:ind w:left="540" w:hanging="540"/>
        <w:rPr>
          <w:bCs/>
          <w:color w:val="222222"/>
          <w:szCs w:val="24"/>
          <w:shd w:val="clear" w:color="auto" w:fill="FFFFFF"/>
        </w:rPr>
      </w:pPr>
      <w:r w:rsidRPr="00733550">
        <w:rPr>
          <w:color w:val="222222"/>
          <w:szCs w:val="24"/>
          <w:shd w:val="clear" w:color="auto" w:fill="FFFFFF"/>
        </w:rPr>
        <w:t>Kim, S.</w:t>
      </w:r>
      <w:r>
        <w:rPr>
          <w:color w:val="222222"/>
          <w:szCs w:val="24"/>
          <w:shd w:val="clear" w:color="auto" w:fill="FFFFFF"/>
        </w:rPr>
        <w:t xml:space="preserve"> </w:t>
      </w:r>
      <w:r w:rsidRPr="00733550">
        <w:rPr>
          <w:color w:val="222222"/>
          <w:szCs w:val="24"/>
          <w:shd w:val="clear" w:color="auto" w:fill="FFFFFF"/>
        </w:rPr>
        <w:t>N. (2017). Is telecommuting sustainable? An alternative approach to estimating the impact of home-based telecommuting on household travel. </w:t>
      </w:r>
      <w:r w:rsidRPr="00733550">
        <w:rPr>
          <w:i/>
          <w:iCs/>
          <w:color w:val="222222"/>
          <w:szCs w:val="24"/>
          <w:shd w:val="clear" w:color="auto" w:fill="FFFFFF"/>
        </w:rPr>
        <w:t>International Journal of Sustainable Transportation</w:t>
      </w:r>
      <w:r w:rsidRPr="00733550">
        <w:rPr>
          <w:color w:val="222222"/>
          <w:szCs w:val="24"/>
          <w:shd w:val="clear" w:color="auto" w:fill="FFFFFF"/>
        </w:rPr>
        <w:t>, </w:t>
      </w:r>
      <w:r w:rsidRPr="00733550">
        <w:rPr>
          <w:i/>
          <w:iCs/>
          <w:color w:val="222222"/>
          <w:szCs w:val="24"/>
          <w:shd w:val="clear" w:color="auto" w:fill="FFFFFF"/>
        </w:rPr>
        <w:t>11</w:t>
      </w:r>
      <w:r w:rsidRPr="00733550">
        <w:rPr>
          <w:color w:val="222222"/>
          <w:szCs w:val="24"/>
          <w:shd w:val="clear" w:color="auto" w:fill="FFFFFF"/>
        </w:rPr>
        <w:t>(2), 72-85.</w:t>
      </w:r>
    </w:p>
    <w:p w14:paraId="42A24C16" w14:textId="5B663EEB" w:rsidR="00035512" w:rsidRDefault="00733550" w:rsidP="00035512">
      <w:pPr>
        <w:tabs>
          <w:tab w:val="left" w:pos="630"/>
        </w:tabs>
        <w:spacing w:after="0" w:line="240" w:lineRule="auto"/>
        <w:ind w:left="540" w:hanging="540"/>
        <w:rPr>
          <w:bCs/>
          <w:color w:val="222222"/>
          <w:szCs w:val="24"/>
          <w:shd w:val="clear" w:color="auto" w:fill="FFFFFF"/>
        </w:rPr>
      </w:pPr>
      <w:r w:rsidRPr="00035512">
        <w:rPr>
          <w:bCs/>
          <w:color w:val="222222"/>
          <w:szCs w:val="24"/>
          <w:shd w:val="clear" w:color="auto" w:fill="FFFFFF"/>
        </w:rPr>
        <w:t xml:space="preserve">Kim, J., and Long, D. (2022). What </w:t>
      </w:r>
      <w:r w:rsidR="00035512">
        <w:rPr>
          <w:bCs/>
          <w:color w:val="222222"/>
          <w:szCs w:val="24"/>
          <w:shd w:val="clear" w:color="auto" w:fill="FFFFFF"/>
        </w:rPr>
        <w:t>f</w:t>
      </w:r>
      <w:r w:rsidRPr="00035512">
        <w:rPr>
          <w:bCs/>
          <w:color w:val="222222"/>
          <w:szCs w:val="24"/>
          <w:shd w:val="clear" w:color="auto" w:fill="FFFFFF"/>
        </w:rPr>
        <w:t xml:space="preserve">lattened the </w:t>
      </w:r>
      <w:r w:rsidR="00035512">
        <w:rPr>
          <w:bCs/>
          <w:color w:val="222222"/>
          <w:szCs w:val="24"/>
          <w:shd w:val="clear" w:color="auto" w:fill="FFFFFF"/>
        </w:rPr>
        <w:t>h</w:t>
      </w:r>
      <w:r w:rsidRPr="00035512">
        <w:rPr>
          <w:bCs/>
          <w:color w:val="222222"/>
          <w:szCs w:val="24"/>
          <w:shd w:val="clear" w:color="auto" w:fill="FFFFFF"/>
        </w:rPr>
        <w:t>ouse-</w:t>
      </w:r>
      <w:r w:rsidR="00035512">
        <w:rPr>
          <w:bCs/>
          <w:color w:val="222222"/>
          <w:szCs w:val="24"/>
          <w:shd w:val="clear" w:color="auto" w:fill="FFFFFF"/>
        </w:rPr>
        <w:t>p</w:t>
      </w:r>
      <w:r w:rsidRPr="00035512">
        <w:rPr>
          <w:bCs/>
          <w:color w:val="222222"/>
          <w:szCs w:val="24"/>
          <w:shd w:val="clear" w:color="auto" w:fill="FFFFFF"/>
        </w:rPr>
        <w:t xml:space="preserve">rice </w:t>
      </w:r>
      <w:r w:rsidR="00035512">
        <w:rPr>
          <w:bCs/>
          <w:color w:val="222222"/>
          <w:szCs w:val="24"/>
          <w:shd w:val="clear" w:color="auto" w:fill="FFFFFF"/>
        </w:rPr>
        <w:t>g</w:t>
      </w:r>
      <w:r w:rsidRPr="00035512">
        <w:rPr>
          <w:bCs/>
          <w:color w:val="222222"/>
          <w:szCs w:val="24"/>
          <w:shd w:val="clear" w:color="auto" w:fill="FFFFFF"/>
        </w:rPr>
        <w:t xml:space="preserve">radient? The </w:t>
      </w:r>
      <w:r w:rsidR="00035512">
        <w:rPr>
          <w:bCs/>
          <w:color w:val="222222"/>
          <w:szCs w:val="24"/>
          <w:shd w:val="clear" w:color="auto" w:fill="FFFFFF"/>
        </w:rPr>
        <w:t>r</w:t>
      </w:r>
      <w:r w:rsidRPr="00035512">
        <w:rPr>
          <w:bCs/>
          <w:color w:val="222222"/>
          <w:szCs w:val="24"/>
          <w:shd w:val="clear" w:color="auto" w:fill="FFFFFF"/>
        </w:rPr>
        <w:t xml:space="preserve">ole of </w:t>
      </w:r>
      <w:r w:rsidR="00035512">
        <w:rPr>
          <w:bCs/>
          <w:color w:val="222222"/>
          <w:szCs w:val="24"/>
          <w:shd w:val="clear" w:color="auto" w:fill="FFFFFF"/>
        </w:rPr>
        <w:t>w</w:t>
      </w:r>
      <w:r w:rsidRPr="00035512">
        <w:rPr>
          <w:bCs/>
          <w:color w:val="222222"/>
          <w:szCs w:val="24"/>
          <w:shd w:val="clear" w:color="auto" w:fill="FFFFFF"/>
        </w:rPr>
        <w:t>ork-from-</w:t>
      </w:r>
      <w:r w:rsidR="00035512">
        <w:rPr>
          <w:bCs/>
          <w:color w:val="222222"/>
          <w:szCs w:val="24"/>
          <w:shd w:val="clear" w:color="auto" w:fill="FFFFFF"/>
        </w:rPr>
        <w:t>h</w:t>
      </w:r>
      <w:r w:rsidRPr="00035512">
        <w:rPr>
          <w:bCs/>
          <w:color w:val="222222"/>
          <w:szCs w:val="24"/>
          <w:shd w:val="clear" w:color="auto" w:fill="FFFFFF"/>
        </w:rPr>
        <w:t xml:space="preserve">ome and </w:t>
      </w:r>
      <w:r w:rsidR="00035512">
        <w:rPr>
          <w:bCs/>
          <w:color w:val="222222"/>
          <w:szCs w:val="24"/>
          <w:shd w:val="clear" w:color="auto" w:fill="FFFFFF"/>
        </w:rPr>
        <w:t>d</w:t>
      </w:r>
      <w:r w:rsidRPr="00035512">
        <w:rPr>
          <w:bCs/>
          <w:color w:val="222222"/>
          <w:szCs w:val="24"/>
          <w:shd w:val="clear" w:color="auto" w:fill="FFFFFF"/>
        </w:rPr>
        <w:t xml:space="preserve">ecreased </w:t>
      </w:r>
      <w:r w:rsidR="00035512">
        <w:rPr>
          <w:bCs/>
          <w:color w:val="222222"/>
          <w:szCs w:val="24"/>
          <w:shd w:val="clear" w:color="auto" w:fill="FFFFFF"/>
        </w:rPr>
        <w:t>c</w:t>
      </w:r>
      <w:r w:rsidRPr="00035512">
        <w:rPr>
          <w:bCs/>
          <w:color w:val="222222"/>
          <w:szCs w:val="24"/>
          <w:shd w:val="clear" w:color="auto" w:fill="FFFFFF"/>
        </w:rPr>
        <w:t xml:space="preserve">ommuting </w:t>
      </w:r>
      <w:r w:rsidR="00035512">
        <w:rPr>
          <w:bCs/>
          <w:color w:val="222222"/>
          <w:szCs w:val="24"/>
          <w:shd w:val="clear" w:color="auto" w:fill="FFFFFF"/>
        </w:rPr>
        <w:t>c</w:t>
      </w:r>
      <w:r w:rsidRPr="00035512">
        <w:rPr>
          <w:bCs/>
          <w:color w:val="222222"/>
          <w:szCs w:val="24"/>
          <w:shd w:val="clear" w:color="auto" w:fill="FFFFFF"/>
        </w:rPr>
        <w:t>ost. </w:t>
      </w:r>
      <w:r w:rsidR="00035512" w:rsidRPr="00035512">
        <w:rPr>
          <w:color w:val="222222"/>
          <w:szCs w:val="24"/>
          <w:shd w:val="clear" w:color="auto" w:fill="FFFFFF"/>
        </w:rPr>
        <w:t>SSRN Electronic Journal. 10.2139/ssrn.4193300</w:t>
      </w:r>
      <w:r w:rsidRPr="00035512">
        <w:rPr>
          <w:bCs/>
          <w:color w:val="222222"/>
          <w:szCs w:val="24"/>
          <w:shd w:val="clear" w:color="auto" w:fill="FFFFFF"/>
        </w:rPr>
        <w:t>.</w:t>
      </w:r>
      <w:bookmarkStart w:id="50" w:name="_Hlk126061326"/>
      <w:r w:rsidR="00035512">
        <w:rPr>
          <w:bCs/>
          <w:color w:val="222222"/>
          <w:szCs w:val="24"/>
          <w:shd w:val="clear" w:color="auto" w:fill="FFFFFF"/>
        </w:rPr>
        <w:t xml:space="preserve"> </w:t>
      </w:r>
    </w:p>
    <w:p w14:paraId="1FD0781E" w14:textId="77777777" w:rsidR="00733550" w:rsidRPr="00733550" w:rsidRDefault="00733550" w:rsidP="00733550">
      <w:pPr>
        <w:tabs>
          <w:tab w:val="left" w:pos="630"/>
        </w:tabs>
        <w:spacing w:after="0" w:line="240" w:lineRule="auto"/>
        <w:ind w:left="540" w:hanging="540"/>
        <w:rPr>
          <w:bCs/>
          <w:color w:val="222222"/>
          <w:szCs w:val="24"/>
          <w:shd w:val="clear" w:color="auto" w:fill="FFFFFF"/>
        </w:rPr>
      </w:pPr>
      <w:proofErr w:type="spellStart"/>
      <w:r w:rsidRPr="00733550">
        <w:rPr>
          <w:bCs/>
          <w:color w:val="222222"/>
          <w:szCs w:val="24"/>
          <w:shd w:val="clear" w:color="auto" w:fill="FFFFFF"/>
        </w:rPr>
        <w:t>Krasilnikova</w:t>
      </w:r>
      <w:proofErr w:type="spellEnd"/>
      <w:r w:rsidRPr="00733550">
        <w:rPr>
          <w:bCs/>
          <w:color w:val="222222"/>
          <w:szCs w:val="24"/>
          <w:shd w:val="clear" w:color="auto" w:fill="FFFFFF"/>
        </w:rPr>
        <w:t>, N., and Levin-Keitel, M. (2022). Telework as a Game-Changer for Sustainability? Transitions in Work, Workplace and Socio-Spatial Arrangements. </w:t>
      </w:r>
      <w:r w:rsidRPr="00733550">
        <w:rPr>
          <w:bCs/>
          <w:i/>
          <w:iCs/>
          <w:color w:val="222222"/>
          <w:szCs w:val="24"/>
          <w:shd w:val="clear" w:color="auto" w:fill="FFFFFF"/>
        </w:rPr>
        <w:t>Sustainability</w:t>
      </w:r>
      <w:r w:rsidRPr="00733550">
        <w:rPr>
          <w:bCs/>
          <w:color w:val="222222"/>
          <w:szCs w:val="24"/>
          <w:shd w:val="clear" w:color="auto" w:fill="FFFFFF"/>
        </w:rPr>
        <w:t>, </w:t>
      </w:r>
      <w:r w:rsidRPr="00733550">
        <w:rPr>
          <w:bCs/>
          <w:i/>
          <w:iCs/>
          <w:color w:val="222222"/>
          <w:szCs w:val="24"/>
          <w:shd w:val="clear" w:color="auto" w:fill="FFFFFF"/>
        </w:rPr>
        <w:t>14</w:t>
      </w:r>
      <w:r w:rsidRPr="00733550">
        <w:rPr>
          <w:bCs/>
          <w:color w:val="222222"/>
          <w:szCs w:val="24"/>
          <w:shd w:val="clear" w:color="auto" w:fill="FFFFFF"/>
        </w:rPr>
        <w:t>(11), 6765.</w:t>
      </w:r>
    </w:p>
    <w:p w14:paraId="1B9CCD60" w14:textId="6277F199" w:rsidR="00733550" w:rsidRPr="00733550" w:rsidRDefault="00733550" w:rsidP="00733550">
      <w:pPr>
        <w:tabs>
          <w:tab w:val="left" w:pos="630"/>
        </w:tabs>
        <w:spacing w:after="0" w:line="240" w:lineRule="auto"/>
        <w:ind w:left="540" w:hanging="540"/>
        <w:rPr>
          <w:bCs/>
          <w:color w:val="222222"/>
          <w:szCs w:val="24"/>
          <w:shd w:val="clear" w:color="auto" w:fill="FFFFFF"/>
        </w:rPr>
      </w:pPr>
      <w:proofErr w:type="spellStart"/>
      <w:r w:rsidRPr="00733550">
        <w:rPr>
          <w:color w:val="222222"/>
          <w:szCs w:val="24"/>
          <w:shd w:val="clear" w:color="auto" w:fill="FFFFFF"/>
        </w:rPr>
        <w:t>Lachapelle</w:t>
      </w:r>
      <w:proofErr w:type="spellEnd"/>
      <w:r w:rsidRPr="00733550">
        <w:rPr>
          <w:color w:val="222222"/>
          <w:szCs w:val="24"/>
          <w:shd w:val="clear" w:color="auto" w:fill="FFFFFF"/>
        </w:rPr>
        <w:t xml:space="preserve">, U., </w:t>
      </w:r>
      <w:proofErr w:type="spellStart"/>
      <w:r w:rsidRPr="00733550">
        <w:rPr>
          <w:color w:val="222222"/>
          <w:szCs w:val="24"/>
          <w:shd w:val="clear" w:color="auto" w:fill="FFFFFF"/>
        </w:rPr>
        <w:t>Tanguay</w:t>
      </w:r>
      <w:proofErr w:type="spellEnd"/>
      <w:r w:rsidRPr="00733550">
        <w:rPr>
          <w:color w:val="222222"/>
          <w:szCs w:val="24"/>
          <w:shd w:val="clear" w:color="auto" w:fill="FFFFFF"/>
        </w:rPr>
        <w:t>, G.</w:t>
      </w:r>
      <w:r w:rsidR="00681AAB">
        <w:rPr>
          <w:color w:val="222222"/>
          <w:szCs w:val="24"/>
          <w:shd w:val="clear" w:color="auto" w:fill="FFFFFF"/>
        </w:rPr>
        <w:t xml:space="preserve"> </w:t>
      </w:r>
      <w:r w:rsidRPr="00733550">
        <w:rPr>
          <w:color w:val="222222"/>
          <w:szCs w:val="24"/>
          <w:shd w:val="clear" w:color="auto" w:fill="FFFFFF"/>
        </w:rPr>
        <w:t xml:space="preserve">A., and </w:t>
      </w:r>
      <w:proofErr w:type="spellStart"/>
      <w:r w:rsidRPr="00733550">
        <w:rPr>
          <w:color w:val="222222"/>
          <w:szCs w:val="24"/>
          <w:shd w:val="clear" w:color="auto" w:fill="FFFFFF"/>
        </w:rPr>
        <w:t>Neumark</w:t>
      </w:r>
      <w:proofErr w:type="spellEnd"/>
      <w:r w:rsidRPr="00733550">
        <w:rPr>
          <w:color w:val="222222"/>
          <w:szCs w:val="24"/>
          <w:shd w:val="clear" w:color="auto" w:fill="FFFFFF"/>
        </w:rPr>
        <w:t>-Gaudet, L. (2018). Telecommuting and sustainable travel: Reduction of overall travel time, increases in non-</w:t>
      </w:r>
      <w:proofErr w:type="spellStart"/>
      <w:r w:rsidRPr="00733550">
        <w:rPr>
          <w:color w:val="222222"/>
          <w:szCs w:val="24"/>
          <w:shd w:val="clear" w:color="auto" w:fill="FFFFFF"/>
        </w:rPr>
        <w:t>motorised</w:t>
      </w:r>
      <w:proofErr w:type="spellEnd"/>
      <w:r w:rsidRPr="00733550">
        <w:rPr>
          <w:color w:val="222222"/>
          <w:szCs w:val="24"/>
          <w:shd w:val="clear" w:color="auto" w:fill="FFFFFF"/>
        </w:rPr>
        <w:t xml:space="preserve"> travel and congestion relief?. </w:t>
      </w:r>
      <w:r w:rsidRPr="00733550">
        <w:rPr>
          <w:i/>
          <w:iCs/>
          <w:color w:val="222222"/>
          <w:szCs w:val="24"/>
          <w:shd w:val="clear" w:color="auto" w:fill="FFFFFF"/>
        </w:rPr>
        <w:t>Urban Studies</w:t>
      </w:r>
      <w:r w:rsidRPr="00733550">
        <w:rPr>
          <w:color w:val="222222"/>
          <w:szCs w:val="24"/>
          <w:shd w:val="clear" w:color="auto" w:fill="FFFFFF"/>
        </w:rPr>
        <w:t>, </w:t>
      </w:r>
      <w:r w:rsidRPr="00733550">
        <w:rPr>
          <w:i/>
          <w:iCs/>
          <w:color w:val="222222"/>
          <w:szCs w:val="24"/>
          <w:shd w:val="clear" w:color="auto" w:fill="FFFFFF"/>
        </w:rPr>
        <w:t>55</w:t>
      </w:r>
      <w:r w:rsidRPr="00733550">
        <w:rPr>
          <w:color w:val="222222"/>
          <w:szCs w:val="24"/>
          <w:shd w:val="clear" w:color="auto" w:fill="FFFFFF"/>
        </w:rPr>
        <w:t>(10), 2226-2244.</w:t>
      </w:r>
    </w:p>
    <w:bookmarkEnd w:id="50"/>
    <w:p w14:paraId="697F915F" w14:textId="3036FF7D" w:rsidR="00733550" w:rsidRPr="00733550" w:rsidRDefault="00733550" w:rsidP="00733550">
      <w:pPr>
        <w:tabs>
          <w:tab w:val="left" w:pos="630"/>
        </w:tabs>
        <w:spacing w:after="0" w:line="240" w:lineRule="auto"/>
        <w:ind w:left="540" w:hanging="540"/>
        <w:rPr>
          <w:szCs w:val="24"/>
        </w:rPr>
      </w:pPr>
      <w:r w:rsidRPr="00733550">
        <w:rPr>
          <w:szCs w:val="24"/>
        </w:rPr>
        <w:t>Le Pelley M</w:t>
      </w:r>
      <w:r w:rsidR="00681AAB">
        <w:rPr>
          <w:szCs w:val="24"/>
        </w:rPr>
        <w:t xml:space="preserve">. </w:t>
      </w:r>
      <w:r w:rsidRPr="00733550">
        <w:rPr>
          <w:szCs w:val="24"/>
        </w:rPr>
        <w:t>E</w:t>
      </w:r>
      <w:r w:rsidR="00681AAB">
        <w:rPr>
          <w:szCs w:val="24"/>
        </w:rPr>
        <w:t>.</w:t>
      </w:r>
      <w:r w:rsidRPr="00733550">
        <w:rPr>
          <w:szCs w:val="24"/>
        </w:rPr>
        <w:t>, Griffiths</w:t>
      </w:r>
      <w:r w:rsidR="00681AAB">
        <w:rPr>
          <w:szCs w:val="24"/>
        </w:rPr>
        <w:t>,</w:t>
      </w:r>
      <w:r w:rsidRPr="00733550">
        <w:rPr>
          <w:szCs w:val="24"/>
        </w:rPr>
        <w:t xml:space="preserve"> O</w:t>
      </w:r>
      <w:r w:rsidR="00681AAB">
        <w:rPr>
          <w:szCs w:val="24"/>
        </w:rPr>
        <w:t>.</w:t>
      </w:r>
      <w:r w:rsidRPr="00733550">
        <w:rPr>
          <w:szCs w:val="24"/>
        </w:rPr>
        <w:t xml:space="preserve">, </w:t>
      </w:r>
      <w:r w:rsidR="00681AAB">
        <w:rPr>
          <w:szCs w:val="24"/>
        </w:rPr>
        <w:t xml:space="preserve">and </w:t>
      </w:r>
      <w:proofErr w:type="spellStart"/>
      <w:r w:rsidRPr="00733550">
        <w:rPr>
          <w:szCs w:val="24"/>
        </w:rPr>
        <w:t>Beesley</w:t>
      </w:r>
      <w:proofErr w:type="spellEnd"/>
      <w:r w:rsidR="00681AAB">
        <w:rPr>
          <w:szCs w:val="24"/>
        </w:rPr>
        <w:t>,</w:t>
      </w:r>
      <w:r w:rsidRPr="00733550">
        <w:rPr>
          <w:szCs w:val="24"/>
        </w:rPr>
        <w:t xml:space="preserve"> T. </w:t>
      </w:r>
      <w:r w:rsidR="00681AAB">
        <w:rPr>
          <w:szCs w:val="24"/>
        </w:rPr>
        <w:t xml:space="preserve">(2017). </w:t>
      </w:r>
      <w:r w:rsidRPr="00733550">
        <w:rPr>
          <w:szCs w:val="24"/>
        </w:rPr>
        <w:t xml:space="preserve">Associative </w:t>
      </w:r>
      <w:r w:rsidR="00C07C76">
        <w:rPr>
          <w:szCs w:val="24"/>
        </w:rPr>
        <w:t>a</w:t>
      </w:r>
      <w:r w:rsidRPr="00733550">
        <w:rPr>
          <w:szCs w:val="24"/>
        </w:rPr>
        <w:t xml:space="preserve">ccounts of </w:t>
      </w:r>
      <w:r w:rsidR="00C07C76">
        <w:rPr>
          <w:szCs w:val="24"/>
        </w:rPr>
        <w:t>c</w:t>
      </w:r>
      <w:r w:rsidRPr="00733550">
        <w:rPr>
          <w:szCs w:val="24"/>
        </w:rPr>
        <w:t xml:space="preserve">ausal </w:t>
      </w:r>
      <w:r w:rsidR="00C07C76">
        <w:rPr>
          <w:szCs w:val="24"/>
        </w:rPr>
        <w:t>c</w:t>
      </w:r>
      <w:r w:rsidRPr="00733550">
        <w:rPr>
          <w:szCs w:val="24"/>
        </w:rPr>
        <w:t xml:space="preserve">ognition. In: </w:t>
      </w:r>
      <w:proofErr w:type="spellStart"/>
      <w:r w:rsidRPr="00733550">
        <w:rPr>
          <w:szCs w:val="24"/>
        </w:rPr>
        <w:t>Waldmann</w:t>
      </w:r>
      <w:proofErr w:type="spellEnd"/>
      <w:r w:rsidRPr="00733550">
        <w:rPr>
          <w:szCs w:val="24"/>
        </w:rPr>
        <w:t xml:space="preserve"> MR, ed. </w:t>
      </w:r>
      <w:r w:rsidRPr="00733550">
        <w:rPr>
          <w:i/>
          <w:iCs/>
          <w:szCs w:val="24"/>
        </w:rPr>
        <w:t xml:space="preserve">The Oxford </w:t>
      </w:r>
      <w:r w:rsidR="00C07C76">
        <w:rPr>
          <w:i/>
          <w:iCs/>
          <w:szCs w:val="24"/>
        </w:rPr>
        <w:t>H</w:t>
      </w:r>
      <w:r w:rsidRPr="00733550">
        <w:rPr>
          <w:i/>
          <w:iCs/>
          <w:szCs w:val="24"/>
        </w:rPr>
        <w:t xml:space="preserve">andbook of </w:t>
      </w:r>
      <w:r w:rsidR="00C07C76">
        <w:rPr>
          <w:i/>
          <w:iCs/>
          <w:szCs w:val="24"/>
        </w:rPr>
        <w:t>C</w:t>
      </w:r>
      <w:r w:rsidRPr="00733550">
        <w:rPr>
          <w:i/>
          <w:iCs/>
          <w:szCs w:val="24"/>
        </w:rPr>
        <w:t xml:space="preserve">ausal </w:t>
      </w:r>
      <w:r w:rsidR="00C07C76">
        <w:rPr>
          <w:i/>
          <w:iCs/>
          <w:szCs w:val="24"/>
        </w:rPr>
        <w:t>R</w:t>
      </w:r>
      <w:r w:rsidRPr="00733550">
        <w:rPr>
          <w:i/>
          <w:iCs/>
          <w:szCs w:val="24"/>
        </w:rPr>
        <w:t>easoning</w:t>
      </w:r>
      <w:r w:rsidRPr="00733550">
        <w:rPr>
          <w:szCs w:val="24"/>
        </w:rPr>
        <w:t>. Oxford University Press</w:t>
      </w:r>
      <w:r w:rsidR="00220225">
        <w:rPr>
          <w:szCs w:val="24"/>
        </w:rPr>
        <w:t xml:space="preserve">, </w:t>
      </w:r>
      <w:r w:rsidR="00220225" w:rsidRPr="00733550">
        <w:rPr>
          <w:szCs w:val="24"/>
        </w:rPr>
        <w:t>New York, NY</w:t>
      </w:r>
      <w:r w:rsidRPr="00733550">
        <w:rPr>
          <w:szCs w:val="24"/>
        </w:rPr>
        <w:t>.</w:t>
      </w:r>
    </w:p>
    <w:p w14:paraId="5DF8DDE0" w14:textId="77777777" w:rsidR="00733550" w:rsidRPr="00733550" w:rsidRDefault="00733550" w:rsidP="00733550">
      <w:pPr>
        <w:tabs>
          <w:tab w:val="left" w:pos="630"/>
        </w:tabs>
        <w:spacing w:after="0" w:line="240" w:lineRule="auto"/>
        <w:ind w:left="540" w:hanging="540"/>
        <w:rPr>
          <w:b/>
          <w:color w:val="222222"/>
          <w:szCs w:val="24"/>
          <w:shd w:val="clear" w:color="auto" w:fill="FFFFFF"/>
        </w:rPr>
      </w:pPr>
      <w:r w:rsidRPr="00733550">
        <w:rPr>
          <w:color w:val="222222"/>
          <w:szCs w:val="24"/>
          <w:shd w:val="clear" w:color="auto" w:fill="FFFFFF"/>
        </w:rPr>
        <w:t>Lei, L., and Liu, X. (2022). The COVID‐19 pandemic and residential mobility intentions in the United States: Evidence from Google Trends data. </w:t>
      </w:r>
      <w:r w:rsidRPr="00733550">
        <w:rPr>
          <w:i/>
          <w:iCs/>
          <w:color w:val="222222"/>
          <w:szCs w:val="24"/>
          <w:shd w:val="clear" w:color="auto" w:fill="FFFFFF"/>
        </w:rPr>
        <w:t>Population, Space and Place</w:t>
      </w:r>
      <w:r w:rsidRPr="00733550">
        <w:rPr>
          <w:color w:val="222222"/>
          <w:szCs w:val="24"/>
          <w:shd w:val="clear" w:color="auto" w:fill="FFFFFF"/>
        </w:rPr>
        <w:t>, </w:t>
      </w:r>
      <w:r w:rsidRPr="00733550">
        <w:rPr>
          <w:i/>
          <w:iCs/>
          <w:color w:val="222222"/>
          <w:szCs w:val="24"/>
          <w:shd w:val="clear" w:color="auto" w:fill="FFFFFF"/>
        </w:rPr>
        <w:t>28</w:t>
      </w:r>
      <w:r w:rsidRPr="00733550">
        <w:rPr>
          <w:color w:val="222222"/>
          <w:szCs w:val="24"/>
          <w:shd w:val="clear" w:color="auto" w:fill="FFFFFF"/>
        </w:rPr>
        <w:t>(6), e2581.</w:t>
      </w:r>
    </w:p>
    <w:p w14:paraId="2F64B796" w14:textId="77777777" w:rsidR="00733550" w:rsidRPr="00733550" w:rsidRDefault="00733550" w:rsidP="00733550">
      <w:pPr>
        <w:tabs>
          <w:tab w:val="left" w:pos="630"/>
        </w:tabs>
        <w:spacing w:after="0" w:line="240" w:lineRule="auto"/>
        <w:ind w:left="540" w:hanging="540"/>
        <w:rPr>
          <w:szCs w:val="24"/>
        </w:rPr>
      </w:pPr>
      <w:r w:rsidRPr="00733550">
        <w:rPr>
          <w:bCs/>
          <w:color w:val="222222"/>
          <w:szCs w:val="24"/>
          <w:shd w:val="clear" w:color="auto" w:fill="FFFFFF"/>
        </w:rPr>
        <w:t>Lennox, J. (2020). </w:t>
      </w:r>
      <w:r w:rsidRPr="00733550">
        <w:rPr>
          <w:bCs/>
          <w:iCs/>
          <w:color w:val="222222"/>
          <w:szCs w:val="24"/>
          <w:shd w:val="clear" w:color="auto" w:fill="FFFFFF"/>
        </w:rPr>
        <w:t>More working from home will change the shape and size of cities</w:t>
      </w:r>
      <w:r w:rsidRPr="00733550">
        <w:rPr>
          <w:bCs/>
          <w:color w:val="222222"/>
          <w:szCs w:val="24"/>
          <w:shd w:val="clear" w:color="auto" w:fill="FFFFFF"/>
        </w:rPr>
        <w:t>. Centre of Policy Studies, Victoria University.</w:t>
      </w:r>
    </w:p>
    <w:p w14:paraId="45E3CDD5" w14:textId="444EB780" w:rsidR="00733550" w:rsidRPr="00733550" w:rsidRDefault="00733550" w:rsidP="00733550">
      <w:pPr>
        <w:tabs>
          <w:tab w:val="left" w:pos="630"/>
        </w:tabs>
        <w:spacing w:after="0" w:line="240" w:lineRule="auto"/>
        <w:ind w:left="540" w:hanging="540"/>
        <w:rPr>
          <w:bCs/>
          <w:szCs w:val="24"/>
        </w:rPr>
      </w:pPr>
      <w:r w:rsidRPr="00733550">
        <w:rPr>
          <w:bCs/>
          <w:szCs w:val="24"/>
        </w:rPr>
        <w:t>López Soler, J.</w:t>
      </w:r>
      <w:r w:rsidR="00681AAB">
        <w:rPr>
          <w:bCs/>
          <w:szCs w:val="24"/>
        </w:rPr>
        <w:t xml:space="preserve"> </w:t>
      </w:r>
      <w:r w:rsidRPr="00733550">
        <w:rPr>
          <w:bCs/>
          <w:szCs w:val="24"/>
        </w:rPr>
        <w:t xml:space="preserve">R., </w:t>
      </w:r>
      <w:proofErr w:type="spellStart"/>
      <w:r w:rsidRPr="00733550">
        <w:rPr>
          <w:bCs/>
          <w:szCs w:val="24"/>
        </w:rPr>
        <w:t>Christidis</w:t>
      </w:r>
      <w:proofErr w:type="spellEnd"/>
      <w:r w:rsidRPr="00733550">
        <w:rPr>
          <w:bCs/>
          <w:szCs w:val="24"/>
        </w:rPr>
        <w:t>, P., and Vassallo, J.</w:t>
      </w:r>
      <w:r w:rsidR="00681AAB">
        <w:rPr>
          <w:bCs/>
          <w:szCs w:val="24"/>
        </w:rPr>
        <w:t xml:space="preserve"> </w:t>
      </w:r>
      <w:r w:rsidRPr="00733550">
        <w:rPr>
          <w:bCs/>
          <w:szCs w:val="24"/>
        </w:rPr>
        <w:t xml:space="preserve">M. (2021). Teleworking and online shopping: Socio-economic factors affecting their impact on transport demand. </w:t>
      </w:r>
      <w:r w:rsidRPr="00733550">
        <w:rPr>
          <w:bCs/>
          <w:i/>
          <w:szCs w:val="24"/>
        </w:rPr>
        <w:t>Sustainability</w:t>
      </w:r>
      <w:r w:rsidRPr="00733550">
        <w:rPr>
          <w:bCs/>
          <w:szCs w:val="24"/>
        </w:rPr>
        <w:t xml:space="preserve">, </w:t>
      </w:r>
      <w:r w:rsidRPr="00220225">
        <w:rPr>
          <w:bCs/>
          <w:i/>
          <w:iCs/>
          <w:szCs w:val="24"/>
        </w:rPr>
        <w:t>13</w:t>
      </w:r>
      <w:r w:rsidRPr="00733550">
        <w:rPr>
          <w:bCs/>
          <w:szCs w:val="24"/>
        </w:rPr>
        <w:t>(13), 7211.</w:t>
      </w:r>
    </w:p>
    <w:p w14:paraId="4F5C4423" w14:textId="77777777" w:rsidR="00733550" w:rsidRPr="00733550" w:rsidRDefault="00733550" w:rsidP="00733550">
      <w:pPr>
        <w:tabs>
          <w:tab w:val="left" w:pos="630"/>
        </w:tabs>
        <w:spacing w:after="0" w:line="240" w:lineRule="auto"/>
        <w:ind w:left="540" w:hanging="540"/>
        <w:rPr>
          <w:bCs/>
          <w:szCs w:val="24"/>
        </w:rPr>
      </w:pPr>
      <w:r w:rsidRPr="00733550">
        <w:rPr>
          <w:color w:val="222222"/>
          <w:szCs w:val="24"/>
          <w:shd w:val="clear" w:color="auto" w:fill="FFFFFF"/>
        </w:rPr>
        <w:t>López-</w:t>
      </w:r>
      <w:proofErr w:type="spellStart"/>
      <w:r w:rsidRPr="00733550">
        <w:rPr>
          <w:color w:val="222222"/>
          <w:szCs w:val="24"/>
          <w:shd w:val="clear" w:color="auto" w:fill="FFFFFF"/>
        </w:rPr>
        <w:t>Igual</w:t>
      </w:r>
      <w:proofErr w:type="spellEnd"/>
      <w:r w:rsidRPr="00733550">
        <w:rPr>
          <w:color w:val="222222"/>
          <w:szCs w:val="24"/>
          <w:shd w:val="clear" w:color="auto" w:fill="FFFFFF"/>
        </w:rPr>
        <w:t>, P., and Rodríguez-</w:t>
      </w:r>
      <w:proofErr w:type="spellStart"/>
      <w:r w:rsidRPr="00733550">
        <w:rPr>
          <w:color w:val="222222"/>
          <w:szCs w:val="24"/>
          <w:shd w:val="clear" w:color="auto" w:fill="FFFFFF"/>
        </w:rPr>
        <w:t>Modroño</w:t>
      </w:r>
      <w:proofErr w:type="spellEnd"/>
      <w:r w:rsidRPr="00733550">
        <w:rPr>
          <w:color w:val="222222"/>
          <w:szCs w:val="24"/>
          <w:shd w:val="clear" w:color="auto" w:fill="FFFFFF"/>
        </w:rPr>
        <w:t>, P. (2020). Who is teleworking and where from? Exploring the main determinants of telework in Europe. </w:t>
      </w:r>
      <w:r w:rsidRPr="00733550">
        <w:rPr>
          <w:i/>
          <w:iCs/>
          <w:color w:val="222222"/>
          <w:szCs w:val="24"/>
          <w:shd w:val="clear" w:color="auto" w:fill="FFFFFF"/>
        </w:rPr>
        <w:t>Sustainability</w:t>
      </w:r>
      <w:r w:rsidRPr="00733550">
        <w:rPr>
          <w:color w:val="222222"/>
          <w:szCs w:val="24"/>
          <w:shd w:val="clear" w:color="auto" w:fill="FFFFFF"/>
        </w:rPr>
        <w:t>, </w:t>
      </w:r>
      <w:r w:rsidRPr="00733550">
        <w:rPr>
          <w:i/>
          <w:iCs/>
          <w:color w:val="222222"/>
          <w:szCs w:val="24"/>
          <w:shd w:val="clear" w:color="auto" w:fill="FFFFFF"/>
        </w:rPr>
        <w:t>12</w:t>
      </w:r>
      <w:r w:rsidRPr="00733550">
        <w:rPr>
          <w:color w:val="222222"/>
          <w:szCs w:val="24"/>
          <w:shd w:val="clear" w:color="auto" w:fill="FFFFFF"/>
        </w:rPr>
        <w:t>(21), 8797.</w:t>
      </w:r>
    </w:p>
    <w:p w14:paraId="21AED1CD" w14:textId="77777777" w:rsidR="00733550" w:rsidRPr="00733550" w:rsidRDefault="00733550" w:rsidP="00733550">
      <w:pPr>
        <w:tabs>
          <w:tab w:val="left" w:pos="630"/>
        </w:tabs>
        <w:spacing w:after="0" w:line="240" w:lineRule="auto"/>
        <w:ind w:left="540" w:hanging="540"/>
        <w:rPr>
          <w:bCs/>
          <w:szCs w:val="24"/>
        </w:rPr>
      </w:pPr>
      <w:r w:rsidRPr="00733550">
        <w:rPr>
          <w:bCs/>
          <w:szCs w:val="24"/>
        </w:rPr>
        <w:t xml:space="preserve">Lorenzo, G. (2021). Where the Jobs Are: Urban, Suburban, and Rural Migrations and the Hollowing Out of Middle-Skill Jobs. </w:t>
      </w:r>
      <w:r w:rsidRPr="00733550">
        <w:rPr>
          <w:bCs/>
          <w:i/>
          <w:iCs/>
          <w:szCs w:val="24"/>
        </w:rPr>
        <w:t>Workforce Monitor.</w:t>
      </w:r>
      <w:r w:rsidRPr="00733550">
        <w:rPr>
          <w:bCs/>
          <w:szCs w:val="24"/>
        </w:rPr>
        <w:t xml:space="preserve"> Available at: </w:t>
      </w:r>
      <w:hyperlink r:id="rId412" w:history="1">
        <w:r w:rsidRPr="00733550">
          <w:rPr>
            <w:rStyle w:val="Hyperlink"/>
            <w:bCs/>
            <w:szCs w:val="24"/>
          </w:rPr>
          <w:t>https://wfmonitor.com/2020/06/12/where-the-jobs-are-urban-suburban-rural-migrations-and-the-hollowing-out-of-middle-skill-jobs/</w:t>
        </w:r>
      </w:hyperlink>
      <w:r w:rsidRPr="00733550">
        <w:rPr>
          <w:bCs/>
          <w:szCs w:val="24"/>
        </w:rPr>
        <w:t>. Accessed on: May 22, 2023.</w:t>
      </w:r>
    </w:p>
    <w:p w14:paraId="4AB36C34" w14:textId="577016DA" w:rsidR="00733550" w:rsidRPr="00733550" w:rsidRDefault="00733550" w:rsidP="00733550">
      <w:pPr>
        <w:tabs>
          <w:tab w:val="left" w:pos="630"/>
        </w:tabs>
        <w:spacing w:afterLines="20" w:after="48" w:line="240" w:lineRule="auto"/>
        <w:ind w:left="540" w:hanging="540"/>
        <w:rPr>
          <w:szCs w:val="24"/>
          <w:shd w:val="clear" w:color="auto" w:fill="FFFFFF"/>
        </w:rPr>
      </w:pPr>
      <w:r w:rsidRPr="00733550">
        <w:rPr>
          <w:color w:val="222222"/>
          <w:szCs w:val="24"/>
          <w:shd w:val="clear" w:color="auto" w:fill="FFFFFF"/>
        </w:rPr>
        <w:lastRenderedPageBreak/>
        <w:t>Lu, X., and White, H. (2014). Robustness checks and robustness tests in applied economics. </w:t>
      </w:r>
      <w:r w:rsidRPr="00733550">
        <w:rPr>
          <w:i/>
          <w:iCs/>
          <w:color w:val="222222"/>
          <w:szCs w:val="24"/>
          <w:shd w:val="clear" w:color="auto" w:fill="FFFFFF"/>
        </w:rPr>
        <w:t xml:space="preserve">Journal of </w:t>
      </w:r>
      <w:r w:rsidR="00220225">
        <w:rPr>
          <w:i/>
          <w:iCs/>
          <w:color w:val="222222"/>
          <w:szCs w:val="24"/>
          <w:shd w:val="clear" w:color="auto" w:fill="FFFFFF"/>
        </w:rPr>
        <w:t>E</w:t>
      </w:r>
      <w:r w:rsidRPr="00733550">
        <w:rPr>
          <w:i/>
          <w:iCs/>
          <w:color w:val="222222"/>
          <w:szCs w:val="24"/>
          <w:shd w:val="clear" w:color="auto" w:fill="FFFFFF"/>
        </w:rPr>
        <w:t>conometrics</w:t>
      </w:r>
      <w:r w:rsidRPr="00733550">
        <w:rPr>
          <w:color w:val="222222"/>
          <w:szCs w:val="24"/>
          <w:shd w:val="clear" w:color="auto" w:fill="FFFFFF"/>
        </w:rPr>
        <w:t>, </w:t>
      </w:r>
      <w:r w:rsidRPr="00733550">
        <w:rPr>
          <w:i/>
          <w:iCs/>
          <w:color w:val="222222"/>
          <w:szCs w:val="24"/>
          <w:shd w:val="clear" w:color="auto" w:fill="FFFFFF"/>
        </w:rPr>
        <w:t>178</w:t>
      </w:r>
      <w:r w:rsidRPr="00733550">
        <w:rPr>
          <w:color w:val="222222"/>
          <w:szCs w:val="24"/>
          <w:shd w:val="clear" w:color="auto" w:fill="FFFFFF"/>
        </w:rPr>
        <w:t>, 194-206.</w:t>
      </w:r>
    </w:p>
    <w:p w14:paraId="604AF2B6" w14:textId="77777777" w:rsidR="00733550" w:rsidRPr="00733550" w:rsidRDefault="00733550" w:rsidP="00733550">
      <w:pPr>
        <w:tabs>
          <w:tab w:val="left" w:pos="630"/>
        </w:tabs>
        <w:spacing w:after="0" w:line="240" w:lineRule="auto"/>
        <w:ind w:left="540" w:hanging="540"/>
        <w:rPr>
          <w:bCs/>
          <w:szCs w:val="24"/>
        </w:rPr>
      </w:pPr>
      <w:bookmarkStart w:id="51" w:name="_Hlk131507554"/>
      <w:r w:rsidRPr="00733550">
        <w:rPr>
          <w:bCs/>
          <w:color w:val="222222"/>
          <w:szCs w:val="24"/>
          <w:shd w:val="clear" w:color="auto" w:fill="FFFFFF"/>
        </w:rPr>
        <w:t>Maheshwari</w:t>
      </w:r>
      <w:bookmarkEnd w:id="51"/>
      <w:r w:rsidRPr="00733550">
        <w:rPr>
          <w:bCs/>
          <w:color w:val="222222"/>
          <w:szCs w:val="24"/>
          <w:shd w:val="clear" w:color="auto" w:fill="FFFFFF"/>
        </w:rPr>
        <w:t xml:space="preserve">, R., De Vos, J., Van Acker, V., and </w:t>
      </w:r>
      <w:proofErr w:type="spellStart"/>
      <w:r w:rsidRPr="00733550">
        <w:rPr>
          <w:bCs/>
          <w:color w:val="222222"/>
          <w:szCs w:val="24"/>
          <w:shd w:val="clear" w:color="auto" w:fill="FFFFFF"/>
        </w:rPr>
        <w:t>Witlox</w:t>
      </w:r>
      <w:proofErr w:type="spellEnd"/>
      <w:r w:rsidRPr="00733550">
        <w:rPr>
          <w:bCs/>
          <w:color w:val="222222"/>
          <w:szCs w:val="24"/>
          <w:shd w:val="clear" w:color="auto" w:fill="FFFFFF"/>
        </w:rPr>
        <w:t>, F. (2022). Analyzing the association between satisfaction with commuting time and satisfaction with life domains. </w:t>
      </w:r>
      <w:r w:rsidRPr="00733550">
        <w:rPr>
          <w:bCs/>
          <w:i/>
          <w:iCs/>
          <w:color w:val="222222"/>
          <w:szCs w:val="24"/>
          <w:shd w:val="clear" w:color="auto" w:fill="FFFFFF"/>
        </w:rPr>
        <w:t>Journal of Transport and Land Use</w:t>
      </w:r>
      <w:r w:rsidRPr="00733550">
        <w:rPr>
          <w:bCs/>
          <w:color w:val="222222"/>
          <w:szCs w:val="24"/>
          <w:shd w:val="clear" w:color="auto" w:fill="FFFFFF"/>
        </w:rPr>
        <w:t>, </w:t>
      </w:r>
      <w:r w:rsidRPr="00733550">
        <w:rPr>
          <w:bCs/>
          <w:i/>
          <w:iCs/>
          <w:color w:val="222222"/>
          <w:szCs w:val="24"/>
          <w:shd w:val="clear" w:color="auto" w:fill="FFFFFF"/>
        </w:rPr>
        <w:t>15</w:t>
      </w:r>
      <w:r w:rsidRPr="00733550">
        <w:rPr>
          <w:bCs/>
          <w:color w:val="222222"/>
          <w:szCs w:val="24"/>
          <w:shd w:val="clear" w:color="auto" w:fill="FFFFFF"/>
        </w:rPr>
        <w:t>(1), 231-248.</w:t>
      </w:r>
    </w:p>
    <w:p w14:paraId="364E1891" w14:textId="77777777" w:rsidR="00733550" w:rsidRPr="00733550" w:rsidRDefault="00733550" w:rsidP="00733550">
      <w:pPr>
        <w:tabs>
          <w:tab w:val="left" w:pos="630"/>
        </w:tabs>
        <w:spacing w:after="0" w:line="240" w:lineRule="auto"/>
        <w:ind w:left="540" w:hanging="540"/>
        <w:rPr>
          <w:bCs/>
          <w:color w:val="222222"/>
          <w:szCs w:val="24"/>
          <w:shd w:val="clear" w:color="auto" w:fill="FFFFFF"/>
        </w:rPr>
      </w:pPr>
      <w:proofErr w:type="spellStart"/>
      <w:r w:rsidRPr="00733550">
        <w:rPr>
          <w:bCs/>
          <w:color w:val="222222"/>
          <w:szCs w:val="24"/>
          <w:shd w:val="clear" w:color="auto" w:fill="FFFFFF"/>
        </w:rPr>
        <w:t>Mariotti</w:t>
      </w:r>
      <w:proofErr w:type="spellEnd"/>
      <w:r w:rsidRPr="00733550">
        <w:rPr>
          <w:bCs/>
          <w:color w:val="222222"/>
          <w:szCs w:val="24"/>
          <w:shd w:val="clear" w:color="auto" w:fill="FFFFFF"/>
        </w:rPr>
        <w:t>, I., Di Matteo, D., and Rossi, F. (2022). Who were the losers and winners during the Covid-19 pandemic? The rise of remote working in suburban areas. </w:t>
      </w:r>
      <w:r w:rsidRPr="00733550">
        <w:rPr>
          <w:bCs/>
          <w:i/>
          <w:iCs/>
          <w:color w:val="222222"/>
          <w:szCs w:val="24"/>
          <w:shd w:val="clear" w:color="auto" w:fill="FFFFFF"/>
        </w:rPr>
        <w:t>Regional Studies, Regional Science</w:t>
      </w:r>
      <w:r w:rsidRPr="00733550">
        <w:rPr>
          <w:bCs/>
          <w:color w:val="222222"/>
          <w:szCs w:val="24"/>
          <w:shd w:val="clear" w:color="auto" w:fill="FFFFFF"/>
        </w:rPr>
        <w:t>, </w:t>
      </w:r>
      <w:r w:rsidRPr="00733550">
        <w:rPr>
          <w:bCs/>
          <w:i/>
          <w:iCs/>
          <w:color w:val="222222"/>
          <w:szCs w:val="24"/>
          <w:shd w:val="clear" w:color="auto" w:fill="FFFFFF"/>
        </w:rPr>
        <w:t>9</w:t>
      </w:r>
      <w:r w:rsidRPr="00733550">
        <w:rPr>
          <w:bCs/>
          <w:color w:val="222222"/>
          <w:szCs w:val="24"/>
          <w:shd w:val="clear" w:color="auto" w:fill="FFFFFF"/>
        </w:rPr>
        <w:t>(1), 685-708.</w:t>
      </w:r>
    </w:p>
    <w:p w14:paraId="6D115474" w14:textId="77777777" w:rsidR="00733550" w:rsidRPr="00733550" w:rsidRDefault="00733550" w:rsidP="00681AAB">
      <w:pPr>
        <w:tabs>
          <w:tab w:val="left" w:pos="630"/>
        </w:tabs>
        <w:autoSpaceDE w:val="0"/>
        <w:autoSpaceDN w:val="0"/>
        <w:adjustRightInd w:val="0"/>
        <w:spacing w:after="0" w:line="240" w:lineRule="auto"/>
        <w:ind w:left="540" w:hanging="540"/>
        <w:rPr>
          <w:szCs w:val="24"/>
        </w:rPr>
      </w:pPr>
      <w:r w:rsidRPr="00733550">
        <w:rPr>
          <w:szCs w:val="24"/>
        </w:rPr>
        <w:t xml:space="preserve">McFadden, D. (1977). Quantitative Methods for Analyzing Travel Behaviour of Individuals: Some Recent Developments, Cowles Foundation Discussion Papers. 707. </w:t>
      </w:r>
      <w:hyperlink r:id="rId413" w:history="1">
        <w:r w:rsidRPr="00733550">
          <w:rPr>
            <w:rStyle w:val="Hyperlink"/>
            <w:szCs w:val="24"/>
          </w:rPr>
          <w:t>https://elischolar.library.yale.edu/cowles-discussion-paper-series/707</w:t>
        </w:r>
      </w:hyperlink>
      <w:r w:rsidRPr="00733550">
        <w:rPr>
          <w:szCs w:val="24"/>
        </w:rPr>
        <w:t xml:space="preserve">, accessed December 10, 2023. </w:t>
      </w:r>
    </w:p>
    <w:p w14:paraId="4CE1E7EA" w14:textId="78C60FA4" w:rsidR="00733550" w:rsidRPr="00733550" w:rsidRDefault="00733550" w:rsidP="00681AAB">
      <w:pPr>
        <w:tabs>
          <w:tab w:val="left" w:pos="630"/>
        </w:tabs>
        <w:autoSpaceDE w:val="0"/>
        <w:autoSpaceDN w:val="0"/>
        <w:adjustRightInd w:val="0"/>
        <w:spacing w:after="0" w:line="240" w:lineRule="auto"/>
        <w:ind w:left="540" w:hanging="540"/>
        <w:rPr>
          <w:szCs w:val="24"/>
        </w:rPr>
      </w:pPr>
      <w:r w:rsidRPr="00733550">
        <w:rPr>
          <w:szCs w:val="24"/>
        </w:rPr>
        <w:t xml:space="preserve">McLachlan, G. J., and Peel, D. (2000). </w:t>
      </w:r>
      <w:r w:rsidRPr="00C07C76">
        <w:rPr>
          <w:i/>
          <w:iCs/>
          <w:szCs w:val="24"/>
        </w:rPr>
        <w:t>Finite Mixture Models</w:t>
      </w:r>
      <w:r w:rsidRPr="00733550">
        <w:rPr>
          <w:szCs w:val="24"/>
        </w:rPr>
        <w:t>. Wiley</w:t>
      </w:r>
      <w:r w:rsidR="00220225">
        <w:rPr>
          <w:szCs w:val="24"/>
        </w:rPr>
        <w:t>,</w:t>
      </w:r>
      <w:r w:rsidR="00220225" w:rsidRPr="00220225">
        <w:rPr>
          <w:szCs w:val="24"/>
        </w:rPr>
        <w:t xml:space="preserve"> </w:t>
      </w:r>
      <w:r w:rsidR="00220225" w:rsidRPr="00733550">
        <w:rPr>
          <w:szCs w:val="24"/>
        </w:rPr>
        <w:t>New York</w:t>
      </w:r>
      <w:r w:rsidRPr="00733550">
        <w:rPr>
          <w:szCs w:val="24"/>
        </w:rPr>
        <w:t xml:space="preserve">. </w:t>
      </w:r>
    </w:p>
    <w:p w14:paraId="118AECEE" w14:textId="7F370765" w:rsidR="00733550" w:rsidRPr="00733550" w:rsidRDefault="00733550" w:rsidP="00681AAB">
      <w:pPr>
        <w:tabs>
          <w:tab w:val="left" w:pos="630"/>
        </w:tabs>
        <w:autoSpaceDE w:val="0"/>
        <w:autoSpaceDN w:val="0"/>
        <w:adjustRightInd w:val="0"/>
        <w:spacing w:after="0" w:line="240" w:lineRule="auto"/>
        <w:ind w:left="540" w:hanging="540"/>
        <w:rPr>
          <w:szCs w:val="24"/>
        </w:rPr>
      </w:pPr>
      <w:bookmarkStart w:id="52" w:name="_Hlk126060801"/>
      <w:r w:rsidRPr="00733550">
        <w:rPr>
          <w:szCs w:val="24"/>
        </w:rPr>
        <w:t xml:space="preserve">McLachlan, G. J., Lee, S. X., and </w:t>
      </w:r>
      <w:proofErr w:type="spellStart"/>
      <w:r w:rsidRPr="00733550">
        <w:rPr>
          <w:szCs w:val="24"/>
        </w:rPr>
        <w:t>Rathnayake</w:t>
      </w:r>
      <w:proofErr w:type="spellEnd"/>
      <w:r w:rsidRPr="00733550">
        <w:rPr>
          <w:szCs w:val="24"/>
        </w:rPr>
        <w:t>, S. I</w:t>
      </w:r>
      <w:r w:rsidR="00681AAB">
        <w:rPr>
          <w:szCs w:val="24"/>
        </w:rPr>
        <w:t>.</w:t>
      </w:r>
      <w:r w:rsidRPr="00733550">
        <w:rPr>
          <w:szCs w:val="24"/>
        </w:rPr>
        <w:t xml:space="preserve"> (2019). Finite </w:t>
      </w:r>
      <w:r w:rsidR="00220225">
        <w:rPr>
          <w:szCs w:val="24"/>
        </w:rPr>
        <w:t>m</w:t>
      </w:r>
      <w:r w:rsidRPr="00733550">
        <w:rPr>
          <w:szCs w:val="24"/>
        </w:rPr>
        <w:t xml:space="preserve">ixture </w:t>
      </w:r>
      <w:r w:rsidR="00220225">
        <w:rPr>
          <w:szCs w:val="24"/>
        </w:rPr>
        <w:t>m</w:t>
      </w:r>
      <w:r w:rsidRPr="00733550">
        <w:rPr>
          <w:szCs w:val="24"/>
        </w:rPr>
        <w:t xml:space="preserve">odels. </w:t>
      </w:r>
      <w:r w:rsidRPr="00733550">
        <w:rPr>
          <w:i/>
          <w:iCs/>
          <w:szCs w:val="24"/>
        </w:rPr>
        <w:t>Annual Review of Statistics and Its Applications, 6</w:t>
      </w:r>
      <w:r w:rsidRPr="00733550">
        <w:rPr>
          <w:szCs w:val="24"/>
        </w:rPr>
        <w:t xml:space="preserve">, 355-378. </w:t>
      </w:r>
    </w:p>
    <w:p w14:paraId="19B00FAD" w14:textId="5CFFCA7D" w:rsidR="00733550" w:rsidRPr="00733550" w:rsidRDefault="00733550" w:rsidP="00681AAB">
      <w:pPr>
        <w:tabs>
          <w:tab w:val="left" w:pos="630"/>
        </w:tabs>
        <w:autoSpaceDE w:val="0"/>
        <w:autoSpaceDN w:val="0"/>
        <w:adjustRightInd w:val="0"/>
        <w:spacing w:after="0" w:line="240" w:lineRule="auto"/>
        <w:ind w:left="540" w:hanging="540"/>
        <w:rPr>
          <w:szCs w:val="24"/>
        </w:rPr>
      </w:pPr>
      <w:r w:rsidRPr="00733550">
        <w:rPr>
          <w:szCs w:val="24"/>
        </w:rPr>
        <w:t xml:space="preserve">McNicholas, P. D. (2016). </w:t>
      </w:r>
      <w:r w:rsidR="00C07C76" w:rsidRPr="00C07C76">
        <w:rPr>
          <w:i/>
          <w:iCs/>
        </w:rPr>
        <w:t>Mixture Model-Based Classification</w:t>
      </w:r>
      <w:r w:rsidR="00C07C76" w:rsidRPr="00C07C76">
        <w:t xml:space="preserve"> (1st ed.). Chapman and Hall/CRC</w:t>
      </w:r>
      <w:r w:rsidRPr="00733550">
        <w:rPr>
          <w:szCs w:val="24"/>
        </w:rPr>
        <w:t>.</w:t>
      </w:r>
    </w:p>
    <w:bookmarkEnd w:id="52"/>
    <w:p w14:paraId="12560F95" w14:textId="184FCDA9" w:rsidR="00733550" w:rsidRPr="00733550" w:rsidRDefault="00733550" w:rsidP="00681AAB">
      <w:pPr>
        <w:tabs>
          <w:tab w:val="left" w:pos="630"/>
        </w:tabs>
        <w:autoSpaceDE w:val="0"/>
        <w:autoSpaceDN w:val="0"/>
        <w:adjustRightInd w:val="0"/>
        <w:spacing w:after="0" w:line="240" w:lineRule="auto"/>
        <w:ind w:left="540" w:hanging="540"/>
        <w:jc w:val="left"/>
        <w:rPr>
          <w:szCs w:val="24"/>
        </w:rPr>
      </w:pPr>
      <w:r w:rsidRPr="00733550">
        <w:rPr>
          <w:color w:val="222222"/>
          <w:szCs w:val="24"/>
          <w:shd w:val="clear" w:color="auto" w:fill="FFFFFF"/>
        </w:rPr>
        <w:t>Melo, P.</w:t>
      </w:r>
      <w:r w:rsidR="00681AAB">
        <w:rPr>
          <w:color w:val="222222"/>
          <w:szCs w:val="24"/>
          <w:shd w:val="clear" w:color="auto" w:fill="FFFFFF"/>
        </w:rPr>
        <w:t xml:space="preserve"> </w:t>
      </w:r>
      <w:r w:rsidRPr="00733550">
        <w:rPr>
          <w:color w:val="222222"/>
          <w:szCs w:val="24"/>
          <w:shd w:val="clear" w:color="auto" w:fill="FFFFFF"/>
        </w:rPr>
        <w:t xml:space="preserve">C., and </w:t>
      </w:r>
      <w:r w:rsidR="00637483">
        <w:rPr>
          <w:color w:val="222222"/>
          <w:szCs w:val="24"/>
          <w:shd w:val="clear" w:color="auto" w:fill="FFFFFF"/>
        </w:rPr>
        <w:t>de Abr</w:t>
      </w:r>
      <w:r w:rsidRPr="00733550">
        <w:rPr>
          <w:color w:val="222222"/>
          <w:szCs w:val="24"/>
          <w:shd w:val="clear" w:color="auto" w:fill="FFFFFF"/>
        </w:rPr>
        <w:t>e</w:t>
      </w:r>
      <w:r w:rsidR="00637483">
        <w:rPr>
          <w:color w:val="222222"/>
          <w:szCs w:val="24"/>
          <w:shd w:val="clear" w:color="auto" w:fill="FFFFFF"/>
        </w:rPr>
        <w:t>u e</w:t>
      </w:r>
      <w:r w:rsidRPr="00733550">
        <w:rPr>
          <w:color w:val="222222"/>
          <w:szCs w:val="24"/>
          <w:shd w:val="clear" w:color="auto" w:fill="FFFFFF"/>
        </w:rPr>
        <w:t xml:space="preserve"> Silva, J.</w:t>
      </w:r>
      <w:r w:rsidR="00681AAB">
        <w:rPr>
          <w:color w:val="222222"/>
          <w:szCs w:val="24"/>
          <w:shd w:val="clear" w:color="auto" w:fill="FFFFFF"/>
        </w:rPr>
        <w:t xml:space="preserve"> </w:t>
      </w:r>
      <w:r w:rsidRPr="00733550">
        <w:rPr>
          <w:color w:val="222222"/>
          <w:szCs w:val="24"/>
          <w:shd w:val="clear" w:color="auto" w:fill="FFFFFF"/>
        </w:rPr>
        <w:t xml:space="preserve">(2017). Home </w:t>
      </w:r>
      <w:proofErr w:type="gramStart"/>
      <w:r w:rsidRPr="00733550">
        <w:rPr>
          <w:color w:val="222222"/>
          <w:szCs w:val="24"/>
          <w:shd w:val="clear" w:color="auto" w:fill="FFFFFF"/>
        </w:rPr>
        <w:t>telework</w:t>
      </w:r>
      <w:proofErr w:type="gramEnd"/>
      <w:r w:rsidRPr="00733550">
        <w:rPr>
          <w:color w:val="222222"/>
          <w:szCs w:val="24"/>
          <w:shd w:val="clear" w:color="auto" w:fill="FFFFFF"/>
        </w:rPr>
        <w:t xml:space="preserve"> and household commuting patterns in Great Britain. </w:t>
      </w:r>
      <w:r w:rsidRPr="00733550">
        <w:rPr>
          <w:i/>
          <w:iCs/>
          <w:color w:val="222222"/>
          <w:szCs w:val="24"/>
          <w:shd w:val="clear" w:color="auto" w:fill="FFFFFF"/>
        </w:rPr>
        <w:t>Transportation Research Part A</w:t>
      </w:r>
      <w:r w:rsidRPr="00733550">
        <w:rPr>
          <w:color w:val="222222"/>
          <w:szCs w:val="24"/>
          <w:shd w:val="clear" w:color="auto" w:fill="FFFFFF"/>
        </w:rPr>
        <w:t>, </w:t>
      </w:r>
      <w:r w:rsidRPr="00733550">
        <w:rPr>
          <w:i/>
          <w:iCs/>
          <w:color w:val="222222"/>
          <w:szCs w:val="24"/>
          <w:shd w:val="clear" w:color="auto" w:fill="FFFFFF"/>
        </w:rPr>
        <w:t>103</w:t>
      </w:r>
      <w:r w:rsidRPr="00733550">
        <w:rPr>
          <w:color w:val="222222"/>
          <w:szCs w:val="24"/>
          <w:shd w:val="clear" w:color="auto" w:fill="FFFFFF"/>
        </w:rPr>
        <w:t>, 1-24.</w:t>
      </w:r>
    </w:p>
    <w:p w14:paraId="0AA06F4B" w14:textId="71C89E0B" w:rsidR="00733550" w:rsidRPr="00733550" w:rsidRDefault="00733550" w:rsidP="00733550">
      <w:pPr>
        <w:tabs>
          <w:tab w:val="left" w:pos="630"/>
        </w:tabs>
        <w:spacing w:after="0" w:line="240" w:lineRule="auto"/>
        <w:ind w:left="540" w:hanging="540"/>
        <w:rPr>
          <w:bCs/>
          <w:color w:val="222222"/>
          <w:szCs w:val="24"/>
          <w:shd w:val="clear" w:color="auto" w:fill="FFFFFF"/>
        </w:rPr>
      </w:pPr>
      <w:proofErr w:type="spellStart"/>
      <w:r w:rsidRPr="00733550">
        <w:rPr>
          <w:szCs w:val="24"/>
        </w:rPr>
        <w:t>Mergener</w:t>
      </w:r>
      <w:proofErr w:type="spellEnd"/>
      <w:r w:rsidRPr="00733550">
        <w:rPr>
          <w:szCs w:val="24"/>
        </w:rPr>
        <w:t xml:space="preserve">, A., and </w:t>
      </w:r>
      <w:proofErr w:type="spellStart"/>
      <w:r w:rsidRPr="00733550">
        <w:rPr>
          <w:szCs w:val="24"/>
        </w:rPr>
        <w:t>Mansfeld</w:t>
      </w:r>
      <w:proofErr w:type="spellEnd"/>
      <w:r w:rsidRPr="00733550">
        <w:rPr>
          <w:szCs w:val="24"/>
        </w:rPr>
        <w:t xml:space="preserve">, L. (2021). Being spatially mobile without daily commuting? How </w:t>
      </w:r>
      <w:r w:rsidR="00C07C76">
        <w:rPr>
          <w:szCs w:val="24"/>
        </w:rPr>
        <w:t>w</w:t>
      </w:r>
      <w:r w:rsidRPr="00733550">
        <w:rPr>
          <w:szCs w:val="24"/>
        </w:rPr>
        <w:t xml:space="preserve">orking from </w:t>
      </w:r>
      <w:r w:rsidR="00C07C76">
        <w:rPr>
          <w:szCs w:val="24"/>
        </w:rPr>
        <w:t>h</w:t>
      </w:r>
      <w:r w:rsidRPr="00733550">
        <w:rPr>
          <w:szCs w:val="24"/>
        </w:rPr>
        <w:t>ome patterns relate to company-home distances. BIBB-Preprint. Federal Institute for Vocational Education and Training</w:t>
      </w:r>
      <w:r w:rsidRPr="00733550">
        <w:rPr>
          <w:bCs/>
          <w:color w:val="222222"/>
          <w:szCs w:val="24"/>
          <w:shd w:val="clear" w:color="auto" w:fill="FFFFFF"/>
        </w:rPr>
        <w:t xml:space="preserve">, </w:t>
      </w:r>
      <w:r w:rsidRPr="00733550">
        <w:rPr>
          <w:szCs w:val="24"/>
        </w:rPr>
        <w:t xml:space="preserve">Bonn. </w:t>
      </w:r>
    </w:p>
    <w:p w14:paraId="47DA5182" w14:textId="17174EBB" w:rsidR="00733550" w:rsidRPr="00733550" w:rsidRDefault="00733550" w:rsidP="00733550">
      <w:pPr>
        <w:tabs>
          <w:tab w:val="left" w:pos="630"/>
        </w:tabs>
        <w:spacing w:after="0" w:line="240" w:lineRule="auto"/>
        <w:ind w:left="540" w:hanging="540"/>
        <w:rPr>
          <w:bCs/>
          <w:color w:val="222222"/>
          <w:szCs w:val="24"/>
          <w:shd w:val="clear" w:color="auto" w:fill="FFFFFF"/>
        </w:rPr>
      </w:pPr>
      <w:r w:rsidRPr="00733550">
        <w:rPr>
          <w:szCs w:val="24"/>
        </w:rPr>
        <w:t>Mitra, S.</w:t>
      </w:r>
      <w:r w:rsidR="00681AAB">
        <w:rPr>
          <w:szCs w:val="24"/>
        </w:rPr>
        <w:t xml:space="preserve"> </w:t>
      </w:r>
      <w:r w:rsidRPr="00733550">
        <w:rPr>
          <w:szCs w:val="24"/>
        </w:rPr>
        <w:t xml:space="preserve">K., and </w:t>
      </w:r>
      <w:proofErr w:type="spellStart"/>
      <w:r w:rsidRPr="00733550">
        <w:rPr>
          <w:szCs w:val="24"/>
        </w:rPr>
        <w:t>Saphores</w:t>
      </w:r>
      <w:proofErr w:type="spellEnd"/>
      <w:r w:rsidRPr="00733550">
        <w:rPr>
          <w:szCs w:val="24"/>
        </w:rPr>
        <w:t>, J.</w:t>
      </w:r>
      <w:r w:rsidR="00681AAB">
        <w:rPr>
          <w:szCs w:val="24"/>
        </w:rPr>
        <w:t xml:space="preserve"> </w:t>
      </w:r>
      <w:r w:rsidRPr="00733550">
        <w:rPr>
          <w:szCs w:val="24"/>
        </w:rPr>
        <w:t>D.</w:t>
      </w:r>
      <w:r w:rsidR="00681AAB">
        <w:rPr>
          <w:szCs w:val="24"/>
        </w:rPr>
        <w:t xml:space="preserve"> </w:t>
      </w:r>
      <w:r w:rsidRPr="00733550">
        <w:rPr>
          <w:szCs w:val="24"/>
        </w:rPr>
        <w:t>M. (2019). Why do they live so far from work? Determinants</w:t>
      </w:r>
      <w:r w:rsidRPr="00733550">
        <w:rPr>
          <w:szCs w:val="24"/>
          <w:shd w:val="clear" w:color="auto" w:fill="FFFFFF"/>
        </w:rPr>
        <w:t xml:space="preserve"> </w:t>
      </w:r>
      <w:r w:rsidRPr="00733550">
        <w:rPr>
          <w:color w:val="222222"/>
          <w:szCs w:val="24"/>
          <w:shd w:val="clear" w:color="auto" w:fill="FFFFFF"/>
        </w:rPr>
        <w:t>of long-distance commuting in California. </w:t>
      </w:r>
      <w:r w:rsidRPr="00733550">
        <w:rPr>
          <w:i/>
          <w:iCs/>
          <w:color w:val="222222"/>
          <w:szCs w:val="24"/>
          <w:shd w:val="clear" w:color="auto" w:fill="FFFFFF"/>
        </w:rPr>
        <w:t>Journal of Transport Geography</w:t>
      </w:r>
      <w:r w:rsidRPr="00733550">
        <w:rPr>
          <w:color w:val="222222"/>
          <w:szCs w:val="24"/>
          <w:shd w:val="clear" w:color="auto" w:fill="FFFFFF"/>
        </w:rPr>
        <w:t>, </w:t>
      </w:r>
      <w:r w:rsidRPr="00733550">
        <w:rPr>
          <w:i/>
          <w:iCs/>
          <w:color w:val="222222"/>
          <w:szCs w:val="24"/>
          <w:shd w:val="clear" w:color="auto" w:fill="FFFFFF"/>
        </w:rPr>
        <w:t>80</w:t>
      </w:r>
      <w:r w:rsidRPr="00733550">
        <w:rPr>
          <w:color w:val="222222"/>
          <w:szCs w:val="24"/>
          <w:shd w:val="clear" w:color="auto" w:fill="FFFFFF"/>
        </w:rPr>
        <w:t>, 102489.</w:t>
      </w:r>
    </w:p>
    <w:p w14:paraId="1D75CA16" w14:textId="7434145A" w:rsidR="00733550" w:rsidRPr="00733550" w:rsidRDefault="00733550" w:rsidP="00733550">
      <w:pPr>
        <w:tabs>
          <w:tab w:val="left" w:pos="630"/>
        </w:tabs>
        <w:spacing w:after="0" w:line="240" w:lineRule="auto"/>
        <w:ind w:left="540" w:hanging="540"/>
        <w:rPr>
          <w:b/>
          <w:szCs w:val="24"/>
        </w:rPr>
      </w:pPr>
      <w:bookmarkStart w:id="53" w:name="_Hlk126061503"/>
      <w:r w:rsidRPr="00733550">
        <w:rPr>
          <w:color w:val="222222"/>
          <w:szCs w:val="24"/>
          <w:shd w:val="clear" w:color="auto" w:fill="FFFFFF"/>
        </w:rPr>
        <w:t>Mokhtarian, P.</w:t>
      </w:r>
      <w:r w:rsidR="00681AAB">
        <w:rPr>
          <w:color w:val="222222"/>
          <w:szCs w:val="24"/>
          <w:shd w:val="clear" w:color="auto" w:fill="FFFFFF"/>
        </w:rPr>
        <w:t xml:space="preserve"> </w:t>
      </w:r>
      <w:r w:rsidRPr="00733550">
        <w:rPr>
          <w:color w:val="222222"/>
          <w:szCs w:val="24"/>
          <w:shd w:val="clear" w:color="auto" w:fill="FFFFFF"/>
        </w:rPr>
        <w:t>L. (1991). An empirical analysis of the travel impacts of telecommuting. In </w:t>
      </w:r>
      <w:r w:rsidRPr="00733550">
        <w:rPr>
          <w:i/>
          <w:iCs/>
          <w:color w:val="222222"/>
          <w:szCs w:val="24"/>
          <w:shd w:val="clear" w:color="auto" w:fill="FFFFFF"/>
        </w:rPr>
        <w:t>Proceedings, 6th International Conference on Travel Behavior</w:t>
      </w:r>
      <w:r w:rsidRPr="00733550">
        <w:rPr>
          <w:color w:val="222222"/>
          <w:szCs w:val="24"/>
          <w:shd w:val="clear" w:color="auto" w:fill="FFFFFF"/>
        </w:rPr>
        <w:t xml:space="preserve">, </w:t>
      </w:r>
      <w:r w:rsidRPr="00733550">
        <w:rPr>
          <w:i/>
          <w:color w:val="222222"/>
          <w:szCs w:val="24"/>
          <w:shd w:val="clear" w:color="auto" w:fill="FFFFFF"/>
        </w:rPr>
        <w:t>1</w:t>
      </w:r>
      <w:r w:rsidRPr="00733550">
        <w:rPr>
          <w:color w:val="222222"/>
          <w:szCs w:val="24"/>
          <w:shd w:val="clear" w:color="auto" w:fill="FFFFFF"/>
        </w:rPr>
        <w:t>, 147-160.</w:t>
      </w:r>
    </w:p>
    <w:bookmarkEnd w:id="53"/>
    <w:p w14:paraId="4AD66A02" w14:textId="7C937818" w:rsidR="00733550" w:rsidRPr="00733550" w:rsidRDefault="00733550" w:rsidP="00733550">
      <w:pPr>
        <w:tabs>
          <w:tab w:val="left" w:pos="630"/>
        </w:tabs>
        <w:spacing w:after="0" w:line="240" w:lineRule="auto"/>
        <w:ind w:left="540" w:hanging="540"/>
        <w:rPr>
          <w:bCs/>
          <w:color w:val="222222"/>
          <w:szCs w:val="24"/>
          <w:shd w:val="clear" w:color="auto" w:fill="FFFFFF"/>
        </w:rPr>
      </w:pPr>
      <w:r w:rsidRPr="00733550">
        <w:rPr>
          <w:bCs/>
          <w:color w:val="222222"/>
          <w:szCs w:val="24"/>
          <w:shd w:val="clear" w:color="auto" w:fill="FFFFFF"/>
        </w:rPr>
        <w:t>Mokhtarian, P.</w:t>
      </w:r>
      <w:r w:rsidR="00681AAB">
        <w:rPr>
          <w:bCs/>
          <w:color w:val="222222"/>
          <w:szCs w:val="24"/>
          <w:shd w:val="clear" w:color="auto" w:fill="FFFFFF"/>
        </w:rPr>
        <w:t xml:space="preserve"> </w:t>
      </w:r>
      <w:r w:rsidRPr="00733550">
        <w:rPr>
          <w:bCs/>
          <w:color w:val="222222"/>
          <w:szCs w:val="24"/>
          <w:shd w:val="clear" w:color="auto" w:fill="FFFFFF"/>
        </w:rPr>
        <w:t xml:space="preserve">L., </w:t>
      </w:r>
      <w:proofErr w:type="spellStart"/>
      <w:r w:rsidRPr="00733550">
        <w:rPr>
          <w:bCs/>
          <w:color w:val="222222"/>
          <w:szCs w:val="24"/>
          <w:shd w:val="clear" w:color="auto" w:fill="FFFFFF"/>
        </w:rPr>
        <w:t>Collantes</w:t>
      </w:r>
      <w:proofErr w:type="spellEnd"/>
      <w:r w:rsidRPr="00733550">
        <w:rPr>
          <w:bCs/>
          <w:color w:val="222222"/>
          <w:szCs w:val="24"/>
          <w:shd w:val="clear" w:color="auto" w:fill="FFFFFF"/>
        </w:rPr>
        <w:t>, G.</w:t>
      </w:r>
      <w:r w:rsidR="00681AAB">
        <w:rPr>
          <w:bCs/>
          <w:color w:val="222222"/>
          <w:szCs w:val="24"/>
          <w:shd w:val="clear" w:color="auto" w:fill="FFFFFF"/>
        </w:rPr>
        <w:t xml:space="preserve"> </w:t>
      </w:r>
      <w:r w:rsidRPr="00733550">
        <w:rPr>
          <w:bCs/>
          <w:color w:val="222222"/>
          <w:szCs w:val="24"/>
          <w:shd w:val="clear" w:color="auto" w:fill="FFFFFF"/>
        </w:rPr>
        <w:t>O., and Gertz, C. (2004). Telecommuting, residential location, and commute-distance traveled: evidence from State of California employees. </w:t>
      </w:r>
      <w:r w:rsidRPr="00733550">
        <w:rPr>
          <w:bCs/>
          <w:i/>
          <w:iCs/>
          <w:color w:val="222222"/>
          <w:szCs w:val="24"/>
          <w:shd w:val="clear" w:color="auto" w:fill="FFFFFF"/>
        </w:rPr>
        <w:t>Environment and Planning A</w:t>
      </w:r>
      <w:r w:rsidRPr="00733550">
        <w:rPr>
          <w:bCs/>
          <w:color w:val="222222"/>
          <w:szCs w:val="24"/>
          <w:shd w:val="clear" w:color="auto" w:fill="FFFFFF"/>
        </w:rPr>
        <w:t>, </w:t>
      </w:r>
      <w:r w:rsidRPr="00733550">
        <w:rPr>
          <w:bCs/>
          <w:i/>
          <w:iCs/>
          <w:color w:val="222222"/>
          <w:szCs w:val="24"/>
          <w:shd w:val="clear" w:color="auto" w:fill="FFFFFF"/>
        </w:rPr>
        <w:t>36</w:t>
      </w:r>
      <w:r w:rsidRPr="00733550">
        <w:rPr>
          <w:bCs/>
          <w:color w:val="222222"/>
          <w:szCs w:val="24"/>
          <w:shd w:val="clear" w:color="auto" w:fill="FFFFFF"/>
        </w:rPr>
        <w:t>(10), 1877-1897.</w:t>
      </w:r>
    </w:p>
    <w:p w14:paraId="1EADBB86" w14:textId="77777777" w:rsidR="00733550" w:rsidRPr="00733550" w:rsidRDefault="00733550" w:rsidP="00733550">
      <w:pPr>
        <w:tabs>
          <w:tab w:val="left" w:pos="630"/>
        </w:tabs>
        <w:spacing w:after="0" w:line="240" w:lineRule="auto"/>
        <w:ind w:left="540" w:hanging="540"/>
        <w:rPr>
          <w:bCs/>
          <w:color w:val="222222"/>
          <w:szCs w:val="24"/>
          <w:shd w:val="clear" w:color="auto" w:fill="FFFFFF"/>
        </w:rPr>
      </w:pPr>
      <w:proofErr w:type="spellStart"/>
      <w:r w:rsidRPr="00733550">
        <w:rPr>
          <w:bCs/>
          <w:color w:val="222222"/>
          <w:szCs w:val="24"/>
          <w:shd w:val="clear" w:color="auto" w:fill="FFFFFF"/>
        </w:rPr>
        <w:t>Mouratidis</w:t>
      </w:r>
      <w:proofErr w:type="spellEnd"/>
      <w:r w:rsidRPr="00733550">
        <w:rPr>
          <w:bCs/>
          <w:color w:val="222222"/>
          <w:szCs w:val="24"/>
          <w:shd w:val="clear" w:color="auto" w:fill="FFFFFF"/>
        </w:rPr>
        <w:t xml:space="preserve">, G. (2018). Digital nomads: Travel, remote work and alternative lifestyles. </w:t>
      </w:r>
      <w:r w:rsidRPr="00733550">
        <w:rPr>
          <w:bCs/>
          <w:i/>
          <w:color w:val="222222"/>
          <w:szCs w:val="24"/>
          <w:shd w:val="clear" w:color="auto" w:fill="FFFFFF"/>
        </w:rPr>
        <w:t>MS Thesis</w:t>
      </w:r>
      <w:r w:rsidRPr="00733550">
        <w:rPr>
          <w:bCs/>
          <w:color w:val="222222"/>
          <w:szCs w:val="24"/>
          <w:shd w:val="clear" w:color="auto" w:fill="FFFFFF"/>
        </w:rPr>
        <w:t>, Department of Applied Cultural Analysis, Lund University.</w:t>
      </w:r>
    </w:p>
    <w:p w14:paraId="09FFD3A2" w14:textId="40733E09" w:rsidR="00733550" w:rsidRPr="00733550" w:rsidRDefault="00733550" w:rsidP="00733550">
      <w:pPr>
        <w:tabs>
          <w:tab w:val="left" w:pos="630"/>
        </w:tabs>
        <w:spacing w:after="0" w:line="240" w:lineRule="auto"/>
        <w:ind w:left="540" w:hanging="540"/>
        <w:rPr>
          <w:bCs/>
          <w:color w:val="222222"/>
          <w:szCs w:val="24"/>
          <w:shd w:val="clear" w:color="auto" w:fill="FFFFFF"/>
        </w:rPr>
      </w:pPr>
      <w:bookmarkStart w:id="54" w:name="_Hlk126061915"/>
      <w:r w:rsidRPr="00733550">
        <w:rPr>
          <w:bCs/>
          <w:color w:val="222222"/>
          <w:szCs w:val="24"/>
          <w:shd w:val="clear" w:color="auto" w:fill="FFFFFF"/>
        </w:rPr>
        <w:t xml:space="preserve">Muhammad, S., </w:t>
      </w:r>
      <w:proofErr w:type="spellStart"/>
      <w:r w:rsidRPr="00733550">
        <w:rPr>
          <w:bCs/>
          <w:color w:val="222222"/>
          <w:szCs w:val="24"/>
          <w:shd w:val="clear" w:color="auto" w:fill="FFFFFF"/>
        </w:rPr>
        <w:t>Ottens</w:t>
      </w:r>
      <w:proofErr w:type="spellEnd"/>
      <w:r w:rsidRPr="00733550">
        <w:rPr>
          <w:bCs/>
          <w:color w:val="222222"/>
          <w:szCs w:val="24"/>
          <w:shd w:val="clear" w:color="auto" w:fill="FFFFFF"/>
        </w:rPr>
        <w:t>, H.</w:t>
      </w:r>
      <w:r w:rsidR="00681AAB">
        <w:rPr>
          <w:bCs/>
          <w:color w:val="222222"/>
          <w:szCs w:val="24"/>
          <w:shd w:val="clear" w:color="auto" w:fill="FFFFFF"/>
        </w:rPr>
        <w:t xml:space="preserve"> </w:t>
      </w:r>
      <w:r w:rsidRPr="00733550">
        <w:rPr>
          <w:bCs/>
          <w:color w:val="222222"/>
          <w:szCs w:val="24"/>
          <w:shd w:val="clear" w:color="auto" w:fill="FFFFFF"/>
        </w:rPr>
        <w:t xml:space="preserve">F., </w:t>
      </w:r>
      <w:proofErr w:type="spellStart"/>
      <w:r w:rsidRPr="00733550">
        <w:rPr>
          <w:bCs/>
          <w:color w:val="222222"/>
          <w:szCs w:val="24"/>
          <w:shd w:val="clear" w:color="auto" w:fill="FFFFFF"/>
        </w:rPr>
        <w:t>Ettema</w:t>
      </w:r>
      <w:proofErr w:type="spellEnd"/>
      <w:r w:rsidRPr="00733550">
        <w:rPr>
          <w:bCs/>
          <w:color w:val="222222"/>
          <w:szCs w:val="24"/>
          <w:shd w:val="clear" w:color="auto" w:fill="FFFFFF"/>
        </w:rPr>
        <w:t>, D., and de Jong, T. (2007). Telecommuting and residential locational preferences: A case study of the Netherlands. </w:t>
      </w:r>
      <w:r w:rsidRPr="00733550">
        <w:rPr>
          <w:bCs/>
          <w:i/>
          <w:iCs/>
          <w:color w:val="222222"/>
          <w:szCs w:val="24"/>
          <w:shd w:val="clear" w:color="auto" w:fill="FFFFFF"/>
        </w:rPr>
        <w:t>Journal of Housing and the Built Environment</w:t>
      </w:r>
      <w:r w:rsidRPr="00733550">
        <w:rPr>
          <w:bCs/>
          <w:color w:val="222222"/>
          <w:szCs w:val="24"/>
          <w:shd w:val="clear" w:color="auto" w:fill="FFFFFF"/>
        </w:rPr>
        <w:t>, </w:t>
      </w:r>
      <w:r w:rsidRPr="00733550">
        <w:rPr>
          <w:bCs/>
          <w:i/>
          <w:iCs/>
          <w:color w:val="222222"/>
          <w:szCs w:val="24"/>
          <w:shd w:val="clear" w:color="auto" w:fill="FFFFFF"/>
        </w:rPr>
        <w:t>22</w:t>
      </w:r>
      <w:r w:rsidRPr="00733550">
        <w:rPr>
          <w:bCs/>
          <w:color w:val="222222"/>
          <w:szCs w:val="24"/>
          <w:shd w:val="clear" w:color="auto" w:fill="FFFFFF"/>
        </w:rPr>
        <w:t>, 339-358.</w:t>
      </w:r>
    </w:p>
    <w:p w14:paraId="36669A0F" w14:textId="3AA90AD2" w:rsidR="00733550" w:rsidRPr="00733550" w:rsidRDefault="00733550" w:rsidP="00733550">
      <w:pPr>
        <w:tabs>
          <w:tab w:val="left" w:pos="630"/>
        </w:tabs>
        <w:spacing w:after="0" w:line="240" w:lineRule="auto"/>
        <w:ind w:left="540" w:hanging="540"/>
        <w:rPr>
          <w:bCs/>
          <w:szCs w:val="24"/>
        </w:rPr>
      </w:pPr>
      <w:bookmarkStart w:id="55" w:name="_Hlk126061144"/>
      <w:bookmarkEnd w:id="54"/>
      <w:r w:rsidRPr="00733550">
        <w:rPr>
          <w:bCs/>
          <w:szCs w:val="24"/>
        </w:rPr>
        <w:t xml:space="preserve">Nash, C., </w:t>
      </w:r>
      <w:proofErr w:type="spellStart"/>
      <w:r w:rsidRPr="00733550">
        <w:rPr>
          <w:bCs/>
          <w:szCs w:val="24"/>
        </w:rPr>
        <w:t>Jarrahi</w:t>
      </w:r>
      <w:proofErr w:type="spellEnd"/>
      <w:r w:rsidRPr="00733550">
        <w:rPr>
          <w:bCs/>
          <w:szCs w:val="24"/>
        </w:rPr>
        <w:t>, M.</w:t>
      </w:r>
      <w:r w:rsidR="00681AAB">
        <w:rPr>
          <w:bCs/>
          <w:szCs w:val="24"/>
        </w:rPr>
        <w:t xml:space="preserve"> </w:t>
      </w:r>
      <w:r w:rsidRPr="00733550">
        <w:rPr>
          <w:bCs/>
          <w:szCs w:val="24"/>
        </w:rPr>
        <w:t xml:space="preserve">H., and Sutherland, W. (2021). Nomadic work and location independence: The role of space in shaping the work of digital nomads. </w:t>
      </w:r>
      <w:r w:rsidRPr="00733550">
        <w:rPr>
          <w:bCs/>
          <w:i/>
          <w:szCs w:val="24"/>
        </w:rPr>
        <w:t>Human Behavior and Emerging Technologies</w:t>
      </w:r>
      <w:r w:rsidRPr="00733550">
        <w:rPr>
          <w:bCs/>
          <w:szCs w:val="24"/>
        </w:rPr>
        <w:t xml:space="preserve">, </w:t>
      </w:r>
      <w:r w:rsidRPr="00733550">
        <w:rPr>
          <w:bCs/>
          <w:i/>
          <w:szCs w:val="24"/>
        </w:rPr>
        <w:t>3</w:t>
      </w:r>
      <w:r w:rsidRPr="00733550">
        <w:rPr>
          <w:bCs/>
          <w:szCs w:val="24"/>
        </w:rPr>
        <w:t>(2), 271-282.</w:t>
      </w:r>
    </w:p>
    <w:bookmarkEnd w:id="55"/>
    <w:p w14:paraId="193111BC" w14:textId="0210F0AF" w:rsidR="00733550" w:rsidRPr="00733550" w:rsidRDefault="00733550" w:rsidP="00733550">
      <w:pPr>
        <w:tabs>
          <w:tab w:val="left" w:pos="630"/>
        </w:tabs>
        <w:spacing w:after="0" w:line="240" w:lineRule="auto"/>
        <w:ind w:left="540" w:hanging="540"/>
        <w:rPr>
          <w:bCs/>
          <w:color w:val="222222"/>
          <w:szCs w:val="24"/>
          <w:shd w:val="clear" w:color="auto" w:fill="FFFFFF"/>
        </w:rPr>
      </w:pPr>
      <w:r w:rsidRPr="00733550">
        <w:rPr>
          <w:bCs/>
          <w:color w:val="222222"/>
          <w:szCs w:val="24"/>
          <w:shd w:val="clear" w:color="auto" w:fill="FFFFFF"/>
        </w:rPr>
        <w:t>Nguyen, M.</w:t>
      </w:r>
      <w:r w:rsidR="00681AAB">
        <w:rPr>
          <w:bCs/>
          <w:color w:val="222222"/>
          <w:szCs w:val="24"/>
          <w:shd w:val="clear" w:color="auto" w:fill="FFFFFF"/>
        </w:rPr>
        <w:t xml:space="preserve"> </w:t>
      </w:r>
      <w:r w:rsidRPr="00733550">
        <w:rPr>
          <w:bCs/>
          <w:color w:val="222222"/>
          <w:szCs w:val="24"/>
          <w:shd w:val="clear" w:color="auto" w:fill="FFFFFF"/>
        </w:rPr>
        <w:t>H. (2021). Factors influencing home-based telework in Hanoi (Vietnam) during and after the COVID-19 era. </w:t>
      </w:r>
      <w:r w:rsidRPr="00733550">
        <w:rPr>
          <w:bCs/>
          <w:i/>
          <w:iCs/>
          <w:color w:val="222222"/>
          <w:szCs w:val="24"/>
          <w:shd w:val="clear" w:color="auto" w:fill="FFFFFF"/>
        </w:rPr>
        <w:t>Transportation</w:t>
      </w:r>
      <w:r w:rsidRPr="00733550">
        <w:rPr>
          <w:bCs/>
          <w:color w:val="222222"/>
          <w:szCs w:val="24"/>
          <w:shd w:val="clear" w:color="auto" w:fill="FFFFFF"/>
        </w:rPr>
        <w:t>, </w:t>
      </w:r>
      <w:r w:rsidRPr="00733550">
        <w:rPr>
          <w:bCs/>
          <w:i/>
          <w:iCs/>
          <w:color w:val="222222"/>
          <w:szCs w:val="24"/>
          <w:shd w:val="clear" w:color="auto" w:fill="FFFFFF"/>
        </w:rPr>
        <w:t>48</w:t>
      </w:r>
      <w:r w:rsidRPr="00733550">
        <w:rPr>
          <w:bCs/>
          <w:color w:val="222222"/>
          <w:szCs w:val="24"/>
          <w:shd w:val="clear" w:color="auto" w:fill="FFFFFF"/>
        </w:rPr>
        <w:t>(6), 3207-3238.</w:t>
      </w:r>
    </w:p>
    <w:p w14:paraId="0A821C70" w14:textId="080CB254" w:rsidR="00733550" w:rsidRPr="00733550" w:rsidRDefault="00733550" w:rsidP="00220225">
      <w:pPr>
        <w:tabs>
          <w:tab w:val="left" w:pos="630"/>
        </w:tabs>
        <w:spacing w:after="0" w:line="240" w:lineRule="auto"/>
        <w:ind w:left="540" w:hanging="540"/>
        <w:rPr>
          <w:bCs/>
          <w:color w:val="222222"/>
          <w:szCs w:val="24"/>
          <w:shd w:val="clear" w:color="auto" w:fill="FFFFFF"/>
        </w:rPr>
      </w:pPr>
      <w:proofErr w:type="spellStart"/>
      <w:r w:rsidRPr="00733550">
        <w:rPr>
          <w:bCs/>
          <w:color w:val="222222"/>
          <w:szCs w:val="24"/>
          <w:shd w:val="clear" w:color="auto" w:fill="FFFFFF"/>
        </w:rPr>
        <w:t>Nilles</w:t>
      </w:r>
      <w:proofErr w:type="spellEnd"/>
      <w:r w:rsidRPr="00733550">
        <w:rPr>
          <w:bCs/>
          <w:color w:val="222222"/>
          <w:szCs w:val="24"/>
          <w:shd w:val="clear" w:color="auto" w:fill="FFFFFF"/>
        </w:rPr>
        <w:t>, J.</w:t>
      </w:r>
      <w:r w:rsidR="00681AAB">
        <w:rPr>
          <w:bCs/>
          <w:color w:val="222222"/>
          <w:szCs w:val="24"/>
          <w:shd w:val="clear" w:color="auto" w:fill="FFFFFF"/>
        </w:rPr>
        <w:t xml:space="preserve"> </w:t>
      </w:r>
      <w:r w:rsidRPr="00733550">
        <w:rPr>
          <w:bCs/>
          <w:color w:val="222222"/>
          <w:szCs w:val="24"/>
          <w:shd w:val="clear" w:color="auto" w:fill="FFFFFF"/>
        </w:rPr>
        <w:t>M. (1991). Telecommuting and urban sprawl: Mitigator or</w:t>
      </w:r>
      <w:r w:rsidR="00220225">
        <w:rPr>
          <w:bCs/>
          <w:color w:val="222222"/>
          <w:szCs w:val="24"/>
          <w:shd w:val="clear" w:color="auto" w:fill="FFFFFF"/>
        </w:rPr>
        <w:t xml:space="preserve"> inciter? </w:t>
      </w:r>
      <w:r w:rsidR="00220225" w:rsidRPr="00220225">
        <w:rPr>
          <w:bCs/>
          <w:i/>
          <w:iCs/>
          <w:color w:val="222222"/>
          <w:szCs w:val="24"/>
          <w:shd w:val="clear" w:color="auto" w:fill="FFFFFF"/>
        </w:rPr>
        <w:t>Transportation</w:t>
      </w:r>
      <w:r w:rsidR="00220225">
        <w:rPr>
          <w:bCs/>
          <w:color w:val="222222"/>
          <w:szCs w:val="24"/>
          <w:shd w:val="clear" w:color="auto" w:fill="FFFFFF"/>
        </w:rPr>
        <w:t xml:space="preserve">, </w:t>
      </w:r>
      <w:r w:rsidR="00220225" w:rsidRPr="00220225">
        <w:rPr>
          <w:bCs/>
          <w:i/>
          <w:iCs/>
          <w:color w:val="222222"/>
          <w:szCs w:val="24"/>
          <w:shd w:val="clear" w:color="auto" w:fill="FFFFFF"/>
        </w:rPr>
        <w:t>18</w:t>
      </w:r>
      <w:r w:rsidR="00220225">
        <w:rPr>
          <w:bCs/>
          <w:color w:val="222222"/>
          <w:szCs w:val="24"/>
          <w:shd w:val="clear" w:color="auto" w:fill="FFFFFF"/>
        </w:rPr>
        <w:t>(4), 411-432</w:t>
      </w:r>
      <w:r w:rsidRPr="00733550">
        <w:rPr>
          <w:bCs/>
          <w:color w:val="222222"/>
          <w:szCs w:val="24"/>
          <w:shd w:val="clear" w:color="auto" w:fill="FFFFFF"/>
        </w:rPr>
        <w:t>.</w:t>
      </w:r>
    </w:p>
    <w:p w14:paraId="3C899E93" w14:textId="0725D4E5" w:rsidR="00733550" w:rsidRPr="00733550" w:rsidRDefault="00733550" w:rsidP="00733550">
      <w:pPr>
        <w:tabs>
          <w:tab w:val="left" w:pos="630"/>
        </w:tabs>
        <w:spacing w:after="0" w:line="240" w:lineRule="auto"/>
        <w:ind w:left="540" w:hanging="540"/>
        <w:rPr>
          <w:bCs/>
          <w:color w:val="222222"/>
          <w:szCs w:val="24"/>
          <w:shd w:val="clear" w:color="auto" w:fill="FFFFFF"/>
        </w:rPr>
      </w:pPr>
      <w:r w:rsidRPr="00733550">
        <w:rPr>
          <w:bCs/>
          <w:color w:val="222222"/>
          <w:szCs w:val="24"/>
          <w:shd w:val="clear" w:color="auto" w:fill="FFFFFF"/>
        </w:rPr>
        <w:t>O</w:t>
      </w:r>
      <w:r w:rsidR="000A71F2">
        <w:rPr>
          <w:bCs/>
          <w:color w:val="222222"/>
          <w:szCs w:val="24"/>
          <w:shd w:val="clear" w:color="auto" w:fill="FFFFFF"/>
        </w:rPr>
        <w:t>’</w:t>
      </w:r>
      <w:r w:rsidRPr="00733550">
        <w:rPr>
          <w:bCs/>
          <w:color w:val="222222"/>
          <w:szCs w:val="24"/>
          <w:shd w:val="clear" w:color="auto" w:fill="FFFFFF"/>
        </w:rPr>
        <w:t xml:space="preserve">Brien, W., and </w:t>
      </w:r>
      <w:proofErr w:type="spellStart"/>
      <w:r w:rsidRPr="00733550">
        <w:rPr>
          <w:bCs/>
          <w:color w:val="222222"/>
          <w:szCs w:val="24"/>
          <w:shd w:val="clear" w:color="auto" w:fill="FFFFFF"/>
        </w:rPr>
        <w:t>Aliabadi</w:t>
      </w:r>
      <w:proofErr w:type="spellEnd"/>
      <w:r w:rsidRPr="00733550">
        <w:rPr>
          <w:bCs/>
          <w:color w:val="222222"/>
          <w:szCs w:val="24"/>
          <w:shd w:val="clear" w:color="auto" w:fill="FFFFFF"/>
        </w:rPr>
        <w:t>, F.Y. (2020). Does telecommuting save energy? A critical review of quantitative studies and their research methods. </w:t>
      </w:r>
      <w:r w:rsidRPr="00733550">
        <w:rPr>
          <w:bCs/>
          <w:i/>
          <w:iCs/>
          <w:color w:val="222222"/>
          <w:szCs w:val="24"/>
          <w:shd w:val="clear" w:color="auto" w:fill="FFFFFF"/>
        </w:rPr>
        <w:t>Energy and Buildings</w:t>
      </w:r>
      <w:r w:rsidRPr="00733550">
        <w:rPr>
          <w:bCs/>
          <w:color w:val="222222"/>
          <w:szCs w:val="24"/>
          <w:shd w:val="clear" w:color="auto" w:fill="FFFFFF"/>
        </w:rPr>
        <w:t>, </w:t>
      </w:r>
      <w:r w:rsidRPr="00733550">
        <w:rPr>
          <w:bCs/>
          <w:i/>
          <w:iCs/>
          <w:color w:val="222222"/>
          <w:szCs w:val="24"/>
          <w:shd w:val="clear" w:color="auto" w:fill="FFFFFF"/>
        </w:rPr>
        <w:t>225</w:t>
      </w:r>
      <w:r w:rsidRPr="00733550">
        <w:rPr>
          <w:bCs/>
          <w:color w:val="222222"/>
          <w:szCs w:val="24"/>
          <w:shd w:val="clear" w:color="auto" w:fill="FFFFFF"/>
        </w:rPr>
        <w:t>, 110298.</w:t>
      </w:r>
    </w:p>
    <w:p w14:paraId="0695357D" w14:textId="77777777" w:rsidR="00733550" w:rsidRPr="00733550" w:rsidRDefault="00733550" w:rsidP="00733550">
      <w:pPr>
        <w:pStyle w:val="ListParagraph"/>
        <w:shd w:val="clear" w:color="auto" w:fill="FFFFFF"/>
        <w:tabs>
          <w:tab w:val="left" w:pos="630"/>
        </w:tabs>
        <w:spacing w:after="0" w:line="240" w:lineRule="auto"/>
        <w:ind w:left="540" w:hanging="540"/>
        <w:rPr>
          <w:rFonts w:ascii="Times New Roman" w:hAnsi="Times New Roman"/>
          <w:bCs/>
          <w:sz w:val="24"/>
          <w:szCs w:val="24"/>
          <w:shd w:val="clear" w:color="auto" w:fill="FFFFFF"/>
        </w:rPr>
      </w:pPr>
      <w:r w:rsidRPr="00733550">
        <w:rPr>
          <w:rFonts w:ascii="Times New Roman" w:hAnsi="Times New Roman"/>
          <w:bCs/>
          <w:sz w:val="24"/>
          <w:szCs w:val="24"/>
          <w:shd w:val="clear" w:color="auto" w:fill="FFFFFF"/>
        </w:rPr>
        <w:t xml:space="preserve">Office of the Texas Governor (2021, March 2). </w:t>
      </w:r>
      <w:r w:rsidRPr="00733550">
        <w:rPr>
          <w:rFonts w:ascii="Times New Roman" w:hAnsi="Times New Roman"/>
          <w:bCs/>
          <w:i/>
          <w:sz w:val="24"/>
          <w:szCs w:val="24"/>
          <w:shd w:val="clear" w:color="auto" w:fill="FFFFFF"/>
        </w:rPr>
        <w:t>Relating to the opening of Texas in response to the COVID-19 disaster</w:t>
      </w:r>
      <w:r w:rsidRPr="00733550">
        <w:rPr>
          <w:rFonts w:ascii="Times New Roman" w:hAnsi="Times New Roman"/>
          <w:bCs/>
          <w:sz w:val="24"/>
          <w:szCs w:val="24"/>
          <w:shd w:val="clear" w:color="auto" w:fill="FFFFFF"/>
        </w:rPr>
        <w:t xml:space="preserve"> [Press release]. </w:t>
      </w:r>
      <w:hyperlink r:id="rId414" w:history="1">
        <w:r w:rsidRPr="00733550">
          <w:rPr>
            <w:rStyle w:val="Hyperlink"/>
            <w:bCs/>
            <w:sz w:val="24"/>
            <w:szCs w:val="24"/>
            <w:shd w:val="clear" w:color="auto" w:fill="FFFFFF"/>
          </w:rPr>
          <w:t>https://gov.texas.gov/news/post/governor-abbott-lifts-mask-mandate-opens-texas-100-percent</w:t>
        </w:r>
      </w:hyperlink>
      <w:r w:rsidRPr="00733550">
        <w:rPr>
          <w:rFonts w:ascii="Times New Roman" w:hAnsi="Times New Roman"/>
          <w:bCs/>
          <w:sz w:val="24"/>
          <w:szCs w:val="24"/>
          <w:shd w:val="clear" w:color="auto" w:fill="FFFFFF"/>
        </w:rPr>
        <w:t xml:space="preserve">. </w:t>
      </w:r>
    </w:p>
    <w:p w14:paraId="2531A5D9" w14:textId="4AB875EC" w:rsidR="00733550" w:rsidRPr="00733550" w:rsidRDefault="00733550" w:rsidP="00733550">
      <w:pPr>
        <w:tabs>
          <w:tab w:val="left" w:pos="630"/>
        </w:tabs>
        <w:spacing w:after="0" w:line="240" w:lineRule="auto"/>
        <w:ind w:left="540" w:hanging="540"/>
        <w:rPr>
          <w:bCs/>
          <w:color w:val="222222"/>
          <w:szCs w:val="24"/>
          <w:shd w:val="clear" w:color="auto" w:fill="FFFFFF"/>
        </w:rPr>
      </w:pPr>
      <w:r w:rsidRPr="00733550">
        <w:rPr>
          <w:bCs/>
          <w:color w:val="222222"/>
          <w:szCs w:val="24"/>
          <w:shd w:val="clear" w:color="auto" w:fill="FFFFFF"/>
        </w:rPr>
        <w:lastRenderedPageBreak/>
        <w:t>Ory, D.</w:t>
      </w:r>
      <w:r w:rsidR="00681AAB">
        <w:rPr>
          <w:bCs/>
          <w:color w:val="222222"/>
          <w:szCs w:val="24"/>
          <w:shd w:val="clear" w:color="auto" w:fill="FFFFFF"/>
        </w:rPr>
        <w:t xml:space="preserve"> </w:t>
      </w:r>
      <w:r w:rsidRPr="00733550">
        <w:rPr>
          <w:bCs/>
          <w:color w:val="222222"/>
          <w:szCs w:val="24"/>
          <w:shd w:val="clear" w:color="auto" w:fill="FFFFFF"/>
        </w:rPr>
        <w:t>T., and Mokhtarian, P.</w:t>
      </w:r>
      <w:r w:rsidR="00681AAB">
        <w:rPr>
          <w:bCs/>
          <w:color w:val="222222"/>
          <w:szCs w:val="24"/>
          <w:shd w:val="clear" w:color="auto" w:fill="FFFFFF"/>
        </w:rPr>
        <w:t xml:space="preserve"> </w:t>
      </w:r>
      <w:r w:rsidRPr="00733550">
        <w:rPr>
          <w:bCs/>
          <w:color w:val="222222"/>
          <w:szCs w:val="24"/>
          <w:shd w:val="clear" w:color="auto" w:fill="FFFFFF"/>
        </w:rPr>
        <w:t>L. (2006). Which came first, the telecommuting or the residential relocation? An empirical analysis of causality. </w:t>
      </w:r>
      <w:r w:rsidRPr="00733550">
        <w:rPr>
          <w:bCs/>
          <w:i/>
          <w:iCs/>
          <w:color w:val="222222"/>
          <w:szCs w:val="24"/>
          <w:shd w:val="clear" w:color="auto" w:fill="FFFFFF"/>
        </w:rPr>
        <w:t>Urban Geography</w:t>
      </w:r>
      <w:r w:rsidRPr="00733550">
        <w:rPr>
          <w:bCs/>
          <w:color w:val="222222"/>
          <w:szCs w:val="24"/>
          <w:shd w:val="clear" w:color="auto" w:fill="FFFFFF"/>
        </w:rPr>
        <w:t>, </w:t>
      </w:r>
      <w:r w:rsidRPr="00733550">
        <w:rPr>
          <w:bCs/>
          <w:i/>
          <w:iCs/>
          <w:color w:val="222222"/>
          <w:szCs w:val="24"/>
          <w:shd w:val="clear" w:color="auto" w:fill="FFFFFF"/>
        </w:rPr>
        <w:t>27</w:t>
      </w:r>
      <w:r w:rsidRPr="00733550">
        <w:rPr>
          <w:bCs/>
          <w:color w:val="222222"/>
          <w:szCs w:val="24"/>
          <w:shd w:val="clear" w:color="auto" w:fill="FFFFFF"/>
        </w:rPr>
        <w:t>(7), 590-609.</w:t>
      </w:r>
    </w:p>
    <w:p w14:paraId="7CB43A77" w14:textId="6684C0E4" w:rsidR="00733550" w:rsidRPr="00733550" w:rsidRDefault="00733550" w:rsidP="00733550">
      <w:pPr>
        <w:tabs>
          <w:tab w:val="left" w:pos="630"/>
        </w:tabs>
        <w:spacing w:after="0" w:line="240" w:lineRule="auto"/>
        <w:ind w:left="540" w:hanging="540"/>
        <w:rPr>
          <w:bCs/>
          <w:color w:val="222222"/>
          <w:szCs w:val="24"/>
          <w:shd w:val="clear" w:color="auto" w:fill="FFFFFF"/>
        </w:rPr>
      </w:pPr>
      <w:r w:rsidRPr="00733550">
        <w:rPr>
          <w:bCs/>
          <w:color w:val="222222"/>
          <w:szCs w:val="24"/>
          <w:shd w:val="clear" w:color="auto" w:fill="FFFFFF"/>
        </w:rPr>
        <w:t xml:space="preserve">Patton, E. (2019). Where </w:t>
      </w:r>
      <w:r w:rsidR="00C07C76">
        <w:rPr>
          <w:bCs/>
          <w:color w:val="222222"/>
          <w:szCs w:val="24"/>
          <w:shd w:val="clear" w:color="auto" w:fill="FFFFFF"/>
        </w:rPr>
        <w:t>d</w:t>
      </w:r>
      <w:r w:rsidRPr="00733550">
        <w:rPr>
          <w:bCs/>
          <w:color w:val="222222"/>
          <w:szCs w:val="24"/>
          <w:shd w:val="clear" w:color="auto" w:fill="FFFFFF"/>
        </w:rPr>
        <w:t xml:space="preserve">oes </w:t>
      </w:r>
      <w:r w:rsidR="00C07C76">
        <w:rPr>
          <w:bCs/>
          <w:color w:val="222222"/>
          <w:szCs w:val="24"/>
          <w:shd w:val="clear" w:color="auto" w:fill="FFFFFF"/>
        </w:rPr>
        <w:t>w</w:t>
      </w:r>
      <w:r w:rsidRPr="00733550">
        <w:rPr>
          <w:bCs/>
          <w:color w:val="222222"/>
          <w:szCs w:val="24"/>
          <w:shd w:val="clear" w:color="auto" w:fill="FFFFFF"/>
        </w:rPr>
        <w:t xml:space="preserve">ork </w:t>
      </w:r>
      <w:r w:rsidR="00C07C76">
        <w:rPr>
          <w:bCs/>
          <w:color w:val="222222"/>
          <w:szCs w:val="24"/>
          <w:shd w:val="clear" w:color="auto" w:fill="FFFFFF"/>
        </w:rPr>
        <w:t>b</w:t>
      </w:r>
      <w:r w:rsidRPr="00733550">
        <w:rPr>
          <w:bCs/>
          <w:color w:val="222222"/>
          <w:szCs w:val="24"/>
          <w:shd w:val="clear" w:color="auto" w:fill="FFFFFF"/>
        </w:rPr>
        <w:t>elong? Home-</w:t>
      </w:r>
      <w:r w:rsidR="00C07C76">
        <w:rPr>
          <w:bCs/>
          <w:color w:val="222222"/>
          <w:szCs w:val="24"/>
          <w:shd w:val="clear" w:color="auto" w:fill="FFFFFF"/>
        </w:rPr>
        <w:t>b</w:t>
      </w:r>
      <w:r w:rsidRPr="00733550">
        <w:rPr>
          <w:bCs/>
          <w:color w:val="222222"/>
          <w:szCs w:val="24"/>
          <w:shd w:val="clear" w:color="auto" w:fill="FFFFFF"/>
        </w:rPr>
        <w:t xml:space="preserve">ased </w:t>
      </w:r>
      <w:r w:rsidR="00C07C76">
        <w:rPr>
          <w:bCs/>
          <w:color w:val="222222"/>
          <w:szCs w:val="24"/>
          <w:shd w:val="clear" w:color="auto" w:fill="FFFFFF"/>
        </w:rPr>
        <w:t>w</w:t>
      </w:r>
      <w:r w:rsidRPr="00733550">
        <w:rPr>
          <w:bCs/>
          <w:color w:val="222222"/>
          <w:szCs w:val="24"/>
          <w:shd w:val="clear" w:color="auto" w:fill="FFFFFF"/>
        </w:rPr>
        <w:t xml:space="preserve">ork and </w:t>
      </w:r>
      <w:r w:rsidR="00C07C76">
        <w:rPr>
          <w:bCs/>
          <w:color w:val="222222"/>
          <w:szCs w:val="24"/>
          <w:shd w:val="clear" w:color="auto" w:fill="FFFFFF"/>
        </w:rPr>
        <w:t>c</w:t>
      </w:r>
      <w:r w:rsidRPr="00733550">
        <w:rPr>
          <w:bCs/>
          <w:color w:val="222222"/>
          <w:szCs w:val="24"/>
          <w:shd w:val="clear" w:color="auto" w:fill="FFFFFF"/>
        </w:rPr>
        <w:t xml:space="preserve">ommunication </w:t>
      </w:r>
      <w:r w:rsidR="00C07C76">
        <w:rPr>
          <w:bCs/>
          <w:color w:val="222222"/>
          <w:szCs w:val="24"/>
          <w:shd w:val="clear" w:color="auto" w:fill="FFFFFF"/>
        </w:rPr>
        <w:t>t</w:t>
      </w:r>
      <w:r w:rsidRPr="00733550">
        <w:rPr>
          <w:bCs/>
          <w:color w:val="222222"/>
          <w:szCs w:val="24"/>
          <w:shd w:val="clear" w:color="auto" w:fill="FFFFFF"/>
        </w:rPr>
        <w:t xml:space="preserve">echnology within the American </w:t>
      </w:r>
      <w:r w:rsidR="000A71F2">
        <w:rPr>
          <w:bCs/>
          <w:color w:val="222222"/>
          <w:szCs w:val="24"/>
          <w:shd w:val="clear" w:color="auto" w:fill="FFFFFF"/>
        </w:rPr>
        <w:t>m</w:t>
      </w:r>
      <w:r w:rsidRPr="00733550">
        <w:rPr>
          <w:bCs/>
          <w:color w:val="222222"/>
          <w:szCs w:val="24"/>
          <w:shd w:val="clear" w:color="auto" w:fill="FFFFFF"/>
        </w:rPr>
        <w:t>iddle-</w:t>
      </w:r>
      <w:r w:rsidR="000A71F2">
        <w:rPr>
          <w:bCs/>
          <w:color w:val="222222"/>
          <w:szCs w:val="24"/>
          <w:shd w:val="clear" w:color="auto" w:fill="FFFFFF"/>
        </w:rPr>
        <w:t>c</w:t>
      </w:r>
      <w:r w:rsidRPr="00733550">
        <w:rPr>
          <w:bCs/>
          <w:color w:val="222222"/>
          <w:szCs w:val="24"/>
          <w:shd w:val="clear" w:color="auto" w:fill="FFFFFF"/>
        </w:rPr>
        <w:t xml:space="preserve">lass </w:t>
      </w:r>
      <w:r w:rsidR="000A71F2">
        <w:rPr>
          <w:bCs/>
          <w:color w:val="222222"/>
          <w:szCs w:val="24"/>
          <w:shd w:val="clear" w:color="auto" w:fill="FFFFFF"/>
        </w:rPr>
        <w:t>p</w:t>
      </w:r>
      <w:r w:rsidRPr="00733550">
        <w:rPr>
          <w:bCs/>
          <w:color w:val="222222"/>
          <w:szCs w:val="24"/>
          <w:shd w:val="clear" w:color="auto" w:fill="FFFFFF"/>
        </w:rPr>
        <w:t xml:space="preserve">ostwar </w:t>
      </w:r>
      <w:r w:rsidR="000A71F2">
        <w:rPr>
          <w:bCs/>
          <w:color w:val="222222"/>
          <w:szCs w:val="24"/>
          <w:shd w:val="clear" w:color="auto" w:fill="FFFFFF"/>
        </w:rPr>
        <w:t>h</w:t>
      </w:r>
      <w:r w:rsidRPr="00733550">
        <w:rPr>
          <w:bCs/>
          <w:color w:val="222222"/>
          <w:szCs w:val="24"/>
          <w:shd w:val="clear" w:color="auto" w:fill="FFFFFF"/>
        </w:rPr>
        <w:t>ome. </w:t>
      </w:r>
      <w:r w:rsidRPr="00733550">
        <w:rPr>
          <w:bCs/>
          <w:i/>
          <w:iCs/>
          <w:color w:val="222222"/>
          <w:szCs w:val="24"/>
          <w:shd w:val="clear" w:color="auto" w:fill="FFFFFF"/>
        </w:rPr>
        <w:t>Technology and Culture</w:t>
      </w:r>
      <w:r w:rsidRPr="00733550">
        <w:rPr>
          <w:bCs/>
          <w:color w:val="222222"/>
          <w:szCs w:val="24"/>
          <w:shd w:val="clear" w:color="auto" w:fill="FFFFFF"/>
        </w:rPr>
        <w:t>, </w:t>
      </w:r>
      <w:r w:rsidRPr="00733550">
        <w:rPr>
          <w:bCs/>
          <w:i/>
          <w:iCs/>
          <w:color w:val="222222"/>
          <w:szCs w:val="24"/>
          <w:shd w:val="clear" w:color="auto" w:fill="FFFFFF"/>
        </w:rPr>
        <w:t>60</w:t>
      </w:r>
      <w:r w:rsidRPr="00733550">
        <w:rPr>
          <w:bCs/>
          <w:color w:val="222222"/>
          <w:szCs w:val="24"/>
          <w:shd w:val="clear" w:color="auto" w:fill="FFFFFF"/>
        </w:rPr>
        <w:t>(2), 523-552.</w:t>
      </w:r>
    </w:p>
    <w:p w14:paraId="2933CFC2" w14:textId="2190AA0A" w:rsidR="00733550" w:rsidRPr="00733550" w:rsidRDefault="00733550" w:rsidP="00733550">
      <w:pPr>
        <w:tabs>
          <w:tab w:val="left" w:pos="630"/>
        </w:tabs>
        <w:spacing w:after="0" w:line="240" w:lineRule="auto"/>
        <w:ind w:left="540" w:hanging="540"/>
        <w:rPr>
          <w:bCs/>
          <w:color w:val="222222"/>
          <w:szCs w:val="24"/>
          <w:shd w:val="clear" w:color="auto" w:fill="FFFFFF"/>
        </w:rPr>
      </w:pPr>
      <w:r w:rsidRPr="00733550">
        <w:rPr>
          <w:bCs/>
          <w:color w:val="222222"/>
          <w:szCs w:val="24"/>
          <w:shd w:val="clear" w:color="auto" w:fill="FFFFFF"/>
        </w:rPr>
        <w:t xml:space="preserve">Pendyala, </w:t>
      </w:r>
      <w:r w:rsidR="00681AAB">
        <w:rPr>
          <w:bCs/>
          <w:color w:val="222222"/>
          <w:szCs w:val="24"/>
          <w:shd w:val="clear" w:color="auto" w:fill="FFFFFF"/>
        </w:rPr>
        <w:t>R. M.</w:t>
      </w:r>
      <w:r w:rsidRPr="00733550">
        <w:rPr>
          <w:bCs/>
          <w:color w:val="222222"/>
          <w:szCs w:val="24"/>
          <w:shd w:val="clear" w:color="auto" w:fill="FFFFFF"/>
        </w:rPr>
        <w:t>, Goulias, K.</w:t>
      </w:r>
      <w:r w:rsidR="00681AAB">
        <w:rPr>
          <w:bCs/>
          <w:color w:val="222222"/>
          <w:szCs w:val="24"/>
          <w:shd w:val="clear" w:color="auto" w:fill="FFFFFF"/>
        </w:rPr>
        <w:t xml:space="preserve"> </w:t>
      </w:r>
      <w:r w:rsidRPr="00733550">
        <w:rPr>
          <w:bCs/>
          <w:color w:val="222222"/>
          <w:szCs w:val="24"/>
          <w:shd w:val="clear" w:color="auto" w:fill="FFFFFF"/>
        </w:rPr>
        <w:t>G., and Kitamura, R. (1991). Impact of telecommuting on spatial and temporal patterns of household travel. </w:t>
      </w:r>
      <w:r w:rsidRPr="00733550">
        <w:rPr>
          <w:bCs/>
          <w:i/>
          <w:iCs/>
          <w:color w:val="222222"/>
          <w:szCs w:val="24"/>
          <w:shd w:val="clear" w:color="auto" w:fill="FFFFFF"/>
        </w:rPr>
        <w:t>Transportation</w:t>
      </w:r>
      <w:r w:rsidRPr="00733550">
        <w:rPr>
          <w:bCs/>
          <w:color w:val="222222"/>
          <w:szCs w:val="24"/>
          <w:shd w:val="clear" w:color="auto" w:fill="FFFFFF"/>
        </w:rPr>
        <w:t>, </w:t>
      </w:r>
      <w:r w:rsidRPr="00733550">
        <w:rPr>
          <w:bCs/>
          <w:i/>
          <w:iCs/>
          <w:color w:val="222222"/>
          <w:szCs w:val="24"/>
          <w:shd w:val="clear" w:color="auto" w:fill="FFFFFF"/>
        </w:rPr>
        <w:t>18</w:t>
      </w:r>
      <w:r w:rsidRPr="00733550">
        <w:rPr>
          <w:bCs/>
          <w:color w:val="222222"/>
          <w:szCs w:val="24"/>
          <w:shd w:val="clear" w:color="auto" w:fill="FFFFFF"/>
        </w:rPr>
        <w:t>, 383-409.</w:t>
      </w:r>
    </w:p>
    <w:p w14:paraId="43B607F0" w14:textId="77777777" w:rsidR="00733550" w:rsidRPr="00733550" w:rsidRDefault="00733550" w:rsidP="00733550">
      <w:pPr>
        <w:tabs>
          <w:tab w:val="left" w:pos="630"/>
        </w:tabs>
        <w:spacing w:after="0" w:line="240" w:lineRule="auto"/>
        <w:ind w:left="540" w:hanging="540"/>
        <w:rPr>
          <w:szCs w:val="24"/>
        </w:rPr>
      </w:pPr>
      <w:r w:rsidRPr="00733550">
        <w:rPr>
          <w:szCs w:val="24"/>
        </w:rPr>
        <w:t xml:space="preserve">Perch-Nielsen, S., von </w:t>
      </w:r>
      <w:proofErr w:type="spellStart"/>
      <w:r w:rsidRPr="00733550">
        <w:rPr>
          <w:szCs w:val="24"/>
        </w:rPr>
        <w:t>Felten</w:t>
      </w:r>
      <w:proofErr w:type="spellEnd"/>
      <w:r w:rsidRPr="00733550">
        <w:rPr>
          <w:szCs w:val="24"/>
        </w:rPr>
        <w:t xml:space="preserve">, N., </w:t>
      </w:r>
      <w:proofErr w:type="spellStart"/>
      <w:r w:rsidRPr="00733550">
        <w:rPr>
          <w:szCs w:val="24"/>
        </w:rPr>
        <w:t>Henzen</w:t>
      </w:r>
      <w:proofErr w:type="spellEnd"/>
      <w:r w:rsidRPr="00733550">
        <w:rPr>
          <w:szCs w:val="24"/>
        </w:rPr>
        <w:t xml:space="preserve">, C., Meissner, J., Sprenger, M., </w:t>
      </w:r>
      <w:proofErr w:type="spellStart"/>
      <w:r w:rsidRPr="00733550">
        <w:rPr>
          <w:szCs w:val="24"/>
        </w:rPr>
        <w:t>Bieri</w:t>
      </w:r>
      <w:proofErr w:type="spellEnd"/>
      <w:r w:rsidRPr="00733550">
        <w:rPr>
          <w:szCs w:val="24"/>
        </w:rPr>
        <w:t xml:space="preserve">, M., </w:t>
      </w:r>
      <w:proofErr w:type="spellStart"/>
      <w:r w:rsidRPr="00733550">
        <w:rPr>
          <w:szCs w:val="24"/>
        </w:rPr>
        <w:t>Arvantis</w:t>
      </w:r>
      <w:proofErr w:type="spellEnd"/>
      <w:r w:rsidRPr="00733550">
        <w:rPr>
          <w:szCs w:val="24"/>
        </w:rPr>
        <w:t xml:space="preserve">, S., </w:t>
      </w:r>
      <w:proofErr w:type="spellStart"/>
      <w:r w:rsidRPr="00733550">
        <w:rPr>
          <w:szCs w:val="24"/>
        </w:rPr>
        <w:t>Seliger</w:t>
      </w:r>
      <w:proofErr w:type="spellEnd"/>
      <w:r w:rsidRPr="00733550">
        <w:rPr>
          <w:szCs w:val="24"/>
        </w:rPr>
        <w:t xml:space="preserve">, F. and Ley, M. (2014) </w:t>
      </w:r>
      <w:proofErr w:type="spellStart"/>
      <w:r w:rsidRPr="00733550">
        <w:rPr>
          <w:szCs w:val="24"/>
        </w:rPr>
        <w:t>Auswirkungen</w:t>
      </w:r>
      <w:proofErr w:type="spellEnd"/>
      <w:r w:rsidRPr="00733550">
        <w:rPr>
          <w:szCs w:val="24"/>
        </w:rPr>
        <w:t xml:space="preserve"> </w:t>
      </w:r>
      <w:proofErr w:type="spellStart"/>
      <w:r w:rsidRPr="00733550">
        <w:rPr>
          <w:szCs w:val="24"/>
        </w:rPr>
        <w:t>neuer</w:t>
      </w:r>
      <w:proofErr w:type="spellEnd"/>
      <w:r w:rsidRPr="00733550">
        <w:rPr>
          <w:szCs w:val="24"/>
        </w:rPr>
        <w:t xml:space="preserve"> </w:t>
      </w:r>
      <w:proofErr w:type="spellStart"/>
      <w:r w:rsidRPr="00733550">
        <w:rPr>
          <w:szCs w:val="24"/>
        </w:rPr>
        <w:t>Arbeitsformen</w:t>
      </w:r>
      <w:proofErr w:type="spellEnd"/>
      <w:r w:rsidRPr="00733550">
        <w:rPr>
          <w:szCs w:val="24"/>
        </w:rPr>
        <w:t xml:space="preserve"> auf den </w:t>
      </w:r>
      <w:proofErr w:type="spellStart"/>
      <w:r w:rsidRPr="00733550">
        <w:rPr>
          <w:szCs w:val="24"/>
        </w:rPr>
        <w:t>Energieverbrauch</w:t>
      </w:r>
      <w:proofErr w:type="spellEnd"/>
      <w:r w:rsidRPr="00733550">
        <w:rPr>
          <w:szCs w:val="24"/>
        </w:rPr>
        <w:t xml:space="preserve"> und das </w:t>
      </w:r>
      <w:proofErr w:type="spellStart"/>
      <w:r w:rsidRPr="00733550">
        <w:rPr>
          <w:szCs w:val="24"/>
        </w:rPr>
        <w:t>Mobilitätsverhalten</w:t>
      </w:r>
      <w:proofErr w:type="spellEnd"/>
      <w:r w:rsidRPr="00733550">
        <w:rPr>
          <w:szCs w:val="24"/>
        </w:rPr>
        <w:t xml:space="preserve"> von </w:t>
      </w:r>
      <w:proofErr w:type="spellStart"/>
      <w:r w:rsidRPr="00733550">
        <w:rPr>
          <w:szCs w:val="24"/>
        </w:rPr>
        <w:t>Arbeitnehmenden</w:t>
      </w:r>
      <w:proofErr w:type="spellEnd"/>
      <w:r w:rsidRPr="00733550">
        <w:rPr>
          <w:szCs w:val="24"/>
        </w:rPr>
        <w:t xml:space="preserve">, 290955. Bern: </w:t>
      </w:r>
      <w:proofErr w:type="spellStart"/>
      <w:r w:rsidRPr="00733550">
        <w:rPr>
          <w:szCs w:val="24"/>
        </w:rPr>
        <w:t>Bundesamt</w:t>
      </w:r>
      <w:proofErr w:type="spellEnd"/>
      <w:r w:rsidRPr="00733550">
        <w:rPr>
          <w:szCs w:val="24"/>
        </w:rPr>
        <w:t xml:space="preserve"> </w:t>
      </w:r>
      <w:proofErr w:type="spellStart"/>
      <w:r w:rsidRPr="00733550">
        <w:rPr>
          <w:szCs w:val="24"/>
        </w:rPr>
        <w:t>für</w:t>
      </w:r>
      <w:proofErr w:type="spellEnd"/>
      <w:r w:rsidRPr="00733550">
        <w:rPr>
          <w:szCs w:val="24"/>
        </w:rPr>
        <w:t xml:space="preserve"> </w:t>
      </w:r>
      <w:proofErr w:type="spellStart"/>
      <w:r w:rsidRPr="00733550">
        <w:rPr>
          <w:szCs w:val="24"/>
        </w:rPr>
        <w:t>Energie</w:t>
      </w:r>
      <w:proofErr w:type="spellEnd"/>
      <w:r w:rsidRPr="00733550">
        <w:rPr>
          <w:szCs w:val="24"/>
        </w:rPr>
        <w:t xml:space="preserve"> NFE.</w:t>
      </w:r>
    </w:p>
    <w:p w14:paraId="395B6073" w14:textId="05B6642A" w:rsidR="00733550" w:rsidRPr="00733550" w:rsidRDefault="00733550" w:rsidP="00733550">
      <w:pPr>
        <w:tabs>
          <w:tab w:val="left" w:pos="630"/>
        </w:tabs>
        <w:spacing w:after="0" w:line="240" w:lineRule="auto"/>
        <w:ind w:left="540" w:hanging="540"/>
        <w:rPr>
          <w:color w:val="222222"/>
          <w:szCs w:val="24"/>
          <w:shd w:val="clear" w:color="auto" w:fill="FFFFFF"/>
        </w:rPr>
      </w:pPr>
      <w:r w:rsidRPr="00733550">
        <w:rPr>
          <w:color w:val="222222"/>
          <w:szCs w:val="24"/>
          <w:shd w:val="clear" w:color="auto" w:fill="FFFFFF"/>
        </w:rPr>
        <w:t>Pinjari, A. R.</w:t>
      </w:r>
      <w:r w:rsidR="00681AAB">
        <w:rPr>
          <w:color w:val="222222"/>
          <w:szCs w:val="24"/>
          <w:shd w:val="clear" w:color="auto" w:fill="FFFFFF"/>
        </w:rPr>
        <w:t>,</w:t>
      </w:r>
      <w:r w:rsidRPr="00733550">
        <w:rPr>
          <w:color w:val="222222"/>
          <w:szCs w:val="24"/>
          <w:shd w:val="clear" w:color="auto" w:fill="FFFFFF"/>
        </w:rPr>
        <w:t xml:space="preserve"> and Bhat C. </w:t>
      </w:r>
      <w:r w:rsidR="00681AAB">
        <w:rPr>
          <w:color w:val="222222"/>
          <w:szCs w:val="24"/>
          <w:shd w:val="clear" w:color="auto" w:fill="FFFFFF"/>
        </w:rPr>
        <w:t>R</w:t>
      </w:r>
      <w:r w:rsidRPr="00733550">
        <w:rPr>
          <w:color w:val="222222"/>
          <w:szCs w:val="24"/>
          <w:shd w:val="clear" w:color="auto" w:fill="FFFFFF"/>
        </w:rPr>
        <w:t xml:space="preserve">. (2021). Computationally </w:t>
      </w:r>
      <w:r w:rsidR="000A71F2">
        <w:rPr>
          <w:color w:val="222222"/>
          <w:szCs w:val="24"/>
          <w:shd w:val="clear" w:color="auto" w:fill="FFFFFF"/>
        </w:rPr>
        <w:t>e</w:t>
      </w:r>
      <w:r w:rsidRPr="00733550">
        <w:rPr>
          <w:color w:val="222222"/>
          <w:szCs w:val="24"/>
          <w:shd w:val="clear" w:color="auto" w:fill="FFFFFF"/>
        </w:rPr>
        <w:t xml:space="preserve">fficient </w:t>
      </w:r>
      <w:r w:rsidR="000A71F2">
        <w:rPr>
          <w:color w:val="222222"/>
          <w:szCs w:val="24"/>
          <w:shd w:val="clear" w:color="auto" w:fill="FFFFFF"/>
        </w:rPr>
        <w:t>f</w:t>
      </w:r>
      <w:r w:rsidRPr="00733550">
        <w:rPr>
          <w:color w:val="222222"/>
          <w:szCs w:val="24"/>
          <w:shd w:val="clear" w:color="auto" w:fill="FFFFFF"/>
        </w:rPr>
        <w:t xml:space="preserve">orecasting </w:t>
      </w:r>
      <w:r w:rsidR="000A71F2">
        <w:rPr>
          <w:color w:val="222222"/>
          <w:szCs w:val="24"/>
          <w:shd w:val="clear" w:color="auto" w:fill="FFFFFF"/>
        </w:rPr>
        <w:t>p</w:t>
      </w:r>
      <w:r w:rsidRPr="00733550">
        <w:rPr>
          <w:color w:val="222222"/>
          <w:szCs w:val="24"/>
          <w:shd w:val="clear" w:color="auto" w:fill="FFFFFF"/>
        </w:rPr>
        <w:t xml:space="preserve">rocedures for Kuhn-Tucket </w:t>
      </w:r>
      <w:r w:rsidR="000A71F2">
        <w:rPr>
          <w:color w:val="222222"/>
          <w:szCs w:val="24"/>
          <w:shd w:val="clear" w:color="auto" w:fill="FFFFFF"/>
        </w:rPr>
        <w:t>c</w:t>
      </w:r>
      <w:r w:rsidRPr="00733550">
        <w:rPr>
          <w:color w:val="222222"/>
          <w:szCs w:val="24"/>
          <w:shd w:val="clear" w:color="auto" w:fill="FFFFFF"/>
        </w:rPr>
        <w:t xml:space="preserve">onsumer </w:t>
      </w:r>
      <w:r w:rsidR="000A71F2">
        <w:rPr>
          <w:color w:val="222222"/>
          <w:szCs w:val="24"/>
          <w:shd w:val="clear" w:color="auto" w:fill="FFFFFF"/>
        </w:rPr>
        <w:t>d</w:t>
      </w:r>
      <w:r w:rsidRPr="00733550">
        <w:rPr>
          <w:color w:val="222222"/>
          <w:szCs w:val="24"/>
          <w:shd w:val="clear" w:color="auto" w:fill="FFFFFF"/>
        </w:rPr>
        <w:t xml:space="preserve">emand </w:t>
      </w:r>
      <w:r w:rsidR="000A71F2">
        <w:rPr>
          <w:color w:val="222222"/>
          <w:szCs w:val="24"/>
          <w:shd w:val="clear" w:color="auto" w:fill="FFFFFF"/>
        </w:rPr>
        <w:t>m</w:t>
      </w:r>
      <w:r w:rsidRPr="00733550">
        <w:rPr>
          <w:color w:val="222222"/>
          <w:szCs w:val="24"/>
          <w:shd w:val="clear" w:color="auto" w:fill="FFFFFF"/>
        </w:rPr>
        <w:t xml:space="preserve">odel </w:t>
      </w:r>
      <w:r w:rsidR="000A71F2">
        <w:rPr>
          <w:color w:val="222222"/>
          <w:szCs w:val="24"/>
          <w:shd w:val="clear" w:color="auto" w:fill="FFFFFF"/>
        </w:rPr>
        <w:t>s</w:t>
      </w:r>
      <w:r w:rsidRPr="00733550">
        <w:rPr>
          <w:color w:val="222222"/>
          <w:szCs w:val="24"/>
          <w:shd w:val="clear" w:color="auto" w:fill="FFFFFF"/>
        </w:rPr>
        <w:t xml:space="preserve">ystems: Applications to </w:t>
      </w:r>
      <w:r w:rsidR="000A71F2">
        <w:rPr>
          <w:color w:val="222222"/>
          <w:szCs w:val="24"/>
          <w:shd w:val="clear" w:color="auto" w:fill="FFFFFF"/>
        </w:rPr>
        <w:t>r</w:t>
      </w:r>
      <w:r w:rsidRPr="00733550">
        <w:rPr>
          <w:color w:val="222222"/>
          <w:szCs w:val="24"/>
          <w:shd w:val="clear" w:color="auto" w:fill="FFFFFF"/>
        </w:rPr>
        <w:t xml:space="preserve">esidential </w:t>
      </w:r>
      <w:r w:rsidR="000A71F2">
        <w:rPr>
          <w:color w:val="222222"/>
          <w:szCs w:val="24"/>
          <w:shd w:val="clear" w:color="auto" w:fill="FFFFFF"/>
        </w:rPr>
        <w:t>e</w:t>
      </w:r>
      <w:r w:rsidRPr="00733550">
        <w:rPr>
          <w:color w:val="222222"/>
          <w:szCs w:val="24"/>
          <w:shd w:val="clear" w:color="auto" w:fill="FFFFFF"/>
        </w:rPr>
        <w:t xml:space="preserve">nergy </w:t>
      </w:r>
      <w:r w:rsidR="000A71F2">
        <w:rPr>
          <w:color w:val="222222"/>
          <w:szCs w:val="24"/>
          <w:shd w:val="clear" w:color="auto" w:fill="FFFFFF"/>
        </w:rPr>
        <w:t>c</w:t>
      </w:r>
      <w:r w:rsidRPr="00733550">
        <w:rPr>
          <w:color w:val="222222"/>
          <w:szCs w:val="24"/>
          <w:shd w:val="clear" w:color="auto" w:fill="FFFFFF"/>
        </w:rPr>
        <w:t xml:space="preserve">onsumption </w:t>
      </w:r>
      <w:r w:rsidR="000A71F2">
        <w:rPr>
          <w:color w:val="222222"/>
          <w:szCs w:val="24"/>
          <w:shd w:val="clear" w:color="auto" w:fill="FFFFFF"/>
        </w:rPr>
        <w:t>a</w:t>
      </w:r>
      <w:r w:rsidRPr="00733550">
        <w:rPr>
          <w:color w:val="222222"/>
          <w:szCs w:val="24"/>
          <w:shd w:val="clear" w:color="auto" w:fill="FFFFFF"/>
        </w:rPr>
        <w:t xml:space="preserve">nalysis. </w:t>
      </w:r>
      <w:r w:rsidRPr="00733550">
        <w:rPr>
          <w:i/>
          <w:iCs/>
          <w:color w:val="222222"/>
          <w:szCs w:val="24"/>
          <w:shd w:val="clear" w:color="auto" w:fill="FFFFFF"/>
        </w:rPr>
        <w:t>Journal of Choice Modeling</w:t>
      </w:r>
      <w:r w:rsidRPr="000A71F2">
        <w:rPr>
          <w:color w:val="222222"/>
          <w:szCs w:val="24"/>
          <w:shd w:val="clear" w:color="auto" w:fill="FFFFFF"/>
        </w:rPr>
        <w:t xml:space="preserve">, </w:t>
      </w:r>
      <w:r w:rsidRPr="00733550">
        <w:rPr>
          <w:i/>
          <w:iCs/>
          <w:color w:val="222222"/>
          <w:szCs w:val="24"/>
          <w:shd w:val="clear" w:color="auto" w:fill="FFFFFF"/>
        </w:rPr>
        <w:t>39</w:t>
      </w:r>
      <w:r w:rsidRPr="000A71F2">
        <w:rPr>
          <w:color w:val="222222"/>
          <w:szCs w:val="24"/>
          <w:shd w:val="clear" w:color="auto" w:fill="FFFFFF"/>
        </w:rPr>
        <w:t xml:space="preserve">, </w:t>
      </w:r>
      <w:r w:rsidRPr="00733550">
        <w:rPr>
          <w:color w:val="222222"/>
          <w:szCs w:val="24"/>
          <w:shd w:val="clear" w:color="auto" w:fill="FFFFFF"/>
        </w:rPr>
        <w:t>100283.</w:t>
      </w:r>
    </w:p>
    <w:p w14:paraId="018FE297" w14:textId="54611469" w:rsidR="00733550" w:rsidRPr="00733550" w:rsidRDefault="00733550" w:rsidP="00733550">
      <w:pPr>
        <w:tabs>
          <w:tab w:val="left" w:pos="630"/>
        </w:tabs>
        <w:spacing w:after="0" w:line="240" w:lineRule="auto"/>
        <w:ind w:left="540" w:hanging="540"/>
        <w:rPr>
          <w:b/>
          <w:color w:val="222222"/>
          <w:szCs w:val="24"/>
          <w:shd w:val="clear" w:color="auto" w:fill="FFFFFF"/>
        </w:rPr>
      </w:pPr>
      <w:r w:rsidRPr="00733550">
        <w:rPr>
          <w:color w:val="222222"/>
          <w:szCs w:val="24"/>
          <w:shd w:val="clear" w:color="auto" w:fill="FFFFFF"/>
        </w:rPr>
        <w:t>Po</w:t>
      </w:r>
      <w:r w:rsidR="00CF4B2B">
        <w:rPr>
          <w:color w:val="222222"/>
          <w:szCs w:val="24"/>
          <w:shd w:val="clear" w:color="auto" w:fill="FFFFFF"/>
        </w:rPr>
        <w:t>p</w:t>
      </w:r>
      <w:r w:rsidRPr="00733550">
        <w:rPr>
          <w:color w:val="222222"/>
          <w:szCs w:val="24"/>
          <w:shd w:val="clear" w:color="auto" w:fill="FFFFFF"/>
        </w:rPr>
        <w:t>uri, Y. D., and Bhat, C. R. (2003). On modeling choice and frequency of home-based telecommuting. </w:t>
      </w:r>
      <w:r w:rsidRPr="00733550">
        <w:rPr>
          <w:i/>
          <w:iCs/>
          <w:color w:val="222222"/>
          <w:szCs w:val="24"/>
          <w:shd w:val="clear" w:color="auto" w:fill="FFFFFF"/>
        </w:rPr>
        <w:t>Transportation Research Record</w:t>
      </w:r>
      <w:r w:rsidRPr="00733550">
        <w:rPr>
          <w:color w:val="222222"/>
          <w:szCs w:val="24"/>
          <w:shd w:val="clear" w:color="auto" w:fill="FFFFFF"/>
        </w:rPr>
        <w:t>, </w:t>
      </w:r>
      <w:r w:rsidRPr="00733550">
        <w:rPr>
          <w:i/>
          <w:iCs/>
          <w:color w:val="222222"/>
          <w:szCs w:val="24"/>
          <w:shd w:val="clear" w:color="auto" w:fill="FFFFFF"/>
        </w:rPr>
        <w:t>1858</w:t>
      </w:r>
      <w:r w:rsidRPr="00733550">
        <w:rPr>
          <w:color w:val="222222"/>
          <w:szCs w:val="24"/>
          <w:shd w:val="clear" w:color="auto" w:fill="FFFFFF"/>
        </w:rPr>
        <w:t>(1), 55-60.</w:t>
      </w:r>
    </w:p>
    <w:p w14:paraId="07F460EC" w14:textId="5FBAEE1F" w:rsidR="00733550" w:rsidRPr="00733550" w:rsidRDefault="00733550" w:rsidP="00733550">
      <w:pPr>
        <w:tabs>
          <w:tab w:val="left" w:pos="630"/>
        </w:tabs>
        <w:spacing w:after="0" w:line="240" w:lineRule="auto"/>
        <w:ind w:left="540" w:hanging="540"/>
        <w:rPr>
          <w:bCs/>
          <w:color w:val="222222"/>
          <w:szCs w:val="24"/>
          <w:shd w:val="clear" w:color="auto" w:fill="FFFFFF"/>
        </w:rPr>
      </w:pPr>
      <w:proofErr w:type="spellStart"/>
      <w:r w:rsidRPr="00733550">
        <w:rPr>
          <w:bCs/>
          <w:color w:val="222222"/>
          <w:szCs w:val="24"/>
          <w:shd w:val="clear" w:color="auto" w:fill="FFFFFF"/>
        </w:rPr>
        <w:t>Raišienė</w:t>
      </w:r>
      <w:proofErr w:type="spellEnd"/>
      <w:r w:rsidRPr="00733550">
        <w:rPr>
          <w:bCs/>
          <w:color w:val="222222"/>
          <w:szCs w:val="24"/>
          <w:shd w:val="clear" w:color="auto" w:fill="FFFFFF"/>
        </w:rPr>
        <w:t>, A.</w:t>
      </w:r>
      <w:r w:rsidR="00681AAB">
        <w:rPr>
          <w:bCs/>
          <w:color w:val="222222"/>
          <w:szCs w:val="24"/>
          <w:shd w:val="clear" w:color="auto" w:fill="FFFFFF"/>
        </w:rPr>
        <w:t xml:space="preserve"> </w:t>
      </w:r>
      <w:r w:rsidRPr="00733550">
        <w:rPr>
          <w:bCs/>
          <w:color w:val="222222"/>
          <w:szCs w:val="24"/>
          <w:shd w:val="clear" w:color="auto" w:fill="FFFFFF"/>
        </w:rPr>
        <w:t xml:space="preserve">G., </w:t>
      </w:r>
      <w:proofErr w:type="spellStart"/>
      <w:r w:rsidRPr="00733550">
        <w:rPr>
          <w:bCs/>
          <w:color w:val="222222"/>
          <w:szCs w:val="24"/>
          <w:shd w:val="clear" w:color="auto" w:fill="FFFFFF"/>
        </w:rPr>
        <w:t>Rapuano</w:t>
      </w:r>
      <w:proofErr w:type="spellEnd"/>
      <w:r w:rsidRPr="00733550">
        <w:rPr>
          <w:bCs/>
          <w:color w:val="222222"/>
          <w:szCs w:val="24"/>
          <w:shd w:val="clear" w:color="auto" w:fill="FFFFFF"/>
        </w:rPr>
        <w:t xml:space="preserve">, V., and </w:t>
      </w:r>
      <w:proofErr w:type="spellStart"/>
      <w:r w:rsidRPr="00733550">
        <w:rPr>
          <w:bCs/>
          <w:color w:val="222222"/>
          <w:szCs w:val="24"/>
          <w:shd w:val="clear" w:color="auto" w:fill="FFFFFF"/>
        </w:rPr>
        <w:t>Varkulevičiūtė</w:t>
      </w:r>
      <w:proofErr w:type="spellEnd"/>
      <w:r w:rsidRPr="00733550">
        <w:rPr>
          <w:bCs/>
          <w:color w:val="222222"/>
          <w:szCs w:val="24"/>
          <w:shd w:val="clear" w:color="auto" w:fill="FFFFFF"/>
        </w:rPr>
        <w:t xml:space="preserve">, K. (2021). Sensitive men and hardy women: How do millennials, </w:t>
      </w:r>
      <w:proofErr w:type="spellStart"/>
      <w:r w:rsidRPr="00733550">
        <w:rPr>
          <w:bCs/>
          <w:color w:val="222222"/>
          <w:szCs w:val="24"/>
          <w:shd w:val="clear" w:color="auto" w:fill="FFFFFF"/>
        </w:rPr>
        <w:t>xennials</w:t>
      </w:r>
      <w:proofErr w:type="spellEnd"/>
      <w:r w:rsidRPr="00733550">
        <w:rPr>
          <w:bCs/>
          <w:color w:val="222222"/>
          <w:szCs w:val="24"/>
          <w:shd w:val="clear" w:color="auto" w:fill="FFFFFF"/>
        </w:rPr>
        <w:t xml:space="preserve"> and gen x manage to work from home?. </w:t>
      </w:r>
      <w:r w:rsidRPr="00733550">
        <w:rPr>
          <w:bCs/>
          <w:i/>
          <w:iCs/>
          <w:color w:val="222222"/>
          <w:szCs w:val="24"/>
          <w:shd w:val="clear" w:color="auto" w:fill="FFFFFF"/>
        </w:rPr>
        <w:t>Journal of Open Innovation: Technology, market, and complexity</w:t>
      </w:r>
      <w:r w:rsidRPr="00733550">
        <w:rPr>
          <w:bCs/>
          <w:color w:val="222222"/>
          <w:szCs w:val="24"/>
          <w:shd w:val="clear" w:color="auto" w:fill="FFFFFF"/>
        </w:rPr>
        <w:t>, </w:t>
      </w:r>
      <w:r w:rsidRPr="00733550">
        <w:rPr>
          <w:bCs/>
          <w:i/>
          <w:iCs/>
          <w:color w:val="222222"/>
          <w:szCs w:val="24"/>
          <w:shd w:val="clear" w:color="auto" w:fill="FFFFFF"/>
        </w:rPr>
        <w:t>7</w:t>
      </w:r>
      <w:r w:rsidRPr="00733550">
        <w:rPr>
          <w:bCs/>
          <w:color w:val="222222"/>
          <w:szCs w:val="24"/>
          <w:shd w:val="clear" w:color="auto" w:fill="FFFFFF"/>
        </w:rPr>
        <w:t>(2), 106.</w:t>
      </w:r>
    </w:p>
    <w:p w14:paraId="4536FBB4" w14:textId="77777777" w:rsidR="00733550" w:rsidRPr="00733550" w:rsidRDefault="00733550" w:rsidP="00733550">
      <w:pPr>
        <w:tabs>
          <w:tab w:val="left" w:pos="630"/>
        </w:tabs>
        <w:spacing w:after="0" w:line="240" w:lineRule="auto"/>
        <w:ind w:left="540" w:hanging="540"/>
        <w:rPr>
          <w:bCs/>
          <w:color w:val="222222"/>
          <w:szCs w:val="24"/>
          <w:shd w:val="clear" w:color="auto" w:fill="FFFFFF"/>
        </w:rPr>
      </w:pPr>
      <w:r w:rsidRPr="00733550">
        <w:rPr>
          <w:bCs/>
          <w:szCs w:val="24"/>
        </w:rPr>
        <w:t xml:space="preserve">Ramsey, K., and Bell, A. (2014). Smart Location Database, Version 2.0 User Guide. Available at: </w:t>
      </w:r>
      <w:hyperlink r:id="rId415" w:history="1">
        <w:r w:rsidRPr="00733550">
          <w:rPr>
            <w:rStyle w:val="Hyperlink"/>
            <w:bCs/>
            <w:szCs w:val="24"/>
          </w:rPr>
          <w:t>https://www.epa.gov/sites/production/files/2014-03/documents/sld_userguide.pdf</w:t>
        </w:r>
      </w:hyperlink>
      <w:r w:rsidRPr="00733550">
        <w:rPr>
          <w:bCs/>
          <w:szCs w:val="24"/>
        </w:rPr>
        <w:t>. Accessed on May 15, 2022.</w:t>
      </w:r>
    </w:p>
    <w:p w14:paraId="6962EFAF" w14:textId="04EDEF67" w:rsidR="00733550" w:rsidRPr="00733550" w:rsidRDefault="00733550" w:rsidP="00733550">
      <w:pPr>
        <w:tabs>
          <w:tab w:val="left" w:pos="630"/>
        </w:tabs>
        <w:spacing w:after="0" w:line="240" w:lineRule="auto"/>
        <w:ind w:left="540" w:hanging="540"/>
        <w:rPr>
          <w:bCs/>
          <w:color w:val="222222"/>
          <w:szCs w:val="24"/>
          <w:shd w:val="clear" w:color="auto" w:fill="FFFFFF"/>
        </w:rPr>
      </w:pPr>
      <w:proofErr w:type="spellStart"/>
      <w:r w:rsidRPr="00733550">
        <w:rPr>
          <w:bCs/>
          <w:color w:val="222222"/>
          <w:szCs w:val="24"/>
          <w:shd w:val="clear" w:color="auto" w:fill="FFFFFF"/>
        </w:rPr>
        <w:t>Ravalet</w:t>
      </w:r>
      <w:proofErr w:type="spellEnd"/>
      <w:r w:rsidRPr="00733550">
        <w:rPr>
          <w:bCs/>
          <w:color w:val="222222"/>
          <w:szCs w:val="24"/>
          <w:shd w:val="clear" w:color="auto" w:fill="FFFFFF"/>
        </w:rPr>
        <w:t xml:space="preserve">, E., and </w:t>
      </w:r>
      <w:proofErr w:type="spellStart"/>
      <w:r w:rsidRPr="00733550">
        <w:rPr>
          <w:bCs/>
          <w:color w:val="222222"/>
          <w:szCs w:val="24"/>
          <w:shd w:val="clear" w:color="auto" w:fill="FFFFFF"/>
        </w:rPr>
        <w:t>Rérat</w:t>
      </w:r>
      <w:proofErr w:type="spellEnd"/>
      <w:r w:rsidRPr="00733550">
        <w:rPr>
          <w:bCs/>
          <w:color w:val="222222"/>
          <w:szCs w:val="24"/>
          <w:shd w:val="clear" w:color="auto" w:fill="FFFFFF"/>
        </w:rPr>
        <w:t xml:space="preserve">, P. (2019). Teleworking: </w:t>
      </w:r>
      <w:r w:rsidR="000A71F2">
        <w:rPr>
          <w:bCs/>
          <w:color w:val="222222"/>
          <w:szCs w:val="24"/>
          <w:shd w:val="clear" w:color="auto" w:fill="FFFFFF"/>
        </w:rPr>
        <w:t>D</w:t>
      </w:r>
      <w:r w:rsidRPr="00733550">
        <w:rPr>
          <w:bCs/>
          <w:color w:val="222222"/>
          <w:szCs w:val="24"/>
          <w:shd w:val="clear" w:color="auto" w:fill="FFFFFF"/>
        </w:rPr>
        <w:t>ecreasing mobility or increasing tolerance of commuting distances?. </w:t>
      </w:r>
      <w:r w:rsidRPr="00733550">
        <w:rPr>
          <w:bCs/>
          <w:i/>
          <w:iCs/>
          <w:color w:val="222222"/>
          <w:szCs w:val="24"/>
          <w:shd w:val="clear" w:color="auto" w:fill="FFFFFF"/>
        </w:rPr>
        <w:t>Built Environment</w:t>
      </w:r>
      <w:r w:rsidRPr="00733550">
        <w:rPr>
          <w:bCs/>
          <w:color w:val="222222"/>
          <w:szCs w:val="24"/>
          <w:shd w:val="clear" w:color="auto" w:fill="FFFFFF"/>
        </w:rPr>
        <w:t>, </w:t>
      </w:r>
      <w:r w:rsidRPr="00733550">
        <w:rPr>
          <w:bCs/>
          <w:i/>
          <w:iCs/>
          <w:color w:val="222222"/>
          <w:szCs w:val="24"/>
          <w:shd w:val="clear" w:color="auto" w:fill="FFFFFF"/>
        </w:rPr>
        <w:t>45</w:t>
      </w:r>
      <w:r w:rsidRPr="00733550">
        <w:rPr>
          <w:bCs/>
          <w:color w:val="222222"/>
          <w:szCs w:val="24"/>
          <w:shd w:val="clear" w:color="auto" w:fill="FFFFFF"/>
        </w:rPr>
        <w:t>(4), 582-602.</w:t>
      </w:r>
    </w:p>
    <w:p w14:paraId="1391F314" w14:textId="23A4074E" w:rsidR="00733550" w:rsidRPr="00733550" w:rsidRDefault="00733550" w:rsidP="00733550">
      <w:pPr>
        <w:tabs>
          <w:tab w:val="left" w:pos="630"/>
        </w:tabs>
        <w:spacing w:after="0" w:line="240" w:lineRule="auto"/>
        <w:ind w:left="540" w:hanging="540"/>
        <w:rPr>
          <w:bCs/>
          <w:color w:val="222222"/>
          <w:szCs w:val="24"/>
          <w:shd w:val="clear" w:color="auto" w:fill="FFFFFF"/>
        </w:rPr>
      </w:pPr>
      <w:r w:rsidRPr="00733550">
        <w:rPr>
          <w:bCs/>
          <w:color w:val="222222"/>
          <w:szCs w:val="24"/>
          <w:shd w:val="clear" w:color="auto" w:fill="FFFFFF"/>
        </w:rPr>
        <w:t xml:space="preserve">Robbennolt, D., Haddad, A., and Bhat, </w:t>
      </w:r>
      <w:r w:rsidR="00681AAB">
        <w:rPr>
          <w:bCs/>
          <w:color w:val="222222"/>
          <w:szCs w:val="24"/>
          <w:shd w:val="clear" w:color="auto" w:fill="FFFFFF"/>
        </w:rPr>
        <w:t>C. R.</w:t>
      </w:r>
      <w:r w:rsidRPr="00733550">
        <w:rPr>
          <w:bCs/>
          <w:color w:val="222222"/>
          <w:szCs w:val="24"/>
          <w:shd w:val="clear" w:color="auto" w:fill="FFFFFF"/>
        </w:rPr>
        <w:t xml:space="preserve"> (2023). Housing choice in an evolving remote work landscape. </w:t>
      </w:r>
      <w:r w:rsidRPr="00733550">
        <w:rPr>
          <w:bCs/>
          <w:iCs/>
          <w:color w:val="222222"/>
          <w:szCs w:val="24"/>
          <w:shd w:val="clear" w:color="auto" w:fill="FFFFFF"/>
        </w:rPr>
        <w:t>Technical paper, Department of Civil, Architectural and Environmental Engineering, The University of Texas at Austin</w:t>
      </w:r>
      <w:r w:rsidRPr="00733550">
        <w:rPr>
          <w:bCs/>
          <w:color w:val="222222"/>
          <w:szCs w:val="24"/>
          <w:shd w:val="clear" w:color="auto" w:fill="FFFFFF"/>
        </w:rPr>
        <w:t>.</w:t>
      </w:r>
    </w:p>
    <w:p w14:paraId="61270C52" w14:textId="77777777" w:rsidR="00733550" w:rsidRPr="00733550" w:rsidRDefault="00733550" w:rsidP="00733550">
      <w:pPr>
        <w:tabs>
          <w:tab w:val="left" w:pos="630"/>
        </w:tabs>
        <w:spacing w:after="0" w:line="240" w:lineRule="auto"/>
        <w:ind w:left="540" w:hanging="540"/>
        <w:rPr>
          <w:bCs/>
          <w:color w:val="222222"/>
          <w:szCs w:val="24"/>
          <w:shd w:val="clear" w:color="auto" w:fill="FFFFFF"/>
        </w:rPr>
      </w:pPr>
      <w:r w:rsidRPr="00733550">
        <w:rPr>
          <w:bCs/>
          <w:color w:val="222222"/>
          <w:szCs w:val="24"/>
          <w:shd w:val="clear" w:color="auto" w:fill="FFFFFF"/>
        </w:rPr>
        <w:t xml:space="preserve">Saad, L, and </w:t>
      </w:r>
      <w:proofErr w:type="spellStart"/>
      <w:r w:rsidRPr="00733550">
        <w:rPr>
          <w:bCs/>
          <w:color w:val="222222"/>
          <w:szCs w:val="24"/>
          <w:shd w:val="clear" w:color="auto" w:fill="FFFFFF"/>
        </w:rPr>
        <w:t>Wigert</w:t>
      </w:r>
      <w:proofErr w:type="spellEnd"/>
      <w:r w:rsidRPr="00733550">
        <w:rPr>
          <w:bCs/>
          <w:color w:val="222222"/>
          <w:szCs w:val="24"/>
          <w:shd w:val="clear" w:color="auto" w:fill="FFFFFF"/>
        </w:rPr>
        <w:t xml:space="preserve">, B. (2021). Remote Work Persisting and Trending Permanent. Gallup. Available at: </w:t>
      </w:r>
      <w:hyperlink r:id="rId416" w:history="1">
        <w:r w:rsidRPr="00733550">
          <w:rPr>
            <w:rStyle w:val="Hyperlink"/>
            <w:bCs/>
            <w:szCs w:val="24"/>
            <w:shd w:val="clear" w:color="auto" w:fill="FFFFFF"/>
          </w:rPr>
          <w:t>https://news.gallup.com/poll/355907/remote-work-persisting-trending-permanent.aspx</w:t>
        </w:r>
      </w:hyperlink>
      <w:r w:rsidRPr="00733550">
        <w:rPr>
          <w:bCs/>
          <w:color w:val="222222"/>
          <w:szCs w:val="24"/>
          <w:shd w:val="clear" w:color="auto" w:fill="FFFFFF"/>
        </w:rPr>
        <w:t>. Accessed on March 1, 2023.</w:t>
      </w:r>
    </w:p>
    <w:p w14:paraId="32109FA0" w14:textId="214E153F" w:rsidR="00733550" w:rsidRPr="00733550" w:rsidRDefault="00733550" w:rsidP="00733550">
      <w:pPr>
        <w:tabs>
          <w:tab w:val="left" w:pos="630"/>
        </w:tabs>
        <w:spacing w:after="0" w:line="240" w:lineRule="auto"/>
        <w:ind w:left="540" w:hanging="540"/>
        <w:rPr>
          <w:bCs/>
          <w:szCs w:val="24"/>
        </w:rPr>
      </w:pPr>
      <w:proofErr w:type="spellStart"/>
      <w:r w:rsidRPr="00733550">
        <w:rPr>
          <w:bCs/>
          <w:szCs w:val="24"/>
        </w:rPr>
        <w:t>Schieman</w:t>
      </w:r>
      <w:proofErr w:type="spellEnd"/>
      <w:r w:rsidRPr="00733550">
        <w:rPr>
          <w:bCs/>
          <w:szCs w:val="24"/>
        </w:rPr>
        <w:t xml:space="preserve">, S., </w:t>
      </w:r>
      <w:proofErr w:type="spellStart"/>
      <w:r w:rsidRPr="00733550">
        <w:rPr>
          <w:bCs/>
          <w:szCs w:val="24"/>
        </w:rPr>
        <w:t>Badawy</w:t>
      </w:r>
      <w:proofErr w:type="spellEnd"/>
      <w:r w:rsidRPr="00733550">
        <w:rPr>
          <w:bCs/>
          <w:szCs w:val="24"/>
        </w:rPr>
        <w:t>, P.</w:t>
      </w:r>
      <w:r w:rsidR="00681AAB">
        <w:rPr>
          <w:bCs/>
          <w:szCs w:val="24"/>
        </w:rPr>
        <w:t xml:space="preserve"> </w:t>
      </w:r>
      <w:r w:rsidRPr="00733550">
        <w:rPr>
          <w:bCs/>
          <w:szCs w:val="24"/>
        </w:rPr>
        <w:t xml:space="preserve">J., A. </w:t>
      </w:r>
      <w:proofErr w:type="spellStart"/>
      <w:r w:rsidRPr="00733550">
        <w:rPr>
          <w:bCs/>
          <w:szCs w:val="24"/>
        </w:rPr>
        <w:t>Milkie</w:t>
      </w:r>
      <w:proofErr w:type="spellEnd"/>
      <w:r w:rsidRPr="00733550">
        <w:rPr>
          <w:bCs/>
          <w:szCs w:val="24"/>
        </w:rPr>
        <w:t xml:space="preserve">, M., and Bierman, A. (2021). Work-life conflict during the COVID-19 pandemic. </w:t>
      </w:r>
      <w:r w:rsidRPr="00733550">
        <w:rPr>
          <w:bCs/>
          <w:i/>
          <w:szCs w:val="24"/>
        </w:rPr>
        <w:t>Socius</w:t>
      </w:r>
      <w:r w:rsidRPr="00733550">
        <w:rPr>
          <w:bCs/>
          <w:szCs w:val="24"/>
        </w:rPr>
        <w:t xml:space="preserve">, 7. </w:t>
      </w:r>
      <w:hyperlink r:id="rId417" w:history="1">
        <w:r w:rsidRPr="00733550">
          <w:rPr>
            <w:rStyle w:val="Hyperlink"/>
            <w:bCs/>
            <w:szCs w:val="24"/>
          </w:rPr>
          <w:t>https://doi.org/10.1177/2378023120982856</w:t>
        </w:r>
      </w:hyperlink>
      <w:r w:rsidRPr="00733550">
        <w:rPr>
          <w:bCs/>
          <w:szCs w:val="24"/>
        </w:rPr>
        <w:t>.</w:t>
      </w:r>
    </w:p>
    <w:p w14:paraId="42C87DF0" w14:textId="4BA7DE93" w:rsidR="00733550" w:rsidRPr="00733550" w:rsidRDefault="00733550" w:rsidP="00733550">
      <w:pPr>
        <w:tabs>
          <w:tab w:val="left" w:pos="630"/>
        </w:tabs>
        <w:spacing w:after="0" w:line="240" w:lineRule="auto"/>
        <w:ind w:left="540" w:hanging="540"/>
        <w:rPr>
          <w:bCs/>
          <w:color w:val="222222"/>
          <w:szCs w:val="24"/>
          <w:shd w:val="clear" w:color="auto" w:fill="FFFFFF"/>
        </w:rPr>
      </w:pPr>
      <w:r w:rsidRPr="00733550">
        <w:rPr>
          <w:bCs/>
          <w:color w:val="222222"/>
          <w:szCs w:val="24"/>
          <w:shd w:val="clear" w:color="auto" w:fill="FFFFFF"/>
        </w:rPr>
        <w:t>Sen, S., Charles, M.</w:t>
      </w:r>
      <w:r w:rsidR="00681AAB">
        <w:rPr>
          <w:bCs/>
          <w:color w:val="222222"/>
          <w:szCs w:val="24"/>
          <w:shd w:val="clear" w:color="auto" w:fill="FFFFFF"/>
        </w:rPr>
        <w:t xml:space="preserve"> </w:t>
      </w:r>
      <w:r w:rsidRPr="00733550">
        <w:rPr>
          <w:bCs/>
          <w:color w:val="222222"/>
          <w:szCs w:val="24"/>
          <w:shd w:val="clear" w:color="auto" w:fill="FFFFFF"/>
        </w:rPr>
        <w:t>B., and Harrison, J.</w:t>
      </w:r>
      <w:r w:rsidR="00681AAB">
        <w:rPr>
          <w:bCs/>
          <w:color w:val="222222"/>
          <w:szCs w:val="24"/>
          <w:shd w:val="clear" w:color="auto" w:fill="FFFFFF"/>
        </w:rPr>
        <w:t xml:space="preserve"> </w:t>
      </w:r>
      <w:r w:rsidRPr="00733550">
        <w:rPr>
          <w:bCs/>
          <w:color w:val="222222"/>
          <w:szCs w:val="24"/>
          <w:shd w:val="clear" w:color="auto" w:fill="FFFFFF"/>
        </w:rPr>
        <w:t xml:space="preserve">L. (2021). Determinants of </w:t>
      </w:r>
      <w:r w:rsidR="000A71F2">
        <w:rPr>
          <w:bCs/>
          <w:color w:val="222222"/>
          <w:szCs w:val="24"/>
          <w:shd w:val="clear" w:color="auto" w:fill="FFFFFF"/>
        </w:rPr>
        <w:t>c</w:t>
      </w:r>
      <w:r w:rsidRPr="00733550">
        <w:rPr>
          <w:bCs/>
          <w:color w:val="222222"/>
          <w:szCs w:val="24"/>
          <w:shd w:val="clear" w:color="auto" w:fill="FFFFFF"/>
        </w:rPr>
        <w:t xml:space="preserve">ommute </w:t>
      </w:r>
      <w:r w:rsidR="000A71F2">
        <w:rPr>
          <w:bCs/>
          <w:color w:val="222222"/>
          <w:szCs w:val="24"/>
          <w:shd w:val="clear" w:color="auto" w:fill="FFFFFF"/>
        </w:rPr>
        <w:t>d</w:t>
      </w:r>
      <w:r w:rsidRPr="00733550">
        <w:rPr>
          <w:bCs/>
          <w:color w:val="222222"/>
          <w:szCs w:val="24"/>
          <w:shd w:val="clear" w:color="auto" w:fill="FFFFFF"/>
        </w:rPr>
        <w:t xml:space="preserve">istance in </w:t>
      </w:r>
      <w:r w:rsidR="000A71F2">
        <w:rPr>
          <w:bCs/>
          <w:color w:val="222222"/>
          <w:szCs w:val="24"/>
          <w:shd w:val="clear" w:color="auto" w:fill="FFFFFF"/>
        </w:rPr>
        <w:t>s</w:t>
      </w:r>
      <w:r w:rsidRPr="00733550">
        <w:rPr>
          <w:bCs/>
          <w:color w:val="222222"/>
          <w:szCs w:val="24"/>
          <w:shd w:val="clear" w:color="auto" w:fill="FFFFFF"/>
        </w:rPr>
        <w:t xml:space="preserve">outh </w:t>
      </w:r>
      <w:r w:rsidR="000A71F2">
        <w:rPr>
          <w:bCs/>
          <w:color w:val="222222"/>
          <w:szCs w:val="24"/>
          <w:shd w:val="clear" w:color="auto" w:fill="FFFFFF"/>
        </w:rPr>
        <w:t>e</w:t>
      </w:r>
      <w:r w:rsidRPr="00733550">
        <w:rPr>
          <w:bCs/>
          <w:color w:val="222222"/>
          <w:szCs w:val="24"/>
          <w:shd w:val="clear" w:color="auto" w:fill="FFFFFF"/>
        </w:rPr>
        <w:t xml:space="preserve">ast Queensland, Australia: Implications for </w:t>
      </w:r>
      <w:r w:rsidR="000A71F2">
        <w:rPr>
          <w:bCs/>
          <w:color w:val="222222"/>
          <w:szCs w:val="24"/>
          <w:shd w:val="clear" w:color="auto" w:fill="FFFFFF"/>
        </w:rPr>
        <w:t>u</w:t>
      </w:r>
      <w:r w:rsidRPr="00733550">
        <w:rPr>
          <w:bCs/>
          <w:color w:val="222222"/>
          <w:szCs w:val="24"/>
          <w:shd w:val="clear" w:color="auto" w:fill="FFFFFF"/>
        </w:rPr>
        <w:t xml:space="preserve">sage-based </w:t>
      </w:r>
      <w:r w:rsidR="000A71F2">
        <w:rPr>
          <w:bCs/>
          <w:color w:val="222222"/>
          <w:szCs w:val="24"/>
          <w:shd w:val="clear" w:color="auto" w:fill="FFFFFF"/>
        </w:rPr>
        <w:t>p</w:t>
      </w:r>
      <w:r w:rsidRPr="00733550">
        <w:rPr>
          <w:bCs/>
          <w:color w:val="222222"/>
          <w:szCs w:val="24"/>
          <w:shd w:val="clear" w:color="auto" w:fill="FFFFFF"/>
        </w:rPr>
        <w:t xml:space="preserve">ricing in </w:t>
      </w:r>
      <w:r w:rsidR="000A71F2">
        <w:rPr>
          <w:bCs/>
          <w:color w:val="222222"/>
          <w:szCs w:val="24"/>
          <w:shd w:val="clear" w:color="auto" w:fill="FFFFFF"/>
        </w:rPr>
        <w:t>l</w:t>
      </w:r>
      <w:r w:rsidRPr="00733550">
        <w:rPr>
          <w:bCs/>
          <w:color w:val="222222"/>
          <w:szCs w:val="24"/>
          <w:shd w:val="clear" w:color="auto" w:fill="FFFFFF"/>
        </w:rPr>
        <w:t xml:space="preserve">ower-density </w:t>
      </w:r>
      <w:r w:rsidR="000A71F2">
        <w:rPr>
          <w:bCs/>
          <w:color w:val="222222"/>
          <w:szCs w:val="24"/>
          <w:shd w:val="clear" w:color="auto" w:fill="FFFFFF"/>
        </w:rPr>
        <w:t>u</w:t>
      </w:r>
      <w:r w:rsidRPr="00733550">
        <w:rPr>
          <w:bCs/>
          <w:color w:val="222222"/>
          <w:szCs w:val="24"/>
          <w:shd w:val="clear" w:color="auto" w:fill="FFFFFF"/>
        </w:rPr>
        <w:t xml:space="preserve">rban </w:t>
      </w:r>
      <w:r w:rsidR="000A71F2">
        <w:rPr>
          <w:bCs/>
          <w:color w:val="222222"/>
          <w:szCs w:val="24"/>
          <w:shd w:val="clear" w:color="auto" w:fill="FFFFFF"/>
        </w:rPr>
        <w:t>s</w:t>
      </w:r>
      <w:r w:rsidRPr="00733550">
        <w:rPr>
          <w:bCs/>
          <w:color w:val="222222"/>
          <w:szCs w:val="24"/>
          <w:shd w:val="clear" w:color="auto" w:fill="FFFFFF"/>
        </w:rPr>
        <w:t>ettings. </w:t>
      </w:r>
      <w:r w:rsidRPr="00733550">
        <w:rPr>
          <w:bCs/>
          <w:i/>
          <w:iCs/>
          <w:color w:val="222222"/>
          <w:szCs w:val="24"/>
          <w:shd w:val="clear" w:color="auto" w:fill="FFFFFF"/>
        </w:rPr>
        <w:t>Urban Policy and Research</w:t>
      </w:r>
      <w:r w:rsidRPr="00733550">
        <w:rPr>
          <w:bCs/>
          <w:color w:val="222222"/>
          <w:szCs w:val="24"/>
          <w:shd w:val="clear" w:color="auto" w:fill="FFFFFF"/>
        </w:rPr>
        <w:t>, </w:t>
      </w:r>
      <w:r w:rsidRPr="00733550">
        <w:rPr>
          <w:bCs/>
          <w:i/>
          <w:iCs/>
          <w:color w:val="222222"/>
          <w:szCs w:val="24"/>
          <w:shd w:val="clear" w:color="auto" w:fill="FFFFFF"/>
        </w:rPr>
        <w:t>39</w:t>
      </w:r>
      <w:r w:rsidRPr="00733550">
        <w:rPr>
          <w:bCs/>
          <w:color w:val="222222"/>
          <w:szCs w:val="24"/>
          <w:shd w:val="clear" w:color="auto" w:fill="FFFFFF"/>
        </w:rPr>
        <w:t>(3), 292-307.</w:t>
      </w:r>
    </w:p>
    <w:p w14:paraId="20943E99" w14:textId="277FBC19" w:rsidR="00733550" w:rsidRPr="00733550" w:rsidRDefault="00733550" w:rsidP="00733550">
      <w:pPr>
        <w:tabs>
          <w:tab w:val="left" w:pos="630"/>
        </w:tabs>
        <w:spacing w:after="0" w:line="240" w:lineRule="auto"/>
        <w:ind w:left="540" w:hanging="540"/>
        <w:rPr>
          <w:b/>
          <w:color w:val="222222"/>
          <w:szCs w:val="24"/>
          <w:shd w:val="clear" w:color="auto" w:fill="FFFFFF"/>
        </w:rPr>
      </w:pPr>
      <w:bookmarkStart w:id="56" w:name="_Hlk126061418"/>
      <w:r w:rsidRPr="00733550">
        <w:rPr>
          <w:color w:val="222222"/>
          <w:szCs w:val="24"/>
          <w:shd w:val="clear" w:color="auto" w:fill="FFFFFF"/>
        </w:rPr>
        <w:t>Sener, I.</w:t>
      </w:r>
      <w:r w:rsidR="00681AAB">
        <w:rPr>
          <w:color w:val="222222"/>
          <w:szCs w:val="24"/>
          <w:shd w:val="clear" w:color="auto" w:fill="FFFFFF"/>
        </w:rPr>
        <w:t xml:space="preserve"> </w:t>
      </w:r>
      <w:r w:rsidRPr="00733550">
        <w:rPr>
          <w:color w:val="222222"/>
          <w:szCs w:val="24"/>
          <w:shd w:val="clear" w:color="auto" w:fill="FFFFFF"/>
        </w:rPr>
        <w:t xml:space="preserve">N., and Bhat, </w:t>
      </w:r>
      <w:r w:rsidR="00681AAB">
        <w:rPr>
          <w:color w:val="222222"/>
          <w:szCs w:val="24"/>
          <w:shd w:val="clear" w:color="auto" w:fill="FFFFFF"/>
        </w:rPr>
        <w:t>C. R.</w:t>
      </w:r>
      <w:r w:rsidRPr="00733550">
        <w:rPr>
          <w:color w:val="222222"/>
          <w:szCs w:val="24"/>
          <w:shd w:val="clear" w:color="auto" w:fill="FFFFFF"/>
        </w:rPr>
        <w:t xml:space="preserve"> (2011). A copula-based sample selection model of telecommuting choice and frequency. </w:t>
      </w:r>
      <w:r w:rsidRPr="00733550">
        <w:rPr>
          <w:i/>
          <w:iCs/>
          <w:color w:val="222222"/>
          <w:szCs w:val="24"/>
          <w:shd w:val="clear" w:color="auto" w:fill="FFFFFF"/>
        </w:rPr>
        <w:t>Environment and Planning A</w:t>
      </w:r>
      <w:r w:rsidRPr="00733550">
        <w:rPr>
          <w:color w:val="222222"/>
          <w:szCs w:val="24"/>
          <w:shd w:val="clear" w:color="auto" w:fill="FFFFFF"/>
        </w:rPr>
        <w:t>, </w:t>
      </w:r>
      <w:r w:rsidRPr="00733550">
        <w:rPr>
          <w:i/>
          <w:iCs/>
          <w:color w:val="222222"/>
          <w:szCs w:val="24"/>
          <w:shd w:val="clear" w:color="auto" w:fill="FFFFFF"/>
        </w:rPr>
        <w:t>43</w:t>
      </w:r>
      <w:r w:rsidRPr="00733550">
        <w:rPr>
          <w:color w:val="222222"/>
          <w:szCs w:val="24"/>
          <w:shd w:val="clear" w:color="auto" w:fill="FFFFFF"/>
        </w:rPr>
        <w:t>(1), 126-145.</w:t>
      </w:r>
    </w:p>
    <w:bookmarkEnd w:id="56"/>
    <w:p w14:paraId="72324853" w14:textId="6A5FC839" w:rsidR="00733550" w:rsidRPr="00733550" w:rsidRDefault="00733550" w:rsidP="00733550">
      <w:pPr>
        <w:tabs>
          <w:tab w:val="left" w:pos="630"/>
        </w:tabs>
        <w:spacing w:after="0" w:line="240" w:lineRule="auto"/>
        <w:ind w:left="540" w:hanging="540"/>
        <w:rPr>
          <w:bCs/>
          <w:szCs w:val="24"/>
        </w:rPr>
      </w:pPr>
      <w:proofErr w:type="spellStart"/>
      <w:r w:rsidRPr="00733550">
        <w:rPr>
          <w:szCs w:val="24"/>
        </w:rPr>
        <w:t>Shabanpour</w:t>
      </w:r>
      <w:proofErr w:type="spellEnd"/>
      <w:r w:rsidRPr="00733550">
        <w:rPr>
          <w:szCs w:val="24"/>
        </w:rPr>
        <w:t xml:space="preserve">, R., Golshani, N., </w:t>
      </w:r>
      <w:proofErr w:type="spellStart"/>
      <w:r w:rsidRPr="00733550">
        <w:rPr>
          <w:szCs w:val="24"/>
        </w:rPr>
        <w:t>Tayarani</w:t>
      </w:r>
      <w:proofErr w:type="spellEnd"/>
      <w:r w:rsidRPr="00733550">
        <w:rPr>
          <w:szCs w:val="24"/>
        </w:rPr>
        <w:t>, M., Auld, J., and Mohammadian, A.</w:t>
      </w:r>
      <w:r w:rsidR="00681AAB">
        <w:rPr>
          <w:szCs w:val="24"/>
        </w:rPr>
        <w:t xml:space="preserve"> </w:t>
      </w:r>
      <w:r w:rsidRPr="00733550">
        <w:rPr>
          <w:szCs w:val="24"/>
        </w:rPr>
        <w:t xml:space="preserve">K. (2018). Analysis of telecommuting behavior and impacts on travel demand and the environment. </w:t>
      </w:r>
      <w:r w:rsidRPr="00733550">
        <w:rPr>
          <w:i/>
          <w:iCs/>
          <w:szCs w:val="24"/>
        </w:rPr>
        <w:t>Transportation Research Part D</w:t>
      </w:r>
      <w:r w:rsidRPr="00733550">
        <w:rPr>
          <w:iCs/>
          <w:szCs w:val="24"/>
        </w:rPr>
        <w:t>,</w:t>
      </w:r>
      <w:r w:rsidRPr="00733550">
        <w:rPr>
          <w:i/>
          <w:iCs/>
          <w:szCs w:val="24"/>
        </w:rPr>
        <w:t xml:space="preserve"> 62</w:t>
      </w:r>
      <w:r w:rsidRPr="00733550">
        <w:rPr>
          <w:szCs w:val="24"/>
        </w:rPr>
        <w:t>, 563-576.</w:t>
      </w:r>
    </w:p>
    <w:p w14:paraId="0E0D82B4" w14:textId="574BD692" w:rsidR="00733550" w:rsidRPr="00733550" w:rsidRDefault="00733550" w:rsidP="00733550">
      <w:pPr>
        <w:tabs>
          <w:tab w:val="left" w:pos="630"/>
        </w:tabs>
        <w:spacing w:after="0" w:line="240" w:lineRule="auto"/>
        <w:ind w:left="540" w:hanging="540"/>
        <w:rPr>
          <w:szCs w:val="24"/>
        </w:rPr>
      </w:pPr>
      <w:proofErr w:type="spellStart"/>
      <w:r w:rsidRPr="00733550">
        <w:rPr>
          <w:szCs w:val="24"/>
        </w:rPr>
        <w:t>Sloman</w:t>
      </w:r>
      <w:proofErr w:type="spellEnd"/>
      <w:r w:rsidRPr="00733550">
        <w:rPr>
          <w:szCs w:val="24"/>
        </w:rPr>
        <w:t xml:space="preserve"> S. A., </w:t>
      </w:r>
      <w:r w:rsidR="00681AAB">
        <w:rPr>
          <w:szCs w:val="24"/>
        </w:rPr>
        <w:t xml:space="preserve">and </w:t>
      </w:r>
      <w:proofErr w:type="spellStart"/>
      <w:r w:rsidRPr="00733550">
        <w:rPr>
          <w:szCs w:val="24"/>
        </w:rPr>
        <w:t>Lagnado</w:t>
      </w:r>
      <w:proofErr w:type="spellEnd"/>
      <w:r w:rsidRPr="00733550">
        <w:rPr>
          <w:szCs w:val="24"/>
        </w:rPr>
        <w:t xml:space="preserve"> D.</w:t>
      </w:r>
      <w:r w:rsidR="00681AAB">
        <w:rPr>
          <w:szCs w:val="24"/>
        </w:rPr>
        <w:t xml:space="preserve"> (2015).</w:t>
      </w:r>
      <w:r w:rsidRPr="00733550">
        <w:rPr>
          <w:szCs w:val="24"/>
        </w:rPr>
        <w:t xml:space="preserve"> Causality in </w:t>
      </w:r>
      <w:r w:rsidR="000A71F2">
        <w:rPr>
          <w:szCs w:val="24"/>
        </w:rPr>
        <w:t>t</w:t>
      </w:r>
      <w:r w:rsidRPr="00733550">
        <w:rPr>
          <w:szCs w:val="24"/>
        </w:rPr>
        <w:t xml:space="preserve">hought. </w:t>
      </w:r>
      <w:r w:rsidRPr="00733550">
        <w:rPr>
          <w:i/>
          <w:iCs/>
          <w:szCs w:val="24"/>
        </w:rPr>
        <w:t xml:space="preserve">Annual Review of </w:t>
      </w:r>
      <w:r w:rsidRPr="00681AAB">
        <w:rPr>
          <w:i/>
          <w:iCs/>
          <w:szCs w:val="24"/>
        </w:rPr>
        <w:t>Psychology</w:t>
      </w:r>
      <w:r w:rsidR="00681AAB" w:rsidRPr="000A71F2">
        <w:rPr>
          <w:szCs w:val="24"/>
        </w:rPr>
        <w:t xml:space="preserve">, </w:t>
      </w:r>
      <w:r w:rsidRPr="00681AAB">
        <w:rPr>
          <w:i/>
          <w:iCs/>
          <w:szCs w:val="24"/>
        </w:rPr>
        <w:t>66</w:t>
      </w:r>
      <w:r w:rsidRPr="000A71F2">
        <w:rPr>
          <w:szCs w:val="24"/>
        </w:rPr>
        <w:t>(</w:t>
      </w:r>
      <w:r w:rsidRPr="00733550">
        <w:rPr>
          <w:szCs w:val="24"/>
        </w:rPr>
        <w:t>1)</w:t>
      </w:r>
      <w:r w:rsidR="000A71F2">
        <w:rPr>
          <w:szCs w:val="24"/>
        </w:rPr>
        <w:t xml:space="preserve">, </w:t>
      </w:r>
      <w:r w:rsidRPr="00733550">
        <w:rPr>
          <w:szCs w:val="24"/>
        </w:rPr>
        <w:t>223-247. doi:10.1146/annurev-psych-010814-015135.</w:t>
      </w:r>
    </w:p>
    <w:p w14:paraId="375BF242" w14:textId="77777777" w:rsidR="00733550" w:rsidRPr="00733550" w:rsidRDefault="00733550" w:rsidP="00733550">
      <w:pPr>
        <w:tabs>
          <w:tab w:val="left" w:pos="630"/>
        </w:tabs>
        <w:spacing w:after="0" w:line="240" w:lineRule="auto"/>
        <w:ind w:left="540" w:hanging="540"/>
        <w:rPr>
          <w:rStyle w:val="Hyperlink"/>
          <w:bCs/>
          <w:szCs w:val="24"/>
        </w:rPr>
      </w:pPr>
      <w:r w:rsidRPr="00733550">
        <w:rPr>
          <w:bCs/>
          <w:szCs w:val="24"/>
        </w:rPr>
        <w:t xml:space="preserve">Solon, G., Haider, S., and Wooldridge, J. (2015). What are we </w:t>
      </w:r>
      <w:proofErr w:type="spellStart"/>
      <w:r w:rsidRPr="00733550">
        <w:rPr>
          <w:bCs/>
          <w:szCs w:val="24"/>
        </w:rPr>
        <w:t>weighting</w:t>
      </w:r>
      <w:proofErr w:type="spellEnd"/>
      <w:r w:rsidRPr="00733550">
        <w:rPr>
          <w:bCs/>
          <w:szCs w:val="24"/>
        </w:rPr>
        <w:t xml:space="preserve"> for? </w:t>
      </w:r>
      <w:r w:rsidRPr="00733550">
        <w:rPr>
          <w:bCs/>
          <w:i/>
          <w:iCs/>
          <w:szCs w:val="24"/>
        </w:rPr>
        <w:t>Journal of Human Resources</w:t>
      </w:r>
      <w:r w:rsidRPr="00733550">
        <w:rPr>
          <w:bCs/>
          <w:iCs/>
          <w:szCs w:val="24"/>
        </w:rPr>
        <w:t>,</w:t>
      </w:r>
      <w:r w:rsidRPr="00733550">
        <w:rPr>
          <w:bCs/>
          <w:szCs w:val="24"/>
        </w:rPr>
        <w:t xml:space="preserve"> </w:t>
      </w:r>
      <w:r w:rsidRPr="00733550">
        <w:rPr>
          <w:bCs/>
          <w:i/>
          <w:szCs w:val="24"/>
        </w:rPr>
        <w:t>50</w:t>
      </w:r>
      <w:r w:rsidRPr="00733550">
        <w:rPr>
          <w:bCs/>
          <w:szCs w:val="24"/>
        </w:rPr>
        <w:t xml:space="preserve">(2), 301-316. </w:t>
      </w:r>
      <w:hyperlink r:id="rId418" w:history="1">
        <w:r w:rsidRPr="00733550">
          <w:rPr>
            <w:rStyle w:val="Hyperlink"/>
            <w:bCs/>
            <w:szCs w:val="24"/>
          </w:rPr>
          <w:t>https://doi.org/10.3386/w18859</w:t>
        </w:r>
      </w:hyperlink>
      <w:r w:rsidRPr="00733550">
        <w:rPr>
          <w:rStyle w:val="Hyperlink"/>
          <w:bCs/>
          <w:szCs w:val="24"/>
        </w:rPr>
        <w:t>.</w:t>
      </w:r>
    </w:p>
    <w:p w14:paraId="5D6990A9" w14:textId="10FE987E" w:rsidR="00733550" w:rsidRPr="00733550" w:rsidRDefault="00733550" w:rsidP="00733550">
      <w:pPr>
        <w:tabs>
          <w:tab w:val="left" w:pos="630"/>
        </w:tabs>
        <w:spacing w:afterLines="20" w:after="48" w:line="240" w:lineRule="auto"/>
        <w:ind w:left="540" w:hanging="540"/>
        <w:rPr>
          <w:szCs w:val="24"/>
          <w:shd w:val="clear" w:color="auto" w:fill="FFFFFF"/>
        </w:rPr>
      </w:pPr>
      <w:r w:rsidRPr="00733550">
        <w:rPr>
          <w:color w:val="222222"/>
          <w:szCs w:val="24"/>
          <w:shd w:val="clear" w:color="auto" w:fill="FFFFFF"/>
        </w:rPr>
        <w:t xml:space="preserve">Srivastava, A., Van Passel, S., and </w:t>
      </w:r>
      <w:proofErr w:type="spellStart"/>
      <w:r w:rsidRPr="00733550">
        <w:rPr>
          <w:color w:val="222222"/>
          <w:szCs w:val="24"/>
          <w:shd w:val="clear" w:color="auto" w:fill="FFFFFF"/>
        </w:rPr>
        <w:t>Laes</w:t>
      </w:r>
      <w:proofErr w:type="spellEnd"/>
      <w:r w:rsidRPr="00733550">
        <w:rPr>
          <w:color w:val="222222"/>
          <w:szCs w:val="24"/>
          <w:shd w:val="clear" w:color="auto" w:fill="FFFFFF"/>
        </w:rPr>
        <w:t>, E. (2018). Assessing the success of electricity demand response programs: A meta-analysis. </w:t>
      </w:r>
      <w:r w:rsidRPr="00733550">
        <w:rPr>
          <w:i/>
          <w:iCs/>
          <w:color w:val="222222"/>
          <w:szCs w:val="24"/>
          <w:shd w:val="clear" w:color="auto" w:fill="FFFFFF"/>
        </w:rPr>
        <w:t xml:space="preserve">Energy </w:t>
      </w:r>
      <w:r w:rsidR="000A71F2">
        <w:rPr>
          <w:i/>
          <w:iCs/>
          <w:color w:val="222222"/>
          <w:szCs w:val="24"/>
          <w:shd w:val="clear" w:color="auto" w:fill="FFFFFF"/>
        </w:rPr>
        <w:t>R</w:t>
      </w:r>
      <w:r w:rsidRPr="00733550">
        <w:rPr>
          <w:i/>
          <w:iCs/>
          <w:color w:val="222222"/>
          <w:szCs w:val="24"/>
          <w:shd w:val="clear" w:color="auto" w:fill="FFFFFF"/>
        </w:rPr>
        <w:t xml:space="preserve">esearch &amp; </w:t>
      </w:r>
      <w:r w:rsidR="000A71F2">
        <w:rPr>
          <w:i/>
          <w:iCs/>
          <w:color w:val="222222"/>
          <w:szCs w:val="24"/>
          <w:shd w:val="clear" w:color="auto" w:fill="FFFFFF"/>
        </w:rPr>
        <w:t>S</w:t>
      </w:r>
      <w:r w:rsidRPr="00733550">
        <w:rPr>
          <w:i/>
          <w:iCs/>
          <w:color w:val="222222"/>
          <w:szCs w:val="24"/>
          <w:shd w:val="clear" w:color="auto" w:fill="FFFFFF"/>
        </w:rPr>
        <w:t xml:space="preserve">ocial </w:t>
      </w:r>
      <w:r w:rsidR="000A71F2">
        <w:rPr>
          <w:i/>
          <w:iCs/>
          <w:color w:val="222222"/>
          <w:szCs w:val="24"/>
          <w:shd w:val="clear" w:color="auto" w:fill="FFFFFF"/>
        </w:rPr>
        <w:t>S</w:t>
      </w:r>
      <w:r w:rsidRPr="00733550">
        <w:rPr>
          <w:i/>
          <w:iCs/>
          <w:color w:val="222222"/>
          <w:szCs w:val="24"/>
          <w:shd w:val="clear" w:color="auto" w:fill="FFFFFF"/>
        </w:rPr>
        <w:t>cience</w:t>
      </w:r>
      <w:r w:rsidRPr="00733550">
        <w:rPr>
          <w:color w:val="222222"/>
          <w:szCs w:val="24"/>
          <w:shd w:val="clear" w:color="auto" w:fill="FFFFFF"/>
        </w:rPr>
        <w:t>, </w:t>
      </w:r>
      <w:r w:rsidRPr="00733550">
        <w:rPr>
          <w:i/>
          <w:iCs/>
          <w:color w:val="222222"/>
          <w:szCs w:val="24"/>
          <w:shd w:val="clear" w:color="auto" w:fill="FFFFFF"/>
        </w:rPr>
        <w:t>40</w:t>
      </w:r>
      <w:r w:rsidRPr="00733550">
        <w:rPr>
          <w:color w:val="222222"/>
          <w:szCs w:val="24"/>
          <w:shd w:val="clear" w:color="auto" w:fill="FFFFFF"/>
        </w:rPr>
        <w:t>, 110-117.</w:t>
      </w:r>
    </w:p>
    <w:p w14:paraId="35DF968F" w14:textId="77777777" w:rsidR="00733550" w:rsidRPr="00733550" w:rsidRDefault="00733550" w:rsidP="00733550">
      <w:pPr>
        <w:tabs>
          <w:tab w:val="left" w:pos="630"/>
        </w:tabs>
        <w:spacing w:after="0" w:line="240" w:lineRule="auto"/>
        <w:ind w:left="540" w:hanging="540"/>
        <w:rPr>
          <w:bCs/>
          <w:color w:val="222222"/>
          <w:szCs w:val="24"/>
          <w:shd w:val="clear" w:color="auto" w:fill="FFFFFF"/>
        </w:rPr>
      </w:pPr>
      <w:proofErr w:type="spellStart"/>
      <w:r w:rsidRPr="00733550">
        <w:rPr>
          <w:bCs/>
          <w:color w:val="222222"/>
          <w:szCs w:val="24"/>
          <w:shd w:val="clear" w:color="auto" w:fill="FFFFFF"/>
        </w:rPr>
        <w:lastRenderedPageBreak/>
        <w:t>Stefaniec</w:t>
      </w:r>
      <w:proofErr w:type="spellEnd"/>
      <w:r w:rsidRPr="00733550">
        <w:rPr>
          <w:bCs/>
          <w:color w:val="222222"/>
          <w:szCs w:val="24"/>
          <w:shd w:val="clear" w:color="auto" w:fill="FFFFFF"/>
        </w:rPr>
        <w:t>, A., Brazil, W., Whitney, W., and Caulfield, B. (2022). Desire to work from home: Results of an Irish study. </w:t>
      </w:r>
      <w:r w:rsidRPr="00733550">
        <w:rPr>
          <w:bCs/>
          <w:i/>
          <w:iCs/>
          <w:color w:val="222222"/>
          <w:szCs w:val="24"/>
          <w:shd w:val="clear" w:color="auto" w:fill="FFFFFF"/>
        </w:rPr>
        <w:t>Journal of Transport Geography</w:t>
      </w:r>
      <w:r w:rsidRPr="00733550">
        <w:rPr>
          <w:bCs/>
          <w:color w:val="222222"/>
          <w:szCs w:val="24"/>
          <w:shd w:val="clear" w:color="auto" w:fill="FFFFFF"/>
        </w:rPr>
        <w:t>, </w:t>
      </w:r>
      <w:r w:rsidRPr="00733550">
        <w:rPr>
          <w:bCs/>
          <w:i/>
          <w:iCs/>
          <w:color w:val="222222"/>
          <w:szCs w:val="24"/>
          <w:shd w:val="clear" w:color="auto" w:fill="FFFFFF"/>
        </w:rPr>
        <w:t>104</w:t>
      </w:r>
      <w:r w:rsidRPr="00733550">
        <w:rPr>
          <w:bCs/>
          <w:color w:val="222222"/>
          <w:szCs w:val="24"/>
          <w:shd w:val="clear" w:color="auto" w:fill="FFFFFF"/>
        </w:rPr>
        <w:t>, 103416.</w:t>
      </w:r>
    </w:p>
    <w:p w14:paraId="5D9FCCC1" w14:textId="1EBD2A84" w:rsidR="00733550" w:rsidRPr="00733550" w:rsidRDefault="00733550" w:rsidP="00733550">
      <w:pPr>
        <w:tabs>
          <w:tab w:val="left" w:pos="630"/>
        </w:tabs>
        <w:spacing w:after="0" w:line="240" w:lineRule="auto"/>
        <w:ind w:left="540" w:hanging="540"/>
        <w:rPr>
          <w:bCs/>
          <w:color w:val="222222"/>
          <w:szCs w:val="24"/>
          <w:shd w:val="clear" w:color="auto" w:fill="FFFFFF"/>
        </w:rPr>
      </w:pPr>
      <w:proofErr w:type="spellStart"/>
      <w:r w:rsidRPr="00733550">
        <w:rPr>
          <w:bCs/>
          <w:color w:val="222222"/>
          <w:szCs w:val="24"/>
          <w:shd w:val="clear" w:color="auto" w:fill="FFFFFF"/>
        </w:rPr>
        <w:t>Stickel</w:t>
      </w:r>
      <w:proofErr w:type="spellEnd"/>
      <w:r w:rsidRPr="00733550">
        <w:rPr>
          <w:bCs/>
          <w:color w:val="222222"/>
          <w:szCs w:val="24"/>
          <w:shd w:val="clear" w:color="auto" w:fill="FFFFFF"/>
        </w:rPr>
        <w:t>, M.</w:t>
      </w:r>
      <w:r w:rsidR="00681AAB">
        <w:rPr>
          <w:bCs/>
          <w:color w:val="222222"/>
          <w:szCs w:val="24"/>
          <w:shd w:val="clear" w:color="auto" w:fill="FFFFFF"/>
        </w:rPr>
        <w:t xml:space="preserve"> </w:t>
      </w:r>
      <w:r w:rsidRPr="00733550">
        <w:rPr>
          <w:bCs/>
          <w:color w:val="222222"/>
          <w:szCs w:val="24"/>
          <w:shd w:val="clear" w:color="auto" w:fill="FFFFFF"/>
        </w:rPr>
        <w:t>D. (2020). </w:t>
      </w:r>
      <w:r w:rsidRPr="00733550">
        <w:rPr>
          <w:bCs/>
          <w:iCs/>
          <w:color w:val="222222"/>
          <w:szCs w:val="24"/>
          <w:shd w:val="clear" w:color="auto" w:fill="FFFFFF"/>
        </w:rPr>
        <w:t>Challenges and opportunities of digital nomadism and its implications for tomorrow</w:t>
      </w:r>
      <w:r w:rsidR="00C64492">
        <w:rPr>
          <w:bCs/>
          <w:iCs/>
          <w:color w:val="222222"/>
          <w:szCs w:val="24"/>
          <w:shd w:val="clear" w:color="auto" w:fill="FFFFFF"/>
        </w:rPr>
        <w:t>’</w:t>
      </w:r>
      <w:r w:rsidRPr="00733550">
        <w:rPr>
          <w:bCs/>
          <w:iCs/>
          <w:color w:val="222222"/>
          <w:szCs w:val="24"/>
          <w:shd w:val="clear" w:color="auto" w:fill="FFFFFF"/>
        </w:rPr>
        <w:t>s workforce</w:t>
      </w:r>
      <w:r w:rsidRPr="00733550">
        <w:rPr>
          <w:bCs/>
          <w:color w:val="222222"/>
          <w:szCs w:val="24"/>
          <w:shd w:val="clear" w:color="auto" w:fill="FFFFFF"/>
        </w:rPr>
        <w:t>. Master’s Work Project, NOVA School of Business and Economics, Portugal.</w:t>
      </w:r>
    </w:p>
    <w:p w14:paraId="567EFC07" w14:textId="77777777" w:rsidR="00733550" w:rsidRPr="00733550" w:rsidRDefault="00733550" w:rsidP="00733550">
      <w:pPr>
        <w:tabs>
          <w:tab w:val="left" w:pos="630"/>
        </w:tabs>
        <w:spacing w:after="0" w:line="240" w:lineRule="auto"/>
        <w:ind w:left="540" w:hanging="540"/>
        <w:rPr>
          <w:bCs/>
          <w:color w:val="222222"/>
          <w:szCs w:val="24"/>
          <w:shd w:val="clear" w:color="auto" w:fill="FFFFFF"/>
        </w:rPr>
      </w:pPr>
      <w:r w:rsidRPr="00733550">
        <w:rPr>
          <w:bCs/>
          <w:color w:val="222222"/>
          <w:szCs w:val="24"/>
          <w:shd w:val="clear" w:color="auto" w:fill="FFFFFF"/>
        </w:rPr>
        <w:t>Stiles, J., and Smart, M. J. (2021). Working at home and elsewhere: daily work location, telework, and travel among United States knowledge workers. </w:t>
      </w:r>
      <w:r w:rsidRPr="00733550">
        <w:rPr>
          <w:bCs/>
          <w:i/>
          <w:iCs/>
          <w:color w:val="222222"/>
          <w:szCs w:val="24"/>
          <w:shd w:val="clear" w:color="auto" w:fill="FFFFFF"/>
        </w:rPr>
        <w:t>Transportation</w:t>
      </w:r>
      <w:r w:rsidRPr="00733550">
        <w:rPr>
          <w:bCs/>
          <w:color w:val="222222"/>
          <w:szCs w:val="24"/>
          <w:shd w:val="clear" w:color="auto" w:fill="FFFFFF"/>
        </w:rPr>
        <w:t>, </w:t>
      </w:r>
      <w:r w:rsidRPr="00733550">
        <w:rPr>
          <w:bCs/>
          <w:i/>
          <w:iCs/>
          <w:color w:val="222222"/>
          <w:szCs w:val="24"/>
          <w:shd w:val="clear" w:color="auto" w:fill="FFFFFF"/>
        </w:rPr>
        <w:t>48</w:t>
      </w:r>
      <w:r w:rsidRPr="00733550">
        <w:rPr>
          <w:bCs/>
          <w:color w:val="222222"/>
          <w:szCs w:val="24"/>
          <w:shd w:val="clear" w:color="auto" w:fill="FFFFFF"/>
        </w:rPr>
        <w:t>(5), 2461-2491.</w:t>
      </w:r>
    </w:p>
    <w:p w14:paraId="6097724E" w14:textId="2168CB6F" w:rsidR="00733550" w:rsidRPr="00733550" w:rsidRDefault="00733550" w:rsidP="00733550">
      <w:pPr>
        <w:tabs>
          <w:tab w:val="left" w:pos="630"/>
        </w:tabs>
        <w:spacing w:after="0" w:line="240" w:lineRule="auto"/>
        <w:ind w:left="540" w:hanging="540"/>
        <w:rPr>
          <w:bCs/>
          <w:color w:val="222222"/>
          <w:szCs w:val="24"/>
          <w:shd w:val="clear" w:color="auto" w:fill="FFFFFF"/>
        </w:rPr>
      </w:pPr>
      <w:r w:rsidRPr="00733550">
        <w:rPr>
          <w:bCs/>
          <w:color w:val="000000" w:themeColor="text1"/>
          <w:szCs w:val="24"/>
        </w:rPr>
        <w:t xml:space="preserve">Sweet, M., </w:t>
      </w:r>
      <w:r w:rsidRPr="00733550">
        <w:rPr>
          <w:bCs/>
          <w:szCs w:val="24"/>
        </w:rPr>
        <w:t>and</w:t>
      </w:r>
      <w:r w:rsidRPr="00733550">
        <w:rPr>
          <w:bCs/>
          <w:color w:val="000000" w:themeColor="text1"/>
          <w:szCs w:val="24"/>
        </w:rPr>
        <w:t xml:space="preserve"> Scott, D.</w:t>
      </w:r>
      <w:r w:rsidR="00681AAB">
        <w:rPr>
          <w:bCs/>
          <w:color w:val="000000" w:themeColor="text1"/>
          <w:szCs w:val="24"/>
        </w:rPr>
        <w:t xml:space="preserve"> </w:t>
      </w:r>
      <w:r w:rsidRPr="00733550">
        <w:rPr>
          <w:bCs/>
          <w:color w:val="000000" w:themeColor="text1"/>
          <w:szCs w:val="24"/>
        </w:rPr>
        <w:t xml:space="preserve">M. (2022). Insights into the future of telework in Canada: Modeling the trajectory of telework across a pandemic. </w:t>
      </w:r>
      <w:r w:rsidRPr="00733550">
        <w:rPr>
          <w:bCs/>
          <w:i/>
          <w:iCs/>
          <w:color w:val="000000" w:themeColor="text1"/>
          <w:szCs w:val="24"/>
        </w:rPr>
        <w:t>Sustainable Cities and Society</w:t>
      </w:r>
      <w:r w:rsidRPr="00733550">
        <w:rPr>
          <w:bCs/>
          <w:iCs/>
          <w:color w:val="000000" w:themeColor="text1"/>
          <w:szCs w:val="24"/>
        </w:rPr>
        <w:t xml:space="preserve">, </w:t>
      </w:r>
      <w:r w:rsidRPr="00733550">
        <w:rPr>
          <w:bCs/>
          <w:i/>
          <w:iCs/>
          <w:color w:val="000000" w:themeColor="text1"/>
          <w:szCs w:val="24"/>
        </w:rPr>
        <w:t>87</w:t>
      </w:r>
      <w:r w:rsidRPr="00733550">
        <w:rPr>
          <w:bCs/>
          <w:color w:val="000000" w:themeColor="text1"/>
          <w:szCs w:val="24"/>
        </w:rPr>
        <w:t>, 104175.</w:t>
      </w:r>
    </w:p>
    <w:p w14:paraId="2D090B67" w14:textId="5D12932D" w:rsidR="00733550" w:rsidRPr="00733550" w:rsidRDefault="00733550" w:rsidP="00733550">
      <w:pPr>
        <w:keepLines/>
        <w:tabs>
          <w:tab w:val="left" w:pos="630"/>
        </w:tabs>
        <w:spacing w:after="0" w:line="240" w:lineRule="auto"/>
        <w:ind w:left="540" w:hanging="547"/>
        <w:rPr>
          <w:bCs/>
          <w:color w:val="222222"/>
          <w:szCs w:val="24"/>
          <w:shd w:val="clear" w:color="auto" w:fill="FFFFFF"/>
        </w:rPr>
      </w:pPr>
      <w:r w:rsidRPr="00733550">
        <w:rPr>
          <w:bCs/>
          <w:color w:val="222222"/>
          <w:szCs w:val="24"/>
          <w:shd w:val="clear" w:color="auto" w:fill="FFFFFF"/>
        </w:rPr>
        <w:t xml:space="preserve">Tahlyan, D., Said, M., </w:t>
      </w:r>
      <w:proofErr w:type="spellStart"/>
      <w:r w:rsidRPr="00733550">
        <w:rPr>
          <w:bCs/>
          <w:color w:val="222222"/>
          <w:szCs w:val="24"/>
          <w:shd w:val="clear" w:color="auto" w:fill="FFFFFF"/>
        </w:rPr>
        <w:t>Mahmassani</w:t>
      </w:r>
      <w:proofErr w:type="spellEnd"/>
      <w:r w:rsidRPr="00733550">
        <w:rPr>
          <w:bCs/>
          <w:color w:val="222222"/>
          <w:szCs w:val="24"/>
          <w:shd w:val="clear" w:color="auto" w:fill="FFFFFF"/>
        </w:rPr>
        <w:t xml:space="preserve">, H., Stathopoulos, A., Walker, J., and </w:t>
      </w:r>
      <w:proofErr w:type="spellStart"/>
      <w:r w:rsidRPr="00733550">
        <w:rPr>
          <w:bCs/>
          <w:color w:val="222222"/>
          <w:szCs w:val="24"/>
          <w:shd w:val="clear" w:color="auto" w:fill="FFFFFF"/>
        </w:rPr>
        <w:t>Shaheen</w:t>
      </w:r>
      <w:proofErr w:type="spellEnd"/>
      <w:r w:rsidRPr="00733550">
        <w:rPr>
          <w:bCs/>
          <w:color w:val="222222"/>
          <w:szCs w:val="24"/>
          <w:shd w:val="clear" w:color="auto" w:fill="FFFFFF"/>
        </w:rPr>
        <w:t xml:space="preserve">, S. (2022). For whom did telework not work during the </w:t>
      </w:r>
      <w:r w:rsidR="000A71F2">
        <w:rPr>
          <w:bCs/>
          <w:color w:val="222222"/>
          <w:szCs w:val="24"/>
          <w:shd w:val="clear" w:color="auto" w:fill="FFFFFF"/>
        </w:rPr>
        <w:t>p</w:t>
      </w:r>
      <w:r w:rsidRPr="00733550">
        <w:rPr>
          <w:bCs/>
          <w:color w:val="222222"/>
          <w:szCs w:val="24"/>
          <w:shd w:val="clear" w:color="auto" w:fill="FFFFFF"/>
        </w:rPr>
        <w:t>andemic? Understanding the factors impacting telework satisfaction in the US using a multiple indicator multiple cause (MIMIC) model. </w:t>
      </w:r>
      <w:r w:rsidRPr="00733550">
        <w:rPr>
          <w:bCs/>
          <w:i/>
          <w:iCs/>
          <w:color w:val="222222"/>
          <w:szCs w:val="24"/>
          <w:shd w:val="clear" w:color="auto" w:fill="FFFFFF"/>
        </w:rPr>
        <w:t>Transportation Research Part A</w:t>
      </w:r>
      <w:r w:rsidRPr="00733550">
        <w:rPr>
          <w:bCs/>
          <w:color w:val="222222"/>
          <w:szCs w:val="24"/>
          <w:shd w:val="clear" w:color="auto" w:fill="FFFFFF"/>
        </w:rPr>
        <w:t>, </w:t>
      </w:r>
      <w:r w:rsidRPr="00733550">
        <w:rPr>
          <w:bCs/>
          <w:i/>
          <w:iCs/>
          <w:color w:val="222222"/>
          <w:szCs w:val="24"/>
          <w:shd w:val="clear" w:color="auto" w:fill="FFFFFF"/>
        </w:rPr>
        <w:t>155</w:t>
      </w:r>
      <w:r w:rsidRPr="00733550">
        <w:rPr>
          <w:bCs/>
          <w:color w:val="222222"/>
          <w:szCs w:val="24"/>
          <w:shd w:val="clear" w:color="auto" w:fill="FFFFFF"/>
        </w:rPr>
        <w:t>, 387-402.</w:t>
      </w:r>
    </w:p>
    <w:p w14:paraId="4F074BEE" w14:textId="0E63624D" w:rsidR="00733550" w:rsidRPr="00733550" w:rsidRDefault="00733550" w:rsidP="00733550">
      <w:pPr>
        <w:tabs>
          <w:tab w:val="left" w:pos="630"/>
        </w:tabs>
        <w:spacing w:after="0" w:line="240" w:lineRule="auto"/>
        <w:ind w:left="540" w:hanging="540"/>
        <w:rPr>
          <w:bCs/>
          <w:szCs w:val="24"/>
        </w:rPr>
      </w:pPr>
      <w:proofErr w:type="spellStart"/>
      <w:r w:rsidRPr="00733550">
        <w:rPr>
          <w:bCs/>
          <w:szCs w:val="24"/>
        </w:rPr>
        <w:t>Tayyaran</w:t>
      </w:r>
      <w:proofErr w:type="spellEnd"/>
      <w:r w:rsidRPr="00733550">
        <w:rPr>
          <w:bCs/>
          <w:szCs w:val="24"/>
        </w:rPr>
        <w:t>, M.</w:t>
      </w:r>
      <w:r w:rsidR="00681AAB">
        <w:rPr>
          <w:bCs/>
          <w:szCs w:val="24"/>
        </w:rPr>
        <w:t xml:space="preserve"> </w:t>
      </w:r>
      <w:r w:rsidRPr="00733550">
        <w:rPr>
          <w:bCs/>
          <w:szCs w:val="24"/>
        </w:rPr>
        <w:t>R., and Khan, A.</w:t>
      </w:r>
      <w:r w:rsidR="00681AAB">
        <w:rPr>
          <w:bCs/>
          <w:szCs w:val="24"/>
        </w:rPr>
        <w:t xml:space="preserve"> </w:t>
      </w:r>
      <w:r w:rsidRPr="00733550">
        <w:rPr>
          <w:bCs/>
          <w:szCs w:val="24"/>
        </w:rPr>
        <w:t xml:space="preserve">M. (2007). Telecommuting and residential location decisions: Combined stated and revealed preferences model. </w:t>
      </w:r>
      <w:r w:rsidRPr="00733550">
        <w:rPr>
          <w:bCs/>
          <w:i/>
          <w:szCs w:val="24"/>
        </w:rPr>
        <w:t>Canadian Journal of Civil Engineering</w:t>
      </w:r>
      <w:r w:rsidRPr="00733550">
        <w:rPr>
          <w:bCs/>
          <w:szCs w:val="24"/>
        </w:rPr>
        <w:t xml:space="preserve">, </w:t>
      </w:r>
      <w:r w:rsidRPr="00733550">
        <w:rPr>
          <w:bCs/>
          <w:i/>
          <w:szCs w:val="24"/>
        </w:rPr>
        <w:t>34</w:t>
      </w:r>
      <w:r w:rsidRPr="00733550">
        <w:rPr>
          <w:bCs/>
          <w:szCs w:val="24"/>
        </w:rPr>
        <w:t xml:space="preserve">(10), 1324-1333. </w:t>
      </w:r>
    </w:p>
    <w:p w14:paraId="65F8B74F" w14:textId="29238FB4" w:rsidR="00733550" w:rsidRPr="00733550" w:rsidRDefault="00733550" w:rsidP="00733550">
      <w:pPr>
        <w:keepLines/>
        <w:tabs>
          <w:tab w:val="left" w:pos="630"/>
        </w:tabs>
        <w:spacing w:after="0" w:line="240" w:lineRule="auto"/>
        <w:ind w:left="540" w:hanging="547"/>
        <w:rPr>
          <w:bCs/>
          <w:color w:val="222222"/>
          <w:szCs w:val="24"/>
          <w:shd w:val="clear" w:color="auto" w:fill="FFFFFF"/>
        </w:rPr>
      </w:pPr>
      <w:proofErr w:type="spellStart"/>
      <w:r w:rsidRPr="00733550">
        <w:rPr>
          <w:bCs/>
          <w:color w:val="222222"/>
          <w:szCs w:val="24"/>
          <w:shd w:val="clear" w:color="auto" w:fill="FFFFFF"/>
        </w:rPr>
        <w:t>Tenailleau</w:t>
      </w:r>
      <w:proofErr w:type="spellEnd"/>
      <w:r w:rsidRPr="00733550">
        <w:rPr>
          <w:bCs/>
          <w:color w:val="222222"/>
          <w:szCs w:val="24"/>
          <w:shd w:val="clear" w:color="auto" w:fill="FFFFFF"/>
        </w:rPr>
        <w:t>, Q.</w:t>
      </w:r>
      <w:r w:rsidR="00681AAB">
        <w:rPr>
          <w:bCs/>
          <w:color w:val="222222"/>
          <w:szCs w:val="24"/>
          <w:shd w:val="clear" w:color="auto" w:fill="FFFFFF"/>
        </w:rPr>
        <w:t xml:space="preserve"> </w:t>
      </w:r>
      <w:r w:rsidRPr="00733550">
        <w:rPr>
          <w:bCs/>
          <w:color w:val="222222"/>
          <w:szCs w:val="24"/>
          <w:shd w:val="clear" w:color="auto" w:fill="FFFFFF"/>
        </w:rPr>
        <w:t xml:space="preserve">M., </w:t>
      </w:r>
      <w:proofErr w:type="spellStart"/>
      <w:r w:rsidRPr="00733550">
        <w:rPr>
          <w:bCs/>
          <w:color w:val="222222"/>
          <w:szCs w:val="24"/>
          <w:shd w:val="clear" w:color="auto" w:fill="FFFFFF"/>
        </w:rPr>
        <w:t>Tannier</w:t>
      </w:r>
      <w:proofErr w:type="spellEnd"/>
      <w:r w:rsidRPr="00733550">
        <w:rPr>
          <w:bCs/>
          <w:color w:val="222222"/>
          <w:szCs w:val="24"/>
          <w:shd w:val="clear" w:color="auto" w:fill="FFFFFF"/>
        </w:rPr>
        <w:t xml:space="preserve">, C., </w:t>
      </w:r>
      <w:proofErr w:type="spellStart"/>
      <w:r w:rsidRPr="00733550">
        <w:rPr>
          <w:bCs/>
          <w:color w:val="222222"/>
          <w:szCs w:val="24"/>
          <w:shd w:val="clear" w:color="auto" w:fill="FFFFFF"/>
        </w:rPr>
        <w:t>Vuidel</w:t>
      </w:r>
      <w:proofErr w:type="spellEnd"/>
      <w:r w:rsidRPr="00733550">
        <w:rPr>
          <w:bCs/>
          <w:color w:val="222222"/>
          <w:szCs w:val="24"/>
          <w:shd w:val="clear" w:color="auto" w:fill="FFFFFF"/>
        </w:rPr>
        <w:t xml:space="preserve">, G., </w:t>
      </w:r>
      <w:proofErr w:type="spellStart"/>
      <w:r w:rsidRPr="00733550">
        <w:rPr>
          <w:bCs/>
          <w:color w:val="222222"/>
          <w:szCs w:val="24"/>
          <w:shd w:val="clear" w:color="auto" w:fill="FFFFFF"/>
        </w:rPr>
        <w:t>Tissandier</w:t>
      </w:r>
      <w:proofErr w:type="spellEnd"/>
      <w:r w:rsidRPr="00733550">
        <w:rPr>
          <w:bCs/>
          <w:color w:val="222222"/>
          <w:szCs w:val="24"/>
          <w:shd w:val="clear" w:color="auto" w:fill="FFFFFF"/>
        </w:rPr>
        <w:t>, P., and Bernard, N. (2021). Assessing the impact of telework enhancing policies for reducing car emissions: Exploring calculation methods for data-missing urban areas–Example of a medium-sized European city (</w:t>
      </w:r>
      <w:proofErr w:type="spellStart"/>
      <w:r w:rsidRPr="00733550">
        <w:rPr>
          <w:bCs/>
          <w:color w:val="222222"/>
          <w:szCs w:val="24"/>
          <w:shd w:val="clear" w:color="auto" w:fill="FFFFFF"/>
        </w:rPr>
        <w:t>Besançon</w:t>
      </w:r>
      <w:proofErr w:type="spellEnd"/>
      <w:r w:rsidRPr="00733550">
        <w:rPr>
          <w:bCs/>
          <w:color w:val="222222"/>
          <w:szCs w:val="24"/>
          <w:shd w:val="clear" w:color="auto" w:fill="FFFFFF"/>
        </w:rPr>
        <w:t>, France). </w:t>
      </w:r>
      <w:r w:rsidRPr="00733550">
        <w:rPr>
          <w:bCs/>
          <w:i/>
          <w:iCs/>
          <w:color w:val="222222"/>
          <w:szCs w:val="24"/>
          <w:shd w:val="clear" w:color="auto" w:fill="FFFFFF"/>
        </w:rPr>
        <w:t>Urban Climate</w:t>
      </w:r>
      <w:r w:rsidRPr="00733550">
        <w:rPr>
          <w:bCs/>
          <w:color w:val="222222"/>
          <w:szCs w:val="24"/>
          <w:shd w:val="clear" w:color="auto" w:fill="FFFFFF"/>
        </w:rPr>
        <w:t>, </w:t>
      </w:r>
      <w:r w:rsidRPr="00733550">
        <w:rPr>
          <w:bCs/>
          <w:i/>
          <w:iCs/>
          <w:color w:val="222222"/>
          <w:szCs w:val="24"/>
          <w:shd w:val="clear" w:color="auto" w:fill="FFFFFF"/>
        </w:rPr>
        <w:t>38</w:t>
      </w:r>
      <w:r w:rsidRPr="00733550">
        <w:rPr>
          <w:bCs/>
          <w:color w:val="222222"/>
          <w:szCs w:val="24"/>
          <w:shd w:val="clear" w:color="auto" w:fill="FFFFFF"/>
        </w:rPr>
        <w:t>, 100876.</w:t>
      </w:r>
    </w:p>
    <w:p w14:paraId="119D4757" w14:textId="77777777" w:rsidR="00733550" w:rsidRPr="00733550" w:rsidRDefault="00733550" w:rsidP="00733550">
      <w:pPr>
        <w:tabs>
          <w:tab w:val="left" w:pos="630"/>
        </w:tabs>
        <w:spacing w:after="0" w:line="240" w:lineRule="auto"/>
        <w:ind w:left="540" w:hanging="540"/>
        <w:rPr>
          <w:bCs/>
          <w:color w:val="222222"/>
          <w:szCs w:val="24"/>
          <w:shd w:val="clear" w:color="auto" w:fill="FFFFFF"/>
        </w:rPr>
      </w:pPr>
      <w:r w:rsidRPr="00733550">
        <w:rPr>
          <w:bCs/>
          <w:color w:val="222222"/>
          <w:szCs w:val="24"/>
          <w:shd w:val="clear" w:color="auto" w:fill="FFFFFF"/>
        </w:rPr>
        <w:t xml:space="preserve">Texas Demographic Center (2022). 2020 Census. Available at: </w:t>
      </w:r>
      <w:hyperlink r:id="rId419" w:history="1">
        <w:r w:rsidRPr="00733550">
          <w:rPr>
            <w:rStyle w:val="Hyperlink"/>
            <w:bCs/>
            <w:szCs w:val="24"/>
            <w:shd w:val="clear" w:color="auto" w:fill="FFFFFF"/>
          </w:rPr>
          <w:t>https://demographics.texas.gov/</w:t>
        </w:r>
      </w:hyperlink>
      <w:r w:rsidRPr="00733550">
        <w:rPr>
          <w:bCs/>
          <w:color w:val="222222"/>
          <w:szCs w:val="24"/>
          <w:shd w:val="clear" w:color="auto" w:fill="FFFFFF"/>
        </w:rPr>
        <w:t xml:space="preserve">. Accessed December 12, 2022. </w:t>
      </w:r>
    </w:p>
    <w:p w14:paraId="59C68ED3" w14:textId="77777777" w:rsidR="00733550" w:rsidRPr="00733550" w:rsidRDefault="00733550" w:rsidP="00733550">
      <w:pPr>
        <w:tabs>
          <w:tab w:val="left" w:pos="630"/>
        </w:tabs>
        <w:spacing w:after="0" w:line="240" w:lineRule="auto"/>
        <w:ind w:left="540" w:hanging="540"/>
        <w:rPr>
          <w:bCs/>
          <w:color w:val="222222"/>
          <w:szCs w:val="24"/>
          <w:shd w:val="clear" w:color="auto" w:fill="FFFFFF"/>
        </w:rPr>
      </w:pPr>
      <w:r w:rsidRPr="00733550">
        <w:rPr>
          <w:bCs/>
          <w:color w:val="222222"/>
          <w:szCs w:val="24"/>
          <w:shd w:val="clear" w:color="auto" w:fill="FFFFFF"/>
        </w:rPr>
        <w:t xml:space="preserve">Tiedeman, D. V. (1955). On the study of types. </w:t>
      </w:r>
      <w:r w:rsidRPr="00733550">
        <w:rPr>
          <w:bCs/>
          <w:i/>
          <w:iCs/>
          <w:color w:val="222222"/>
          <w:szCs w:val="24"/>
          <w:shd w:val="clear" w:color="auto" w:fill="FFFFFF"/>
        </w:rPr>
        <w:t>Symposium on Pattern Analysis</w:t>
      </w:r>
      <w:r w:rsidRPr="00733550">
        <w:rPr>
          <w:bCs/>
          <w:color w:val="222222"/>
          <w:szCs w:val="24"/>
          <w:shd w:val="clear" w:color="auto" w:fill="FFFFFF"/>
        </w:rPr>
        <w:t>. 1-14. Randolph Field, TX: Air University, USF School of Aviation Medicine.</w:t>
      </w:r>
    </w:p>
    <w:p w14:paraId="316213AA" w14:textId="77777777" w:rsidR="00733550" w:rsidRPr="00733550" w:rsidRDefault="00733550" w:rsidP="00733550">
      <w:pPr>
        <w:tabs>
          <w:tab w:val="left" w:pos="630"/>
        </w:tabs>
        <w:spacing w:after="0" w:line="240" w:lineRule="auto"/>
        <w:ind w:left="540" w:hanging="540"/>
        <w:rPr>
          <w:bCs/>
          <w:szCs w:val="24"/>
        </w:rPr>
      </w:pPr>
      <w:proofErr w:type="spellStart"/>
      <w:r w:rsidRPr="00733550">
        <w:rPr>
          <w:bCs/>
          <w:color w:val="222222"/>
          <w:szCs w:val="24"/>
          <w:shd w:val="clear" w:color="auto" w:fill="FFFFFF"/>
        </w:rPr>
        <w:t>Torbacki</w:t>
      </w:r>
      <w:proofErr w:type="spellEnd"/>
      <w:r w:rsidRPr="00733550">
        <w:rPr>
          <w:bCs/>
          <w:color w:val="222222"/>
          <w:szCs w:val="24"/>
          <w:shd w:val="clear" w:color="auto" w:fill="FFFFFF"/>
        </w:rPr>
        <w:t>, W. (2021). Achieving sustainable mobility in the Szczecin metropolitan area in the post-COVID-19 era: The DEMATEL and PROMETHEE II approach. </w:t>
      </w:r>
      <w:r w:rsidRPr="00733550">
        <w:rPr>
          <w:bCs/>
          <w:i/>
          <w:iCs/>
          <w:color w:val="222222"/>
          <w:szCs w:val="24"/>
          <w:shd w:val="clear" w:color="auto" w:fill="FFFFFF"/>
        </w:rPr>
        <w:t>Sustainability</w:t>
      </w:r>
      <w:r w:rsidRPr="00733550">
        <w:rPr>
          <w:bCs/>
          <w:color w:val="222222"/>
          <w:szCs w:val="24"/>
          <w:shd w:val="clear" w:color="auto" w:fill="FFFFFF"/>
        </w:rPr>
        <w:t>, </w:t>
      </w:r>
      <w:r w:rsidRPr="00733550">
        <w:rPr>
          <w:bCs/>
          <w:i/>
          <w:iCs/>
          <w:color w:val="222222"/>
          <w:szCs w:val="24"/>
          <w:shd w:val="clear" w:color="auto" w:fill="FFFFFF"/>
        </w:rPr>
        <w:t>13</w:t>
      </w:r>
      <w:r w:rsidRPr="00733550">
        <w:rPr>
          <w:bCs/>
          <w:color w:val="222222"/>
          <w:szCs w:val="24"/>
          <w:shd w:val="clear" w:color="auto" w:fill="FFFFFF"/>
        </w:rPr>
        <w:t>(22), 12672.</w:t>
      </w:r>
    </w:p>
    <w:p w14:paraId="07396DAB" w14:textId="137A48E2" w:rsidR="00570531" w:rsidRPr="00002517" w:rsidRDefault="00570531" w:rsidP="00733550">
      <w:pPr>
        <w:tabs>
          <w:tab w:val="left" w:pos="630"/>
        </w:tabs>
        <w:spacing w:after="0" w:line="240" w:lineRule="auto"/>
        <w:ind w:left="540" w:hanging="540"/>
        <w:rPr>
          <w:bCs/>
          <w:color w:val="222222"/>
          <w:szCs w:val="24"/>
          <w:shd w:val="clear" w:color="auto" w:fill="FFFFFF"/>
        </w:rPr>
      </w:pPr>
      <w:r w:rsidRPr="00002517">
        <w:rPr>
          <w:bCs/>
          <w:color w:val="222222"/>
          <w:szCs w:val="24"/>
          <w:shd w:val="clear" w:color="auto" w:fill="FFFFFF"/>
        </w:rPr>
        <w:t>Train, K. E. (2009). </w:t>
      </w:r>
      <w:r w:rsidRPr="00002517">
        <w:rPr>
          <w:bCs/>
          <w:i/>
          <w:color w:val="222222"/>
          <w:szCs w:val="24"/>
          <w:shd w:val="clear" w:color="auto" w:fill="FFFFFF"/>
        </w:rPr>
        <w:t xml:space="preserve">Discrete </w:t>
      </w:r>
      <w:r w:rsidR="005517F7">
        <w:rPr>
          <w:bCs/>
          <w:i/>
          <w:color w:val="222222"/>
          <w:szCs w:val="24"/>
          <w:shd w:val="clear" w:color="auto" w:fill="FFFFFF"/>
        </w:rPr>
        <w:t>C</w:t>
      </w:r>
      <w:r w:rsidRPr="00002517">
        <w:rPr>
          <w:bCs/>
          <w:i/>
          <w:color w:val="222222"/>
          <w:szCs w:val="24"/>
          <w:shd w:val="clear" w:color="auto" w:fill="FFFFFF"/>
        </w:rPr>
        <w:t xml:space="preserve">hoice </w:t>
      </w:r>
      <w:r w:rsidR="005517F7">
        <w:rPr>
          <w:bCs/>
          <w:i/>
          <w:color w:val="222222"/>
          <w:szCs w:val="24"/>
          <w:shd w:val="clear" w:color="auto" w:fill="FFFFFF"/>
        </w:rPr>
        <w:t>M</w:t>
      </w:r>
      <w:r w:rsidRPr="00002517">
        <w:rPr>
          <w:bCs/>
          <w:i/>
          <w:color w:val="222222"/>
          <w:szCs w:val="24"/>
          <w:shd w:val="clear" w:color="auto" w:fill="FFFFFF"/>
        </w:rPr>
        <w:t xml:space="preserve">ethods with </w:t>
      </w:r>
      <w:r w:rsidR="005517F7">
        <w:rPr>
          <w:bCs/>
          <w:i/>
          <w:color w:val="222222"/>
          <w:szCs w:val="24"/>
          <w:shd w:val="clear" w:color="auto" w:fill="FFFFFF"/>
        </w:rPr>
        <w:t>S</w:t>
      </w:r>
      <w:r w:rsidRPr="00002517">
        <w:rPr>
          <w:bCs/>
          <w:i/>
          <w:color w:val="222222"/>
          <w:szCs w:val="24"/>
          <w:shd w:val="clear" w:color="auto" w:fill="FFFFFF"/>
        </w:rPr>
        <w:t>imulation</w:t>
      </w:r>
      <w:r w:rsidRPr="00002517">
        <w:rPr>
          <w:bCs/>
          <w:color w:val="222222"/>
          <w:szCs w:val="24"/>
          <w:shd w:val="clear" w:color="auto" w:fill="FFFFFF"/>
        </w:rPr>
        <w:t xml:space="preserve">. Cambridge </w:t>
      </w:r>
      <w:r w:rsidR="005517F7">
        <w:rPr>
          <w:bCs/>
          <w:color w:val="222222"/>
          <w:szCs w:val="24"/>
          <w:shd w:val="clear" w:color="auto" w:fill="FFFFFF"/>
        </w:rPr>
        <w:t>U</w:t>
      </w:r>
      <w:r w:rsidRPr="00002517">
        <w:rPr>
          <w:bCs/>
          <w:color w:val="222222"/>
          <w:szCs w:val="24"/>
          <w:shd w:val="clear" w:color="auto" w:fill="FFFFFF"/>
        </w:rPr>
        <w:t xml:space="preserve">niversity </w:t>
      </w:r>
      <w:r w:rsidR="005517F7">
        <w:rPr>
          <w:bCs/>
          <w:color w:val="222222"/>
          <w:szCs w:val="24"/>
          <w:shd w:val="clear" w:color="auto" w:fill="FFFFFF"/>
        </w:rPr>
        <w:t>P</w:t>
      </w:r>
      <w:r w:rsidRPr="00002517">
        <w:rPr>
          <w:bCs/>
          <w:color w:val="222222"/>
          <w:szCs w:val="24"/>
          <w:shd w:val="clear" w:color="auto" w:fill="FFFFFF"/>
        </w:rPr>
        <w:t>ress.</w:t>
      </w:r>
    </w:p>
    <w:p w14:paraId="1A992086" w14:textId="457727AA" w:rsidR="00733550" w:rsidRPr="00733550" w:rsidRDefault="00733550" w:rsidP="00733550">
      <w:pPr>
        <w:tabs>
          <w:tab w:val="left" w:pos="630"/>
        </w:tabs>
        <w:spacing w:after="0" w:line="240" w:lineRule="auto"/>
        <w:ind w:left="540" w:hanging="540"/>
        <w:rPr>
          <w:bCs/>
          <w:color w:val="222222"/>
          <w:szCs w:val="24"/>
          <w:shd w:val="clear" w:color="auto" w:fill="FFFFFF"/>
        </w:rPr>
      </w:pPr>
      <w:r w:rsidRPr="00733550">
        <w:rPr>
          <w:bCs/>
          <w:color w:val="222222"/>
          <w:szCs w:val="24"/>
          <w:shd w:val="clear" w:color="auto" w:fill="FFFFFF"/>
        </w:rPr>
        <w:t>Tran, M.</w:t>
      </w:r>
      <w:r w:rsidR="00681AAB">
        <w:rPr>
          <w:bCs/>
          <w:color w:val="222222"/>
          <w:szCs w:val="24"/>
          <w:shd w:val="clear" w:color="auto" w:fill="FFFFFF"/>
        </w:rPr>
        <w:t xml:space="preserve"> </w:t>
      </w:r>
      <w:r w:rsidRPr="00733550">
        <w:rPr>
          <w:bCs/>
          <w:color w:val="222222"/>
          <w:szCs w:val="24"/>
          <w:shd w:val="clear" w:color="auto" w:fill="FFFFFF"/>
        </w:rPr>
        <w:t xml:space="preserve">T., Zhang, J., </w:t>
      </w:r>
      <w:proofErr w:type="spellStart"/>
      <w:r w:rsidRPr="00733550">
        <w:rPr>
          <w:bCs/>
          <w:color w:val="222222"/>
          <w:szCs w:val="24"/>
          <w:shd w:val="clear" w:color="auto" w:fill="FFFFFF"/>
        </w:rPr>
        <w:t>Chikaraishi</w:t>
      </w:r>
      <w:proofErr w:type="spellEnd"/>
      <w:r w:rsidRPr="00733550">
        <w:rPr>
          <w:bCs/>
          <w:color w:val="222222"/>
          <w:szCs w:val="24"/>
          <w:shd w:val="clear" w:color="auto" w:fill="FFFFFF"/>
        </w:rPr>
        <w:t>, M., and Fujiwara, A. (2016). A joint analysis of residential location, work location and commuting mode choices in Hanoi, Vietnam. </w:t>
      </w:r>
      <w:r w:rsidRPr="00733550">
        <w:rPr>
          <w:bCs/>
          <w:i/>
          <w:iCs/>
          <w:color w:val="222222"/>
          <w:szCs w:val="24"/>
          <w:shd w:val="clear" w:color="auto" w:fill="FFFFFF"/>
        </w:rPr>
        <w:t>Journal of Transport Geography</w:t>
      </w:r>
      <w:r w:rsidRPr="00733550">
        <w:rPr>
          <w:bCs/>
          <w:color w:val="222222"/>
          <w:szCs w:val="24"/>
          <w:shd w:val="clear" w:color="auto" w:fill="FFFFFF"/>
        </w:rPr>
        <w:t>, </w:t>
      </w:r>
      <w:r w:rsidRPr="00733550">
        <w:rPr>
          <w:bCs/>
          <w:i/>
          <w:iCs/>
          <w:color w:val="222222"/>
          <w:szCs w:val="24"/>
          <w:shd w:val="clear" w:color="auto" w:fill="FFFFFF"/>
        </w:rPr>
        <w:t>54</w:t>
      </w:r>
      <w:r w:rsidRPr="00733550">
        <w:rPr>
          <w:bCs/>
          <w:color w:val="222222"/>
          <w:szCs w:val="24"/>
          <w:shd w:val="clear" w:color="auto" w:fill="FFFFFF"/>
        </w:rPr>
        <w:t>, 181-193.</w:t>
      </w:r>
    </w:p>
    <w:p w14:paraId="7F817E41" w14:textId="77777777" w:rsidR="00733550" w:rsidRPr="00733550" w:rsidRDefault="00733550" w:rsidP="00733550">
      <w:pPr>
        <w:tabs>
          <w:tab w:val="left" w:pos="630"/>
        </w:tabs>
        <w:spacing w:after="0" w:line="240" w:lineRule="auto"/>
        <w:ind w:left="540" w:hanging="540"/>
        <w:rPr>
          <w:bCs/>
          <w:color w:val="222222"/>
          <w:szCs w:val="24"/>
          <w:shd w:val="clear" w:color="auto" w:fill="FFFFFF"/>
        </w:rPr>
      </w:pPr>
      <w:r w:rsidRPr="00733550">
        <w:rPr>
          <w:bCs/>
          <w:color w:val="222222"/>
          <w:szCs w:val="24"/>
          <w:shd w:val="clear" w:color="auto" w:fill="FFFFFF"/>
        </w:rPr>
        <w:t xml:space="preserve">U.S. Census Bureau (2022). Employment Status in Texas.  </w:t>
      </w:r>
      <w:hyperlink r:id="rId420" w:history="1">
        <w:r w:rsidRPr="00733550">
          <w:rPr>
            <w:rStyle w:val="Hyperlink"/>
            <w:bCs/>
            <w:szCs w:val="24"/>
            <w:shd w:val="clear" w:color="auto" w:fill="FFFFFF"/>
          </w:rPr>
          <w:t>https://data.census.gov/table/ACSST1Y2022.S2301?q=Texas%20Employment</w:t>
        </w:r>
      </w:hyperlink>
      <w:r w:rsidRPr="00733550">
        <w:rPr>
          <w:bCs/>
          <w:color w:val="222222"/>
          <w:szCs w:val="24"/>
          <w:shd w:val="clear" w:color="auto" w:fill="FFFFFF"/>
        </w:rPr>
        <w:t>. Accessed November 12, 2023.</w:t>
      </w:r>
    </w:p>
    <w:p w14:paraId="25D5920E" w14:textId="093A3B1E" w:rsidR="00733550" w:rsidRPr="00733550" w:rsidRDefault="00733550" w:rsidP="00733550">
      <w:pPr>
        <w:tabs>
          <w:tab w:val="left" w:pos="630"/>
        </w:tabs>
        <w:spacing w:after="0" w:line="240" w:lineRule="auto"/>
        <w:ind w:left="540" w:hanging="540"/>
        <w:rPr>
          <w:bCs/>
          <w:color w:val="222222"/>
          <w:szCs w:val="24"/>
          <w:shd w:val="clear" w:color="auto" w:fill="FFFFFF"/>
        </w:rPr>
      </w:pPr>
      <w:bookmarkStart w:id="57" w:name="_Hlk153369689"/>
      <w:r w:rsidRPr="00733550">
        <w:rPr>
          <w:bCs/>
          <w:color w:val="222222"/>
          <w:szCs w:val="24"/>
          <w:shd w:val="clear" w:color="auto" w:fill="FFFFFF"/>
        </w:rPr>
        <w:t xml:space="preserve">Waddell, P. C., Bhat, C. B., Eluru, N., Wang, L., </w:t>
      </w:r>
      <w:r w:rsidR="00681AAB">
        <w:rPr>
          <w:bCs/>
          <w:color w:val="222222"/>
          <w:szCs w:val="24"/>
          <w:shd w:val="clear" w:color="auto" w:fill="FFFFFF"/>
        </w:rPr>
        <w:t xml:space="preserve">and </w:t>
      </w:r>
      <w:r w:rsidRPr="00733550">
        <w:rPr>
          <w:bCs/>
          <w:color w:val="222222"/>
          <w:szCs w:val="24"/>
          <w:shd w:val="clear" w:color="auto" w:fill="FFFFFF"/>
        </w:rPr>
        <w:t xml:space="preserve">Pendyala, R. M. (2007). Modeling interdependence in household residence and workplace choices. </w:t>
      </w:r>
      <w:r w:rsidRPr="00733550">
        <w:rPr>
          <w:bCs/>
          <w:i/>
          <w:iCs/>
          <w:color w:val="222222"/>
          <w:szCs w:val="24"/>
          <w:shd w:val="clear" w:color="auto" w:fill="FFFFFF"/>
        </w:rPr>
        <w:t>Transportation Research Record</w:t>
      </w:r>
      <w:r w:rsidRPr="009320DC">
        <w:rPr>
          <w:bCs/>
          <w:color w:val="222222"/>
          <w:szCs w:val="24"/>
          <w:shd w:val="clear" w:color="auto" w:fill="FFFFFF"/>
        </w:rPr>
        <w:t xml:space="preserve">, </w:t>
      </w:r>
      <w:r w:rsidRPr="00733550">
        <w:rPr>
          <w:bCs/>
          <w:i/>
          <w:iCs/>
          <w:color w:val="222222"/>
          <w:szCs w:val="24"/>
          <w:shd w:val="clear" w:color="auto" w:fill="FFFFFF"/>
        </w:rPr>
        <w:t>2003</w:t>
      </w:r>
      <w:r w:rsidRPr="00733550">
        <w:rPr>
          <w:bCs/>
          <w:color w:val="222222"/>
          <w:szCs w:val="24"/>
          <w:shd w:val="clear" w:color="auto" w:fill="FFFFFF"/>
        </w:rPr>
        <w:t>, 84-92.</w:t>
      </w:r>
    </w:p>
    <w:bookmarkEnd w:id="57"/>
    <w:p w14:paraId="0D50E21B" w14:textId="77777777" w:rsidR="00733550" w:rsidRPr="00733550" w:rsidRDefault="00733550" w:rsidP="00733550">
      <w:pPr>
        <w:tabs>
          <w:tab w:val="left" w:pos="630"/>
        </w:tabs>
        <w:spacing w:after="0" w:line="240" w:lineRule="auto"/>
        <w:ind w:left="540" w:hanging="540"/>
        <w:rPr>
          <w:szCs w:val="24"/>
        </w:rPr>
      </w:pPr>
      <w:r w:rsidRPr="00733550">
        <w:rPr>
          <w:color w:val="222222"/>
          <w:szCs w:val="24"/>
          <w:shd w:val="clear" w:color="auto" w:fill="FFFFFF"/>
        </w:rPr>
        <w:t xml:space="preserve">Walls, M., and </w:t>
      </w:r>
      <w:proofErr w:type="spellStart"/>
      <w:r w:rsidRPr="00733550">
        <w:rPr>
          <w:color w:val="222222"/>
          <w:szCs w:val="24"/>
          <w:shd w:val="clear" w:color="auto" w:fill="FFFFFF"/>
        </w:rPr>
        <w:t>Safirova</w:t>
      </w:r>
      <w:proofErr w:type="spellEnd"/>
      <w:r w:rsidRPr="00733550">
        <w:rPr>
          <w:color w:val="222222"/>
          <w:szCs w:val="24"/>
          <w:shd w:val="clear" w:color="auto" w:fill="FFFFFF"/>
        </w:rPr>
        <w:t xml:space="preserve">, E. (2004). A review of the literature on telecommuting and its implications for vehicle travel and emissions. </w:t>
      </w:r>
      <w:r w:rsidRPr="00733550">
        <w:rPr>
          <w:szCs w:val="24"/>
        </w:rPr>
        <w:t>Discussion Papers 10492, Resources for the Future.</w:t>
      </w:r>
    </w:p>
    <w:p w14:paraId="72FED011" w14:textId="5522F4F7" w:rsidR="00733550" w:rsidRPr="00733550" w:rsidRDefault="00733550" w:rsidP="00733550">
      <w:pPr>
        <w:tabs>
          <w:tab w:val="left" w:pos="630"/>
        </w:tabs>
        <w:spacing w:after="0" w:line="240" w:lineRule="auto"/>
        <w:ind w:left="540" w:hanging="540"/>
        <w:rPr>
          <w:color w:val="222222"/>
          <w:szCs w:val="24"/>
        </w:rPr>
      </w:pPr>
      <w:r w:rsidRPr="00733550">
        <w:rPr>
          <w:color w:val="000000"/>
          <w:szCs w:val="24"/>
        </w:rPr>
        <w:t>Watkins, T.</w:t>
      </w:r>
      <w:r w:rsidR="00681AAB">
        <w:rPr>
          <w:color w:val="000000"/>
          <w:szCs w:val="24"/>
        </w:rPr>
        <w:t xml:space="preserve"> </w:t>
      </w:r>
      <w:r w:rsidRPr="00733550">
        <w:rPr>
          <w:color w:val="000000"/>
          <w:szCs w:val="24"/>
        </w:rPr>
        <w:t>R. (2019) Understanding uncertainty and bias to improve causal inference in health intervention research</w:t>
      </w:r>
      <w:r w:rsidR="000A71F2">
        <w:rPr>
          <w:color w:val="000000"/>
          <w:szCs w:val="24"/>
        </w:rPr>
        <w:t>.</w:t>
      </w:r>
      <w:r w:rsidRPr="00733550">
        <w:rPr>
          <w:color w:val="000000"/>
          <w:szCs w:val="24"/>
        </w:rPr>
        <w:t xml:space="preserve"> PhD dissertation, The University of Sydney.</w:t>
      </w:r>
    </w:p>
    <w:p w14:paraId="34810719" w14:textId="77777777" w:rsidR="00733550" w:rsidRPr="00733550" w:rsidRDefault="00733550" w:rsidP="00733550">
      <w:pPr>
        <w:tabs>
          <w:tab w:val="left" w:pos="630"/>
        </w:tabs>
        <w:spacing w:after="0" w:line="240" w:lineRule="auto"/>
        <w:ind w:left="540" w:hanging="540"/>
        <w:rPr>
          <w:bCs/>
          <w:color w:val="222222"/>
          <w:szCs w:val="24"/>
          <w:shd w:val="clear" w:color="auto" w:fill="FFFFFF"/>
        </w:rPr>
      </w:pPr>
      <w:r w:rsidRPr="00733550">
        <w:rPr>
          <w:bCs/>
          <w:color w:val="222222"/>
          <w:szCs w:val="24"/>
          <w:shd w:val="clear" w:color="auto" w:fill="FFFFFF"/>
        </w:rPr>
        <w:t xml:space="preserve">White, P., Christodoulou, G., </w:t>
      </w:r>
      <w:proofErr w:type="spellStart"/>
      <w:r w:rsidRPr="00733550">
        <w:rPr>
          <w:bCs/>
          <w:color w:val="222222"/>
          <w:szCs w:val="24"/>
          <w:shd w:val="clear" w:color="auto" w:fill="FFFFFF"/>
        </w:rPr>
        <w:t>Mackett</w:t>
      </w:r>
      <w:proofErr w:type="spellEnd"/>
      <w:r w:rsidRPr="00733550">
        <w:rPr>
          <w:bCs/>
          <w:color w:val="222222"/>
          <w:szCs w:val="24"/>
          <w:shd w:val="clear" w:color="auto" w:fill="FFFFFF"/>
        </w:rPr>
        <w:t xml:space="preserve">, R., </w:t>
      </w:r>
      <w:proofErr w:type="spellStart"/>
      <w:r w:rsidRPr="00733550">
        <w:rPr>
          <w:bCs/>
          <w:color w:val="222222"/>
          <w:szCs w:val="24"/>
          <w:shd w:val="clear" w:color="auto" w:fill="FFFFFF"/>
        </w:rPr>
        <w:t>Titheridge</w:t>
      </w:r>
      <w:proofErr w:type="spellEnd"/>
      <w:r w:rsidRPr="00733550">
        <w:rPr>
          <w:bCs/>
          <w:color w:val="222222"/>
          <w:szCs w:val="24"/>
          <w:shd w:val="clear" w:color="auto" w:fill="FFFFFF"/>
        </w:rPr>
        <w:t xml:space="preserve">, H., Thoreau, R., and </w:t>
      </w:r>
      <w:proofErr w:type="spellStart"/>
      <w:r w:rsidRPr="00733550">
        <w:rPr>
          <w:bCs/>
          <w:color w:val="222222"/>
          <w:szCs w:val="24"/>
          <w:shd w:val="clear" w:color="auto" w:fill="FFFFFF"/>
        </w:rPr>
        <w:t>Polak</w:t>
      </w:r>
      <w:proofErr w:type="spellEnd"/>
      <w:r w:rsidRPr="00733550">
        <w:rPr>
          <w:bCs/>
          <w:color w:val="222222"/>
          <w:szCs w:val="24"/>
          <w:shd w:val="clear" w:color="auto" w:fill="FFFFFF"/>
        </w:rPr>
        <w:t>, J. (2007). The role of teleworking in Britain: its implications for the transport system and economic evaluation. In </w:t>
      </w:r>
      <w:r w:rsidRPr="00733550">
        <w:rPr>
          <w:bCs/>
          <w:i/>
          <w:iCs/>
          <w:color w:val="222222"/>
          <w:szCs w:val="24"/>
          <w:shd w:val="clear" w:color="auto" w:fill="FFFFFF"/>
        </w:rPr>
        <w:t>European Transport Conference</w:t>
      </w:r>
      <w:r w:rsidRPr="00733550">
        <w:rPr>
          <w:bCs/>
          <w:color w:val="222222"/>
          <w:szCs w:val="24"/>
          <w:shd w:val="clear" w:color="auto" w:fill="FFFFFF"/>
        </w:rPr>
        <w:t>. Association for European Transport.</w:t>
      </w:r>
    </w:p>
    <w:p w14:paraId="54FA2BB6" w14:textId="77777777" w:rsidR="00733550" w:rsidRPr="00733550" w:rsidRDefault="00733550" w:rsidP="00733550">
      <w:pPr>
        <w:tabs>
          <w:tab w:val="left" w:pos="630"/>
        </w:tabs>
        <w:spacing w:after="0" w:line="240" w:lineRule="auto"/>
        <w:ind w:left="540" w:hanging="540"/>
        <w:rPr>
          <w:color w:val="222222"/>
          <w:szCs w:val="24"/>
          <w:shd w:val="clear" w:color="auto" w:fill="FFFFFF"/>
        </w:rPr>
      </w:pPr>
      <w:r w:rsidRPr="00733550">
        <w:rPr>
          <w:color w:val="222222"/>
          <w:szCs w:val="24"/>
          <w:shd w:val="clear" w:color="auto" w:fill="FFFFFF"/>
        </w:rPr>
        <w:lastRenderedPageBreak/>
        <w:t>Williamson, J. (2006). Dispositional versus epistemic causality. </w:t>
      </w:r>
      <w:r w:rsidRPr="00733550">
        <w:rPr>
          <w:i/>
          <w:iCs/>
          <w:color w:val="222222"/>
          <w:szCs w:val="24"/>
          <w:shd w:val="clear" w:color="auto" w:fill="FFFFFF"/>
        </w:rPr>
        <w:t>Minds and Machines</w:t>
      </w:r>
      <w:r w:rsidRPr="00733550">
        <w:rPr>
          <w:color w:val="222222"/>
          <w:szCs w:val="24"/>
          <w:shd w:val="clear" w:color="auto" w:fill="FFFFFF"/>
        </w:rPr>
        <w:t>, </w:t>
      </w:r>
      <w:r w:rsidRPr="00733550">
        <w:rPr>
          <w:i/>
          <w:iCs/>
          <w:color w:val="222222"/>
          <w:szCs w:val="24"/>
          <w:shd w:val="clear" w:color="auto" w:fill="FFFFFF"/>
        </w:rPr>
        <w:t>16</w:t>
      </w:r>
      <w:r w:rsidRPr="00733550">
        <w:rPr>
          <w:color w:val="222222"/>
          <w:szCs w:val="24"/>
          <w:shd w:val="clear" w:color="auto" w:fill="FFFFFF"/>
        </w:rPr>
        <w:t>, 259-276.</w:t>
      </w:r>
    </w:p>
    <w:p w14:paraId="1C6BD8F5" w14:textId="77777777" w:rsidR="00733550" w:rsidRPr="00733550" w:rsidRDefault="00733550" w:rsidP="00733550">
      <w:pPr>
        <w:tabs>
          <w:tab w:val="left" w:pos="630"/>
        </w:tabs>
        <w:spacing w:after="0" w:line="240" w:lineRule="auto"/>
        <w:ind w:left="540" w:hanging="540"/>
        <w:rPr>
          <w:bCs/>
          <w:color w:val="222222"/>
          <w:szCs w:val="24"/>
          <w:shd w:val="clear" w:color="auto" w:fill="FFFFFF"/>
        </w:rPr>
      </w:pPr>
      <w:proofErr w:type="spellStart"/>
      <w:r w:rsidRPr="00733550">
        <w:rPr>
          <w:bCs/>
          <w:color w:val="222222"/>
          <w:szCs w:val="24"/>
          <w:shd w:val="clear" w:color="auto" w:fill="FFFFFF"/>
        </w:rPr>
        <w:t>Wöhner</w:t>
      </w:r>
      <w:proofErr w:type="spellEnd"/>
      <w:r w:rsidRPr="00733550">
        <w:rPr>
          <w:bCs/>
          <w:color w:val="222222"/>
          <w:szCs w:val="24"/>
          <w:shd w:val="clear" w:color="auto" w:fill="FFFFFF"/>
        </w:rPr>
        <w:t>, F. (2022). Work flexibly, travel less? The impact of telework and flextime on mobility behavior in Switzerland. </w:t>
      </w:r>
      <w:r w:rsidRPr="00733550">
        <w:rPr>
          <w:bCs/>
          <w:i/>
          <w:iCs/>
          <w:color w:val="222222"/>
          <w:szCs w:val="24"/>
          <w:shd w:val="clear" w:color="auto" w:fill="FFFFFF"/>
        </w:rPr>
        <w:t>Journal of Transport Geography</w:t>
      </w:r>
      <w:r w:rsidRPr="00733550">
        <w:rPr>
          <w:bCs/>
          <w:color w:val="222222"/>
          <w:szCs w:val="24"/>
          <w:shd w:val="clear" w:color="auto" w:fill="FFFFFF"/>
        </w:rPr>
        <w:t>, </w:t>
      </w:r>
      <w:r w:rsidRPr="00733550">
        <w:rPr>
          <w:bCs/>
          <w:i/>
          <w:iCs/>
          <w:color w:val="222222"/>
          <w:szCs w:val="24"/>
          <w:shd w:val="clear" w:color="auto" w:fill="FFFFFF"/>
        </w:rPr>
        <w:t>102</w:t>
      </w:r>
      <w:r w:rsidRPr="00733550">
        <w:rPr>
          <w:bCs/>
          <w:color w:val="222222"/>
          <w:szCs w:val="24"/>
          <w:shd w:val="clear" w:color="auto" w:fill="FFFFFF"/>
        </w:rPr>
        <w:t>, 103390.</w:t>
      </w:r>
    </w:p>
    <w:p w14:paraId="706F01CC" w14:textId="3D0848D3" w:rsidR="00733550" w:rsidRPr="00733550" w:rsidRDefault="00733550" w:rsidP="00733550">
      <w:pPr>
        <w:tabs>
          <w:tab w:val="left" w:pos="630"/>
        </w:tabs>
        <w:spacing w:after="0" w:line="240" w:lineRule="auto"/>
        <w:ind w:left="540" w:hanging="540"/>
        <w:rPr>
          <w:bCs/>
          <w:szCs w:val="24"/>
          <w:shd w:val="clear" w:color="auto" w:fill="FFFFFF"/>
        </w:rPr>
      </w:pPr>
      <w:bookmarkStart w:id="58" w:name="_Toc99017871"/>
      <w:proofErr w:type="spellStart"/>
      <w:r w:rsidRPr="00733550">
        <w:rPr>
          <w:bCs/>
          <w:szCs w:val="24"/>
          <w:shd w:val="clear" w:color="auto" w:fill="FFFFFF"/>
        </w:rPr>
        <w:t>Wöhrmann</w:t>
      </w:r>
      <w:proofErr w:type="spellEnd"/>
      <w:r w:rsidRPr="00733550">
        <w:rPr>
          <w:bCs/>
          <w:szCs w:val="24"/>
          <w:shd w:val="clear" w:color="auto" w:fill="FFFFFF"/>
        </w:rPr>
        <w:t>, A.</w:t>
      </w:r>
      <w:r w:rsidR="00681AAB">
        <w:rPr>
          <w:bCs/>
          <w:szCs w:val="24"/>
          <w:shd w:val="clear" w:color="auto" w:fill="FFFFFF"/>
        </w:rPr>
        <w:t xml:space="preserve"> </w:t>
      </w:r>
      <w:r w:rsidRPr="00733550">
        <w:rPr>
          <w:bCs/>
          <w:szCs w:val="24"/>
          <w:shd w:val="clear" w:color="auto" w:fill="FFFFFF"/>
        </w:rPr>
        <w:t>M., and Ebner, C. (2021). Understanding the bright side and the dark side of telework: An empirical analysis of working conditions and psychosomatic health complaints. </w:t>
      </w:r>
      <w:r w:rsidRPr="00733550">
        <w:rPr>
          <w:bCs/>
          <w:i/>
          <w:iCs/>
          <w:szCs w:val="24"/>
          <w:shd w:val="clear" w:color="auto" w:fill="FFFFFF"/>
        </w:rPr>
        <w:t>New Technology, Work and Employment</w:t>
      </w:r>
      <w:r w:rsidRPr="00733550">
        <w:rPr>
          <w:bCs/>
          <w:szCs w:val="24"/>
          <w:shd w:val="clear" w:color="auto" w:fill="FFFFFF"/>
        </w:rPr>
        <w:t>, </w:t>
      </w:r>
      <w:r w:rsidRPr="00733550">
        <w:rPr>
          <w:bCs/>
          <w:i/>
          <w:iCs/>
          <w:szCs w:val="24"/>
          <w:shd w:val="clear" w:color="auto" w:fill="FFFFFF"/>
        </w:rPr>
        <w:t>36</w:t>
      </w:r>
      <w:r w:rsidRPr="00733550">
        <w:rPr>
          <w:bCs/>
          <w:szCs w:val="24"/>
          <w:shd w:val="clear" w:color="auto" w:fill="FFFFFF"/>
        </w:rPr>
        <w:t>(3), 348-370.</w:t>
      </w:r>
      <w:bookmarkEnd w:id="58"/>
    </w:p>
    <w:p w14:paraId="6DA4E44B" w14:textId="01DEACEF" w:rsidR="00733550" w:rsidRPr="00733550" w:rsidRDefault="00733550" w:rsidP="00733550">
      <w:pPr>
        <w:tabs>
          <w:tab w:val="left" w:pos="630"/>
        </w:tabs>
        <w:spacing w:after="0" w:line="240" w:lineRule="auto"/>
        <w:ind w:left="540" w:hanging="540"/>
        <w:rPr>
          <w:rStyle w:val="Hyperlink"/>
          <w:bCs/>
          <w:szCs w:val="24"/>
        </w:rPr>
      </w:pPr>
      <w:r w:rsidRPr="00733550">
        <w:rPr>
          <w:bCs/>
          <w:szCs w:val="24"/>
        </w:rPr>
        <w:t>Wooldridge, J.</w:t>
      </w:r>
      <w:r w:rsidR="00681AAB">
        <w:rPr>
          <w:bCs/>
          <w:szCs w:val="24"/>
        </w:rPr>
        <w:t xml:space="preserve"> </w:t>
      </w:r>
      <w:r w:rsidRPr="00733550">
        <w:rPr>
          <w:bCs/>
          <w:szCs w:val="24"/>
        </w:rPr>
        <w:t xml:space="preserve">M. (1995). Selection corrections for panel data models under conditional mean independence assumptions. </w:t>
      </w:r>
      <w:r w:rsidRPr="00733550">
        <w:rPr>
          <w:bCs/>
          <w:i/>
          <w:iCs/>
          <w:szCs w:val="24"/>
        </w:rPr>
        <w:t>Journal of Econometrics</w:t>
      </w:r>
      <w:r w:rsidRPr="00733550">
        <w:rPr>
          <w:bCs/>
          <w:szCs w:val="24"/>
        </w:rPr>
        <w:t xml:space="preserve">, </w:t>
      </w:r>
      <w:r w:rsidRPr="00733550">
        <w:rPr>
          <w:bCs/>
          <w:i/>
          <w:szCs w:val="24"/>
        </w:rPr>
        <w:t>68</w:t>
      </w:r>
      <w:r w:rsidRPr="00733550">
        <w:rPr>
          <w:bCs/>
          <w:szCs w:val="24"/>
        </w:rPr>
        <w:t xml:space="preserve">(1), 115-132. </w:t>
      </w:r>
    </w:p>
    <w:p w14:paraId="69D714BE" w14:textId="77777777" w:rsidR="00733550" w:rsidRPr="00733550" w:rsidRDefault="00733550" w:rsidP="00733550">
      <w:pPr>
        <w:tabs>
          <w:tab w:val="left" w:pos="630"/>
        </w:tabs>
        <w:spacing w:after="0" w:line="240" w:lineRule="auto"/>
        <w:ind w:left="540" w:hanging="540"/>
        <w:rPr>
          <w:b/>
          <w:szCs w:val="24"/>
        </w:rPr>
      </w:pPr>
      <w:r w:rsidRPr="00733550">
        <w:rPr>
          <w:color w:val="222222"/>
          <w:szCs w:val="24"/>
          <w:shd w:val="clear" w:color="auto" w:fill="FFFFFF"/>
        </w:rPr>
        <w:t xml:space="preserve">Wunsch, G., Russo, F., and </w:t>
      </w:r>
      <w:proofErr w:type="spellStart"/>
      <w:r w:rsidRPr="00733550">
        <w:rPr>
          <w:color w:val="222222"/>
          <w:szCs w:val="24"/>
          <w:shd w:val="clear" w:color="auto" w:fill="FFFFFF"/>
        </w:rPr>
        <w:t>Mouchart</w:t>
      </w:r>
      <w:proofErr w:type="spellEnd"/>
      <w:r w:rsidRPr="00733550">
        <w:rPr>
          <w:color w:val="222222"/>
          <w:szCs w:val="24"/>
          <w:shd w:val="clear" w:color="auto" w:fill="FFFFFF"/>
        </w:rPr>
        <w:t>, M. (2010). Do we necessarily need longitudinal data to infer causal relations?. </w:t>
      </w:r>
      <w:r w:rsidRPr="00733550">
        <w:rPr>
          <w:i/>
          <w:iCs/>
          <w:color w:val="222222"/>
          <w:szCs w:val="24"/>
          <w:shd w:val="clear" w:color="auto" w:fill="FFFFFF"/>
        </w:rPr>
        <w:t xml:space="preserve">Bulletin of Sociological Methodology/Bulletin de </w:t>
      </w:r>
      <w:proofErr w:type="spellStart"/>
      <w:r w:rsidRPr="00733550">
        <w:rPr>
          <w:i/>
          <w:iCs/>
          <w:color w:val="222222"/>
          <w:szCs w:val="24"/>
          <w:shd w:val="clear" w:color="auto" w:fill="FFFFFF"/>
        </w:rPr>
        <w:t>Méthodologie</w:t>
      </w:r>
      <w:proofErr w:type="spellEnd"/>
      <w:r w:rsidRPr="00733550">
        <w:rPr>
          <w:i/>
          <w:iCs/>
          <w:color w:val="222222"/>
          <w:szCs w:val="24"/>
          <w:shd w:val="clear" w:color="auto" w:fill="FFFFFF"/>
        </w:rPr>
        <w:t xml:space="preserve"> </w:t>
      </w:r>
      <w:proofErr w:type="spellStart"/>
      <w:r w:rsidRPr="00733550">
        <w:rPr>
          <w:i/>
          <w:iCs/>
          <w:color w:val="222222"/>
          <w:szCs w:val="24"/>
          <w:shd w:val="clear" w:color="auto" w:fill="FFFFFF"/>
        </w:rPr>
        <w:t>Sociologique</w:t>
      </w:r>
      <w:proofErr w:type="spellEnd"/>
      <w:r w:rsidRPr="00733550">
        <w:rPr>
          <w:color w:val="222222"/>
          <w:szCs w:val="24"/>
          <w:shd w:val="clear" w:color="auto" w:fill="FFFFFF"/>
        </w:rPr>
        <w:t>, </w:t>
      </w:r>
      <w:r w:rsidRPr="00733550">
        <w:rPr>
          <w:i/>
          <w:iCs/>
          <w:color w:val="222222"/>
          <w:szCs w:val="24"/>
          <w:shd w:val="clear" w:color="auto" w:fill="FFFFFF"/>
        </w:rPr>
        <w:t>106</w:t>
      </w:r>
      <w:r w:rsidRPr="00733550">
        <w:rPr>
          <w:color w:val="222222"/>
          <w:szCs w:val="24"/>
          <w:shd w:val="clear" w:color="auto" w:fill="FFFFFF"/>
        </w:rPr>
        <w:t>(1), 5-18.</w:t>
      </w:r>
    </w:p>
    <w:p w14:paraId="7B43B4D5" w14:textId="569CFDFA" w:rsidR="00733550" w:rsidRPr="00733550" w:rsidRDefault="00733550" w:rsidP="00733550">
      <w:pPr>
        <w:tabs>
          <w:tab w:val="left" w:pos="630"/>
        </w:tabs>
        <w:spacing w:after="0" w:line="240" w:lineRule="auto"/>
        <w:ind w:left="540" w:hanging="540"/>
        <w:rPr>
          <w:b/>
          <w:color w:val="222222"/>
          <w:szCs w:val="24"/>
          <w:shd w:val="clear" w:color="auto" w:fill="FFFFFF"/>
        </w:rPr>
      </w:pPr>
      <w:r w:rsidRPr="00733550">
        <w:rPr>
          <w:szCs w:val="24"/>
        </w:rPr>
        <w:t>Zhang, S., Moeckel, R., Moreno, A.</w:t>
      </w:r>
      <w:r w:rsidR="00681AAB">
        <w:rPr>
          <w:szCs w:val="24"/>
        </w:rPr>
        <w:t xml:space="preserve"> </w:t>
      </w:r>
      <w:r w:rsidRPr="00733550">
        <w:rPr>
          <w:szCs w:val="24"/>
        </w:rPr>
        <w:t xml:space="preserve">T., Shuai, B., and Gao, J. (2020). A work-life conflict perspective on </w:t>
      </w:r>
      <w:proofErr w:type="gramStart"/>
      <w:r w:rsidRPr="00733550">
        <w:rPr>
          <w:szCs w:val="24"/>
        </w:rPr>
        <w:t>telework</w:t>
      </w:r>
      <w:proofErr w:type="gramEnd"/>
      <w:r w:rsidRPr="00733550">
        <w:rPr>
          <w:szCs w:val="24"/>
        </w:rPr>
        <w:t xml:space="preserve">. </w:t>
      </w:r>
      <w:r w:rsidRPr="00733550">
        <w:rPr>
          <w:i/>
          <w:iCs/>
          <w:szCs w:val="24"/>
        </w:rPr>
        <w:t>Transportation Research Part A</w:t>
      </w:r>
      <w:r w:rsidRPr="00733550">
        <w:rPr>
          <w:iCs/>
          <w:szCs w:val="24"/>
        </w:rPr>
        <w:t xml:space="preserve">, </w:t>
      </w:r>
      <w:r w:rsidRPr="00733550">
        <w:rPr>
          <w:i/>
          <w:iCs/>
          <w:szCs w:val="24"/>
        </w:rPr>
        <w:t>141</w:t>
      </w:r>
      <w:r w:rsidRPr="00733550">
        <w:rPr>
          <w:szCs w:val="24"/>
        </w:rPr>
        <w:t>, 51-68.</w:t>
      </w:r>
    </w:p>
    <w:p w14:paraId="6F7D3A39" w14:textId="5FC83FA8" w:rsidR="00733550" w:rsidRPr="00733550" w:rsidRDefault="00733550" w:rsidP="00733550">
      <w:pPr>
        <w:tabs>
          <w:tab w:val="left" w:pos="630"/>
        </w:tabs>
        <w:spacing w:after="0" w:line="240" w:lineRule="auto"/>
        <w:ind w:left="540" w:hanging="540"/>
        <w:rPr>
          <w:bCs/>
          <w:color w:val="222222"/>
          <w:szCs w:val="24"/>
          <w:shd w:val="clear" w:color="auto" w:fill="FFFFFF"/>
        </w:rPr>
      </w:pPr>
      <w:r w:rsidRPr="00733550">
        <w:rPr>
          <w:bCs/>
          <w:color w:val="222222"/>
          <w:szCs w:val="24"/>
          <w:shd w:val="clear" w:color="auto" w:fill="FFFFFF"/>
        </w:rPr>
        <w:t>Zhu, P., and Mason, S.</w:t>
      </w:r>
      <w:r w:rsidR="00681AAB">
        <w:rPr>
          <w:bCs/>
          <w:color w:val="222222"/>
          <w:szCs w:val="24"/>
          <w:shd w:val="clear" w:color="auto" w:fill="FFFFFF"/>
        </w:rPr>
        <w:t xml:space="preserve"> </w:t>
      </w:r>
      <w:r w:rsidRPr="00733550">
        <w:rPr>
          <w:bCs/>
          <w:color w:val="222222"/>
          <w:szCs w:val="24"/>
          <w:shd w:val="clear" w:color="auto" w:fill="FFFFFF"/>
        </w:rPr>
        <w:t>G. (2014). The impact of telecommuting on personal vehicle usage and environmental sustainability. </w:t>
      </w:r>
      <w:r w:rsidRPr="00733550">
        <w:rPr>
          <w:bCs/>
          <w:i/>
          <w:iCs/>
          <w:color w:val="222222"/>
          <w:szCs w:val="24"/>
          <w:shd w:val="clear" w:color="auto" w:fill="FFFFFF"/>
        </w:rPr>
        <w:t>International Journal of Environmental Science and Technology</w:t>
      </w:r>
      <w:r w:rsidRPr="00733550">
        <w:rPr>
          <w:bCs/>
          <w:color w:val="222222"/>
          <w:szCs w:val="24"/>
          <w:shd w:val="clear" w:color="auto" w:fill="FFFFFF"/>
        </w:rPr>
        <w:t>, </w:t>
      </w:r>
      <w:r w:rsidRPr="00733550">
        <w:rPr>
          <w:bCs/>
          <w:i/>
          <w:iCs/>
          <w:color w:val="222222"/>
          <w:szCs w:val="24"/>
          <w:shd w:val="clear" w:color="auto" w:fill="FFFFFF"/>
        </w:rPr>
        <w:t>11</w:t>
      </w:r>
      <w:r w:rsidRPr="00733550">
        <w:rPr>
          <w:bCs/>
          <w:color w:val="222222"/>
          <w:szCs w:val="24"/>
          <w:shd w:val="clear" w:color="auto" w:fill="FFFFFF"/>
        </w:rPr>
        <w:t>, 2185-2200.</w:t>
      </w:r>
    </w:p>
    <w:p w14:paraId="5091B458" w14:textId="77777777" w:rsidR="00B04324" w:rsidRPr="00D90E64" w:rsidRDefault="00B04324" w:rsidP="00B04324">
      <w:pPr>
        <w:pStyle w:val="ListParagraph"/>
        <w:spacing w:after="0" w:line="240" w:lineRule="auto"/>
        <w:ind w:left="900" w:hanging="540"/>
        <w:jc w:val="both"/>
        <w:rPr>
          <w:rFonts w:ascii="Times New Roman" w:hAnsi="Times New Roman"/>
          <w:color w:val="222222"/>
          <w:sz w:val="24"/>
          <w:szCs w:val="24"/>
          <w:shd w:val="clear" w:color="auto" w:fill="FFFFFF"/>
        </w:rPr>
      </w:pPr>
    </w:p>
    <w:p w14:paraId="326C53D0" w14:textId="4B25A510" w:rsidR="00FE3EAF" w:rsidRDefault="00FE3EAF">
      <w:pPr>
        <w:jc w:val="left"/>
        <w:rPr>
          <w:szCs w:val="24"/>
        </w:rPr>
      </w:pPr>
    </w:p>
    <w:p w14:paraId="7C98E625" w14:textId="77777777" w:rsidR="007E7E37" w:rsidRDefault="007E7E37" w:rsidP="00FE3EAF">
      <w:pPr>
        <w:spacing w:after="0" w:line="240" w:lineRule="auto"/>
        <w:jc w:val="center"/>
        <w:rPr>
          <w:rFonts w:eastAsia="Calibri"/>
          <w:b/>
        </w:rPr>
        <w:sectPr w:rsidR="007E7E37" w:rsidSect="00617C0C">
          <w:footerReference w:type="default" r:id="rId421"/>
          <w:pgSz w:w="12240" w:h="15840"/>
          <w:pgMar w:top="1440" w:right="1440" w:bottom="1440" w:left="1440" w:header="720" w:footer="720" w:gutter="0"/>
          <w:pgNumType w:start="1"/>
          <w:cols w:space="720"/>
          <w:docGrid w:linePitch="360"/>
        </w:sectPr>
      </w:pPr>
    </w:p>
    <w:p w14:paraId="10C223B0" w14:textId="77777777" w:rsidR="007E7E37" w:rsidRDefault="007E7E37" w:rsidP="007E7E37">
      <w:pPr>
        <w:spacing w:after="0" w:line="240" w:lineRule="auto"/>
        <w:jc w:val="center"/>
        <w:rPr>
          <w:rFonts w:eastAsia="Calibri"/>
          <w:b/>
        </w:rPr>
      </w:pPr>
      <w:r>
        <w:rPr>
          <w:rFonts w:eastAsia="Calibri"/>
          <w:b/>
          <w:noProof/>
        </w:rPr>
        <w:lastRenderedPageBreak/>
        <w:drawing>
          <wp:inline distT="0" distB="0" distL="0" distR="0" wp14:anchorId="5F22CDA4" wp14:editId="005BCE16">
            <wp:extent cx="5528390" cy="37719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pic:cNvPicPr>
                      <a:picLocks noChangeAspect="1" noChangeArrowheads="1"/>
                    </pic:cNvPicPr>
                  </pic:nvPicPr>
                  <pic:blipFill>
                    <a:blip r:embed="rId422" cstate="print">
                      <a:extLst>
                        <a:ext uri="{28A0092B-C50C-407E-A947-70E740481C1C}">
                          <a14:useLocalDpi xmlns:a14="http://schemas.microsoft.com/office/drawing/2010/main" val="0"/>
                        </a:ext>
                      </a:extLst>
                    </a:blip>
                    <a:srcRect/>
                    <a:stretch>
                      <a:fillRect/>
                    </a:stretch>
                  </pic:blipFill>
                  <pic:spPr bwMode="auto">
                    <a:xfrm>
                      <a:off x="0" y="0"/>
                      <a:ext cx="5552948" cy="3788656"/>
                    </a:xfrm>
                    <a:prstGeom prst="rect">
                      <a:avLst/>
                    </a:prstGeom>
                    <a:noFill/>
                  </pic:spPr>
                </pic:pic>
              </a:graphicData>
            </a:graphic>
          </wp:inline>
        </w:drawing>
      </w:r>
    </w:p>
    <w:p w14:paraId="303F2678" w14:textId="5D281979" w:rsidR="00FE3EAF" w:rsidRDefault="007E7E37" w:rsidP="00FE3EAF">
      <w:pPr>
        <w:spacing w:after="0" w:line="240" w:lineRule="auto"/>
        <w:jc w:val="center"/>
        <w:rPr>
          <w:rFonts w:eastAsia="Calibri"/>
          <w:b/>
        </w:rPr>
      </w:pPr>
      <w:r w:rsidRPr="00A853B3">
        <w:rPr>
          <w:rFonts w:eastAsia="Calibri"/>
          <w:b/>
        </w:rPr>
        <w:t xml:space="preserve">Figure </w:t>
      </w:r>
      <w:r>
        <w:rPr>
          <w:rFonts w:eastAsia="Calibri"/>
          <w:b/>
        </w:rPr>
        <w:t>1</w:t>
      </w:r>
      <w:r w:rsidRPr="00A853B3">
        <w:rPr>
          <w:rFonts w:eastAsia="Calibri"/>
          <w:b/>
        </w:rPr>
        <w:t>: Sample Distribution of Individuals among Seven WPL Combinations</w:t>
      </w:r>
    </w:p>
    <w:p w14:paraId="7FB5FAB2" w14:textId="3BC027E2" w:rsidR="007E7E37" w:rsidRDefault="007E7E37" w:rsidP="00FE3EAF">
      <w:pPr>
        <w:spacing w:after="0" w:line="240" w:lineRule="auto"/>
        <w:jc w:val="center"/>
        <w:rPr>
          <w:rFonts w:eastAsia="Calibri"/>
          <w:b/>
        </w:rPr>
      </w:pPr>
    </w:p>
    <w:p w14:paraId="55C6ECFB" w14:textId="4B7E37E5" w:rsidR="00784D3F" w:rsidRDefault="00784D3F" w:rsidP="00FE3EAF">
      <w:pPr>
        <w:spacing w:after="0" w:line="240" w:lineRule="auto"/>
        <w:jc w:val="center"/>
        <w:rPr>
          <w:rFonts w:eastAsia="Calibri"/>
          <w:b/>
        </w:rPr>
      </w:pPr>
    </w:p>
    <w:p w14:paraId="44331672" w14:textId="77777777" w:rsidR="00784D3F" w:rsidRDefault="00784D3F" w:rsidP="00FE3EAF">
      <w:pPr>
        <w:spacing w:after="0" w:line="240" w:lineRule="auto"/>
        <w:jc w:val="center"/>
        <w:rPr>
          <w:rFonts w:eastAsia="Calibri"/>
          <w:b/>
        </w:rPr>
      </w:pPr>
    </w:p>
    <w:p w14:paraId="7F009A15" w14:textId="77777777" w:rsidR="007E7E37" w:rsidRPr="00FE3EAF" w:rsidRDefault="007E7E37" w:rsidP="00FE3EAF">
      <w:pPr>
        <w:spacing w:after="0" w:line="240" w:lineRule="auto"/>
        <w:jc w:val="center"/>
        <w:rPr>
          <w:rFonts w:eastAsia="Calibri"/>
          <w:b/>
        </w:rPr>
      </w:pPr>
    </w:p>
    <w:p w14:paraId="01B3961A" w14:textId="77777777" w:rsidR="00FE3EAF" w:rsidRPr="00FE3EAF" w:rsidRDefault="00FE3EAF" w:rsidP="00FE3EAF">
      <w:pPr>
        <w:spacing w:after="0" w:line="240" w:lineRule="auto"/>
        <w:jc w:val="center"/>
        <w:rPr>
          <w:rFonts w:eastAsia="Calibri"/>
          <w:b/>
        </w:rPr>
      </w:pPr>
      <w:bookmarkStart w:id="59" w:name="_Hlk139224433"/>
      <w:r w:rsidRPr="00FE3EAF">
        <w:rPr>
          <w:rFonts w:eastAsia="Calibri"/>
          <w:noProof/>
        </w:rPr>
        <w:drawing>
          <wp:inline distT="0" distB="0" distL="0" distR="0" wp14:anchorId="2CA588DF" wp14:editId="658095FF">
            <wp:extent cx="5505450" cy="2714625"/>
            <wp:effectExtent l="0" t="0" r="0" b="9525"/>
            <wp:docPr id="1" name="Chart 1">
              <a:extLst xmlns:a="http://schemas.openxmlformats.org/drawingml/2006/main">
                <a:ext uri="{FF2B5EF4-FFF2-40B4-BE49-F238E27FC236}">
                  <a16:creationId xmlns:a16="http://schemas.microsoft.com/office/drawing/2014/main" id="{3EC96EEB-CCD4-40CB-A458-A21F180BD12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23"/>
              </a:graphicData>
            </a:graphic>
          </wp:inline>
        </w:drawing>
      </w:r>
    </w:p>
    <w:p w14:paraId="61920204" w14:textId="1449C5FF" w:rsidR="00FE3EAF" w:rsidRPr="00FE3EAF" w:rsidRDefault="00FE3EAF" w:rsidP="00FE3EAF">
      <w:pPr>
        <w:spacing w:after="0" w:line="240" w:lineRule="auto"/>
        <w:jc w:val="center"/>
        <w:rPr>
          <w:rFonts w:eastAsia="Calibri"/>
          <w:b/>
        </w:rPr>
      </w:pPr>
      <w:r w:rsidRPr="00FE3EAF">
        <w:rPr>
          <w:rFonts w:eastAsia="Calibri"/>
          <w:b/>
        </w:rPr>
        <w:t xml:space="preserve">Figure </w:t>
      </w:r>
      <w:r w:rsidR="007E7E37">
        <w:rPr>
          <w:rFonts w:eastAsia="Calibri"/>
          <w:b/>
        </w:rPr>
        <w:t>2</w:t>
      </w:r>
      <w:r w:rsidRPr="00FE3EAF">
        <w:rPr>
          <w:rFonts w:eastAsia="Calibri"/>
          <w:b/>
        </w:rPr>
        <w:t>: Relationship between Remote Work Frequency and Average Commute Distance</w:t>
      </w:r>
    </w:p>
    <w:p w14:paraId="3964317E" w14:textId="6F554A26" w:rsidR="00FE3EAF" w:rsidRDefault="00FE3EAF" w:rsidP="00FE3EAF">
      <w:pPr>
        <w:spacing w:after="0" w:line="240" w:lineRule="auto"/>
        <w:jc w:val="center"/>
        <w:rPr>
          <w:rFonts w:eastAsia="Calibri"/>
          <w:b/>
        </w:rPr>
      </w:pPr>
    </w:p>
    <w:p w14:paraId="360A852C" w14:textId="77777777" w:rsidR="00C31072" w:rsidRPr="00FE3EAF" w:rsidRDefault="00C31072" w:rsidP="00FE3EAF">
      <w:pPr>
        <w:spacing w:after="0" w:line="240" w:lineRule="auto"/>
        <w:jc w:val="center"/>
        <w:rPr>
          <w:rFonts w:eastAsia="Calibri"/>
          <w:b/>
        </w:rPr>
      </w:pPr>
    </w:p>
    <w:p w14:paraId="53CB77AE" w14:textId="77777777" w:rsidR="00FE3EAF" w:rsidRPr="00FE3EAF" w:rsidRDefault="00FE3EAF" w:rsidP="00FE3EAF">
      <w:pPr>
        <w:spacing w:after="0" w:line="240" w:lineRule="auto"/>
        <w:jc w:val="center"/>
        <w:rPr>
          <w:rFonts w:eastAsia="Calibri"/>
          <w:b/>
        </w:rPr>
      </w:pPr>
    </w:p>
    <w:p w14:paraId="3FBB1DEF" w14:textId="77777777" w:rsidR="00FE3EAF" w:rsidRPr="00FE3EAF" w:rsidRDefault="00FE3EAF" w:rsidP="00FE3EAF">
      <w:pPr>
        <w:spacing w:after="0" w:line="240" w:lineRule="auto"/>
        <w:jc w:val="center"/>
        <w:rPr>
          <w:rFonts w:eastAsia="Calibri"/>
          <w:b/>
        </w:rPr>
      </w:pPr>
      <w:r w:rsidRPr="00FE3EAF">
        <w:rPr>
          <w:rFonts w:eastAsia="Calibri"/>
          <w:noProof/>
        </w:rPr>
        <w:lastRenderedPageBreak/>
        <w:drawing>
          <wp:inline distT="0" distB="0" distL="0" distR="0" wp14:anchorId="11074051" wp14:editId="5E3B0D62">
            <wp:extent cx="4572000" cy="2714625"/>
            <wp:effectExtent l="0" t="0" r="0" b="9525"/>
            <wp:docPr id="5" name="Chart 5">
              <a:extLst xmlns:a="http://schemas.openxmlformats.org/drawingml/2006/main">
                <a:ext uri="{FF2B5EF4-FFF2-40B4-BE49-F238E27FC236}">
                  <a16:creationId xmlns:a16="http://schemas.microsoft.com/office/drawing/2014/main" id="{6328F108-1D50-4620-83AA-B6ABF8A5B3B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24"/>
              </a:graphicData>
            </a:graphic>
          </wp:inline>
        </w:drawing>
      </w:r>
    </w:p>
    <w:p w14:paraId="08783DDB" w14:textId="6A51E3A6" w:rsidR="00FE3EAF" w:rsidRDefault="00FE3EAF" w:rsidP="00FE3EAF">
      <w:pPr>
        <w:spacing w:after="0" w:line="240" w:lineRule="auto"/>
        <w:jc w:val="center"/>
        <w:rPr>
          <w:rFonts w:eastAsia="Calibri"/>
          <w:b/>
        </w:rPr>
      </w:pPr>
      <w:r w:rsidRPr="00FE3EAF">
        <w:rPr>
          <w:rFonts w:eastAsia="Calibri"/>
          <w:b/>
        </w:rPr>
        <w:t xml:space="preserve">Figure </w:t>
      </w:r>
      <w:r w:rsidR="007E7E37">
        <w:rPr>
          <w:rFonts w:eastAsia="Calibri"/>
          <w:b/>
        </w:rPr>
        <w:t>3</w:t>
      </w:r>
      <w:r w:rsidRPr="00FE3EAF">
        <w:rPr>
          <w:rFonts w:eastAsia="Calibri"/>
          <w:b/>
        </w:rPr>
        <w:t xml:space="preserve">: Relationship between Commute Distance and Average Remote Work Participation </w:t>
      </w:r>
    </w:p>
    <w:p w14:paraId="62975449" w14:textId="62894D75" w:rsidR="0000172A" w:rsidRDefault="0000172A" w:rsidP="00FE3EAF">
      <w:pPr>
        <w:spacing w:after="0" w:line="240" w:lineRule="auto"/>
        <w:jc w:val="center"/>
        <w:rPr>
          <w:rFonts w:eastAsia="Calibri"/>
          <w:b/>
        </w:rPr>
      </w:pPr>
    </w:p>
    <w:bookmarkEnd w:id="59"/>
    <w:p w14:paraId="07E9C0D8" w14:textId="27562A74" w:rsidR="00FE3EAF" w:rsidRDefault="00FE3EAF" w:rsidP="00FE3EAF">
      <w:pPr>
        <w:spacing w:after="0" w:line="240" w:lineRule="auto"/>
        <w:jc w:val="center"/>
        <w:rPr>
          <w:rFonts w:eastAsia="Calibri"/>
          <w:b/>
        </w:rPr>
      </w:pPr>
    </w:p>
    <w:p w14:paraId="2FA75A64" w14:textId="42437549" w:rsidR="00810642" w:rsidRDefault="00810642" w:rsidP="00FE3EAF">
      <w:pPr>
        <w:spacing w:after="0" w:line="240" w:lineRule="auto"/>
        <w:jc w:val="center"/>
        <w:rPr>
          <w:rFonts w:eastAsia="Calibri"/>
          <w:b/>
        </w:rPr>
      </w:pPr>
    </w:p>
    <w:p w14:paraId="30F74BE2" w14:textId="1A26F931" w:rsidR="00810642" w:rsidRDefault="00810642" w:rsidP="00FE3EAF">
      <w:pPr>
        <w:spacing w:after="0" w:line="240" w:lineRule="auto"/>
        <w:jc w:val="center"/>
        <w:rPr>
          <w:rFonts w:eastAsia="Calibri"/>
          <w:b/>
        </w:rPr>
      </w:pPr>
    </w:p>
    <w:p w14:paraId="64328957" w14:textId="77777777" w:rsidR="00810642" w:rsidRDefault="00810642" w:rsidP="00FE3EAF">
      <w:pPr>
        <w:spacing w:after="0" w:line="240" w:lineRule="auto"/>
        <w:jc w:val="center"/>
        <w:rPr>
          <w:rFonts w:eastAsia="Calibri"/>
          <w:b/>
        </w:rPr>
      </w:pPr>
    </w:p>
    <w:p w14:paraId="4DBDEF81" w14:textId="20071798" w:rsidR="00F150F1" w:rsidRPr="00FE3EAF" w:rsidRDefault="00F150F1" w:rsidP="00FE3EAF">
      <w:pPr>
        <w:spacing w:after="0" w:line="240" w:lineRule="auto"/>
        <w:jc w:val="center"/>
        <w:rPr>
          <w:rFonts w:eastAsia="Calibri"/>
          <w:b/>
        </w:rPr>
      </w:pPr>
      <w:r>
        <w:rPr>
          <w:rFonts w:eastAsia="Calibri"/>
          <w:b/>
          <w:noProof/>
        </w:rPr>
        <w:drawing>
          <wp:inline distT="0" distB="0" distL="0" distR="0" wp14:anchorId="75265003" wp14:editId="2E6F3DA0">
            <wp:extent cx="5705856" cy="2988054"/>
            <wp:effectExtent l="0" t="0" r="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
                    <pic:cNvPicPr>
                      <a:picLocks noChangeAspect="1" noChangeArrowheads="1"/>
                    </pic:cNvPicPr>
                  </pic:nvPicPr>
                  <pic:blipFill>
                    <a:blip r:embed="rId425" cstate="print">
                      <a:extLst>
                        <a:ext uri="{28A0092B-C50C-407E-A947-70E740481C1C}">
                          <a14:useLocalDpi xmlns:a14="http://schemas.microsoft.com/office/drawing/2010/main" val="0"/>
                        </a:ext>
                      </a:extLst>
                    </a:blip>
                    <a:srcRect/>
                    <a:stretch>
                      <a:fillRect/>
                    </a:stretch>
                  </pic:blipFill>
                  <pic:spPr bwMode="auto">
                    <a:xfrm>
                      <a:off x="0" y="0"/>
                      <a:ext cx="5705856" cy="2988054"/>
                    </a:xfrm>
                    <a:prstGeom prst="rect">
                      <a:avLst/>
                    </a:prstGeom>
                    <a:noFill/>
                  </pic:spPr>
                </pic:pic>
              </a:graphicData>
            </a:graphic>
          </wp:inline>
        </w:drawing>
      </w:r>
    </w:p>
    <w:p w14:paraId="26F24CAC" w14:textId="55D5F4FC" w:rsidR="00FE3EAF" w:rsidRPr="00FE3EAF" w:rsidRDefault="00855F90" w:rsidP="006B47DE">
      <w:pPr>
        <w:spacing w:after="0" w:line="240" w:lineRule="auto"/>
        <w:jc w:val="center"/>
        <w:rPr>
          <w:rFonts w:eastAsia="Calibri"/>
        </w:rPr>
        <w:sectPr w:rsidR="00FE3EAF" w:rsidRPr="00FE3EAF" w:rsidSect="007E7E37">
          <w:pgSz w:w="12240" w:h="15840"/>
          <w:pgMar w:top="1440" w:right="1440" w:bottom="1440" w:left="1440" w:header="720" w:footer="720" w:gutter="0"/>
          <w:cols w:space="720"/>
          <w:docGrid w:linePitch="360"/>
        </w:sectPr>
      </w:pPr>
      <w:r w:rsidRPr="00002517">
        <w:rPr>
          <w:rFonts w:eastAsia="Calibri"/>
          <w:b/>
          <w:bCs/>
        </w:rPr>
        <w:t>Figure 4: Latent Segmentation Model Framework</w:t>
      </w:r>
      <w:r w:rsidRPr="00002517">
        <w:rPr>
          <w:rFonts w:eastAsia="Calibri"/>
          <w:b/>
          <w:bCs/>
        </w:rPr>
        <w:cr/>
      </w:r>
    </w:p>
    <w:p w14:paraId="38742CAA" w14:textId="70872A19" w:rsidR="00FE3EAF" w:rsidRPr="00FE3EAF" w:rsidRDefault="00FE3EAF" w:rsidP="00FE3EAF">
      <w:pPr>
        <w:spacing w:after="0" w:line="240" w:lineRule="auto"/>
        <w:jc w:val="left"/>
        <w:rPr>
          <w:rFonts w:eastAsia="Calibri"/>
          <w:b/>
        </w:rPr>
      </w:pPr>
      <w:bookmarkStart w:id="60" w:name="_Hlk139224492"/>
      <w:r w:rsidRPr="00FE3EAF">
        <w:rPr>
          <w:rFonts w:eastAsia="Calibri"/>
          <w:b/>
        </w:rPr>
        <w:lastRenderedPageBreak/>
        <w:t>Table 1: Sample Distribution of Exogenous Variables (N=824)</w:t>
      </w:r>
    </w:p>
    <w:tbl>
      <w:tblPr>
        <w:tblW w:w="14594" w:type="dxa"/>
        <w:tblInd w:w="-23" w:type="dxa"/>
        <w:tblLayout w:type="fixed"/>
        <w:tblLook w:val="04A0" w:firstRow="1" w:lastRow="0" w:firstColumn="1" w:lastColumn="0" w:noHBand="0" w:noVBand="1"/>
      </w:tblPr>
      <w:tblGrid>
        <w:gridCol w:w="4769"/>
        <w:gridCol w:w="720"/>
        <w:gridCol w:w="724"/>
        <w:gridCol w:w="716"/>
        <w:gridCol w:w="4409"/>
        <w:gridCol w:w="720"/>
        <w:gridCol w:w="720"/>
        <w:gridCol w:w="632"/>
        <w:gridCol w:w="1184"/>
      </w:tblGrid>
      <w:tr w:rsidR="00E27267" w:rsidRPr="00FE3EAF" w14:paraId="06CA904A" w14:textId="77777777" w:rsidTr="00784D3F">
        <w:trPr>
          <w:gridAfter w:val="1"/>
          <w:wAfter w:w="1184" w:type="dxa"/>
          <w:trHeight w:val="20"/>
        </w:trPr>
        <w:tc>
          <w:tcPr>
            <w:tcW w:w="4769" w:type="dxa"/>
            <w:tcBorders>
              <w:top w:val="double" w:sz="6" w:space="0" w:color="auto"/>
              <w:left w:val="double" w:sz="6" w:space="0" w:color="auto"/>
              <w:bottom w:val="double" w:sz="4" w:space="0" w:color="auto"/>
              <w:right w:val="nil"/>
            </w:tcBorders>
            <w:shd w:val="clear" w:color="auto" w:fill="auto"/>
            <w:noWrap/>
            <w:tcMar>
              <w:left w:w="58" w:type="dxa"/>
              <w:right w:w="58" w:type="dxa"/>
            </w:tcMar>
            <w:vAlign w:val="center"/>
            <w:hideMark/>
          </w:tcPr>
          <w:p w14:paraId="5BE248DA" w14:textId="77777777" w:rsidR="00E27267" w:rsidRPr="00C844C3" w:rsidRDefault="00E27267" w:rsidP="00E27267">
            <w:pPr>
              <w:spacing w:after="0" w:line="240" w:lineRule="auto"/>
              <w:jc w:val="left"/>
              <w:rPr>
                <w:rFonts w:eastAsia="Times New Roman"/>
                <w:b/>
                <w:color w:val="000000"/>
                <w:sz w:val="21"/>
                <w:szCs w:val="21"/>
              </w:rPr>
            </w:pPr>
            <w:r w:rsidRPr="00C844C3">
              <w:rPr>
                <w:rFonts w:eastAsia="Times New Roman"/>
                <w:b/>
                <w:color w:val="000000"/>
                <w:sz w:val="21"/>
                <w:szCs w:val="21"/>
              </w:rPr>
              <w:t>Variable</w:t>
            </w:r>
          </w:p>
        </w:tc>
        <w:tc>
          <w:tcPr>
            <w:tcW w:w="720" w:type="dxa"/>
            <w:tcBorders>
              <w:top w:val="double" w:sz="6" w:space="0" w:color="auto"/>
              <w:left w:val="nil"/>
              <w:bottom w:val="double" w:sz="4" w:space="0" w:color="auto"/>
              <w:right w:val="nil"/>
            </w:tcBorders>
            <w:shd w:val="clear" w:color="auto" w:fill="auto"/>
            <w:noWrap/>
            <w:tcMar>
              <w:left w:w="58" w:type="dxa"/>
              <w:right w:w="58" w:type="dxa"/>
            </w:tcMar>
            <w:vAlign w:val="center"/>
            <w:hideMark/>
          </w:tcPr>
          <w:p w14:paraId="1311BDE5" w14:textId="77777777" w:rsidR="00E27267" w:rsidRPr="00C844C3" w:rsidRDefault="00E27267" w:rsidP="00E27267">
            <w:pPr>
              <w:spacing w:after="0" w:line="240" w:lineRule="auto"/>
              <w:jc w:val="center"/>
              <w:rPr>
                <w:rFonts w:eastAsia="Times New Roman"/>
                <w:b/>
                <w:color w:val="000000"/>
                <w:sz w:val="21"/>
                <w:szCs w:val="21"/>
              </w:rPr>
            </w:pPr>
            <w:r w:rsidRPr="00C844C3">
              <w:rPr>
                <w:rFonts w:eastAsia="Times New Roman"/>
                <w:b/>
                <w:color w:val="000000"/>
                <w:sz w:val="21"/>
                <w:szCs w:val="21"/>
              </w:rPr>
              <w:t>Count</w:t>
            </w:r>
          </w:p>
        </w:tc>
        <w:tc>
          <w:tcPr>
            <w:tcW w:w="724" w:type="dxa"/>
            <w:tcBorders>
              <w:top w:val="double" w:sz="6" w:space="0" w:color="auto"/>
              <w:left w:val="nil"/>
              <w:bottom w:val="double" w:sz="4" w:space="0" w:color="auto"/>
              <w:right w:val="nil"/>
            </w:tcBorders>
            <w:tcMar>
              <w:left w:w="58" w:type="dxa"/>
              <w:right w:w="58" w:type="dxa"/>
            </w:tcMar>
            <w:vAlign w:val="center"/>
          </w:tcPr>
          <w:p w14:paraId="6EFB7A5B" w14:textId="75158D3B" w:rsidR="00E27267" w:rsidRPr="00C844C3" w:rsidRDefault="00E27267" w:rsidP="00E27267">
            <w:pPr>
              <w:spacing w:after="0" w:line="240" w:lineRule="auto"/>
              <w:jc w:val="center"/>
              <w:rPr>
                <w:rFonts w:eastAsia="Times New Roman"/>
                <w:b/>
                <w:color w:val="000000"/>
                <w:sz w:val="21"/>
                <w:szCs w:val="21"/>
              </w:rPr>
            </w:pPr>
            <w:r w:rsidRPr="00C844C3">
              <w:rPr>
                <w:rFonts w:eastAsia="Times New Roman"/>
                <w:b/>
                <w:color w:val="000000"/>
                <w:sz w:val="21"/>
                <w:szCs w:val="21"/>
              </w:rPr>
              <w:t>%</w:t>
            </w:r>
          </w:p>
        </w:tc>
        <w:tc>
          <w:tcPr>
            <w:tcW w:w="716" w:type="dxa"/>
            <w:tcBorders>
              <w:top w:val="double" w:sz="6" w:space="0" w:color="auto"/>
              <w:left w:val="nil"/>
              <w:bottom w:val="double" w:sz="4" w:space="0" w:color="auto"/>
              <w:right w:val="double" w:sz="6" w:space="0" w:color="auto"/>
            </w:tcBorders>
            <w:shd w:val="clear" w:color="auto" w:fill="auto"/>
            <w:noWrap/>
            <w:tcMar>
              <w:left w:w="58" w:type="dxa"/>
              <w:right w:w="58" w:type="dxa"/>
            </w:tcMar>
            <w:vAlign w:val="center"/>
            <w:hideMark/>
          </w:tcPr>
          <w:p w14:paraId="2AAEC6D8" w14:textId="7255FAEE" w:rsidR="00E27267" w:rsidRPr="00C844C3" w:rsidRDefault="00E27267" w:rsidP="00E27267">
            <w:pPr>
              <w:spacing w:after="0" w:line="240" w:lineRule="auto"/>
              <w:jc w:val="center"/>
              <w:rPr>
                <w:rFonts w:eastAsia="Times New Roman"/>
                <w:b/>
                <w:color w:val="000000"/>
                <w:sz w:val="21"/>
                <w:szCs w:val="21"/>
              </w:rPr>
            </w:pPr>
            <w:r>
              <w:rPr>
                <w:rFonts w:eastAsia="Times New Roman"/>
                <w:b/>
                <w:color w:val="000000"/>
                <w:sz w:val="21"/>
                <w:szCs w:val="21"/>
              </w:rPr>
              <w:t>TX%</w:t>
            </w:r>
          </w:p>
        </w:tc>
        <w:tc>
          <w:tcPr>
            <w:tcW w:w="4409" w:type="dxa"/>
            <w:tcBorders>
              <w:top w:val="double" w:sz="6" w:space="0" w:color="auto"/>
              <w:left w:val="nil"/>
              <w:bottom w:val="double" w:sz="6" w:space="0" w:color="auto"/>
              <w:right w:val="nil"/>
            </w:tcBorders>
            <w:shd w:val="clear" w:color="auto" w:fill="auto"/>
            <w:noWrap/>
            <w:tcMar>
              <w:left w:w="58" w:type="dxa"/>
              <w:right w:w="58" w:type="dxa"/>
            </w:tcMar>
            <w:vAlign w:val="center"/>
            <w:hideMark/>
          </w:tcPr>
          <w:p w14:paraId="0E0F1F58" w14:textId="77777777" w:rsidR="00E27267" w:rsidRPr="00C844C3" w:rsidRDefault="00E27267" w:rsidP="00E27267">
            <w:pPr>
              <w:spacing w:after="0" w:line="240" w:lineRule="auto"/>
              <w:jc w:val="left"/>
              <w:rPr>
                <w:rFonts w:eastAsia="Times New Roman"/>
                <w:b/>
                <w:color w:val="000000"/>
                <w:sz w:val="21"/>
                <w:szCs w:val="21"/>
              </w:rPr>
            </w:pPr>
            <w:r w:rsidRPr="00C844C3">
              <w:rPr>
                <w:rFonts w:eastAsia="Times New Roman"/>
                <w:b/>
                <w:color w:val="000000"/>
                <w:sz w:val="21"/>
                <w:szCs w:val="21"/>
              </w:rPr>
              <w:t xml:space="preserve"> Variable</w:t>
            </w:r>
          </w:p>
        </w:tc>
        <w:tc>
          <w:tcPr>
            <w:tcW w:w="720" w:type="dxa"/>
            <w:tcBorders>
              <w:top w:val="double" w:sz="6" w:space="0" w:color="auto"/>
              <w:left w:val="nil"/>
              <w:bottom w:val="double" w:sz="6" w:space="0" w:color="auto"/>
              <w:right w:val="nil"/>
            </w:tcBorders>
            <w:shd w:val="clear" w:color="auto" w:fill="auto"/>
            <w:noWrap/>
            <w:tcMar>
              <w:left w:w="58" w:type="dxa"/>
              <w:right w:w="58" w:type="dxa"/>
            </w:tcMar>
            <w:vAlign w:val="center"/>
            <w:hideMark/>
          </w:tcPr>
          <w:p w14:paraId="75322265" w14:textId="532CFC8A" w:rsidR="00E27267" w:rsidRPr="00C844C3" w:rsidRDefault="00E27267" w:rsidP="00E27267">
            <w:pPr>
              <w:spacing w:after="0" w:line="240" w:lineRule="auto"/>
              <w:jc w:val="center"/>
              <w:rPr>
                <w:rFonts w:eastAsia="Times New Roman"/>
                <w:b/>
                <w:color w:val="000000"/>
                <w:sz w:val="21"/>
                <w:szCs w:val="21"/>
              </w:rPr>
            </w:pPr>
            <w:r w:rsidRPr="00C844C3">
              <w:rPr>
                <w:rFonts w:eastAsia="Times New Roman"/>
                <w:b/>
                <w:color w:val="000000"/>
                <w:sz w:val="21"/>
                <w:szCs w:val="21"/>
              </w:rPr>
              <w:t>Count</w:t>
            </w:r>
          </w:p>
        </w:tc>
        <w:tc>
          <w:tcPr>
            <w:tcW w:w="720" w:type="dxa"/>
            <w:tcBorders>
              <w:top w:val="double" w:sz="6" w:space="0" w:color="auto"/>
              <w:left w:val="nil"/>
              <w:bottom w:val="double" w:sz="6" w:space="0" w:color="auto"/>
              <w:right w:val="nil"/>
            </w:tcBorders>
            <w:tcMar>
              <w:left w:w="58" w:type="dxa"/>
              <w:right w:w="58" w:type="dxa"/>
            </w:tcMar>
          </w:tcPr>
          <w:p w14:paraId="455297E0" w14:textId="53944F60" w:rsidR="00E27267" w:rsidRPr="00C844C3" w:rsidRDefault="00E27267" w:rsidP="00E27267">
            <w:pPr>
              <w:spacing w:after="0" w:line="240" w:lineRule="auto"/>
              <w:jc w:val="center"/>
              <w:rPr>
                <w:rFonts w:eastAsia="Times New Roman"/>
                <w:b/>
                <w:color w:val="000000"/>
                <w:sz w:val="21"/>
                <w:szCs w:val="21"/>
              </w:rPr>
            </w:pPr>
            <w:r>
              <w:rPr>
                <w:rFonts w:eastAsia="Times New Roman"/>
                <w:b/>
                <w:color w:val="000000"/>
                <w:sz w:val="21"/>
                <w:szCs w:val="21"/>
              </w:rPr>
              <w:t>%</w:t>
            </w:r>
          </w:p>
        </w:tc>
        <w:tc>
          <w:tcPr>
            <w:tcW w:w="632" w:type="dxa"/>
            <w:tcBorders>
              <w:top w:val="double" w:sz="6" w:space="0" w:color="auto"/>
              <w:left w:val="nil"/>
              <w:bottom w:val="double" w:sz="6" w:space="0" w:color="auto"/>
              <w:right w:val="double" w:sz="6" w:space="0" w:color="auto"/>
            </w:tcBorders>
            <w:shd w:val="clear" w:color="auto" w:fill="auto"/>
            <w:noWrap/>
            <w:tcMar>
              <w:left w:w="58" w:type="dxa"/>
              <w:right w:w="58" w:type="dxa"/>
            </w:tcMar>
            <w:vAlign w:val="center"/>
            <w:hideMark/>
          </w:tcPr>
          <w:p w14:paraId="1F5E7C12" w14:textId="721E2697" w:rsidR="00E27267" w:rsidRPr="00C844C3" w:rsidRDefault="00E27267" w:rsidP="00E27267">
            <w:pPr>
              <w:spacing w:after="0" w:line="240" w:lineRule="auto"/>
              <w:jc w:val="center"/>
              <w:rPr>
                <w:rFonts w:eastAsia="Times New Roman"/>
                <w:b/>
                <w:color w:val="000000"/>
                <w:sz w:val="21"/>
                <w:szCs w:val="21"/>
              </w:rPr>
            </w:pPr>
            <w:r>
              <w:rPr>
                <w:rFonts w:eastAsia="Times New Roman"/>
                <w:b/>
                <w:color w:val="000000"/>
                <w:sz w:val="21"/>
                <w:szCs w:val="21"/>
              </w:rPr>
              <w:t>TX</w:t>
            </w:r>
            <w:r w:rsidRPr="00C844C3">
              <w:rPr>
                <w:rFonts w:eastAsia="Times New Roman"/>
                <w:b/>
                <w:color w:val="000000"/>
                <w:sz w:val="21"/>
                <w:szCs w:val="21"/>
              </w:rPr>
              <w:t>%</w:t>
            </w:r>
          </w:p>
        </w:tc>
      </w:tr>
      <w:tr w:rsidR="00E27267" w:rsidRPr="00FE3EAF" w14:paraId="7EEF2798" w14:textId="77777777" w:rsidTr="00784D3F">
        <w:trPr>
          <w:gridAfter w:val="1"/>
          <w:wAfter w:w="1184" w:type="dxa"/>
          <w:trHeight w:val="20"/>
        </w:trPr>
        <w:tc>
          <w:tcPr>
            <w:tcW w:w="6929" w:type="dxa"/>
            <w:gridSpan w:val="4"/>
            <w:tcBorders>
              <w:top w:val="double" w:sz="4" w:space="0" w:color="auto"/>
              <w:left w:val="double" w:sz="6" w:space="0" w:color="auto"/>
              <w:bottom w:val="nil"/>
              <w:right w:val="double" w:sz="6" w:space="0" w:color="auto"/>
            </w:tcBorders>
            <w:tcMar>
              <w:left w:w="58" w:type="dxa"/>
              <w:right w:w="58" w:type="dxa"/>
            </w:tcMar>
          </w:tcPr>
          <w:p w14:paraId="240E20E1" w14:textId="4091E2FB" w:rsidR="00E27267" w:rsidRPr="00FE3EAF" w:rsidRDefault="00E27267" w:rsidP="00E27267">
            <w:pPr>
              <w:spacing w:after="0" w:line="240" w:lineRule="auto"/>
              <w:jc w:val="left"/>
              <w:rPr>
                <w:rFonts w:eastAsia="Times New Roman"/>
                <w:i/>
                <w:iCs/>
                <w:color w:val="000000"/>
                <w:sz w:val="21"/>
                <w:szCs w:val="21"/>
              </w:rPr>
            </w:pPr>
            <w:r w:rsidRPr="00FE3EAF">
              <w:rPr>
                <w:rFonts w:eastAsia="Times New Roman"/>
                <w:i/>
                <w:iCs/>
                <w:color w:val="000000"/>
                <w:sz w:val="21"/>
                <w:szCs w:val="21"/>
              </w:rPr>
              <w:t>Individual Demographics</w:t>
            </w:r>
          </w:p>
        </w:tc>
        <w:tc>
          <w:tcPr>
            <w:tcW w:w="6481" w:type="dxa"/>
            <w:gridSpan w:val="4"/>
            <w:tcBorders>
              <w:top w:val="double" w:sz="4" w:space="0" w:color="auto"/>
              <w:left w:val="double" w:sz="6" w:space="0" w:color="auto"/>
              <w:bottom w:val="nil"/>
              <w:right w:val="double" w:sz="6" w:space="0" w:color="000000"/>
            </w:tcBorders>
            <w:tcMar>
              <w:left w:w="58" w:type="dxa"/>
              <w:right w:w="58" w:type="dxa"/>
            </w:tcMar>
          </w:tcPr>
          <w:p w14:paraId="4D1021D8" w14:textId="0C9950EF" w:rsidR="00E27267" w:rsidRPr="00FE3EAF" w:rsidRDefault="00E27267" w:rsidP="00E27267">
            <w:pPr>
              <w:spacing w:after="0" w:line="240" w:lineRule="auto"/>
              <w:jc w:val="left"/>
              <w:rPr>
                <w:rFonts w:eastAsia="Times New Roman"/>
                <w:i/>
                <w:iCs/>
                <w:color w:val="000000"/>
                <w:sz w:val="21"/>
                <w:szCs w:val="21"/>
              </w:rPr>
            </w:pPr>
            <w:r w:rsidRPr="00FE3EAF">
              <w:rPr>
                <w:rFonts w:eastAsia="Times New Roman"/>
                <w:i/>
                <w:iCs/>
                <w:color w:val="000000"/>
                <w:sz w:val="21"/>
                <w:szCs w:val="21"/>
              </w:rPr>
              <w:t>Residential Attributes</w:t>
            </w:r>
          </w:p>
        </w:tc>
      </w:tr>
      <w:tr w:rsidR="00E27267" w:rsidRPr="00FE3EAF" w14:paraId="18DACF8B" w14:textId="77777777" w:rsidTr="00784D3F">
        <w:trPr>
          <w:gridAfter w:val="1"/>
          <w:wAfter w:w="1184" w:type="dxa"/>
          <w:trHeight w:val="20"/>
        </w:trPr>
        <w:tc>
          <w:tcPr>
            <w:tcW w:w="4769" w:type="dxa"/>
            <w:tcBorders>
              <w:top w:val="nil"/>
              <w:left w:val="double" w:sz="6" w:space="0" w:color="auto"/>
              <w:bottom w:val="nil"/>
              <w:right w:val="nil"/>
            </w:tcBorders>
            <w:shd w:val="clear" w:color="auto" w:fill="auto"/>
            <w:noWrap/>
            <w:tcMar>
              <w:left w:w="58" w:type="dxa"/>
              <w:right w:w="58" w:type="dxa"/>
            </w:tcMar>
            <w:vAlign w:val="center"/>
            <w:hideMark/>
          </w:tcPr>
          <w:p w14:paraId="37CEE10A" w14:textId="77777777" w:rsidR="00E27267" w:rsidRPr="00FE3EAF" w:rsidRDefault="00E27267" w:rsidP="00E27267">
            <w:pPr>
              <w:spacing w:after="0" w:line="240" w:lineRule="auto"/>
              <w:jc w:val="left"/>
              <w:rPr>
                <w:rFonts w:eastAsia="Times New Roman"/>
                <w:b/>
                <w:bCs/>
                <w:color w:val="000000"/>
                <w:sz w:val="21"/>
                <w:szCs w:val="21"/>
              </w:rPr>
            </w:pPr>
            <w:r w:rsidRPr="00FE3EAF">
              <w:rPr>
                <w:rFonts w:eastAsia="Times New Roman"/>
                <w:b/>
                <w:bCs/>
                <w:color w:val="000000"/>
                <w:sz w:val="21"/>
                <w:szCs w:val="21"/>
              </w:rPr>
              <w:t xml:space="preserve"> Gender</w:t>
            </w:r>
          </w:p>
        </w:tc>
        <w:tc>
          <w:tcPr>
            <w:tcW w:w="720" w:type="dxa"/>
            <w:tcBorders>
              <w:top w:val="nil"/>
              <w:left w:val="nil"/>
              <w:bottom w:val="nil"/>
              <w:right w:val="nil"/>
            </w:tcBorders>
            <w:shd w:val="clear" w:color="auto" w:fill="auto"/>
            <w:noWrap/>
            <w:tcMar>
              <w:left w:w="58" w:type="dxa"/>
              <w:right w:w="58" w:type="dxa"/>
            </w:tcMar>
            <w:vAlign w:val="center"/>
            <w:hideMark/>
          </w:tcPr>
          <w:p w14:paraId="169C08FD" w14:textId="77777777" w:rsidR="00E27267" w:rsidRPr="00FE3EAF" w:rsidRDefault="00E27267" w:rsidP="00E27267">
            <w:pPr>
              <w:spacing w:after="0" w:line="240" w:lineRule="auto"/>
              <w:jc w:val="left"/>
              <w:rPr>
                <w:rFonts w:eastAsia="Times New Roman"/>
                <w:b/>
                <w:bCs/>
                <w:color w:val="000000"/>
                <w:sz w:val="21"/>
                <w:szCs w:val="21"/>
              </w:rPr>
            </w:pPr>
          </w:p>
        </w:tc>
        <w:tc>
          <w:tcPr>
            <w:tcW w:w="724" w:type="dxa"/>
            <w:tcBorders>
              <w:top w:val="nil"/>
              <w:left w:val="nil"/>
              <w:bottom w:val="nil"/>
              <w:right w:val="nil"/>
            </w:tcBorders>
            <w:tcMar>
              <w:left w:w="58" w:type="dxa"/>
              <w:right w:w="58" w:type="dxa"/>
            </w:tcMar>
          </w:tcPr>
          <w:p w14:paraId="34665653" w14:textId="77777777" w:rsidR="00E27267" w:rsidRPr="00FE3EAF" w:rsidRDefault="00E27267" w:rsidP="00E27267">
            <w:pPr>
              <w:spacing w:after="0" w:line="240" w:lineRule="auto"/>
              <w:jc w:val="left"/>
              <w:rPr>
                <w:rFonts w:eastAsia="Times New Roman"/>
                <w:color w:val="000000"/>
                <w:sz w:val="21"/>
                <w:szCs w:val="21"/>
              </w:rPr>
            </w:pPr>
          </w:p>
        </w:tc>
        <w:tc>
          <w:tcPr>
            <w:tcW w:w="716" w:type="dxa"/>
            <w:tcBorders>
              <w:top w:val="nil"/>
              <w:left w:val="nil"/>
              <w:bottom w:val="nil"/>
              <w:right w:val="double" w:sz="6" w:space="0" w:color="auto"/>
            </w:tcBorders>
            <w:shd w:val="clear" w:color="auto" w:fill="auto"/>
            <w:noWrap/>
            <w:tcMar>
              <w:left w:w="58" w:type="dxa"/>
              <w:right w:w="58" w:type="dxa"/>
            </w:tcMar>
            <w:vAlign w:val="center"/>
            <w:hideMark/>
          </w:tcPr>
          <w:p w14:paraId="7B1188E7" w14:textId="7B638806" w:rsidR="00E27267" w:rsidRPr="00FE3EAF" w:rsidRDefault="00E27267" w:rsidP="00E27267">
            <w:pPr>
              <w:spacing w:after="0" w:line="240" w:lineRule="auto"/>
              <w:jc w:val="left"/>
              <w:rPr>
                <w:rFonts w:eastAsia="Times New Roman"/>
                <w:color w:val="000000"/>
                <w:sz w:val="21"/>
                <w:szCs w:val="21"/>
              </w:rPr>
            </w:pPr>
            <w:r w:rsidRPr="00FE3EAF">
              <w:rPr>
                <w:rFonts w:eastAsia="Times New Roman"/>
                <w:color w:val="000000"/>
                <w:sz w:val="21"/>
                <w:szCs w:val="21"/>
              </w:rPr>
              <w:t> </w:t>
            </w:r>
          </w:p>
        </w:tc>
        <w:tc>
          <w:tcPr>
            <w:tcW w:w="6481" w:type="dxa"/>
            <w:gridSpan w:val="4"/>
            <w:tcBorders>
              <w:top w:val="nil"/>
              <w:left w:val="nil"/>
              <w:bottom w:val="nil"/>
              <w:right w:val="double" w:sz="6" w:space="0" w:color="000000"/>
            </w:tcBorders>
            <w:tcMar>
              <w:left w:w="58" w:type="dxa"/>
              <w:right w:w="58" w:type="dxa"/>
            </w:tcMar>
          </w:tcPr>
          <w:p w14:paraId="6ABE128E" w14:textId="72616F6B" w:rsidR="00E27267" w:rsidRPr="00FE3EAF" w:rsidRDefault="00E27267" w:rsidP="00E27267">
            <w:pPr>
              <w:spacing w:after="0" w:line="240" w:lineRule="auto"/>
              <w:jc w:val="left"/>
              <w:rPr>
                <w:rFonts w:eastAsia="Times New Roman"/>
                <w:b/>
                <w:bCs/>
                <w:color w:val="000000"/>
                <w:sz w:val="21"/>
                <w:szCs w:val="21"/>
              </w:rPr>
            </w:pPr>
            <w:r w:rsidRPr="00FE3EAF">
              <w:rPr>
                <w:rFonts w:eastAsia="Times New Roman"/>
                <w:b/>
                <w:bCs/>
                <w:color w:val="000000"/>
                <w:sz w:val="21"/>
                <w:szCs w:val="21"/>
              </w:rPr>
              <w:t xml:space="preserve"> Neighborhood Density Type</w:t>
            </w:r>
          </w:p>
        </w:tc>
      </w:tr>
      <w:tr w:rsidR="00E27267" w:rsidRPr="00FE3EAF" w14:paraId="646315C3" w14:textId="77777777" w:rsidTr="00784D3F">
        <w:trPr>
          <w:gridAfter w:val="1"/>
          <w:wAfter w:w="1184" w:type="dxa"/>
          <w:trHeight w:val="20"/>
        </w:trPr>
        <w:tc>
          <w:tcPr>
            <w:tcW w:w="4769" w:type="dxa"/>
            <w:tcBorders>
              <w:top w:val="nil"/>
              <w:left w:val="double" w:sz="6" w:space="0" w:color="auto"/>
              <w:bottom w:val="nil"/>
              <w:right w:val="nil"/>
            </w:tcBorders>
            <w:shd w:val="clear" w:color="auto" w:fill="auto"/>
            <w:noWrap/>
            <w:tcMar>
              <w:left w:w="58" w:type="dxa"/>
              <w:right w:w="58" w:type="dxa"/>
            </w:tcMar>
            <w:vAlign w:val="center"/>
            <w:hideMark/>
          </w:tcPr>
          <w:p w14:paraId="1D58C7F0" w14:textId="77777777" w:rsidR="00E27267" w:rsidRPr="00FE3EAF" w:rsidRDefault="00E27267" w:rsidP="00E27267">
            <w:pPr>
              <w:spacing w:after="0" w:line="240" w:lineRule="auto"/>
              <w:jc w:val="left"/>
              <w:rPr>
                <w:rFonts w:eastAsia="Times New Roman"/>
                <w:sz w:val="21"/>
                <w:szCs w:val="21"/>
              </w:rPr>
            </w:pPr>
            <w:r w:rsidRPr="00FE3EAF">
              <w:rPr>
                <w:rFonts w:eastAsia="Times New Roman"/>
                <w:sz w:val="21"/>
                <w:szCs w:val="21"/>
              </w:rPr>
              <w:t xml:space="preserve"> Female</w:t>
            </w:r>
          </w:p>
        </w:tc>
        <w:tc>
          <w:tcPr>
            <w:tcW w:w="720" w:type="dxa"/>
            <w:tcBorders>
              <w:top w:val="nil"/>
              <w:left w:val="nil"/>
              <w:bottom w:val="nil"/>
              <w:right w:val="nil"/>
            </w:tcBorders>
            <w:shd w:val="clear" w:color="auto" w:fill="auto"/>
            <w:noWrap/>
            <w:tcMar>
              <w:left w:w="58" w:type="dxa"/>
              <w:right w:w="58" w:type="dxa"/>
            </w:tcMar>
            <w:vAlign w:val="center"/>
            <w:hideMark/>
          </w:tcPr>
          <w:p w14:paraId="71FAFDC1" w14:textId="77777777" w:rsidR="00E27267" w:rsidRPr="00FE3EAF" w:rsidRDefault="00E27267" w:rsidP="00E27267">
            <w:pPr>
              <w:spacing w:after="0" w:line="240" w:lineRule="auto"/>
              <w:jc w:val="right"/>
              <w:rPr>
                <w:rFonts w:eastAsia="Times New Roman"/>
                <w:sz w:val="21"/>
                <w:szCs w:val="21"/>
              </w:rPr>
            </w:pPr>
            <w:r w:rsidRPr="00FE3EAF">
              <w:rPr>
                <w:rFonts w:eastAsia="Times New Roman"/>
                <w:sz w:val="21"/>
                <w:szCs w:val="21"/>
              </w:rPr>
              <w:t>492</w:t>
            </w:r>
          </w:p>
        </w:tc>
        <w:tc>
          <w:tcPr>
            <w:tcW w:w="724" w:type="dxa"/>
            <w:tcBorders>
              <w:top w:val="nil"/>
              <w:left w:val="nil"/>
              <w:bottom w:val="nil"/>
              <w:right w:val="nil"/>
            </w:tcBorders>
            <w:tcMar>
              <w:left w:w="58" w:type="dxa"/>
              <w:right w:w="58" w:type="dxa"/>
            </w:tcMar>
            <w:vAlign w:val="center"/>
          </w:tcPr>
          <w:p w14:paraId="104F2A1A" w14:textId="725F9111" w:rsidR="00E27267" w:rsidRPr="00FE3EAF" w:rsidRDefault="00E27267" w:rsidP="00E27267">
            <w:pPr>
              <w:spacing w:after="0" w:line="240" w:lineRule="auto"/>
              <w:jc w:val="right"/>
              <w:rPr>
                <w:rFonts w:eastAsia="Times New Roman"/>
                <w:sz w:val="21"/>
                <w:szCs w:val="21"/>
              </w:rPr>
            </w:pPr>
            <w:r w:rsidRPr="00FE3EAF">
              <w:rPr>
                <w:rFonts w:eastAsia="Times New Roman"/>
                <w:sz w:val="21"/>
                <w:szCs w:val="21"/>
              </w:rPr>
              <w:t>59.7</w:t>
            </w:r>
          </w:p>
        </w:tc>
        <w:tc>
          <w:tcPr>
            <w:tcW w:w="716" w:type="dxa"/>
            <w:tcBorders>
              <w:top w:val="nil"/>
              <w:left w:val="nil"/>
              <w:bottom w:val="nil"/>
              <w:right w:val="double" w:sz="6" w:space="0" w:color="auto"/>
            </w:tcBorders>
            <w:shd w:val="clear" w:color="auto" w:fill="auto"/>
            <w:noWrap/>
            <w:tcMar>
              <w:left w:w="58" w:type="dxa"/>
              <w:right w:w="58" w:type="dxa"/>
            </w:tcMar>
            <w:vAlign w:val="center"/>
          </w:tcPr>
          <w:p w14:paraId="44E5BE76" w14:textId="3167A1D9" w:rsidR="00E27267" w:rsidRPr="00FE3EAF" w:rsidRDefault="00E27267" w:rsidP="00E27267">
            <w:pPr>
              <w:spacing w:after="0" w:line="240" w:lineRule="auto"/>
              <w:jc w:val="right"/>
              <w:rPr>
                <w:rFonts w:eastAsia="Times New Roman"/>
                <w:sz w:val="21"/>
                <w:szCs w:val="21"/>
              </w:rPr>
            </w:pPr>
            <w:r>
              <w:rPr>
                <w:rFonts w:eastAsia="Times New Roman"/>
                <w:sz w:val="21"/>
                <w:szCs w:val="21"/>
              </w:rPr>
              <w:t>43.6</w:t>
            </w:r>
          </w:p>
        </w:tc>
        <w:tc>
          <w:tcPr>
            <w:tcW w:w="4409" w:type="dxa"/>
            <w:tcBorders>
              <w:top w:val="nil"/>
              <w:left w:val="nil"/>
              <w:bottom w:val="nil"/>
              <w:right w:val="nil"/>
            </w:tcBorders>
            <w:shd w:val="clear" w:color="auto" w:fill="auto"/>
            <w:noWrap/>
            <w:tcMar>
              <w:left w:w="58" w:type="dxa"/>
              <w:right w:w="58" w:type="dxa"/>
            </w:tcMar>
            <w:vAlign w:val="center"/>
            <w:hideMark/>
          </w:tcPr>
          <w:p w14:paraId="3CC89DB1" w14:textId="77777777" w:rsidR="00E27267" w:rsidRPr="00FE3EAF" w:rsidRDefault="00E27267" w:rsidP="00E27267">
            <w:pPr>
              <w:spacing w:after="0" w:line="240" w:lineRule="auto"/>
              <w:jc w:val="left"/>
              <w:rPr>
                <w:rFonts w:eastAsia="Times New Roman"/>
                <w:sz w:val="21"/>
                <w:szCs w:val="21"/>
              </w:rPr>
            </w:pPr>
            <w:r w:rsidRPr="00FE3EAF">
              <w:rPr>
                <w:rFonts w:eastAsia="Times New Roman"/>
                <w:sz w:val="21"/>
                <w:szCs w:val="21"/>
              </w:rPr>
              <w:t xml:space="preserve"> Rural</w:t>
            </w:r>
          </w:p>
        </w:tc>
        <w:tc>
          <w:tcPr>
            <w:tcW w:w="720" w:type="dxa"/>
            <w:tcBorders>
              <w:top w:val="nil"/>
              <w:left w:val="nil"/>
              <w:bottom w:val="nil"/>
              <w:right w:val="nil"/>
            </w:tcBorders>
            <w:shd w:val="clear" w:color="auto" w:fill="auto"/>
            <w:noWrap/>
            <w:tcMar>
              <w:left w:w="58" w:type="dxa"/>
              <w:right w:w="58" w:type="dxa"/>
            </w:tcMar>
            <w:vAlign w:val="center"/>
            <w:hideMark/>
          </w:tcPr>
          <w:p w14:paraId="77566D8F" w14:textId="77777777" w:rsidR="00E27267" w:rsidRPr="00FE3EAF" w:rsidRDefault="00E27267" w:rsidP="00E27267">
            <w:pPr>
              <w:spacing w:after="0" w:line="240" w:lineRule="auto"/>
              <w:jc w:val="right"/>
              <w:rPr>
                <w:rFonts w:eastAsia="Calibri"/>
                <w:color w:val="000000"/>
                <w:sz w:val="21"/>
                <w:szCs w:val="21"/>
              </w:rPr>
            </w:pPr>
            <w:r w:rsidRPr="00FE3EAF">
              <w:rPr>
                <w:rFonts w:eastAsia="Calibri"/>
                <w:color w:val="000000"/>
                <w:sz w:val="21"/>
                <w:szCs w:val="21"/>
              </w:rPr>
              <w:t>187</w:t>
            </w:r>
          </w:p>
        </w:tc>
        <w:tc>
          <w:tcPr>
            <w:tcW w:w="720" w:type="dxa"/>
            <w:tcBorders>
              <w:top w:val="nil"/>
              <w:left w:val="nil"/>
              <w:bottom w:val="nil"/>
              <w:right w:val="nil"/>
            </w:tcBorders>
            <w:tcMar>
              <w:left w:w="58" w:type="dxa"/>
              <w:right w:w="58" w:type="dxa"/>
            </w:tcMar>
            <w:vAlign w:val="bottom"/>
          </w:tcPr>
          <w:p w14:paraId="3856996A" w14:textId="53F51BD5" w:rsidR="00E27267" w:rsidRPr="00FE3EAF" w:rsidRDefault="00E27267" w:rsidP="00E27267">
            <w:pPr>
              <w:spacing w:after="0" w:line="240" w:lineRule="auto"/>
              <w:jc w:val="right"/>
              <w:rPr>
                <w:rFonts w:eastAsia="Calibri"/>
                <w:color w:val="000000"/>
                <w:sz w:val="21"/>
                <w:szCs w:val="21"/>
              </w:rPr>
            </w:pPr>
            <w:r w:rsidRPr="00FE3EAF">
              <w:rPr>
                <w:rFonts w:eastAsia="Calibri"/>
                <w:color w:val="000000"/>
                <w:sz w:val="21"/>
                <w:szCs w:val="21"/>
              </w:rPr>
              <w:t>22.7</w:t>
            </w:r>
          </w:p>
        </w:tc>
        <w:tc>
          <w:tcPr>
            <w:tcW w:w="632" w:type="dxa"/>
            <w:tcBorders>
              <w:top w:val="nil"/>
              <w:left w:val="nil"/>
              <w:bottom w:val="nil"/>
              <w:right w:val="double" w:sz="6" w:space="0" w:color="auto"/>
            </w:tcBorders>
            <w:shd w:val="clear" w:color="auto" w:fill="auto"/>
            <w:noWrap/>
            <w:tcMar>
              <w:left w:w="58" w:type="dxa"/>
              <w:right w:w="58" w:type="dxa"/>
            </w:tcMar>
            <w:vAlign w:val="bottom"/>
          </w:tcPr>
          <w:p w14:paraId="49B5F41F" w14:textId="16B19929" w:rsidR="00E27267" w:rsidRPr="00FE3EAF" w:rsidRDefault="00D17B54" w:rsidP="00E27267">
            <w:pPr>
              <w:spacing w:after="0" w:line="240" w:lineRule="auto"/>
              <w:jc w:val="right"/>
              <w:rPr>
                <w:rFonts w:eastAsia="Calibri"/>
                <w:color w:val="000000"/>
                <w:sz w:val="21"/>
                <w:szCs w:val="21"/>
              </w:rPr>
            </w:pPr>
            <w:r>
              <w:rPr>
                <w:rFonts w:eastAsia="Calibri"/>
                <w:color w:val="000000"/>
                <w:sz w:val="21"/>
                <w:szCs w:val="21"/>
              </w:rPr>
              <w:t>--</w:t>
            </w:r>
          </w:p>
        </w:tc>
      </w:tr>
      <w:tr w:rsidR="00E27267" w:rsidRPr="00FE3EAF" w14:paraId="3400D83A" w14:textId="77777777" w:rsidTr="00784D3F">
        <w:trPr>
          <w:gridAfter w:val="1"/>
          <w:wAfter w:w="1184" w:type="dxa"/>
          <w:trHeight w:val="20"/>
        </w:trPr>
        <w:tc>
          <w:tcPr>
            <w:tcW w:w="4769" w:type="dxa"/>
            <w:tcBorders>
              <w:top w:val="nil"/>
              <w:left w:val="double" w:sz="6" w:space="0" w:color="auto"/>
              <w:bottom w:val="nil"/>
              <w:right w:val="nil"/>
            </w:tcBorders>
            <w:shd w:val="clear" w:color="auto" w:fill="auto"/>
            <w:noWrap/>
            <w:tcMar>
              <w:left w:w="58" w:type="dxa"/>
              <w:right w:w="58" w:type="dxa"/>
            </w:tcMar>
            <w:vAlign w:val="center"/>
            <w:hideMark/>
          </w:tcPr>
          <w:p w14:paraId="4846C523" w14:textId="77777777" w:rsidR="00E27267" w:rsidRPr="00FE3EAF" w:rsidRDefault="00E27267" w:rsidP="00E27267">
            <w:pPr>
              <w:spacing w:after="0" w:line="240" w:lineRule="auto"/>
              <w:jc w:val="left"/>
              <w:rPr>
                <w:rFonts w:eastAsia="Times New Roman"/>
                <w:sz w:val="21"/>
                <w:szCs w:val="21"/>
              </w:rPr>
            </w:pPr>
            <w:r w:rsidRPr="00FE3EAF">
              <w:rPr>
                <w:rFonts w:eastAsia="Times New Roman"/>
                <w:sz w:val="21"/>
                <w:szCs w:val="21"/>
              </w:rPr>
              <w:t xml:space="preserve"> Male</w:t>
            </w:r>
          </w:p>
        </w:tc>
        <w:tc>
          <w:tcPr>
            <w:tcW w:w="720" w:type="dxa"/>
            <w:tcBorders>
              <w:top w:val="nil"/>
              <w:left w:val="nil"/>
              <w:bottom w:val="nil"/>
              <w:right w:val="nil"/>
            </w:tcBorders>
            <w:shd w:val="clear" w:color="auto" w:fill="auto"/>
            <w:noWrap/>
            <w:tcMar>
              <w:left w:w="58" w:type="dxa"/>
              <w:right w:w="58" w:type="dxa"/>
            </w:tcMar>
            <w:vAlign w:val="center"/>
            <w:hideMark/>
          </w:tcPr>
          <w:p w14:paraId="5E05ADC0" w14:textId="77777777" w:rsidR="00E27267" w:rsidRPr="00FE3EAF" w:rsidRDefault="00E27267" w:rsidP="00E27267">
            <w:pPr>
              <w:spacing w:after="0" w:line="240" w:lineRule="auto"/>
              <w:jc w:val="right"/>
              <w:rPr>
                <w:rFonts w:eastAsia="Times New Roman"/>
                <w:sz w:val="21"/>
                <w:szCs w:val="21"/>
              </w:rPr>
            </w:pPr>
            <w:r w:rsidRPr="00FE3EAF">
              <w:rPr>
                <w:rFonts w:eastAsia="Times New Roman"/>
                <w:sz w:val="21"/>
                <w:szCs w:val="21"/>
              </w:rPr>
              <w:t>332</w:t>
            </w:r>
          </w:p>
        </w:tc>
        <w:tc>
          <w:tcPr>
            <w:tcW w:w="724" w:type="dxa"/>
            <w:tcBorders>
              <w:top w:val="nil"/>
              <w:left w:val="nil"/>
              <w:bottom w:val="nil"/>
              <w:right w:val="nil"/>
            </w:tcBorders>
            <w:tcMar>
              <w:left w:w="58" w:type="dxa"/>
              <w:right w:w="58" w:type="dxa"/>
            </w:tcMar>
            <w:vAlign w:val="center"/>
          </w:tcPr>
          <w:p w14:paraId="00893807" w14:textId="574D2871" w:rsidR="00E27267" w:rsidRPr="00FE3EAF" w:rsidRDefault="00E27267" w:rsidP="00E27267">
            <w:pPr>
              <w:spacing w:after="0" w:line="240" w:lineRule="auto"/>
              <w:jc w:val="right"/>
              <w:rPr>
                <w:rFonts w:eastAsia="Times New Roman"/>
                <w:sz w:val="21"/>
                <w:szCs w:val="21"/>
              </w:rPr>
            </w:pPr>
            <w:r w:rsidRPr="00FE3EAF">
              <w:rPr>
                <w:rFonts w:eastAsia="Times New Roman"/>
                <w:sz w:val="21"/>
                <w:szCs w:val="21"/>
              </w:rPr>
              <w:t>40.3</w:t>
            </w:r>
          </w:p>
        </w:tc>
        <w:tc>
          <w:tcPr>
            <w:tcW w:w="716" w:type="dxa"/>
            <w:tcBorders>
              <w:top w:val="nil"/>
              <w:left w:val="nil"/>
              <w:bottom w:val="nil"/>
              <w:right w:val="double" w:sz="6" w:space="0" w:color="auto"/>
            </w:tcBorders>
            <w:shd w:val="clear" w:color="auto" w:fill="auto"/>
            <w:noWrap/>
            <w:tcMar>
              <w:left w:w="58" w:type="dxa"/>
              <w:right w:w="58" w:type="dxa"/>
            </w:tcMar>
            <w:vAlign w:val="center"/>
          </w:tcPr>
          <w:p w14:paraId="1AE77705" w14:textId="364D8905" w:rsidR="00E27267" w:rsidRPr="00FE3EAF" w:rsidRDefault="00E27267" w:rsidP="00E27267">
            <w:pPr>
              <w:spacing w:after="0" w:line="240" w:lineRule="auto"/>
              <w:jc w:val="right"/>
              <w:rPr>
                <w:rFonts w:eastAsia="Times New Roman"/>
                <w:sz w:val="21"/>
                <w:szCs w:val="21"/>
              </w:rPr>
            </w:pPr>
            <w:r>
              <w:rPr>
                <w:rFonts w:eastAsia="Times New Roman"/>
                <w:sz w:val="21"/>
                <w:szCs w:val="21"/>
              </w:rPr>
              <w:t>56.4</w:t>
            </w:r>
          </w:p>
        </w:tc>
        <w:tc>
          <w:tcPr>
            <w:tcW w:w="4409" w:type="dxa"/>
            <w:tcBorders>
              <w:top w:val="nil"/>
              <w:left w:val="nil"/>
              <w:bottom w:val="nil"/>
              <w:right w:val="nil"/>
            </w:tcBorders>
            <w:shd w:val="clear" w:color="auto" w:fill="auto"/>
            <w:noWrap/>
            <w:tcMar>
              <w:left w:w="58" w:type="dxa"/>
              <w:right w:w="58" w:type="dxa"/>
            </w:tcMar>
            <w:vAlign w:val="center"/>
            <w:hideMark/>
          </w:tcPr>
          <w:p w14:paraId="3CCDAD3E" w14:textId="77777777" w:rsidR="00E27267" w:rsidRPr="00FE3EAF" w:rsidRDefault="00E27267" w:rsidP="00E27267">
            <w:pPr>
              <w:spacing w:after="0" w:line="240" w:lineRule="auto"/>
              <w:jc w:val="left"/>
              <w:rPr>
                <w:rFonts w:eastAsia="Times New Roman"/>
                <w:b/>
                <w:bCs/>
                <w:sz w:val="21"/>
                <w:szCs w:val="21"/>
              </w:rPr>
            </w:pPr>
            <w:r w:rsidRPr="00FE3EAF">
              <w:rPr>
                <w:rFonts w:eastAsia="Times New Roman"/>
                <w:b/>
                <w:bCs/>
                <w:sz w:val="21"/>
                <w:szCs w:val="21"/>
              </w:rPr>
              <w:t xml:space="preserve"> </w:t>
            </w:r>
            <w:r w:rsidRPr="00FE3EAF">
              <w:rPr>
                <w:rFonts w:eastAsia="Times New Roman"/>
                <w:sz w:val="21"/>
                <w:szCs w:val="21"/>
              </w:rPr>
              <w:t>Suburban</w:t>
            </w:r>
          </w:p>
        </w:tc>
        <w:tc>
          <w:tcPr>
            <w:tcW w:w="720" w:type="dxa"/>
            <w:tcBorders>
              <w:top w:val="nil"/>
              <w:left w:val="nil"/>
              <w:bottom w:val="nil"/>
              <w:right w:val="nil"/>
            </w:tcBorders>
            <w:shd w:val="clear" w:color="auto" w:fill="auto"/>
            <w:noWrap/>
            <w:tcMar>
              <w:left w:w="58" w:type="dxa"/>
              <w:right w:w="58" w:type="dxa"/>
            </w:tcMar>
            <w:vAlign w:val="center"/>
            <w:hideMark/>
          </w:tcPr>
          <w:p w14:paraId="397C06BB" w14:textId="77777777" w:rsidR="00E27267" w:rsidRPr="00FE3EAF" w:rsidRDefault="00E27267" w:rsidP="00E27267">
            <w:pPr>
              <w:spacing w:after="0" w:line="240" w:lineRule="auto"/>
              <w:jc w:val="right"/>
              <w:rPr>
                <w:rFonts w:eastAsia="Calibri"/>
                <w:color w:val="000000"/>
                <w:sz w:val="21"/>
                <w:szCs w:val="21"/>
              </w:rPr>
            </w:pPr>
            <w:r w:rsidRPr="00FE3EAF">
              <w:rPr>
                <w:rFonts w:eastAsia="Calibri"/>
                <w:color w:val="000000"/>
                <w:sz w:val="21"/>
                <w:szCs w:val="21"/>
              </w:rPr>
              <w:t>471</w:t>
            </w:r>
          </w:p>
        </w:tc>
        <w:tc>
          <w:tcPr>
            <w:tcW w:w="720" w:type="dxa"/>
            <w:tcBorders>
              <w:top w:val="nil"/>
              <w:left w:val="nil"/>
              <w:bottom w:val="nil"/>
              <w:right w:val="nil"/>
            </w:tcBorders>
            <w:tcMar>
              <w:left w:w="58" w:type="dxa"/>
              <w:right w:w="58" w:type="dxa"/>
            </w:tcMar>
            <w:vAlign w:val="bottom"/>
          </w:tcPr>
          <w:p w14:paraId="0ABBD121" w14:textId="7D399903" w:rsidR="00E27267" w:rsidRPr="00FE3EAF" w:rsidRDefault="00E27267" w:rsidP="00E27267">
            <w:pPr>
              <w:spacing w:after="0" w:line="240" w:lineRule="auto"/>
              <w:jc w:val="right"/>
              <w:rPr>
                <w:rFonts w:eastAsia="Calibri"/>
                <w:color w:val="000000"/>
                <w:sz w:val="21"/>
                <w:szCs w:val="21"/>
              </w:rPr>
            </w:pPr>
            <w:r w:rsidRPr="00FE3EAF">
              <w:rPr>
                <w:rFonts w:eastAsia="Calibri"/>
                <w:color w:val="000000"/>
                <w:sz w:val="21"/>
                <w:szCs w:val="21"/>
              </w:rPr>
              <w:t>57.2</w:t>
            </w:r>
          </w:p>
        </w:tc>
        <w:tc>
          <w:tcPr>
            <w:tcW w:w="632" w:type="dxa"/>
            <w:tcBorders>
              <w:top w:val="nil"/>
              <w:left w:val="nil"/>
              <w:bottom w:val="nil"/>
              <w:right w:val="double" w:sz="6" w:space="0" w:color="auto"/>
            </w:tcBorders>
            <w:shd w:val="clear" w:color="auto" w:fill="auto"/>
            <w:noWrap/>
            <w:tcMar>
              <w:left w:w="58" w:type="dxa"/>
              <w:right w:w="58" w:type="dxa"/>
            </w:tcMar>
            <w:vAlign w:val="bottom"/>
          </w:tcPr>
          <w:p w14:paraId="661AFA4A" w14:textId="449452A9" w:rsidR="00E27267" w:rsidRPr="00FE3EAF" w:rsidRDefault="00D17B54" w:rsidP="00E27267">
            <w:pPr>
              <w:spacing w:after="0" w:line="240" w:lineRule="auto"/>
              <w:jc w:val="right"/>
              <w:rPr>
                <w:rFonts w:eastAsia="Calibri"/>
                <w:color w:val="000000"/>
                <w:sz w:val="21"/>
                <w:szCs w:val="21"/>
              </w:rPr>
            </w:pPr>
            <w:r>
              <w:rPr>
                <w:rFonts w:eastAsia="Calibri"/>
                <w:color w:val="000000"/>
                <w:sz w:val="21"/>
                <w:szCs w:val="21"/>
              </w:rPr>
              <w:t>--</w:t>
            </w:r>
          </w:p>
        </w:tc>
      </w:tr>
      <w:tr w:rsidR="00E27267" w:rsidRPr="00FE3EAF" w14:paraId="7E2A1A82" w14:textId="77777777" w:rsidTr="00784D3F">
        <w:trPr>
          <w:gridAfter w:val="1"/>
          <w:wAfter w:w="1184" w:type="dxa"/>
          <w:trHeight w:val="20"/>
        </w:trPr>
        <w:tc>
          <w:tcPr>
            <w:tcW w:w="4769" w:type="dxa"/>
            <w:tcBorders>
              <w:top w:val="nil"/>
              <w:left w:val="double" w:sz="6" w:space="0" w:color="auto"/>
              <w:bottom w:val="nil"/>
              <w:right w:val="nil"/>
            </w:tcBorders>
            <w:shd w:val="clear" w:color="auto" w:fill="auto"/>
            <w:noWrap/>
            <w:tcMar>
              <w:left w:w="58" w:type="dxa"/>
              <w:right w:w="58" w:type="dxa"/>
            </w:tcMar>
            <w:vAlign w:val="center"/>
            <w:hideMark/>
          </w:tcPr>
          <w:p w14:paraId="1F73FFC4" w14:textId="77777777" w:rsidR="00E27267" w:rsidRPr="00FE3EAF" w:rsidRDefault="00E27267" w:rsidP="00E27267">
            <w:pPr>
              <w:spacing w:after="0" w:line="240" w:lineRule="auto"/>
              <w:jc w:val="left"/>
              <w:rPr>
                <w:rFonts w:eastAsia="Times New Roman"/>
                <w:b/>
                <w:bCs/>
                <w:sz w:val="21"/>
                <w:szCs w:val="21"/>
              </w:rPr>
            </w:pPr>
            <w:r w:rsidRPr="00FE3EAF">
              <w:rPr>
                <w:rFonts w:eastAsia="Times New Roman"/>
                <w:b/>
                <w:bCs/>
                <w:sz w:val="21"/>
                <w:szCs w:val="21"/>
              </w:rPr>
              <w:t xml:space="preserve"> Age</w:t>
            </w:r>
          </w:p>
        </w:tc>
        <w:tc>
          <w:tcPr>
            <w:tcW w:w="720" w:type="dxa"/>
            <w:tcBorders>
              <w:top w:val="nil"/>
              <w:left w:val="nil"/>
              <w:bottom w:val="nil"/>
              <w:right w:val="nil"/>
            </w:tcBorders>
            <w:shd w:val="clear" w:color="auto" w:fill="auto"/>
            <w:noWrap/>
            <w:tcMar>
              <w:left w:w="58" w:type="dxa"/>
              <w:right w:w="58" w:type="dxa"/>
            </w:tcMar>
            <w:vAlign w:val="center"/>
            <w:hideMark/>
          </w:tcPr>
          <w:p w14:paraId="4027BBC0" w14:textId="77777777" w:rsidR="00E27267" w:rsidRPr="00FE3EAF" w:rsidRDefault="00E27267" w:rsidP="00E27267">
            <w:pPr>
              <w:spacing w:after="0" w:line="240" w:lineRule="auto"/>
              <w:jc w:val="right"/>
              <w:rPr>
                <w:rFonts w:eastAsia="Times New Roman"/>
                <w:b/>
                <w:bCs/>
                <w:sz w:val="21"/>
                <w:szCs w:val="21"/>
              </w:rPr>
            </w:pPr>
          </w:p>
        </w:tc>
        <w:tc>
          <w:tcPr>
            <w:tcW w:w="724" w:type="dxa"/>
            <w:tcBorders>
              <w:top w:val="nil"/>
              <w:left w:val="nil"/>
              <w:bottom w:val="nil"/>
              <w:right w:val="nil"/>
            </w:tcBorders>
            <w:tcMar>
              <w:left w:w="58" w:type="dxa"/>
              <w:right w:w="58" w:type="dxa"/>
            </w:tcMar>
            <w:vAlign w:val="center"/>
          </w:tcPr>
          <w:p w14:paraId="79682318" w14:textId="46156D36" w:rsidR="00E27267" w:rsidRPr="00FE3EAF" w:rsidRDefault="00E27267" w:rsidP="00E27267">
            <w:pPr>
              <w:spacing w:after="0" w:line="240" w:lineRule="auto"/>
              <w:jc w:val="right"/>
              <w:rPr>
                <w:rFonts w:eastAsia="Times New Roman"/>
                <w:sz w:val="21"/>
                <w:szCs w:val="21"/>
              </w:rPr>
            </w:pPr>
            <w:r w:rsidRPr="00FE3EAF">
              <w:rPr>
                <w:rFonts w:eastAsia="Times New Roman"/>
                <w:sz w:val="21"/>
                <w:szCs w:val="21"/>
              </w:rPr>
              <w:t> </w:t>
            </w:r>
          </w:p>
        </w:tc>
        <w:tc>
          <w:tcPr>
            <w:tcW w:w="716" w:type="dxa"/>
            <w:tcBorders>
              <w:top w:val="nil"/>
              <w:left w:val="nil"/>
              <w:bottom w:val="nil"/>
              <w:right w:val="double" w:sz="6" w:space="0" w:color="auto"/>
            </w:tcBorders>
            <w:shd w:val="clear" w:color="auto" w:fill="auto"/>
            <w:noWrap/>
            <w:tcMar>
              <w:left w:w="58" w:type="dxa"/>
              <w:right w:w="58" w:type="dxa"/>
            </w:tcMar>
            <w:vAlign w:val="center"/>
          </w:tcPr>
          <w:p w14:paraId="4F5A7B68" w14:textId="09340433" w:rsidR="00E27267" w:rsidRPr="00FE3EAF" w:rsidRDefault="00E27267" w:rsidP="00E27267">
            <w:pPr>
              <w:spacing w:after="0" w:line="240" w:lineRule="auto"/>
              <w:jc w:val="right"/>
              <w:rPr>
                <w:rFonts w:eastAsia="Times New Roman"/>
                <w:sz w:val="21"/>
                <w:szCs w:val="21"/>
              </w:rPr>
            </w:pPr>
          </w:p>
        </w:tc>
        <w:tc>
          <w:tcPr>
            <w:tcW w:w="4409" w:type="dxa"/>
            <w:tcBorders>
              <w:top w:val="nil"/>
              <w:left w:val="nil"/>
              <w:bottom w:val="nil"/>
              <w:right w:val="nil"/>
            </w:tcBorders>
            <w:shd w:val="clear" w:color="auto" w:fill="auto"/>
            <w:noWrap/>
            <w:tcMar>
              <w:left w:w="58" w:type="dxa"/>
              <w:right w:w="58" w:type="dxa"/>
            </w:tcMar>
            <w:vAlign w:val="center"/>
            <w:hideMark/>
          </w:tcPr>
          <w:p w14:paraId="5D3D29A2" w14:textId="77777777" w:rsidR="00E27267" w:rsidRPr="00FE3EAF" w:rsidRDefault="00E27267" w:rsidP="00E27267">
            <w:pPr>
              <w:spacing w:after="0" w:line="240" w:lineRule="auto"/>
              <w:jc w:val="left"/>
              <w:rPr>
                <w:rFonts w:eastAsia="Times New Roman"/>
                <w:sz w:val="21"/>
                <w:szCs w:val="21"/>
              </w:rPr>
            </w:pPr>
            <w:r w:rsidRPr="00FE3EAF">
              <w:rPr>
                <w:rFonts w:eastAsia="Times New Roman"/>
                <w:sz w:val="21"/>
                <w:szCs w:val="21"/>
              </w:rPr>
              <w:t xml:space="preserve"> Urban</w:t>
            </w:r>
          </w:p>
        </w:tc>
        <w:tc>
          <w:tcPr>
            <w:tcW w:w="720" w:type="dxa"/>
            <w:tcBorders>
              <w:top w:val="nil"/>
              <w:left w:val="nil"/>
              <w:bottom w:val="nil"/>
              <w:right w:val="nil"/>
            </w:tcBorders>
            <w:shd w:val="clear" w:color="auto" w:fill="auto"/>
            <w:noWrap/>
            <w:tcMar>
              <w:left w:w="58" w:type="dxa"/>
              <w:right w:w="58" w:type="dxa"/>
            </w:tcMar>
            <w:vAlign w:val="bottom"/>
            <w:hideMark/>
          </w:tcPr>
          <w:p w14:paraId="0E73186D" w14:textId="77777777" w:rsidR="00E27267" w:rsidRPr="00FE3EAF" w:rsidRDefault="00E27267" w:rsidP="00E27267">
            <w:pPr>
              <w:spacing w:after="0" w:line="240" w:lineRule="auto"/>
              <w:jc w:val="right"/>
              <w:rPr>
                <w:rFonts w:eastAsia="Calibri"/>
                <w:color w:val="000000"/>
                <w:sz w:val="21"/>
                <w:szCs w:val="21"/>
              </w:rPr>
            </w:pPr>
            <w:r w:rsidRPr="00FE3EAF">
              <w:rPr>
                <w:rFonts w:eastAsia="Calibri"/>
                <w:color w:val="000000"/>
                <w:sz w:val="21"/>
                <w:szCs w:val="21"/>
              </w:rPr>
              <w:t>166</w:t>
            </w:r>
          </w:p>
        </w:tc>
        <w:tc>
          <w:tcPr>
            <w:tcW w:w="720" w:type="dxa"/>
            <w:tcBorders>
              <w:top w:val="nil"/>
              <w:left w:val="nil"/>
              <w:bottom w:val="nil"/>
              <w:right w:val="nil"/>
            </w:tcBorders>
            <w:tcMar>
              <w:left w:w="58" w:type="dxa"/>
              <w:right w:w="58" w:type="dxa"/>
            </w:tcMar>
            <w:vAlign w:val="bottom"/>
          </w:tcPr>
          <w:p w14:paraId="1370C06D" w14:textId="25AFF1BE" w:rsidR="00E27267" w:rsidRPr="00FE3EAF" w:rsidRDefault="00E27267" w:rsidP="00E27267">
            <w:pPr>
              <w:spacing w:after="0" w:line="240" w:lineRule="auto"/>
              <w:jc w:val="right"/>
              <w:rPr>
                <w:rFonts w:eastAsia="Calibri"/>
                <w:color w:val="000000"/>
                <w:sz w:val="21"/>
                <w:szCs w:val="21"/>
              </w:rPr>
            </w:pPr>
            <w:r w:rsidRPr="00FE3EAF">
              <w:rPr>
                <w:rFonts w:eastAsia="Calibri"/>
                <w:color w:val="000000"/>
                <w:sz w:val="21"/>
                <w:szCs w:val="21"/>
              </w:rPr>
              <w:t>20.1</w:t>
            </w:r>
          </w:p>
        </w:tc>
        <w:tc>
          <w:tcPr>
            <w:tcW w:w="632" w:type="dxa"/>
            <w:tcBorders>
              <w:top w:val="nil"/>
              <w:left w:val="nil"/>
              <w:bottom w:val="nil"/>
              <w:right w:val="double" w:sz="6" w:space="0" w:color="auto"/>
            </w:tcBorders>
            <w:shd w:val="clear" w:color="auto" w:fill="auto"/>
            <w:noWrap/>
            <w:tcMar>
              <w:left w:w="58" w:type="dxa"/>
              <w:right w:w="58" w:type="dxa"/>
            </w:tcMar>
            <w:vAlign w:val="bottom"/>
          </w:tcPr>
          <w:p w14:paraId="707CC8A3" w14:textId="2B91D419" w:rsidR="00E27267" w:rsidRPr="00FE3EAF" w:rsidRDefault="00D17B54" w:rsidP="00E27267">
            <w:pPr>
              <w:spacing w:after="0" w:line="240" w:lineRule="auto"/>
              <w:jc w:val="right"/>
              <w:rPr>
                <w:rFonts w:eastAsia="Calibri"/>
                <w:color w:val="000000"/>
                <w:sz w:val="21"/>
                <w:szCs w:val="21"/>
              </w:rPr>
            </w:pPr>
            <w:r>
              <w:rPr>
                <w:rFonts w:eastAsia="Calibri"/>
                <w:color w:val="000000"/>
                <w:sz w:val="21"/>
                <w:szCs w:val="21"/>
              </w:rPr>
              <w:t>--</w:t>
            </w:r>
          </w:p>
        </w:tc>
      </w:tr>
      <w:tr w:rsidR="002E1DAE" w:rsidRPr="00FE3EAF" w14:paraId="1477347A" w14:textId="77777777" w:rsidTr="00784D3F">
        <w:trPr>
          <w:gridAfter w:val="1"/>
          <w:wAfter w:w="1184" w:type="dxa"/>
          <w:trHeight w:val="20"/>
        </w:trPr>
        <w:tc>
          <w:tcPr>
            <w:tcW w:w="4769" w:type="dxa"/>
            <w:tcBorders>
              <w:top w:val="nil"/>
              <w:left w:val="double" w:sz="6" w:space="0" w:color="auto"/>
              <w:bottom w:val="nil"/>
              <w:right w:val="nil"/>
            </w:tcBorders>
            <w:shd w:val="clear" w:color="auto" w:fill="auto"/>
            <w:noWrap/>
            <w:tcMar>
              <w:left w:w="58" w:type="dxa"/>
              <w:right w:w="58" w:type="dxa"/>
            </w:tcMar>
            <w:vAlign w:val="center"/>
            <w:hideMark/>
          </w:tcPr>
          <w:p w14:paraId="3047F2D3" w14:textId="77777777" w:rsidR="002E1DAE" w:rsidRPr="00FE3EAF" w:rsidRDefault="002E1DAE" w:rsidP="002E1DAE">
            <w:pPr>
              <w:spacing w:after="0" w:line="240" w:lineRule="auto"/>
              <w:jc w:val="left"/>
              <w:rPr>
                <w:rFonts w:eastAsia="Times New Roman"/>
                <w:sz w:val="21"/>
                <w:szCs w:val="21"/>
              </w:rPr>
            </w:pPr>
            <w:r w:rsidRPr="00FE3EAF">
              <w:rPr>
                <w:rFonts w:eastAsia="Times New Roman"/>
                <w:sz w:val="21"/>
                <w:szCs w:val="21"/>
              </w:rPr>
              <w:t xml:space="preserve"> 18 to 29</w:t>
            </w:r>
          </w:p>
        </w:tc>
        <w:tc>
          <w:tcPr>
            <w:tcW w:w="720" w:type="dxa"/>
            <w:tcBorders>
              <w:top w:val="nil"/>
              <w:left w:val="nil"/>
              <w:bottom w:val="nil"/>
              <w:right w:val="nil"/>
            </w:tcBorders>
            <w:shd w:val="clear" w:color="auto" w:fill="auto"/>
            <w:noWrap/>
            <w:tcMar>
              <w:left w:w="58" w:type="dxa"/>
              <w:right w:w="58" w:type="dxa"/>
            </w:tcMar>
            <w:vAlign w:val="center"/>
            <w:hideMark/>
          </w:tcPr>
          <w:p w14:paraId="533B5D65" w14:textId="77777777" w:rsidR="002E1DAE" w:rsidRPr="00FE3EAF" w:rsidRDefault="002E1DAE" w:rsidP="002E1DAE">
            <w:pPr>
              <w:spacing w:after="0" w:line="240" w:lineRule="auto"/>
              <w:jc w:val="right"/>
              <w:rPr>
                <w:rFonts w:eastAsia="Calibri"/>
                <w:color w:val="000000"/>
                <w:sz w:val="21"/>
                <w:szCs w:val="21"/>
              </w:rPr>
            </w:pPr>
            <w:r w:rsidRPr="00FE3EAF">
              <w:rPr>
                <w:rFonts w:eastAsia="Calibri"/>
                <w:color w:val="000000"/>
                <w:sz w:val="21"/>
                <w:szCs w:val="21"/>
              </w:rPr>
              <w:t>38</w:t>
            </w:r>
          </w:p>
        </w:tc>
        <w:tc>
          <w:tcPr>
            <w:tcW w:w="724" w:type="dxa"/>
            <w:tcBorders>
              <w:top w:val="nil"/>
              <w:left w:val="nil"/>
              <w:bottom w:val="nil"/>
              <w:right w:val="nil"/>
            </w:tcBorders>
            <w:tcMar>
              <w:left w:w="58" w:type="dxa"/>
              <w:right w:w="58" w:type="dxa"/>
            </w:tcMar>
            <w:vAlign w:val="center"/>
          </w:tcPr>
          <w:p w14:paraId="35D6CFD0" w14:textId="3F0B9B9D" w:rsidR="002E1DAE" w:rsidRPr="00FE3EAF" w:rsidRDefault="002E1DAE" w:rsidP="002E1DAE">
            <w:pPr>
              <w:spacing w:after="0" w:line="240" w:lineRule="auto"/>
              <w:jc w:val="right"/>
              <w:rPr>
                <w:rFonts w:eastAsia="Calibri"/>
                <w:color w:val="000000"/>
                <w:sz w:val="21"/>
                <w:szCs w:val="21"/>
              </w:rPr>
            </w:pPr>
            <w:r w:rsidRPr="00FE3EAF">
              <w:rPr>
                <w:rFonts w:eastAsia="Calibri"/>
                <w:color w:val="000000"/>
                <w:sz w:val="21"/>
                <w:szCs w:val="21"/>
              </w:rPr>
              <w:t>4.6</w:t>
            </w:r>
          </w:p>
        </w:tc>
        <w:tc>
          <w:tcPr>
            <w:tcW w:w="716" w:type="dxa"/>
            <w:tcBorders>
              <w:top w:val="nil"/>
              <w:left w:val="nil"/>
              <w:bottom w:val="nil"/>
              <w:right w:val="double" w:sz="6" w:space="0" w:color="auto"/>
            </w:tcBorders>
            <w:shd w:val="clear" w:color="auto" w:fill="auto"/>
            <w:noWrap/>
            <w:tcMar>
              <w:left w:w="58" w:type="dxa"/>
              <w:right w:w="58" w:type="dxa"/>
            </w:tcMar>
            <w:vAlign w:val="bottom"/>
          </w:tcPr>
          <w:p w14:paraId="277AD63E" w14:textId="14828612" w:rsidR="002E1DAE" w:rsidRPr="002E1DAE" w:rsidRDefault="002E1DAE" w:rsidP="002E1DAE">
            <w:pPr>
              <w:spacing w:after="0" w:line="240" w:lineRule="auto"/>
              <w:jc w:val="right"/>
              <w:rPr>
                <w:rFonts w:eastAsia="Calibri"/>
                <w:color w:val="000000"/>
                <w:sz w:val="21"/>
                <w:szCs w:val="21"/>
              </w:rPr>
            </w:pPr>
            <w:r w:rsidRPr="004817C2">
              <w:rPr>
                <w:color w:val="000000"/>
                <w:sz w:val="21"/>
                <w:szCs w:val="21"/>
              </w:rPr>
              <w:t>24.0</w:t>
            </w:r>
          </w:p>
        </w:tc>
        <w:tc>
          <w:tcPr>
            <w:tcW w:w="5129" w:type="dxa"/>
            <w:gridSpan w:val="2"/>
            <w:tcBorders>
              <w:top w:val="nil"/>
              <w:left w:val="nil"/>
              <w:bottom w:val="nil"/>
              <w:right w:val="nil"/>
            </w:tcBorders>
            <w:shd w:val="clear" w:color="auto" w:fill="auto"/>
            <w:noWrap/>
            <w:tcMar>
              <w:left w:w="58" w:type="dxa"/>
              <w:right w:w="58" w:type="dxa"/>
            </w:tcMar>
            <w:vAlign w:val="center"/>
          </w:tcPr>
          <w:p w14:paraId="2E79C73D" w14:textId="77777777" w:rsidR="002E1DAE" w:rsidRPr="00FE3EAF" w:rsidRDefault="002E1DAE" w:rsidP="002E1DAE">
            <w:pPr>
              <w:spacing w:after="0" w:line="240" w:lineRule="auto"/>
              <w:jc w:val="left"/>
              <w:rPr>
                <w:rFonts w:eastAsia="Times New Roman"/>
                <w:b/>
                <w:sz w:val="21"/>
                <w:szCs w:val="21"/>
              </w:rPr>
            </w:pPr>
            <w:r w:rsidRPr="00FE3EAF">
              <w:rPr>
                <w:rFonts w:eastAsia="Times New Roman"/>
                <w:b/>
                <w:sz w:val="21"/>
                <w:szCs w:val="21"/>
              </w:rPr>
              <w:t xml:space="preserve"> Home Tenure</w:t>
            </w:r>
          </w:p>
        </w:tc>
        <w:tc>
          <w:tcPr>
            <w:tcW w:w="720" w:type="dxa"/>
            <w:tcBorders>
              <w:top w:val="nil"/>
              <w:left w:val="nil"/>
              <w:bottom w:val="nil"/>
              <w:right w:val="nil"/>
            </w:tcBorders>
            <w:tcMar>
              <w:left w:w="58" w:type="dxa"/>
              <w:right w:w="58" w:type="dxa"/>
            </w:tcMar>
          </w:tcPr>
          <w:p w14:paraId="04867799" w14:textId="77777777" w:rsidR="002E1DAE" w:rsidRPr="00FE3EAF" w:rsidRDefault="002E1DAE" w:rsidP="002E1DAE">
            <w:pPr>
              <w:spacing w:after="0" w:line="240" w:lineRule="auto"/>
              <w:jc w:val="left"/>
              <w:rPr>
                <w:rFonts w:eastAsia="Times New Roman"/>
                <w:sz w:val="21"/>
                <w:szCs w:val="21"/>
              </w:rPr>
            </w:pPr>
          </w:p>
        </w:tc>
        <w:tc>
          <w:tcPr>
            <w:tcW w:w="632" w:type="dxa"/>
            <w:tcBorders>
              <w:top w:val="nil"/>
              <w:left w:val="nil"/>
              <w:bottom w:val="nil"/>
              <w:right w:val="double" w:sz="6" w:space="0" w:color="auto"/>
            </w:tcBorders>
            <w:shd w:val="clear" w:color="auto" w:fill="auto"/>
            <w:noWrap/>
            <w:tcMar>
              <w:left w:w="58" w:type="dxa"/>
              <w:right w:w="58" w:type="dxa"/>
            </w:tcMar>
            <w:vAlign w:val="center"/>
          </w:tcPr>
          <w:p w14:paraId="10DD4A47" w14:textId="6792C46D" w:rsidR="002E1DAE" w:rsidRPr="00FE3EAF" w:rsidRDefault="002E1DAE" w:rsidP="002E1DAE">
            <w:pPr>
              <w:spacing w:after="0" w:line="240" w:lineRule="auto"/>
              <w:jc w:val="left"/>
              <w:rPr>
                <w:rFonts w:eastAsia="Times New Roman"/>
                <w:sz w:val="21"/>
                <w:szCs w:val="21"/>
              </w:rPr>
            </w:pPr>
          </w:p>
        </w:tc>
      </w:tr>
      <w:tr w:rsidR="002E1DAE" w:rsidRPr="00FE3EAF" w14:paraId="2C3F59E1" w14:textId="77777777" w:rsidTr="00784D3F">
        <w:trPr>
          <w:gridAfter w:val="1"/>
          <w:wAfter w:w="1184" w:type="dxa"/>
          <w:trHeight w:val="20"/>
        </w:trPr>
        <w:tc>
          <w:tcPr>
            <w:tcW w:w="4769" w:type="dxa"/>
            <w:tcBorders>
              <w:top w:val="nil"/>
              <w:left w:val="double" w:sz="6" w:space="0" w:color="auto"/>
              <w:bottom w:val="nil"/>
              <w:right w:val="nil"/>
            </w:tcBorders>
            <w:shd w:val="clear" w:color="auto" w:fill="auto"/>
            <w:noWrap/>
            <w:tcMar>
              <w:left w:w="58" w:type="dxa"/>
              <w:right w:w="58" w:type="dxa"/>
            </w:tcMar>
            <w:vAlign w:val="center"/>
            <w:hideMark/>
          </w:tcPr>
          <w:p w14:paraId="3C24E604" w14:textId="77777777" w:rsidR="002E1DAE" w:rsidRPr="00FE3EAF" w:rsidRDefault="002E1DAE" w:rsidP="002E1DAE">
            <w:pPr>
              <w:spacing w:after="0" w:line="240" w:lineRule="auto"/>
              <w:jc w:val="left"/>
              <w:rPr>
                <w:rFonts w:eastAsia="Times New Roman"/>
                <w:sz w:val="21"/>
                <w:szCs w:val="21"/>
              </w:rPr>
            </w:pPr>
            <w:r w:rsidRPr="00FE3EAF">
              <w:rPr>
                <w:rFonts w:eastAsia="Times New Roman"/>
                <w:sz w:val="21"/>
                <w:szCs w:val="21"/>
              </w:rPr>
              <w:t xml:space="preserve"> 30 to 39</w:t>
            </w:r>
          </w:p>
        </w:tc>
        <w:tc>
          <w:tcPr>
            <w:tcW w:w="720" w:type="dxa"/>
            <w:tcBorders>
              <w:top w:val="nil"/>
              <w:left w:val="nil"/>
              <w:bottom w:val="nil"/>
              <w:right w:val="nil"/>
            </w:tcBorders>
            <w:shd w:val="clear" w:color="auto" w:fill="auto"/>
            <w:noWrap/>
            <w:tcMar>
              <w:left w:w="58" w:type="dxa"/>
              <w:right w:w="58" w:type="dxa"/>
            </w:tcMar>
            <w:vAlign w:val="center"/>
            <w:hideMark/>
          </w:tcPr>
          <w:p w14:paraId="6E98FC0B" w14:textId="77777777" w:rsidR="002E1DAE" w:rsidRPr="00FE3EAF" w:rsidRDefault="002E1DAE" w:rsidP="002E1DAE">
            <w:pPr>
              <w:spacing w:after="0" w:line="240" w:lineRule="auto"/>
              <w:jc w:val="right"/>
              <w:rPr>
                <w:rFonts w:eastAsia="Calibri"/>
                <w:color w:val="000000"/>
                <w:sz w:val="21"/>
                <w:szCs w:val="21"/>
              </w:rPr>
            </w:pPr>
            <w:r w:rsidRPr="00FE3EAF">
              <w:rPr>
                <w:rFonts w:eastAsia="Calibri"/>
                <w:color w:val="000000"/>
                <w:sz w:val="21"/>
                <w:szCs w:val="21"/>
              </w:rPr>
              <w:t>93</w:t>
            </w:r>
          </w:p>
        </w:tc>
        <w:tc>
          <w:tcPr>
            <w:tcW w:w="724" w:type="dxa"/>
            <w:tcBorders>
              <w:top w:val="nil"/>
              <w:left w:val="nil"/>
              <w:bottom w:val="nil"/>
              <w:right w:val="nil"/>
            </w:tcBorders>
            <w:tcMar>
              <w:left w:w="58" w:type="dxa"/>
              <w:right w:w="58" w:type="dxa"/>
            </w:tcMar>
            <w:vAlign w:val="center"/>
          </w:tcPr>
          <w:p w14:paraId="4DFAD41E" w14:textId="3B5DBE90" w:rsidR="002E1DAE" w:rsidRPr="00FE3EAF" w:rsidRDefault="002E1DAE" w:rsidP="002E1DAE">
            <w:pPr>
              <w:spacing w:after="0" w:line="240" w:lineRule="auto"/>
              <w:jc w:val="right"/>
              <w:rPr>
                <w:rFonts w:eastAsia="Calibri"/>
                <w:color w:val="000000"/>
                <w:sz w:val="21"/>
                <w:szCs w:val="21"/>
              </w:rPr>
            </w:pPr>
            <w:r w:rsidRPr="00FE3EAF">
              <w:rPr>
                <w:rFonts w:eastAsia="Calibri"/>
                <w:color w:val="000000"/>
                <w:sz w:val="21"/>
                <w:szCs w:val="21"/>
              </w:rPr>
              <w:t>11.4</w:t>
            </w:r>
          </w:p>
        </w:tc>
        <w:tc>
          <w:tcPr>
            <w:tcW w:w="716" w:type="dxa"/>
            <w:tcBorders>
              <w:top w:val="nil"/>
              <w:left w:val="nil"/>
              <w:bottom w:val="nil"/>
              <w:right w:val="double" w:sz="6" w:space="0" w:color="auto"/>
            </w:tcBorders>
            <w:shd w:val="clear" w:color="auto" w:fill="auto"/>
            <w:noWrap/>
            <w:tcMar>
              <w:left w:w="58" w:type="dxa"/>
              <w:right w:w="58" w:type="dxa"/>
            </w:tcMar>
            <w:vAlign w:val="bottom"/>
          </w:tcPr>
          <w:p w14:paraId="7E0A34F8" w14:textId="6E5E22D9" w:rsidR="002E1DAE" w:rsidRPr="002E1DAE" w:rsidRDefault="002E1DAE" w:rsidP="002E1DAE">
            <w:pPr>
              <w:spacing w:after="0" w:line="240" w:lineRule="auto"/>
              <w:jc w:val="right"/>
              <w:rPr>
                <w:rFonts w:eastAsia="Calibri"/>
                <w:color w:val="000000"/>
                <w:sz w:val="21"/>
                <w:szCs w:val="21"/>
              </w:rPr>
            </w:pPr>
            <w:r w:rsidRPr="004817C2">
              <w:rPr>
                <w:color w:val="000000"/>
                <w:sz w:val="21"/>
                <w:szCs w:val="21"/>
              </w:rPr>
              <w:t>23.2</w:t>
            </w:r>
          </w:p>
        </w:tc>
        <w:tc>
          <w:tcPr>
            <w:tcW w:w="4409" w:type="dxa"/>
            <w:tcBorders>
              <w:top w:val="nil"/>
              <w:left w:val="nil"/>
              <w:bottom w:val="nil"/>
              <w:right w:val="nil"/>
            </w:tcBorders>
            <w:shd w:val="clear" w:color="auto" w:fill="auto"/>
            <w:noWrap/>
            <w:tcMar>
              <w:left w:w="58" w:type="dxa"/>
              <w:right w:w="58" w:type="dxa"/>
            </w:tcMar>
            <w:vAlign w:val="center"/>
          </w:tcPr>
          <w:p w14:paraId="689EFB69" w14:textId="77777777" w:rsidR="002E1DAE" w:rsidRPr="00FE3EAF" w:rsidRDefault="002E1DAE" w:rsidP="002E1DAE">
            <w:pPr>
              <w:spacing w:after="0" w:line="240" w:lineRule="auto"/>
              <w:jc w:val="left"/>
              <w:rPr>
                <w:rFonts w:eastAsia="Times New Roman"/>
                <w:sz w:val="21"/>
                <w:szCs w:val="21"/>
              </w:rPr>
            </w:pPr>
            <w:r w:rsidRPr="00FE3EAF">
              <w:rPr>
                <w:rFonts w:eastAsia="Times New Roman"/>
                <w:sz w:val="21"/>
                <w:szCs w:val="21"/>
              </w:rPr>
              <w:t xml:space="preserve"> Owns home</w:t>
            </w:r>
          </w:p>
        </w:tc>
        <w:tc>
          <w:tcPr>
            <w:tcW w:w="720" w:type="dxa"/>
            <w:tcBorders>
              <w:top w:val="nil"/>
              <w:left w:val="nil"/>
              <w:bottom w:val="nil"/>
              <w:right w:val="nil"/>
            </w:tcBorders>
            <w:shd w:val="clear" w:color="auto" w:fill="auto"/>
            <w:noWrap/>
            <w:tcMar>
              <w:left w:w="58" w:type="dxa"/>
              <w:right w:w="58" w:type="dxa"/>
            </w:tcMar>
            <w:vAlign w:val="bottom"/>
          </w:tcPr>
          <w:p w14:paraId="361FEBF2" w14:textId="77777777" w:rsidR="002E1DAE" w:rsidRPr="00FE3EAF" w:rsidRDefault="002E1DAE" w:rsidP="002E1DAE">
            <w:pPr>
              <w:spacing w:after="0" w:line="240" w:lineRule="auto"/>
              <w:jc w:val="right"/>
              <w:rPr>
                <w:rFonts w:eastAsia="Calibri"/>
                <w:color w:val="000000"/>
                <w:sz w:val="21"/>
                <w:szCs w:val="21"/>
              </w:rPr>
            </w:pPr>
            <w:r w:rsidRPr="00FE3EAF">
              <w:rPr>
                <w:rFonts w:eastAsia="Calibri"/>
                <w:color w:val="000000"/>
                <w:sz w:val="21"/>
                <w:szCs w:val="21"/>
              </w:rPr>
              <w:t>699</w:t>
            </w:r>
          </w:p>
        </w:tc>
        <w:tc>
          <w:tcPr>
            <w:tcW w:w="720" w:type="dxa"/>
            <w:tcBorders>
              <w:top w:val="nil"/>
              <w:left w:val="nil"/>
              <w:bottom w:val="nil"/>
              <w:right w:val="nil"/>
            </w:tcBorders>
            <w:tcMar>
              <w:left w:w="58" w:type="dxa"/>
              <w:right w:w="58" w:type="dxa"/>
            </w:tcMar>
            <w:vAlign w:val="bottom"/>
          </w:tcPr>
          <w:p w14:paraId="5B4F9466" w14:textId="69D9BDFE" w:rsidR="002E1DAE" w:rsidRPr="00FE3EAF" w:rsidRDefault="002E1DAE" w:rsidP="002E1DAE">
            <w:pPr>
              <w:spacing w:after="0" w:line="240" w:lineRule="auto"/>
              <w:jc w:val="right"/>
              <w:rPr>
                <w:rFonts w:eastAsia="Calibri"/>
                <w:color w:val="000000"/>
                <w:sz w:val="21"/>
                <w:szCs w:val="21"/>
              </w:rPr>
            </w:pPr>
            <w:r w:rsidRPr="00FE3EAF">
              <w:rPr>
                <w:rFonts w:eastAsia="Calibri"/>
                <w:color w:val="000000"/>
                <w:sz w:val="21"/>
                <w:szCs w:val="21"/>
              </w:rPr>
              <w:t>84.8</w:t>
            </w:r>
          </w:p>
        </w:tc>
        <w:tc>
          <w:tcPr>
            <w:tcW w:w="632" w:type="dxa"/>
            <w:tcBorders>
              <w:top w:val="nil"/>
              <w:left w:val="nil"/>
              <w:bottom w:val="nil"/>
              <w:right w:val="double" w:sz="6" w:space="0" w:color="auto"/>
            </w:tcBorders>
            <w:shd w:val="clear" w:color="auto" w:fill="auto"/>
            <w:noWrap/>
            <w:tcMar>
              <w:left w:w="58" w:type="dxa"/>
              <w:right w:w="58" w:type="dxa"/>
            </w:tcMar>
            <w:vAlign w:val="bottom"/>
          </w:tcPr>
          <w:p w14:paraId="01AB85F9" w14:textId="39F8C7D4" w:rsidR="002E1DAE" w:rsidRPr="00FE3EAF" w:rsidRDefault="00D17B54" w:rsidP="002E1DAE">
            <w:pPr>
              <w:spacing w:after="0" w:line="240" w:lineRule="auto"/>
              <w:jc w:val="right"/>
              <w:rPr>
                <w:rFonts w:eastAsia="Calibri"/>
                <w:color w:val="000000"/>
                <w:sz w:val="21"/>
                <w:szCs w:val="21"/>
              </w:rPr>
            </w:pPr>
            <w:r>
              <w:rPr>
                <w:rFonts w:eastAsia="Calibri"/>
                <w:color w:val="000000"/>
                <w:sz w:val="21"/>
                <w:szCs w:val="21"/>
              </w:rPr>
              <w:t>--</w:t>
            </w:r>
          </w:p>
        </w:tc>
      </w:tr>
      <w:tr w:rsidR="002E1DAE" w:rsidRPr="00FE3EAF" w14:paraId="7184B736" w14:textId="77777777" w:rsidTr="00784D3F">
        <w:trPr>
          <w:gridAfter w:val="1"/>
          <w:wAfter w:w="1184" w:type="dxa"/>
          <w:trHeight w:val="20"/>
        </w:trPr>
        <w:tc>
          <w:tcPr>
            <w:tcW w:w="4769" w:type="dxa"/>
            <w:tcBorders>
              <w:top w:val="nil"/>
              <w:left w:val="double" w:sz="6" w:space="0" w:color="auto"/>
              <w:bottom w:val="nil"/>
              <w:right w:val="nil"/>
            </w:tcBorders>
            <w:shd w:val="clear" w:color="auto" w:fill="auto"/>
            <w:noWrap/>
            <w:tcMar>
              <w:left w:w="58" w:type="dxa"/>
              <w:right w:w="58" w:type="dxa"/>
            </w:tcMar>
            <w:vAlign w:val="center"/>
            <w:hideMark/>
          </w:tcPr>
          <w:p w14:paraId="1567DDF7" w14:textId="77777777" w:rsidR="002E1DAE" w:rsidRPr="00FE3EAF" w:rsidRDefault="002E1DAE" w:rsidP="002E1DAE">
            <w:pPr>
              <w:spacing w:after="0" w:line="240" w:lineRule="auto"/>
              <w:jc w:val="left"/>
              <w:rPr>
                <w:rFonts w:eastAsia="Times New Roman"/>
                <w:sz w:val="21"/>
                <w:szCs w:val="21"/>
              </w:rPr>
            </w:pPr>
            <w:r w:rsidRPr="00FE3EAF">
              <w:rPr>
                <w:rFonts w:eastAsia="Times New Roman"/>
                <w:sz w:val="21"/>
                <w:szCs w:val="21"/>
              </w:rPr>
              <w:t xml:space="preserve"> 40 to 49</w:t>
            </w:r>
          </w:p>
        </w:tc>
        <w:tc>
          <w:tcPr>
            <w:tcW w:w="720" w:type="dxa"/>
            <w:tcBorders>
              <w:top w:val="nil"/>
              <w:left w:val="nil"/>
              <w:bottom w:val="nil"/>
              <w:right w:val="nil"/>
            </w:tcBorders>
            <w:shd w:val="clear" w:color="auto" w:fill="auto"/>
            <w:noWrap/>
            <w:tcMar>
              <w:left w:w="58" w:type="dxa"/>
              <w:right w:w="58" w:type="dxa"/>
            </w:tcMar>
            <w:vAlign w:val="center"/>
            <w:hideMark/>
          </w:tcPr>
          <w:p w14:paraId="4CBB1350" w14:textId="77777777" w:rsidR="002E1DAE" w:rsidRPr="00FE3EAF" w:rsidRDefault="002E1DAE" w:rsidP="002E1DAE">
            <w:pPr>
              <w:spacing w:after="0" w:line="240" w:lineRule="auto"/>
              <w:jc w:val="right"/>
              <w:rPr>
                <w:rFonts w:eastAsia="Calibri"/>
                <w:color w:val="000000"/>
                <w:sz w:val="21"/>
                <w:szCs w:val="21"/>
              </w:rPr>
            </w:pPr>
            <w:r w:rsidRPr="00FE3EAF">
              <w:rPr>
                <w:rFonts w:eastAsia="Calibri"/>
                <w:color w:val="000000"/>
                <w:sz w:val="21"/>
                <w:szCs w:val="21"/>
              </w:rPr>
              <w:t>175</w:t>
            </w:r>
          </w:p>
        </w:tc>
        <w:tc>
          <w:tcPr>
            <w:tcW w:w="724" w:type="dxa"/>
            <w:tcBorders>
              <w:top w:val="nil"/>
              <w:left w:val="nil"/>
              <w:bottom w:val="nil"/>
              <w:right w:val="nil"/>
            </w:tcBorders>
            <w:tcMar>
              <w:left w:w="58" w:type="dxa"/>
              <w:right w:w="58" w:type="dxa"/>
            </w:tcMar>
            <w:vAlign w:val="center"/>
          </w:tcPr>
          <w:p w14:paraId="1A81533C" w14:textId="16645CB4" w:rsidR="002E1DAE" w:rsidRPr="00FE3EAF" w:rsidRDefault="002E1DAE" w:rsidP="002E1DAE">
            <w:pPr>
              <w:spacing w:after="0" w:line="240" w:lineRule="auto"/>
              <w:jc w:val="right"/>
              <w:rPr>
                <w:rFonts w:eastAsia="Calibri"/>
                <w:color w:val="000000"/>
                <w:sz w:val="21"/>
                <w:szCs w:val="21"/>
              </w:rPr>
            </w:pPr>
            <w:r w:rsidRPr="00FE3EAF">
              <w:rPr>
                <w:rFonts w:eastAsia="Calibri"/>
                <w:color w:val="000000"/>
                <w:sz w:val="21"/>
                <w:szCs w:val="21"/>
              </w:rPr>
              <w:t>21.2</w:t>
            </w:r>
          </w:p>
        </w:tc>
        <w:tc>
          <w:tcPr>
            <w:tcW w:w="716" w:type="dxa"/>
            <w:tcBorders>
              <w:top w:val="nil"/>
              <w:left w:val="nil"/>
              <w:bottom w:val="nil"/>
              <w:right w:val="double" w:sz="6" w:space="0" w:color="auto"/>
            </w:tcBorders>
            <w:shd w:val="clear" w:color="auto" w:fill="auto"/>
            <w:noWrap/>
            <w:tcMar>
              <w:left w:w="58" w:type="dxa"/>
              <w:right w:w="58" w:type="dxa"/>
            </w:tcMar>
            <w:vAlign w:val="bottom"/>
          </w:tcPr>
          <w:p w14:paraId="3FE0C1F3" w14:textId="1816D507" w:rsidR="002E1DAE" w:rsidRPr="002E1DAE" w:rsidRDefault="002E1DAE" w:rsidP="002E1DAE">
            <w:pPr>
              <w:spacing w:after="0" w:line="240" w:lineRule="auto"/>
              <w:jc w:val="right"/>
              <w:rPr>
                <w:rFonts w:eastAsia="Calibri"/>
                <w:color w:val="000000"/>
                <w:sz w:val="21"/>
                <w:szCs w:val="21"/>
              </w:rPr>
            </w:pPr>
            <w:r w:rsidRPr="004817C2">
              <w:rPr>
                <w:color w:val="000000"/>
                <w:sz w:val="21"/>
                <w:szCs w:val="21"/>
              </w:rPr>
              <w:t>21.1</w:t>
            </w:r>
          </w:p>
        </w:tc>
        <w:tc>
          <w:tcPr>
            <w:tcW w:w="4409" w:type="dxa"/>
            <w:tcBorders>
              <w:top w:val="nil"/>
              <w:left w:val="nil"/>
              <w:right w:val="nil"/>
            </w:tcBorders>
            <w:shd w:val="clear" w:color="auto" w:fill="auto"/>
            <w:noWrap/>
            <w:tcMar>
              <w:left w:w="58" w:type="dxa"/>
              <w:right w:w="58" w:type="dxa"/>
            </w:tcMar>
            <w:vAlign w:val="center"/>
          </w:tcPr>
          <w:p w14:paraId="2C7D519C" w14:textId="77777777" w:rsidR="002E1DAE" w:rsidRPr="00FE3EAF" w:rsidRDefault="002E1DAE" w:rsidP="002E1DAE">
            <w:pPr>
              <w:spacing w:after="0" w:line="240" w:lineRule="auto"/>
              <w:jc w:val="left"/>
              <w:rPr>
                <w:rFonts w:eastAsia="Times New Roman"/>
                <w:sz w:val="21"/>
                <w:szCs w:val="21"/>
              </w:rPr>
            </w:pPr>
            <w:r w:rsidRPr="00FE3EAF">
              <w:rPr>
                <w:rFonts w:eastAsia="Times New Roman"/>
                <w:sz w:val="21"/>
                <w:szCs w:val="21"/>
              </w:rPr>
              <w:t xml:space="preserve"> Rents home</w:t>
            </w:r>
          </w:p>
        </w:tc>
        <w:tc>
          <w:tcPr>
            <w:tcW w:w="720" w:type="dxa"/>
            <w:tcBorders>
              <w:top w:val="nil"/>
              <w:left w:val="nil"/>
              <w:right w:val="nil"/>
            </w:tcBorders>
            <w:shd w:val="clear" w:color="auto" w:fill="auto"/>
            <w:noWrap/>
            <w:tcMar>
              <w:left w:w="58" w:type="dxa"/>
              <w:right w:w="58" w:type="dxa"/>
            </w:tcMar>
            <w:vAlign w:val="bottom"/>
          </w:tcPr>
          <w:p w14:paraId="5EB08857" w14:textId="77777777" w:rsidR="002E1DAE" w:rsidRPr="00FE3EAF" w:rsidRDefault="002E1DAE" w:rsidP="002E1DAE">
            <w:pPr>
              <w:spacing w:after="0" w:line="240" w:lineRule="auto"/>
              <w:jc w:val="right"/>
              <w:rPr>
                <w:rFonts w:eastAsia="Calibri"/>
                <w:color w:val="000000"/>
                <w:sz w:val="21"/>
                <w:szCs w:val="21"/>
              </w:rPr>
            </w:pPr>
            <w:r w:rsidRPr="00FE3EAF">
              <w:rPr>
                <w:rFonts w:eastAsia="Calibri"/>
                <w:color w:val="000000"/>
                <w:sz w:val="21"/>
                <w:szCs w:val="21"/>
              </w:rPr>
              <w:t>125</w:t>
            </w:r>
          </w:p>
        </w:tc>
        <w:tc>
          <w:tcPr>
            <w:tcW w:w="720" w:type="dxa"/>
            <w:tcBorders>
              <w:top w:val="nil"/>
              <w:left w:val="nil"/>
              <w:right w:val="nil"/>
            </w:tcBorders>
            <w:tcMar>
              <w:left w:w="58" w:type="dxa"/>
              <w:right w:w="58" w:type="dxa"/>
            </w:tcMar>
            <w:vAlign w:val="bottom"/>
          </w:tcPr>
          <w:p w14:paraId="010FDB66" w14:textId="615AAD69" w:rsidR="002E1DAE" w:rsidRPr="00FE3EAF" w:rsidRDefault="002E1DAE" w:rsidP="002E1DAE">
            <w:pPr>
              <w:spacing w:after="0" w:line="240" w:lineRule="auto"/>
              <w:jc w:val="right"/>
              <w:rPr>
                <w:rFonts w:eastAsia="Calibri"/>
                <w:color w:val="000000"/>
                <w:sz w:val="21"/>
                <w:szCs w:val="21"/>
              </w:rPr>
            </w:pPr>
            <w:r w:rsidRPr="00FE3EAF">
              <w:rPr>
                <w:rFonts w:eastAsia="Calibri"/>
                <w:color w:val="000000"/>
                <w:sz w:val="21"/>
                <w:szCs w:val="21"/>
              </w:rPr>
              <w:t>15.2</w:t>
            </w:r>
          </w:p>
        </w:tc>
        <w:tc>
          <w:tcPr>
            <w:tcW w:w="632" w:type="dxa"/>
            <w:tcBorders>
              <w:top w:val="nil"/>
              <w:left w:val="nil"/>
              <w:right w:val="double" w:sz="4" w:space="0" w:color="auto"/>
            </w:tcBorders>
            <w:shd w:val="clear" w:color="auto" w:fill="auto"/>
            <w:noWrap/>
            <w:tcMar>
              <w:left w:w="58" w:type="dxa"/>
              <w:right w:w="58" w:type="dxa"/>
            </w:tcMar>
            <w:vAlign w:val="bottom"/>
          </w:tcPr>
          <w:p w14:paraId="356B5410" w14:textId="3EF72C2F" w:rsidR="002E1DAE" w:rsidRPr="00FE3EAF" w:rsidRDefault="00D17B54" w:rsidP="002E1DAE">
            <w:pPr>
              <w:spacing w:after="0" w:line="240" w:lineRule="auto"/>
              <w:jc w:val="right"/>
              <w:rPr>
                <w:rFonts w:eastAsia="Calibri"/>
                <w:color w:val="000000"/>
                <w:sz w:val="21"/>
                <w:szCs w:val="21"/>
              </w:rPr>
            </w:pPr>
            <w:r>
              <w:rPr>
                <w:rFonts w:eastAsia="Calibri"/>
                <w:color w:val="000000"/>
                <w:sz w:val="21"/>
                <w:szCs w:val="21"/>
              </w:rPr>
              <w:t>--</w:t>
            </w:r>
          </w:p>
        </w:tc>
      </w:tr>
      <w:tr w:rsidR="002E1DAE" w:rsidRPr="00FE3EAF" w14:paraId="088AA1E0" w14:textId="77777777" w:rsidTr="00784D3F">
        <w:trPr>
          <w:gridAfter w:val="1"/>
          <w:wAfter w:w="1184" w:type="dxa"/>
          <w:trHeight w:val="20"/>
        </w:trPr>
        <w:tc>
          <w:tcPr>
            <w:tcW w:w="4769" w:type="dxa"/>
            <w:tcBorders>
              <w:top w:val="nil"/>
              <w:left w:val="double" w:sz="6" w:space="0" w:color="auto"/>
              <w:bottom w:val="nil"/>
              <w:right w:val="nil"/>
            </w:tcBorders>
            <w:shd w:val="clear" w:color="auto" w:fill="auto"/>
            <w:noWrap/>
            <w:tcMar>
              <w:left w:w="58" w:type="dxa"/>
              <w:right w:w="58" w:type="dxa"/>
            </w:tcMar>
            <w:vAlign w:val="center"/>
            <w:hideMark/>
          </w:tcPr>
          <w:p w14:paraId="0B7584D0" w14:textId="77777777" w:rsidR="002E1DAE" w:rsidRPr="00FE3EAF" w:rsidRDefault="002E1DAE" w:rsidP="002E1DAE">
            <w:pPr>
              <w:spacing w:after="0" w:line="240" w:lineRule="auto"/>
              <w:jc w:val="left"/>
              <w:rPr>
                <w:rFonts w:eastAsia="Times New Roman"/>
                <w:sz w:val="21"/>
                <w:szCs w:val="21"/>
              </w:rPr>
            </w:pPr>
            <w:r w:rsidRPr="00FE3EAF">
              <w:rPr>
                <w:rFonts w:eastAsia="Times New Roman"/>
                <w:sz w:val="21"/>
                <w:szCs w:val="21"/>
              </w:rPr>
              <w:t xml:space="preserve"> 50 to 64</w:t>
            </w:r>
          </w:p>
        </w:tc>
        <w:tc>
          <w:tcPr>
            <w:tcW w:w="720" w:type="dxa"/>
            <w:tcBorders>
              <w:top w:val="nil"/>
              <w:left w:val="nil"/>
              <w:bottom w:val="nil"/>
              <w:right w:val="nil"/>
            </w:tcBorders>
            <w:shd w:val="clear" w:color="auto" w:fill="auto"/>
            <w:noWrap/>
            <w:tcMar>
              <w:left w:w="58" w:type="dxa"/>
              <w:right w:w="58" w:type="dxa"/>
            </w:tcMar>
            <w:vAlign w:val="center"/>
            <w:hideMark/>
          </w:tcPr>
          <w:p w14:paraId="3674CC25" w14:textId="77777777" w:rsidR="002E1DAE" w:rsidRPr="00FE3EAF" w:rsidRDefault="002E1DAE" w:rsidP="002E1DAE">
            <w:pPr>
              <w:spacing w:after="0" w:line="240" w:lineRule="auto"/>
              <w:jc w:val="right"/>
              <w:rPr>
                <w:rFonts w:eastAsia="Calibri"/>
                <w:color w:val="000000"/>
                <w:sz w:val="21"/>
                <w:szCs w:val="21"/>
              </w:rPr>
            </w:pPr>
            <w:r w:rsidRPr="00FE3EAF">
              <w:rPr>
                <w:rFonts w:eastAsia="Calibri"/>
                <w:color w:val="000000"/>
                <w:sz w:val="21"/>
                <w:szCs w:val="21"/>
              </w:rPr>
              <w:t>386</w:t>
            </w:r>
          </w:p>
        </w:tc>
        <w:tc>
          <w:tcPr>
            <w:tcW w:w="724" w:type="dxa"/>
            <w:tcBorders>
              <w:top w:val="nil"/>
              <w:left w:val="nil"/>
              <w:bottom w:val="nil"/>
              <w:right w:val="nil"/>
            </w:tcBorders>
            <w:tcMar>
              <w:left w:w="58" w:type="dxa"/>
              <w:right w:w="58" w:type="dxa"/>
            </w:tcMar>
            <w:vAlign w:val="center"/>
          </w:tcPr>
          <w:p w14:paraId="65C430E9" w14:textId="23451652" w:rsidR="002E1DAE" w:rsidRPr="00FE3EAF" w:rsidRDefault="002E1DAE" w:rsidP="002E1DAE">
            <w:pPr>
              <w:spacing w:after="0" w:line="240" w:lineRule="auto"/>
              <w:jc w:val="right"/>
              <w:rPr>
                <w:rFonts w:eastAsia="Calibri"/>
                <w:color w:val="000000"/>
                <w:sz w:val="21"/>
                <w:szCs w:val="21"/>
              </w:rPr>
            </w:pPr>
            <w:r w:rsidRPr="00FE3EAF">
              <w:rPr>
                <w:rFonts w:eastAsia="Calibri"/>
                <w:color w:val="000000"/>
                <w:sz w:val="21"/>
                <w:szCs w:val="21"/>
              </w:rPr>
              <w:t>46.8</w:t>
            </w:r>
          </w:p>
        </w:tc>
        <w:tc>
          <w:tcPr>
            <w:tcW w:w="716" w:type="dxa"/>
            <w:tcBorders>
              <w:top w:val="nil"/>
              <w:left w:val="nil"/>
              <w:bottom w:val="nil"/>
              <w:right w:val="double" w:sz="6" w:space="0" w:color="auto"/>
            </w:tcBorders>
            <w:shd w:val="clear" w:color="auto" w:fill="auto"/>
            <w:noWrap/>
            <w:tcMar>
              <w:left w:w="58" w:type="dxa"/>
              <w:right w:w="58" w:type="dxa"/>
            </w:tcMar>
            <w:vAlign w:val="bottom"/>
          </w:tcPr>
          <w:p w14:paraId="39C88434" w14:textId="7E5023B1" w:rsidR="002E1DAE" w:rsidRPr="002E1DAE" w:rsidRDefault="002E1DAE" w:rsidP="002E1DAE">
            <w:pPr>
              <w:spacing w:after="0" w:line="240" w:lineRule="auto"/>
              <w:jc w:val="right"/>
              <w:rPr>
                <w:rFonts w:eastAsia="Calibri"/>
                <w:color w:val="000000"/>
                <w:sz w:val="21"/>
                <w:szCs w:val="21"/>
              </w:rPr>
            </w:pPr>
            <w:r w:rsidRPr="004817C2">
              <w:rPr>
                <w:color w:val="000000"/>
                <w:sz w:val="21"/>
                <w:szCs w:val="21"/>
              </w:rPr>
              <w:t>24.2</w:t>
            </w:r>
          </w:p>
        </w:tc>
        <w:tc>
          <w:tcPr>
            <w:tcW w:w="4409" w:type="dxa"/>
            <w:tcBorders>
              <w:top w:val="nil"/>
              <w:left w:val="nil"/>
              <w:bottom w:val="nil"/>
            </w:tcBorders>
            <w:shd w:val="clear" w:color="auto" w:fill="auto"/>
            <w:noWrap/>
            <w:tcMar>
              <w:left w:w="58" w:type="dxa"/>
              <w:right w:w="58" w:type="dxa"/>
            </w:tcMar>
            <w:vAlign w:val="center"/>
          </w:tcPr>
          <w:p w14:paraId="5C8493C8" w14:textId="77777777" w:rsidR="002E1DAE" w:rsidRPr="00FE3EAF" w:rsidRDefault="002E1DAE" w:rsidP="002E1DAE">
            <w:pPr>
              <w:spacing w:after="0" w:line="240" w:lineRule="auto"/>
              <w:jc w:val="left"/>
              <w:rPr>
                <w:rFonts w:eastAsia="Times New Roman"/>
                <w:b/>
                <w:bCs/>
                <w:sz w:val="21"/>
                <w:szCs w:val="21"/>
              </w:rPr>
            </w:pPr>
            <w:r w:rsidRPr="00FE3EAF">
              <w:rPr>
                <w:rFonts w:eastAsia="Times New Roman"/>
                <w:i/>
                <w:iCs/>
                <w:sz w:val="21"/>
                <w:szCs w:val="21"/>
              </w:rPr>
              <w:t xml:space="preserve"> </w:t>
            </w:r>
            <w:r w:rsidRPr="00FE3EAF">
              <w:rPr>
                <w:rFonts w:eastAsia="Times New Roman"/>
                <w:b/>
                <w:bCs/>
                <w:sz w:val="21"/>
                <w:szCs w:val="21"/>
              </w:rPr>
              <w:t>Private Study</w:t>
            </w:r>
          </w:p>
        </w:tc>
        <w:tc>
          <w:tcPr>
            <w:tcW w:w="720" w:type="dxa"/>
            <w:tcBorders>
              <w:top w:val="nil"/>
              <w:left w:val="nil"/>
              <w:bottom w:val="nil"/>
            </w:tcBorders>
            <w:shd w:val="clear" w:color="auto" w:fill="auto"/>
            <w:tcMar>
              <w:left w:w="58" w:type="dxa"/>
              <w:right w:w="58" w:type="dxa"/>
            </w:tcMar>
            <w:vAlign w:val="center"/>
          </w:tcPr>
          <w:p w14:paraId="65265824" w14:textId="77777777" w:rsidR="002E1DAE" w:rsidRPr="00FE3EAF" w:rsidRDefault="002E1DAE" w:rsidP="002E1DAE">
            <w:pPr>
              <w:spacing w:after="0" w:line="240" w:lineRule="auto"/>
              <w:jc w:val="right"/>
              <w:rPr>
                <w:rFonts w:eastAsia="Times New Roman"/>
                <w:i/>
                <w:iCs/>
                <w:sz w:val="21"/>
                <w:szCs w:val="21"/>
              </w:rPr>
            </w:pPr>
          </w:p>
        </w:tc>
        <w:tc>
          <w:tcPr>
            <w:tcW w:w="720" w:type="dxa"/>
            <w:tcBorders>
              <w:top w:val="nil"/>
              <w:left w:val="nil"/>
              <w:bottom w:val="nil"/>
              <w:right w:val="nil"/>
            </w:tcBorders>
            <w:tcMar>
              <w:left w:w="58" w:type="dxa"/>
              <w:right w:w="58" w:type="dxa"/>
            </w:tcMar>
            <w:vAlign w:val="center"/>
          </w:tcPr>
          <w:p w14:paraId="0BBBA7BD" w14:textId="77777777" w:rsidR="002E1DAE" w:rsidRPr="00FE3EAF" w:rsidRDefault="002E1DAE" w:rsidP="002E1DAE">
            <w:pPr>
              <w:spacing w:after="0" w:line="240" w:lineRule="auto"/>
              <w:jc w:val="right"/>
              <w:rPr>
                <w:rFonts w:eastAsia="Times New Roman"/>
                <w:i/>
                <w:iCs/>
                <w:sz w:val="21"/>
                <w:szCs w:val="21"/>
              </w:rPr>
            </w:pPr>
          </w:p>
        </w:tc>
        <w:tc>
          <w:tcPr>
            <w:tcW w:w="632" w:type="dxa"/>
            <w:tcBorders>
              <w:top w:val="nil"/>
              <w:left w:val="nil"/>
              <w:bottom w:val="nil"/>
              <w:right w:val="double" w:sz="4" w:space="0" w:color="auto"/>
            </w:tcBorders>
            <w:shd w:val="clear" w:color="auto" w:fill="auto"/>
            <w:tcMar>
              <w:left w:w="58" w:type="dxa"/>
              <w:right w:w="58" w:type="dxa"/>
            </w:tcMar>
            <w:vAlign w:val="center"/>
          </w:tcPr>
          <w:p w14:paraId="0B1039EB" w14:textId="58609186" w:rsidR="002E1DAE" w:rsidRPr="00FE3EAF" w:rsidRDefault="002E1DAE" w:rsidP="002E1DAE">
            <w:pPr>
              <w:spacing w:after="0" w:line="240" w:lineRule="auto"/>
              <w:jc w:val="right"/>
              <w:rPr>
                <w:rFonts w:eastAsia="Times New Roman"/>
                <w:i/>
                <w:iCs/>
                <w:sz w:val="21"/>
                <w:szCs w:val="21"/>
              </w:rPr>
            </w:pPr>
          </w:p>
        </w:tc>
      </w:tr>
      <w:tr w:rsidR="002E1DAE" w:rsidRPr="00FE3EAF" w14:paraId="6CCA7E21" w14:textId="77777777" w:rsidTr="00784D3F">
        <w:trPr>
          <w:gridAfter w:val="1"/>
          <w:wAfter w:w="1184" w:type="dxa"/>
          <w:trHeight w:val="20"/>
        </w:trPr>
        <w:tc>
          <w:tcPr>
            <w:tcW w:w="4769" w:type="dxa"/>
            <w:tcBorders>
              <w:top w:val="nil"/>
              <w:left w:val="double" w:sz="6" w:space="0" w:color="auto"/>
            </w:tcBorders>
            <w:shd w:val="clear" w:color="auto" w:fill="auto"/>
            <w:noWrap/>
            <w:tcMar>
              <w:left w:w="58" w:type="dxa"/>
              <w:right w:w="58" w:type="dxa"/>
            </w:tcMar>
            <w:vAlign w:val="center"/>
            <w:hideMark/>
          </w:tcPr>
          <w:p w14:paraId="4970B603" w14:textId="77777777" w:rsidR="002E1DAE" w:rsidRPr="00FE3EAF" w:rsidRDefault="002E1DAE" w:rsidP="002E1DAE">
            <w:pPr>
              <w:spacing w:after="0" w:line="240" w:lineRule="auto"/>
              <w:jc w:val="left"/>
              <w:rPr>
                <w:rFonts w:eastAsia="Times New Roman"/>
                <w:sz w:val="21"/>
                <w:szCs w:val="21"/>
              </w:rPr>
            </w:pPr>
            <w:r w:rsidRPr="00FE3EAF">
              <w:rPr>
                <w:rFonts w:eastAsia="Times New Roman"/>
                <w:sz w:val="21"/>
                <w:szCs w:val="21"/>
              </w:rPr>
              <w:t xml:space="preserve"> 65 or older</w:t>
            </w:r>
          </w:p>
        </w:tc>
        <w:tc>
          <w:tcPr>
            <w:tcW w:w="720" w:type="dxa"/>
            <w:tcBorders>
              <w:top w:val="nil"/>
              <w:left w:val="nil"/>
              <w:right w:val="nil"/>
            </w:tcBorders>
            <w:shd w:val="clear" w:color="auto" w:fill="auto"/>
            <w:noWrap/>
            <w:tcMar>
              <w:left w:w="58" w:type="dxa"/>
              <w:right w:w="58" w:type="dxa"/>
            </w:tcMar>
            <w:vAlign w:val="center"/>
            <w:hideMark/>
          </w:tcPr>
          <w:p w14:paraId="04036E4E" w14:textId="77777777" w:rsidR="002E1DAE" w:rsidRPr="00FE3EAF" w:rsidRDefault="002E1DAE" w:rsidP="002E1DAE">
            <w:pPr>
              <w:spacing w:after="0" w:line="240" w:lineRule="auto"/>
              <w:jc w:val="right"/>
              <w:rPr>
                <w:rFonts w:eastAsia="Calibri"/>
                <w:color w:val="000000"/>
                <w:sz w:val="21"/>
                <w:szCs w:val="21"/>
              </w:rPr>
            </w:pPr>
            <w:r w:rsidRPr="00FE3EAF">
              <w:rPr>
                <w:rFonts w:eastAsia="Calibri"/>
                <w:color w:val="000000"/>
                <w:sz w:val="21"/>
                <w:szCs w:val="21"/>
              </w:rPr>
              <w:t>132</w:t>
            </w:r>
          </w:p>
        </w:tc>
        <w:tc>
          <w:tcPr>
            <w:tcW w:w="724" w:type="dxa"/>
            <w:tcBorders>
              <w:top w:val="nil"/>
              <w:left w:val="nil"/>
              <w:right w:val="nil"/>
            </w:tcBorders>
            <w:tcMar>
              <w:left w:w="58" w:type="dxa"/>
              <w:right w:w="58" w:type="dxa"/>
            </w:tcMar>
            <w:vAlign w:val="center"/>
          </w:tcPr>
          <w:p w14:paraId="26AE49CD" w14:textId="2C7612B8" w:rsidR="002E1DAE" w:rsidRPr="00FE3EAF" w:rsidRDefault="002E1DAE" w:rsidP="002E1DAE">
            <w:pPr>
              <w:spacing w:after="0" w:line="240" w:lineRule="auto"/>
              <w:jc w:val="right"/>
              <w:rPr>
                <w:rFonts w:eastAsia="Calibri"/>
                <w:color w:val="000000"/>
                <w:sz w:val="21"/>
                <w:szCs w:val="21"/>
              </w:rPr>
            </w:pPr>
            <w:r w:rsidRPr="00FE3EAF">
              <w:rPr>
                <w:rFonts w:eastAsia="Calibri"/>
                <w:color w:val="000000"/>
                <w:sz w:val="21"/>
                <w:szCs w:val="21"/>
              </w:rPr>
              <w:t>16.0</w:t>
            </w:r>
          </w:p>
        </w:tc>
        <w:tc>
          <w:tcPr>
            <w:tcW w:w="716" w:type="dxa"/>
            <w:tcBorders>
              <w:top w:val="nil"/>
              <w:left w:val="nil"/>
              <w:right w:val="double" w:sz="6" w:space="0" w:color="auto"/>
            </w:tcBorders>
            <w:shd w:val="clear" w:color="auto" w:fill="auto"/>
            <w:noWrap/>
            <w:tcMar>
              <w:left w:w="58" w:type="dxa"/>
              <w:right w:w="58" w:type="dxa"/>
            </w:tcMar>
            <w:vAlign w:val="bottom"/>
          </w:tcPr>
          <w:p w14:paraId="12AB5851" w14:textId="6376345C" w:rsidR="002E1DAE" w:rsidRPr="002E1DAE" w:rsidRDefault="002E1DAE" w:rsidP="002E1DAE">
            <w:pPr>
              <w:spacing w:after="0" w:line="240" w:lineRule="auto"/>
              <w:jc w:val="right"/>
              <w:rPr>
                <w:rFonts w:eastAsia="Calibri"/>
                <w:color w:val="000000"/>
                <w:sz w:val="21"/>
                <w:szCs w:val="21"/>
              </w:rPr>
            </w:pPr>
            <w:r w:rsidRPr="004817C2">
              <w:rPr>
                <w:color w:val="000000"/>
                <w:sz w:val="21"/>
                <w:szCs w:val="21"/>
              </w:rPr>
              <w:t>5.3</w:t>
            </w:r>
          </w:p>
        </w:tc>
        <w:tc>
          <w:tcPr>
            <w:tcW w:w="4409" w:type="dxa"/>
            <w:tcBorders>
              <w:top w:val="nil"/>
              <w:left w:val="nil"/>
              <w:bottom w:val="nil"/>
            </w:tcBorders>
            <w:shd w:val="clear" w:color="auto" w:fill="auto"/>
            <w:noWrap/>
            <w:tcMar>
              <w:left w:w="58" w:type="dxa"/>
              <w:right w:w="58" w:type="dxa"/>
            </w:tcMar>
            <w:vAlign w:val="bottom"/>
          </w:tcPr>
          <w:p w14:paraId="5267D4D2" w14:textId="77777777" w:rsidR="002E1DAE" w:rsidRPr="00FE3EAF" w:rsidRDefault="002E1DAE" w:rsidP="002E1DAE">
            <w:pPr>
              <w:spacing w:after="0" w:line="240" w:lineRule="auto"/>
              <w:jc w:val="left"/>
              <w:rPr>
                <w:rFonts w:eastAsia="Times New Roman"/>
                <w:sz w:val="21"/>
                <w:szCs w:val="21"/>
              </w:rPr>
            </w:pPr>
            <w:r w:rsidRPr="00FE3EAF">
              <w:rPr>
                <w:rFonts w:eastAsia="Times New Roman"/>
                <w:b/>
                <w:bCs/>
                <w:sz w:val="21"/>
                <w:szCs w:val="21"/>
              </w:rPr>
              <w:t xml:space="preserve"> </w:t>
            </w:r>
            <w:r w:rsidRPr="00FE3EAF">
              <w:rPr>
                <w:rFonts w:eastAsia="Times New Roman"/>
                <w:sz w:val="21"/>
                <w:szCs w:val="21"/>
              </w:rPr>
              <w:t>Yes</w:t>
            </w:r>
          </w:p>
        </w:tc>
        <w:tc>
          <w:tcPr>
            <w:tcW w:w="720" w:type="dxa"/>
            <w:tcBorders>
              <w:top w:val="nil"/>
              <w:left w:val="nil"/>
              <w:bottom w:val="nil"/>
            </w:tcBorders>
            <w:shd w:val="clear" w:color="auto" w:fill="auto"/>
            <w:tcMar>
              <w:left w:w="58" w:type="dxa"/>
              <w:right w:w="58" w:type="dxa"/>
            </w:tcMar>
            <w:vAlign w:val="bottom"/>
          </w:tcPr>
          <w:p w14:paraId="745C5B5F" w14:textId="77777777" w:rsidR="002E1DAE" w:rsidRPr="00FE3EAF" w:rsidRDefault="002E1DAE" w:rsidP="002E1DAE">
            <w:pPr>
              <w:spacing w:after="0" w:line="240" w:lineRule="auto"/>
              <w:jc w:val="right"/>
              <w:rPr>
                <w:rFonts w:eastAsia="Times New Roman"/>
                <w:sz w:val="21"/>
                <w:szCs w:val="21"/>
              </w:rPr>
            </w:pPr>
            <w:r w:rsidRPr="00FE3EAF">
              <w:rPr>
                <w:rFonts w:eastAsia="Times New Roman"/>
                <w:sz w:val="21"/>
                <w:szCs w:val="21"/>
              </w:rPr>
              <w:t>600</w:t>
            </w:r>
          </w:p>
        </w:tc>
        <w:tc>
          <w:tcPr>
            <w:tcW w:w="720" w:type="dxa"/>
            <w:tcBorders>
              <w:top w:val="nil"/>
              <w:left w:val="nil"/>
              <w:bottom w:val="nil"/>
              <w:right w:val="nil"/>
            </w:tcBorders>
            <w:tcMar>
              <w:left w:w="58" w:type="dxa"/>
              <w:right w:w="58" w:type="dxa"/>
            </w:tcMar>
            <w:vAlign w:val="bottom"/>
          </w:tcPr>
          <w:p w14:paraId="67BB11B0" w14:textId="6EBB83D0" w:rsidR="002E1DAE" w:rsidRPr="00FE3EAF" w:rsidRDefault="002E1DAE" w:rsidP="002E1DAE">
            <w:pPr>
              <w:spacing w:after="0" w:line="240" w:lineRule="auto"/>
              <w:jc w:val="right"/>
              <w:rPr>
                <w:rFonts w:eastAsia="Times New Roman"/>
                <w:sz w:val="21"/>
                <w:szCs w:val="21"/>
              </w:rPr>
            </w:pPr>
            <w:r w:rsidRPr="00FE3EAF">
              <w:rPr>
                <w:rFonts w:eastAsia="Times New Roman"/>
                <w:sz w:val="21"/>
                <w:szCs w:val="21"/>
              </w:rPr>
              <w:t>72.8</w:t>
            </w:r>
          </w:p>
        </w:tc>
        <w:tc>
          <w:tcPr>
            <w:tcW w:w="632" w:type="dxa"/>
            <w:tcBorders>
              <w:top w:val="nil"/>
              <w:left w:val="nil"/>
              <w:bottom w:val="nil"/>
              <w:right w:val="double" w:sz="4" w:space="0" w:color="auto"/>
            </w:tcBorders>
            <w:shd w:val="clear" w:color="auto" w:fill="auto"/>
            <w:tcMar>
              <w:left w:w="58" w:type="dxa"/>
              <w:right w:w="58" w:type="dxa"/>
            </w:tcMar>
            <w:vAlign w:val="bottom"/>
          </w:tcPr>
          <w:p w14:paraId="162A389C" w14:textId="230AEE3F" w:rsidR="002E1DAE" w:rsidRPr="00FE3EAF" w:rsidRDefault="00D17B54" w:rsidP="002E1DAE">
            <w:pPr>
              <w:spacing w:after="0" w:line="240" w:lineRule="auto"/>
              <w:jc w:val="right"/>
              <w:rPr>
                <w:rFonts w:eastAsia="Times New Roman"/>
                <w:sz w:val="21"/>
                <w:szCs w:val="21"/>
              </w:rPr>
            </w:pPr>
            <w:r>
              <w:rPr>
                <w:rFonts w:eastAsia="Times New Roman"/>
                <w:sz w:val="21"/>
                <w:szCs w:val="21"/>
              </w:rPr>
              <w:t>--</w:t>
            </w:r>
          </w:p>
        </w:tc>
      </w:tr>
      <w:tr w:rsidR="00E27267" w:rsidRPr="00FE3EAF" w14:paraId="14DA6651" w14:textId="77777777" w:rsidTr="00784D3F">
        <w:trPr>
          <w:gridAfter w:val="1"/>
          <w:wAfter w:w="1184" w:type="dxa"/>
          <w:trHeight w:val="20"/>
        </w:trPr>
        <w:tc>
          <w:tcPr>
            <w:tcW w:w="4769" w:type="dxa"/>
            <w:tcBorders>
              <w:left w:val="double" w:sz="6" w:space="0" w:color="auto"/>
              <w:bottom w:val="nil"/>
            </w:tcBorders>
            <w:shd w:val="clear" w:color="auto" w:fill="auto"/>
            <w:noWrap/>
            <w:tcMar>
              <w:left w:w="58" w:type="dxa"/>
              <w:right w:w="58" w:type="dxa"/>
            </w:tcMar>
            <w:vAlign w:val="center"/>
            <w:hideMark/>
          </w:tcPr>
          <w:p w14:paraId="2F55A071" w14:textId="77777777" w:rsidR="00E27267" w:rsidRPr="00FE3EAF" w:rsidRDefault="00E27267" w:rsidP="00E27267">
            <w:pPr>
              <w:spacing w:after="0" w:line="240" w:lineRule="auto"/>
              <w:jc w:val="left"/>
              <w:rPr>
                <w:rFonts w:eastAsia="Times New Roman"/>
                <w:b/>
                <w:bCs/>
                <w:sz w:val="21"/>
                <w:szCs w:val="21"/>
              </w:rPr>
            </w:pPr>
            <w:r w:rsidRPr="00FE3EAF">
              <w:rPr>
                <w:rFonts w:eastAsia="Calibri"/>
                <w:b/>
                <w:sz w:val="21"/>
                <w:szCs w:val="21"/>
              </w:rPr>
              <w:t xml:space="preserve"> Formal Education Level </w:t>
            </w:r>
          </w:p>
        </w:tc>
        <w:tc>
          <w:tcPr>
            <w:tcW w:w="720" w:type="dxa"/>
            <w:tcBorders>
              <w:left w:val="nil"/>
              <w:bottom w:val="nil"/>
              <w:right w:val="nil"/>
            </w:tcBorders>
            <w:shd w:val="clear" w:color="auto" w:fill="auto"/>
            <w:tcMar>
              <w:left w:w="58" w:type="dxa"/>
              <w:right w:w="58" w:type="dxa"/>
            </w:tcMar>
            <w:vAlign w:val="center"/>
          </w:tcPr>
          <w:p w14:paraId="02F8CA9F" w14:textId="77777777" w:rsidR="00E27267" w:rsidRPr="00FE3EAF" w:rsidRDefault="00E27267" w:rsidP="00E27267">
            <w:pPr>
              <w:spacing w:after="0" w:line="240" w:lineRule="auto"/>
              <w:jc w:val="right"/>
              <w:rPr>
                <w:rFonts w:eastAsia="Times New Roman"/>
                <w:b/>
                <w:bCs/>
                <w:sz w:val="21"/>
                <w:szCs w:val="21"/>
              </w:rPr>
            </w:pPr>
          </w:p>
        </w:tc>
        <w:tc>
          <w:tcPr>
            <w:tcW w:w="724" w:type="dxa"/>
            <w:tcBorders>
              <w:left w:val="nil"/>
              <w:bottom w:val="nil"/>
              <w:right w:val="nil"/>
            </w:tcBorders>
            <w:tcMar>
              <w:left w:w="58" w:type="dxa"/>
              <w:right w:w="58" w:type="dxa"/>
            </w:tcMar>
            <w:vAlign w:val="center"/>
          </w:tcPr>
          <w:p w14:paraId="6DF167CF" w14:textId="77777777" w:rsidR="00E27267" w:rsidRPr="00FE3EAF" w:rsidRDefault="00E27267" w:rsidP="00E27267">
            <w:pPr>
              <w:spacing w:after="0" w:line="240" w:lineRule="auto"/>
              <w:jc w:val="right"/>
              <w:rPr>
                <w:rFonts w:eastAsia="Times New Roman"/>
                <w:sz w:val="21"/>
                <w:szCs w:val="21"/>
              </w:rPr>
            </w:pPr>
          </w:p>
        </w:tc>
        <w:tc>
          <w:tcPr>
            <w:tcW w:w="716" w:type="dxa"/>
            <w:tcBorders>
              <w:left w:val="nil"/>
              <w:bottom w:val="nil"/>
              <w:right w:val="double" w:sz="6" w:space="0" w:color="auto"/>
            </w:tcBorders>
            <w:shd w:val="clear" w:color="auto" w:fill="auto"/>
            <w:noWrap/>
            <w:tcMar>
              <w:left w:w="58" w:type="dxa"/>
              <w:right w:w="58" w:type="dxa"/>
            </w:tcMar>
            <w:vAlign w:val="center"/>
          </w:tcPr>
          <w:p w14:paraId="1D81F8C0" w14:textId="0751F35A" w:rsidR="00E27267" w:rsidRPr="00FE3EAF" w:rsidRDefault="00E27267" w:rsidP="00E27267">
            <w:pPr>
              <w:spacing w:after="0" w:line="240" w:lineRule="auto"/>
              <w:jc w:val="right"/>
              <w:rPr>
                <w:rFonts w:eastAsia="Times New Roman"/>
                <w:sz w:val="21"/>
                <w:szCs w:val="21"/>
              </w:rPr>
            </w:pPr>
          </w:p>
        </w:tc>
        <w:tc>
          <w:tcPr>
            <w:tcW w:w="4409" w:type="dxa"/>
            <w:tcBorders>
              <w:left w:val="nil"/>
              <w:bottom w:val="double" w:sz="4" w:space="0" w:color="auto"/>
              <w:right w:val="nil"/>
            </w:tcBorders>
            <w:shd w:val="clear" w:color="auto" w:fill="auto"/>
            <w:noWrap/>
            <w:tcMar>
              <w:left w:w="58" w:type="dxa"/>
              <w:right w:w="58" w:type="dxa"/>
            </w:tcMar>
            <w:vAlign w:val="bottom"/>
          </w:tcPr>
          <w:p w14:paraId="1E30A011" w14:textId="77777777" w:rsidR="00E27267" w:rsidRPr="00FE3EAF" w:rsidRDefault="00E27267" w:rsidP="00E27267">
            <w:pPr>
              <w:spacing w:after="0" w:line="240" w:lineRule="auto"/>
              <w:jc w:val="left"/>
              <w:rPr>
                <w:rFonts w:eastAsia="Times New Roman"/>
                <w:sz w:val="21"/>
                <w:szCs w:val="21"/>
              </w:rPr>
            </w:pPr>
            <w:r w:rsidRPr="00FE3EAF">
              <w:rPr>
                <w:rFonts w:eastAsia="Times New Roman"/>
                <w:sz w:val="21"/>
                <w:szCs w:val="21"/>
              </w:rPr>
              <w:t xml:space="preserve"> No</w:t>
            </w:r>
          </w:p>
        </w:tc>
        <w:tc>
          <w:tcPr>
            <w:tcW w:w="720" w:type="dxa"/>
            <w:tcBorders>
              <w:top w:val="nil"/>
              <w:left w:val="nil"/>
              <w:bottom w:val="double" w:sz="4" w:space="0" w:color="auto"/>
              <w:right w:val="nil"/>
            </w:tcBorders>
            <w:shd w:val="clear" w:color="auto" w:fill="auto"/>
            <w:noWrap/>
            <w:tcMar>
              <w:left w:w="58" w:type="dxa"/>
              <w:right w:w="58" w:type="dxa"/>
            </w:tcMar>
            <w:vAlign w:val="bottom"/>
          </w:tcPr>
          <w:p w14:paraId="4A796D23" w14:textId="77777777" w:rsidR="00E27267" w:rsidRPr="00FE3EAF" w:rsidRDefault="00E27267" w:rsidP="00E27267">
            <w:pPr>
              <w:spacing w:after="0" w:line="240" w:lineRule="auto"/>
              <w:jc w:val="right"/>
              <w:rPr>
                <w:rFonts w:eastAsia="Times New Roman"/>
                <w:sz w:val="21"/>
                <w:szCs w:val="21"/>
              </w:rPr>
            </w:pPr>
            <w:r w:rsidRPr="00FE3EAF">
              <w:rPr>
                <w:rFonts w:eastAsia="Times New Roman"/>
                <w:sz w:val="21"/>
                <w:szCs w:val="21"/>
              </w:rPr>
              <w:t>224</w:t>
            </w:r>
          </w:p>
        </w:tc>
        <w:tc>
          <w:tcPr>
            <w:tcW w:w="720" w:type="dxa"/>
            <w:tcBorders>
              <w:top w:val="nil"/>
              <w:left w:val="nil"/>
              <w:bottom w:val="double" w:sz="4" w:space="0" w:color="auto"/>
              <w:right w:val="nil"/>
            </w:tcBorders>
            <w:tcMar>
              <w:left w:w="58" w:type="dxa"/>
              <w:right w:w="58" w:type="dxa"/>
            </w:tcMar>
            <w:vAlign w:val="bottom"/>
          </w:tcPr>
          <w:p w14:paraId="0C35D974" w14:textId="2ABCA745" w:rsidR="00E27267" w:rsidRPr="00FE3EAF" w:rsidRDefault="00E27267" w:rsidP="00E27267">
            <w:pPr>
              <w:spacing w:after="0" w:line="240" w:lineRule="auto"/>
              <w:jc w:val="right"/>
              <w:rPr>
                <w:rFonts w:eastAsia="Times New Roman"/>
                <w:sz w:val="21"/>
                <w:szCs w:val="21"/>
              </w:rPr>
            </w:pPr>
            <w:r w:rsidRPr="00FE3EAF">
              <w:rPr>
                <w:rFonts w:eastAsia="Times New Roman"/>
                <w:sz w:val="21"/>
                <w:szCs w:val="21"/>
              </w:rPr>
              <w:t>27.2</w:t>
            </w:r>
          </w:p>
        </w:tc>
        <w:tc>
          <w:tcPr>
            <w:tcW w:w="632" w:type="dxa"/>
            <w:tcBorders>
              <w:top w:val="nil"/>
              <w:left w:val="nil"/>
              <w:bottom w:val="double" w:sz="4" w:space="0" w:color="auto"/>
              <w:right w:val="double" w:sz="4" w:space="0" w:color="auto"/>
            </w:tcBorders>
            <w:shd w:val="clear" w:color="auto" w:fill="auto"/>
            <w:noWrap/>
            <w:tcMar>
              <w:left w:w="58" w:type="dxa"/>
              <w:right w:w="58" w:type="dxa"/>
            </w:tcMar>
            <w:vAlign w:val="bottom"/>
          </w:tcPr>
          <w:p w14:paraId="2F5CC410" w14:textId="7562A91F" w:rsidR="00E27267" w:rsidRPr="00FE3EAF" w:rsidRDefault="00D17B54" w:rsidP="00E27267">
            <w:pPr>
              <w:spacing w:after="0" w:line="240" w:lineRule="auto"/>
              <w:jc w:val="right"/>
              <w:rPr>
                <w:rFonts w:eastAsia="Times New Roman"/>
                <w:sz w:val="21"/>
                <w:szCs w:val="21"/>
              </w:rPr>
            </w:pPr>
            <w:r>
              <w:rPr>
                <w:rFonts w:eastAsia="Times New Roman"/>
                <w:sz w:val="21"/>
                <w:szCs w:val="21"/>
              </w:rPr>
              <w:t>--</w:t>
            </w:r>
          </w:p>
        </w:tc>
      </w:tr>
      <w:tr w:rsidR="00E27267" w:rsidRPr="00FE3EAF" w14:paraId="5B25F6CB" w14:textId="77777777" w:rsidTr="00784D3F">
        <w:trPr>
          <w:gridAfter w:val="1"/>
          <w:wAfter w:w="1184" w:type="dxa"/>
          <w:trHeight w:val="20"/>
        </w:trPr>
        <w:tc>
          <w:tcPr>
            <w:tcW w:w="4769" w:type="dxa"/>
            <w:tcBorders>
              <w:left w:val="double" w:sz="6" w:space="0" w:color="auto"/>
              <w:bottom w:val="nil"/>
            </w:tcBorders>
            <w:shd w:val="clear" w:color="auto" w:fill="auto"/>
            <w:noWrap/>
            <w:tcMar>
              <w:left w:w="58" w:type="dxa"/>
              <w:right w:w="58" w:type="dxa"/>
            </w:tcMar>
            <w:vAlign w:val="center"/>
          </w:tcPr>
          <w:p w14:paraId="1993F65D" w14:textId="77777777" w:rsidR="00E27267" w:rsidRPr="00FE3EAF" w:rsidRDefault="00E27267" w:rsidP="00E27267">
            <w:pPr>
              <w:spacing w:after="0" w:line="240" w:lineRule="auto"/>
              <w:jc w:val="left"/>
              <w:rPr>
                <w:rFonts w:eastAsia="Times New Roman"/>
                <w:i/>
                <w:iCs/>
                <w:sz w:val="21"/>
                <w:szCs w:val="21"/>
              </w:rPr>
            </w:pPr>
            <w:bookmarkStart w:id="61" w:name="_Hlk136704593"/>
            <w:r w:rsidRPr="00FE3EAF">
              <w:rPr>
                <w:rFonts w:eastAsia="Calibri"/>
                <w:sz w:val="21"/>
                <w:szCs w:val="21"/>
              </w:rPr>
              <w:t xml:space="preserve"> Less than a Bachelor’s degree</w:t>
            </w:r>
          </w:p>
        </w:tc>
        <w:tc>
          <w:tcPr>
            <w:tcW w:w="720" w:type="dxa"/>
            <w:tcBorders>
              <w:left w:val="nil"/>
              <w:bottom w:val="nil"/>
              <w:right w:val="nil"/>
            </w:tcBorders>
            <w:shd w:val="clear" w:color="auto" w:fill="auto"/>
            <w:tcMar>
              <w:left w:w="58" w:type="dxa"/>
              <w:right w:w="58" w:type="dxa"/>
            </w:tcMar>
            <w:vAlign w:val="center"/>
          </w:tcPr>
          <w:p w14:paraId="5C5F0575" w14:textId="77777777" w:rsidR="00E27267" w:rsidRPr="00FE3EAF" w:rsidRDefault="00E27267" w:rsidP="00E27267">
            <w:pPr>
              <w:spacing w:after="0" w:line="240" w:lineRule="auto"/>
              <w:jc w:val="right"/>
              <w:rPr>
                <w:rFonts w:eastAsia="Times New Roman"/>
                <w:sz w:val="21"/>
                <w:szCs w:val="21"/>
              </w:rPr>
            </w:pPr>
            <w:r w:rsidRPr="00FE3EAF">
              <w:rPr>
                <w:rFonts w:eastAsia="Times New Roman"/>
                <w:sz w:val="21"/>
                <w:szCs w:val="21"/>
              </w:rPr>
              <w:t>133</w:t>
            </w:r>
          </w:p>
        </w:tc>
        <w:tc>
          <w:tcPr>
            <w:tcW w:w="724" w:type="dxa"/>
            <w:tcBorders>
              <w:left w:val="nil"/>
              <w:bottom w:val="nil"/>
              <w:right w:val="nil"/>
            </w:tcBorders>
            <w:tcMar>
              <w:left w:w="58" w:type="dxa"/>
              <w:right w:w="58" w:type="dxa"/>
            </w:tcMar>
            <w:vAlign w:val="center"/>
          </w:tcPr>
          <w:p w14:paraId="64D7CEE8" w14:textId="48B8E8E5" w:rsidR="00E27267" w:rsidRPr="00FE3EAF" w:rsidRDefault="00E27267" w:rsidP="00E27267">
            <w:pPr>
              <w:spacing w:after="0" w:line="240" w:lineRule="auto"/>
              <w:jc w:val="right"/>
              <w:rPr>
                <w:rFonts w:eastAsia="Times New Roman"/>
                <w:sz w:val="21"/>
                <w:szCs w:val="21"/>
              </w:rPr>
            </w:pPr>
            <w:r w:rsidRPr="00FE3EAF">
              <w:rPr>
                <w:rFonts w:eastAsia="Times New Roman"/>
                <w:sz w:val="21"/>
                <w:szCs w:val="21"/>
              </w:rPr>
              <w:t>16.1</w:t>
            </w:r>
          </w:p>
        </w:tc>
        <w:tc>
          <w:tcPr>
            <w:tcW w:w="716" w:type="dxa"/>
            <w:tcBorders>
              <w:left w:val="nil"/>
              <w:bottom w:val="nil"/>
              <w:right w:val="double" w:sz="6" w:space="0" w:color="auto"/>
            </w:tcBorders>
            <w:shd w:val="clear" w:color="auto" w:fill="auto"/>
            <w:noWrap/>
            <w:tcMar>
              <w:left w:w="58" w:type="dxa"/>
              <w:right w:w="58" w:type="dxa"/>
            </w:tcMar>
            <w:vAlign w:val="center"/>
          </w:tcPr>
          <w:p w14:paraId="446131C5" w14:textId="1B6CACA4" w:rsidR="00E27267" w:rsidRPr="00FE3EAF" w:rsidRDefault="00D17B54" w:rsidP="00E27267">
            <w:pPr>
              <w:spacing w:after="0" w:line="240" w:lineRule="auto"/>
              <w:jc w:val="right"/>
              <w:rPr>
                <w:rFonts w:eastAsia="Times New Roman"/>
                <w:sz w:val="21"/>
                <w:szCs w:val="21"/>
              </w:rPr>
            </w:pPr>
            <w:r>
              <w:rPr>
                <w:rFonts w:eastAsia="Times New Roman"/>
                <w:sz w:val="21"/>
                <w:szCs w:val="21"/>
              </w:rPr>
              <w:t>--</w:t>
            </w:r>
          </w:p>
        </w:tc>
        <w:tc>
          <w:tcPr>
            <w:tcW w:w="4409" w:type="dxa"/>
            <w:tcBorders>
              <w:top w:val="double" w:sz="4" w:space="0" w:color="auto"/>
              <w:left w:val="nil"/>
              <w:bottom w:val="nil"/>
              <w:right w:val="nil"/>
            </w:tcBorders>
            <w:shd w:val="clear" w:color="auto" w:fill="auto"/>
            <w:noWrap/>
            <w:tcMar>
              <w:left w:w="58" w:type="dxa"/>
              <w:right w:w="58" w:type="dxa"/>
            </w:tcMar>
            <w:vAlign w:val="center"/>
          </w:tcPr>
          <w:p w14:paraId="5FBF2B5B" w14:textId="77777777" w:rsidR="00E27267" w:rsidRPr="00FE3EAF" w:rsidRDefault="00E27267" w:rsidP="00E27267">
            <w:pPr>
              <w:spacing w:after="0" w:line="240" w:lineRule="auto"/>
              <w:jc w:val="left"/>
              <w:rPr>
                <w:rFonts w:eastAsia="Times New Roman"/>
                <w:sz w:val="21"/>
                <w:szCs w:val="21"/>
              </w:rPr>
            </w:pPr>
            <w:r w:rsidRPr="00FE3EAF">
              <w:rPr>
                <w:rFonts w:eastAsia="Times New Roman"/>
                <w:i/>
                <w:iCs/>
                <w:sz w:val="21"/>
                <w:szCs w:val="21"/>
              </w:rPr>
              <w:t>Employment Characteristics</w:t>
            </w:r>
          </w:p>
        </w:tc>
        <w:tc>
          <w:tcPr>
            <w:tcW w:w="720" w:type="dxa"/>
            <w:tcBorders>
              <w:top w:val="double" w:sz="4" w:space="0" w:color="auto"/>
              <w:left w:val="nil"/>
              <w:bottom w:val="nil"/>
              <w:right w:val="nil"/>
            </w:tcBorders>
            <w:shd w:val="clear" w:color="auto" w:fill="auto"/>
            <w:noWrap/>
            <w:tcMar>
              <w:left w:w="58" w:type="dxa"/>
              <w:right w:w="58" w:type="dxa"/>
            </w:tcMar>
            <w:vAlign w:val="center"/>
          </w:tcPr>
          <w:p w14:paraId="43EF2544" w14:textId="77777777" w:rsidR="00E27267" w:rsidRPr="00FE3EAF" w:rsidRDefault="00E27267" w:rsidP="00E27267">
            <w:pPr>
              <w:spacing w:after="0" w:line="240" w:lineRule="auto"/>
              <w:jc w:val="right"/>
              <w:rPr>
                <w:rFonts w:eastAsia="Times New Roman"/>
                <w:sz w:val="21"/>
                <w:szCs w:val="21"/>
              </w:rPr>
            </w:pPr>
          </w:p>
        </w:tc>
        <w:tc>
          <w:tcPr>
            <w:tcW w:w="720" w:type="dxa"/>
            <w:tcBorders>
              <w:top w:val="double" w:sz="4" w:space="0" w:color="auto"/>
              <w:left w:val="nil"/>
              <w:bottom w:val="nil"/>
              <w:right w:val="nil"/>
            </w:tcBorders>
            <w:tcMar>
              <w:left w:w="58" w:type="dxa"/>
              <w:right w:w="58" w:type="dxa"/>
            </w:tcMar>
            <w:vAlign w:val="center"/>
          </w:tcPr>
          <w:p w14:paraId="2AEE9E19" w14:textId="77777777" w:rsidR="00E27267" w:rsidRPr="00FE3EAF" w:rsidRDefault="00E27267" w:rsidP="00E27267">
            <w:pPr>
              <w:spacing w:after="0" w:line="240" w:lineRule="auto"/>
              <w:jc w:val="right"/>
              <w:rPr>
                <w:rFonts w:eastAsia="Times New Roman"/>
                <w:sz w:val="21"/>
                <w:szCs w:val="21"/>
              </w:rPr>
            </w:pPr>
          </w:p>
        </w:tc>
        <w:tc>
          <w:tcPr>
            <w:tcW w:w="632" w:type="dxa"/>
            <w:tcBorders>
              <w:top w:val="double" w:sz="4" w:space="0" w:color="auto"/>
              <w:left w:val="nil"/>
              <w:bottom w:val="nil"/>
              <w:right w:val="double" w:sz="4" w:space="0" w:color="auto"/>
            </w:tcBorders>
            <w:shd w:val="clear" w:color="auto" w:fill="auto"/>
            <w:noWrap/>
            <w:tcMar>
              <w:left w:w="58" w:type="dxa"/>
              <w:right w:w="58" w:type="dxa"/>
            </w:tcMar>
            <w:vAlign w:val="center"/>
          </w:tcPr>
          <w:p w14:paraId="48756810" w14:textId="08E3EC58" w:rsidR="00E27267" w:rsidRPr="00FE3EAF" w:rsidRDefault="00E27267" w:rsidP="00E27267">
            <w:pPr>
              <w:spacing w:after="0" w:line="240" w:lineRule="auto"/>
              <w:jc w:val="right"/>
              <w:rPr>
                <w:rFonts w:eastAsia="Times New Roman"/>
                <w:sz w:val="21"/>
                <w:szCs w:val="21"/>
              </w:rPr>
            </w:pPr>
          </w:p>
        </w:tc>
      </w:tr>
      <w:tr w:rsidR="00E27267" w:rsidRPr="00FE3EAF" w14:paraId="2A273B47" w14:textId="77777777" w:rsidTr="00784D3F">
        <w:trPr>
          <w:gridAfter w:val="1"/>
          <w:wAfter w:w="1184" w:type="dxa"/>
          <w:trHeight w:val="20"/>
        </w:trPr>
        <w:tc>
          <w:tcPr>
            <w:tcW w:w="4769" w:type="dxa"/>
            <w:tcBorders>
              <w:left w:val="double" w:sz="6" w:space="0" w:color="auto"/>
              <w:bottom w:val="nil"/>
            </w:tcBorders>
            <w:shd w:val="clear" w:color="auto" w:fill="auto"/>
            <w:noWrap/>
            <w:tcMar>
              <w:left w:w="58" w:type="dxa"/>
              <w:right w:w="58" w:type="dxa"/>
            </w:tcMar>
            <w:vAlign w:val="center"/>
          </w:tcPr>
          <w:p w14:paraId="5A79A070" w14:textId="77777777" w:rsidR="00E27267" w:rsidRPr="00FE3EAF" w:rsidRDefault="00E27267" w:rsidP="00E27267">
            <w:pPr>
              <w:spacing w:after="0" w:line="240" w:lineRule="auto"/>
              <w:jc w:val="left"/>
              <w:rPr>
                <w:rFonts w:eastAsia="Times New Roman"/>
                <w:i/>
                <w:iCs/>
                <w:sz w:val="21"/>
                <w:szCs w:val="21"/>
              </w:rPr>
            </w:pPr>
            <w:r w:rsidRPr="00FE3EAF">
              <w:rPr>
                <w:rFonts w:eastAsia="Calibri"/>
                <w:i/>
                <w:sz w:val="21"/>
                <w:szCs w:val="21"/>
              </w:rPr>
              <w:t xml:space="preserve"> </w:t>
            </w:r>
            <w:r w:rsidRPr="00FE3EAF">
              <w:rPr>
                <w:rFonts w:eastAsia="Calibri"/>
                <w:sz w:val="21"/>
                <w:szCs w:val="21"/>
              </w:rPr>
              <w:t>Bachelor’s degree</w:t>
            </w:r>
          </w:p>
        </w:tc>
        <w:tc>
          <w:tcPr>
            <w:tcW w:w="720" w:type="dxa"/>
            <w:tcBorders>
              <w:left w:val="nil"/>
              <w:bottom w:val="nil"/>
              <w:right w:val="nil"/>
            </w:tcBorders>
            <w:shd w:val="clear" w:color="auto" w:fill="auto"/>
            <w:tcMar>
              <w:left w:w="58" w:type="dxa"/>
              <w:right w:w="58" w:type="dxa"/>
            </w:tcMar>
            <w:vAlign w:val="center"/>
          </w:tcPr>
          <w:p w14:paraId="070CC899" w14:textId="77777777" w:rsidR="00E27267" w:rsidRPr="00FE3EAF" w:rsidRDefault="00E27267" w:rsidP="00E27267">
            <w:pPr>
              <w:spacing w:after="0" w:line="240" w:lineRule="auto"/>
              <w:jc w:val="right"/>
              <w:rPr>
                <w:rFonts w:eastAsia="Times New Roman"/>
                <w:sz w:val="21"/>
                <w:szCs w:val="21"/>
              </w:rPr>
            </w:pPr>
            <w:r w:rsidRPr="00FE3EAF">
              <w:rPr>
                <w:rFonts w:eastAsia="Times New Roman"/>
                <w:sz w:val="21"/>
                <w:szCs w:val="21"/>
              </w:rPr>
              <w:t>290</w:t>
            </w:r>
          </w:p>
        </w:tc>
        <w:tc>
          <w:tcPr>
            <w:tcW w:w="724" w:type="dxa"/>
            <w:tcBorders>
              <w:left w:val="nil"/>
              <w:bottom w:val="nil"/>
              <w:right w:val="nil"/>
            </w:tcBorders>
            <w:tcMar>
              <w:left w:w="58" w:type="dxa"/>
              <w:right w:w="58" w:type="dxa"/>
            </w:tcMar>
            <w:vAlign w:val="center"/>
          </w:tcPr>
          <w:p w14:paraId="446340DE" w14:textId="78CB810A" w:rsidR="00E27267" w:rsidRPr="00FE3EAF" w:rsidRDefault="00E27267" w:rsidP="00E27267">
            <w:pPr>
              <w:spacing w:after="0" w:line="240" w:lineRule="auto"/>
              <w:jc w:val="right"/>
              <w:rPr>
                <w:rFonts w:eastAsia="Calibri"/>
                <w:sz w:val="21"/>
                <w:szCs w:val="21"/>
              </w:rPr>
            </w:pPr>
            <w:r w:rsidRPr="00FE3EAF">
              <w:rPr>
                <w:rFonts w:eastAsia="Calibri"/>
                <w:sz w:val="21"/>
                <w:szCs w:val="21"/>
              </w:rPr>
              <w:t>35.2</w:t>
            </w:r>
          </w:p>
        </w:tc>
        <w:tc>
          <w:tcPr>
            <w:tcW w:w="716" w:type="dxa"/>
            <w:tcBorders>
              <w:left w:val="nil"/>
              <w:bottom w:val="nil"/>
              <w:right w:val="double" w:sz="6" w:space="0" w:color="auto"/>
            </w:tcBorders>
            <w:shd w:val="clear" w:color="auto" w:fill="auto"/>
            <w:noWrap/>
            <w:tcMar>
              <w:left w:w="58" w:type="dxa"/>
              <w:right w:w="58" w:type="dxa"/>
            </w:tcMar>
            <w:vAlign w:val="center"/>
          </w:tcPr>
          <w:p w14:paraId="10785C3E" w14:textId="3327CC6C" w:rsidR="00E27267" w:rsidRPr="00FE3EAF" w:rsidRDefault="00D17B54" w:rsidP="00E27267">
            <w:pPr>
              <w:spacing w:after="0" w:line="240" w:lineRule="auto"/>
              <w:jc w:val="right"/>
              <w:rPr>
                <w:rFonts w:eastAsia="Times New Roman"/>
                <w:sz w:val="21"/>
                <w:szCs w:val="21"/>
              </w:rPr>
            </w:pPr>
            <w:r>
              <w:rPr>
                <w:rFonts w:eastAsia="Calibri"/>
                <w:sz w:val="21"/>
                <w:szCs w:val="21"/>
              </w:rPr>
              <w:t>--</w:t>
            </w:r>
          </w:p>
        </w:tc>
        <w:tc>
          <w:tcPr>
            <w:tcW w:w="4409" w:type="dxa"/>
            <w:tcBorders>
              <w:top w:val="nil"/>
              <w:left w:val="nil"/>
              <w:right w:val="nil"/>
            </w:tcBorders>
            <w:shd w:val="clear" w:color="auto" w:fill="auto"/>
            <w:noWrap/>
            <w:tcMar>
              <w:left w:w="58" w:type="dxa"/>
              <w:right w:w="58" w:type="dxa"/>
            </w:tcMar>
            <w:vAlign w:val="bottom"/>
          </w:tcPr>
          <w:p w14:paraId="74777503" w14:textId="0ED396FA" w:rsidR="00E27267" w:rsidRPr="00FE3EAF" w:rsidRDefault="002E1DAE" w:rsidP="00E27267">
            <w:pPr>
              <w:spacing w:after="0" w:line="240" w:lineRule="auto"/>
              <w:jc w:val="left"/>
              <w:rPr>
                <w:rFonts w:eastAsia="Times New Roman"/>
                <w:sz w:val="21"/>
                <w:szCs w:val="21"/>
              </w:rPr>
            </w:pPr>
            <w:r>
              <w:rPr>
                <w:rFonts w:eastAsia="Times New Roman"/>
                <w:b/>
                <w:bCs/>
                <w:sz w:val="21"/>
                <w:szCs w:val="21"/>
              </w:rPr>
              <w:t xml:space="preserve"> </w:t>
            </w:r>
            <w:r w:rsidR="00E27267" w:rsidRPr="00FE3EAF">
              <w:rPr>
                <w:rFonts w:eastAsia="Times New Roman"/>
                <w:b/>
                <w:bCs/>
                <w:sz w:val="21"/>
                <w:szCs w:val="21"/>
              </w:rPr>
              <w:t>Office Density Type</w:t>
            </w:r>
          </w:p>
        </w:tc>
        <w:tc>
          <w:tcPr>
            <w:tcW w:w="720" w:type="dxa"/>
            <w:tcBorders>
              <w:top w:val="nil"/>
              <w:left w:val="nil"/>
              <w:right w:val="nil"/>
            </w:tcBorders>
            <w:shd w:val="clear" w:color="auto" w:fill="auto"/>
            <w:noWrap/>
            <w:tcMar>
              <w:left w:w="58" w:type="dxa"/>
              <w:right w:w="58" w:type="dxa"/>
            </w:tcMar>
            <w:vAlign w:val="bottom"/>
          </w:tcPr>
          <w:p w14:paraId="25D0E0AA" w14:textId="77777777" w:rsidR="00E27267" w:rsidRPr="00FE3EAF" w:rsidRDefault="00E27267" w:rsidP="00E27267">
            <w:pPr>
              <w:spacing w:after="0" w:line="240" w:lineRule="auto"/>
              <w:jc w:val="right"/>
              <w:rPr>
                <w:rFonts w:eastAsia="Times New Roman"/>
                <w:sz w:val="21"/>
                <w:szCs w:val="21"/>
              </w:rPr>
            </w:pPr>
          </w:p>
        </w:tc>
        <w:tc>
          <w:tcPr>
            <w:tcW w:w="720" w:type="dxa"/>
            <w:tcBorders>
              <w:top w:val="nil"/>
              <w:left w:val="nil"/>
              <w:right w:val="nil"/>
            </w:tcBorders>
            <w:tcMar>
              <w:left w:w="58" w:type="dxa"/>
              <w:right w:w="58" w:type="dxa"/>
            </w:tcMar>
            <w:vAlign w:val="bottom"/>
          </w:tcPr>
          <w:p w14:paraId="2601755A" w14:textId="77777777" w:rsidR="00E27267" w:rsidRPr="00FE3EAF" w:rsidRDefault="00E27267" w:rsidP="00E27267">
            <w:pPr>
              <w:spacing w:after="0" w:line="240" w:lineRule="auto"/>
              <w:jc w:val="right"/>
              <w:rPr>
                <w:rFonts w:eastAsia="Times New Roman"/>
                <w:sz w:val="21"/>
                <w:szCs w:val="21"/>
              </w:rPr>
            </w:pPr>
          </w:p>
        </w:tc>
        <w:tc>
          <w:tcPr>
            <w:tcW w:w="632" w:type="dxa"/>
            <w:tcBorders>
              <w:top w:val="nil"/>
              <w:left w:val="nil"/>
              <w:right w:val="double" w:sz="4" w:space="0" w:color="auto"/>
            </w:tcBorders>
            <w:shd w:val="clear" w:color="auto" w:fill="auto"/>
            <w:noWrap/>
            <w:tcMar>
              <w:left w:w="58" w:type="dxa"/>
              <w:right w:w="58" w:type="dxa"/>
            </w:tcMar>
            <w:vAlign w:val="bottom"/>
          </w:tcPr>
          <w:p w14:paraId="594794E0" w14:textId="1F33EC6B" w:rsidR="00E27267" w:rsidRPr="00FE3EAF" w:rsidRDefault="00E27267" w:rsidP="00E27267">
            <w:pPr>
              <w:spacing w:after="0" w:line="240" w:lineRule="auto"/>
              <w:jc w:val="right"/>
              <w:rPr>
                <w:rFonts w:eastAsia="Times New Roman"/>
                <w:sz w:val="21"/>
                <w:szCs w:val="21"/>
              </w:rPr>
            </w:pPr>
          </w:p>
        </w:tc>
      </w:tr>
      <w:tr w:rsidR="00E27267" w:rsidRPr="00FE3EAF" w14:paraId="0614C68B" w14:textId="77777777" w:rsidTr="00784D3F">
        <w:trPr>
          <w:gridAfter w:val="1"/>
          <w:wAfter w:w="1184" w:type="dxa"/>
          <w:trHeight w:val="20"/>
        </w:trPr>
        <w:tc>
          <w:tcPr>
            <w:tcW w:w="4769" w:type="dxa"/>
            <w:tcBorders>
              <w:left w:val="double" w:sz="6" w:space="0" w:color="auto"/>
              <w:bottom w:val="double" w:sz="4" w:space="0" w:color="auto"/>
            </w:tcBorders>
            <w:shd w:val="clear" w:color="auto" w:fill="auto"/>
            <w:noWrap/>
            <w:tcMar>
              <w:left w:w="58" w:type="dxa"/>
              <w:right w:w="58" w:type="dxa"/>
            </w:tcMar>
            <w:vAlign w:val="center"/>
          </w:tcPr>
          <w:p w14:paraId="3E19EDD5" w14:textId="77777777" w:rsidR="00E27267" w:rsidRPr="00FE3EAF" w:rsidRDefault="00E27267" w:rsidP="00E27267">
            <w:pPr>
              <w:spacing w:after="0" w:line="240" w:lineRule="auto"/>
              <w:jc w:val="left"/>
              <w:rPr>
                <w:rFonts w:eastAsia="Times New Roman"/>
                <w:i/>
                <w:iCs/>
                <w:sz w:val="21"/>
                <w:szCs w:val="21"/>
              </w:rPr>
            </w:pPr>
            <w:r w:rsidRPr="00FE3EAF">
              <w:rPr>
                <w:rFonts w:eastAsia="Calibri"/>
                <w:sz w:val="21"/>
                <w:szCs w:val="21"/>
              </w:rPr>
              <w:t xml:space="preserve"> Graduate degree</w:t>
            </w:r>
          </w:p>
        </w:tc>
        <w:tc>
          <w:tcPr>
            <w:tcW w:w="720" w:type="dxa"/>
            <w:tcBorders>
              <w:left w:val="nil"/>
              <w:bottom w:val="double" w:sz="4" w:space="0" w:color="auto"/>
              <w:right w:val="nil"/>
            </w:tcBorders>
            <w:shd w:val="clear" w:color="auto" w:fill="auto"/>
            <w:tcMar>
              <w:left w:w="58" w:type="dxa"/>
              <w:right w:w="58" w:type="dxa"/>
            </w:tcMar>
            <w:vAlign w:val="center"/>
          </w:tcPr>
          <w:p w14:paraId="03C5D275" w14:textId="77777777" w:rsidR="00E27267" w:rsidRPr="00FE3EAF" w:rsidRDefault="00E27267" w:rsidP="00E27267">
            <w:pPr>
              <w:spacing w:after="0" w:line="240" w:lineRule="auto"/>
              <w:jc w:val="right"/>
              <w:rPr>
                <w:rFonts w:eastAsia="Times New Roman"/>
                <w:sz w:val="21"/>
                <w:szCs w:val="21"/>
              </w:rPr>
            </w:pPr>
            <w:r w:rsidRPr="00FE3EAF">
              <w:rPr>
                <w:rFonts w:eastAsia="Times New Roman"/>
                <w:sz w:val="21"/>
                <w:szCs w:val="21"/>
              </w:rPr>
              <w:t>401</w:t>
            </w:r>
          </w:p>
        </w:tc>
        <w:tc>
          <w:tcPr>
            <w:tcW w:w="724" w:type="dxa"/>
            <w:tcBorders>
              <w:left w:val="nil"/>
              <w:bottom w:val="double" w:sz="4" w:space="0" w:color="auto"/>
              <w:right w:val="nil"/>
            </w:tcBorders>
            <w:tcMar>
              <w:left w:w="58" w:type="dxa"/>
              <w:right w:w="58" w:type="dxa"/>
            </w:tcMar>
            <w:vAlign w:val="center"/>
          </w:tcPr>
          <w:p w14:paraId="0A1A6340" w14:textId="32225365" w:rsidR="00E27267" w:rsidRPr="00FE3EAF" w:rsidRDefault="00E27267" w:rsidP="00E27267">
            <w:pPr>
              <w:spacing w:after="0" w:line="240" w:lineRule="auto"/>
              <w:jc w:val="right"/>
              <w:rPr>
                <w:rFonts w:eastAsia="Times New Roman"/>
                <w:sz w:val="21"/>
                <w:szCs w:val="21"/>
              </w:rPr>
            </w:pPr>
            <w:r w:rsidRPr="00FE3EAF">
              <w:rPr>
                <w:rFonts w:eastAsia="Times New Roman"/>
                <w:sz w:val="21"/>
                <w:szCs w:val="21"/>
              </w:rPr>
              <w:t>48.7</w:t>
            </w:r>
          </w:p>
        </w:tc>
        <w:tc>
          <w:tcPr>
            <w:tcW w:w="716" w:type="dxa"/>
            <w:tcBorders>
              <w:left w:val="nil"/>
              <w:bottom w:val="double" w:sz="4" w:space="0" w:color="auto"/>
              <w:right w:val="double" w:sz="6" w:space="0" w:color="auto"/>
            </w:tcBorders>
            <w:shd w:val="clear" w:color="auto" w:fill="auto"/>
            <w:noWrap/>
            <w:tcMar>
              <w:left w:w="58" w:type="dxa"/>
              <w:right w:w="58" w:type="dxa"/>
            </w:tcMar>
            <w:vAlign w:val="center"/>
          </w:tcPr>
          <w:p w14:paraId="57279052" w14:textId="7E7E864E" w:rsidR="00E27267" w:rsidRPr="00FE3EAF" w:rsidRDefault="00D17B54" w:rsidP="00E27267">
            <w:pPr>
              <w:spacing w:after="0" w:line="240" w:lineRule="auto"/>
              <w:jc w:val="right"/>
              <w:rPr>
                <w:rFonts w:eastAsia="Times New Roman"/>
                <w:sz w:val="21"/>
                <w:szCs w:val="21"/>
              </w:rPr>
            </w:pPr>
            <w:r>
              <w:rPr>
                <w:rFonts w:eastAsia="Times New Roman"/>
                <w:sz w:val="21"/>
                <w:szCs w:val="21"/>
              </w:rPr>
              <w:t>--</w:t>
            </w:r>
          </w:p>
        </w:tc>
        <w:tc>
          <w:tcPr>
            <w:tcW w:w="4409" w:type="dxa"/>
            <w:tcBorders>
              <w:left w:val="nil"/>
              <w:bottom w:val="nil"/>
              <w:right w:val="nil"/>
            </w:tcBorders>
            <w:shd w:val="clear" w:color="auto" w:fill="auto"/>
            <w:noWrap/>
            <w:tcMar>
              <w:left w:w="58" w:type="dxa"/>
              <w:right w:w="58" w:type="dxa"/>
            </w:tcMar>
            <w:vAlign w:val="bottom"/>
          </w:tcPr>
          <w:p w14:paraId="23D86E03" w14:textId="77777777" w:rsidR="00E27267" w:rsidRPr="00FE3EAF" w:rsidRDefault="00E27267" w:rsidP="00E27267">
            <w:pPr>
              <w:spacing w:after="0" w:line="240" w:lineRule="auto"/>
              <w:jc w:val="left"/>
              <w:rPr>
                <w:rFonts w:eastAsia="Times New Roman"/>
                <w:sz w:val="21"/>
                <w:szCs w:val="21"/>
              </w:rPr>
            </w:pPr>
            <w:r w:rsidRPr="00FE3EAF">
              <w:rPr>
                <w:rFonts w:eastAsia="Times New Roman"/>
                <w:sz w:val="21"/>
                <w:szCs w:val="21"/>
              </w:rPr>
              <w:t xml:space="preserve"> Low</w:t>
            </w:r>
          </w:p>
        </w:tc>
        <w:tc>
          <w:tcPr>
            <w:tcW w:w="720" w:type="dxa"/>
            <w:tcBorders>
              <w:left w:val="nil"/>
              <w:bottom w:val="nil"/>
              <w:right w:val="nil"/>
            </w:tcBorders>
            <w:shd w:val="clear" w:color="auto" w:fill="auto"/>
            <w:noWrap/>
            <w:tcMar>
              <w:left w:w="58" w:type="dxa"/>
              <w:right w:w="58" w:type="dxa"/>
            </w:tcMar>
            <w:vAlign w:val="bottom"/>
          </w:tcPr>
          <w:p w14:paraId="410122DC" w14:textId="77777777" w:rsidR="00E27267" w:rsidRPr="00FE3EAF" w:rsidRDefault="00E27267" w:rsidP="00E27267">
            <w:pPr>
              <w:spacing w:after="0" w:line="240" w:lineRule="auto"/>
              <w:jc w:val="right"/>
              <w:rPr>
                <w:rFonts w:eastAsia="Times New Roman"/>
                <w:sz w:val="21"/>
                <w:szCs w:val="21"/>
              </w:rPr>
            </w:pPr>
            <w:r w:rsidRPr="00FE3EAF">
              <w:rPr>
                <w:rFonts w:eastAsia="Times New Roman"/>
                <w:sz w:val="21"/>
                <w:szCs w:val="21"/>
              </w:rPr>
              <w:t>193</w:t>
            </w:r>
          </w:p>
        </w:tc>
        <w:tc>
          <w:tcPr>
            <w:tcW w:w="720" w:type="dxa"/>
            <w:tcBorders>
              <w:left w:val="nil"/>
              <w:bottom w:val="nil"/>
              <w:right w:val="nil"/>
            </w:tcBorders>
            <w:tcMar>
              <w:left w:w="58" w:type="dxa"/>
              <w:right w:w="58" w:type="dxa"/>
            </w:tcMar>
            <w:vAlign w:val="bottom"/>
          </w:tcPr>
          <w:p w14:paraId="0F3C3421" w14:textId="2269BA57" w:rsidR="00E27267" w:rsidRPr="00FE3EAF" w:rsidRDefault="00E27267" w:rsidP="00E27267">
            <w:pPr>
              <w:spacing w:after="0" w:line="240" w:lineRule="auto"/>
              <w:jc w:val="right"/>
              <w:rPr>
                <w:rFonts w:eastAsia="Times New Roman"/>
                <w:sz w:val="21"/>
                <w:szCs w:val="21"/>
              </w:rPr>
            </w:pPr>
            <w:r w:rsidRPr="00FE3EAF">
              <w:rPr>
                <w:rFonts w:eastAsia="Times New Roman"/>
                <w:sz w:val="21"/>
                <w:szCs w:val="21"/>
              </w:rPr>
              <w:t>23.4</w:t>
            </w:r>
          </w:p>
        </w:tc>
        <w:tc>
          <w:tcPr>
            <w:tcW w:w="632" w:type="dxa"/>
            <w:tcBorders>
              <w:left w:val="nil"/>
              <w:bottom w:val="nil"/>
              <w:right w:val="double" w:sz="4" w:space="0" w:color="auto"/>
            </w:tcBorders>
            <w:shd w:val="clear" w:color="auto" w:fill="auto"/>
            <w:noWrap/>
            <w:tcMar>
              <w:left w:w="58" w:type="dxa"/>
              <w:right w:w="58" w:type="dxa"/>
            </w:tcMar>
            <w:vAlign w:val="bottom"/>
          </w:tcPr>
          <w:p w14:paraId="63A32D7B" w14:textId="56F3509A" w:rsidR="00E27267" w:rsidRPr="00FE3EAF" w:rsidRDefault="00D17B54" w:rsidP="00E27267">
            <w:pPr>
              <w:spacing w:after="0" w:line="240" w:lineRule="auto"/>
              <w:jc w:val="right"/>
              <w:rPr>
                <w:rFonts w:eastAsia="Times New Roman"/>
                <w:sz w:val="21"/>
                <w:szCs w:val="21"/>
              </w:rPr>
            </w:pPr>
            <w:r>
              <w:rPr>
                <w:rFonts w:eastAsia="Times New Roman"/>
                <w:sz w:val="21"/>
                <w:szCs w:val="21"/>
              </w:rPr>
              <w:t>--</w:t>
            </w:r>
          </w:p>
        </w:tc>
      </w:tr>
      <w:tr w:rsidR="00E27267" w:rsidRPr="00FE3EAF" w14:paraId="48B97769" w14:textId="77777777" w:rsidTr="00784D3F">
        <w:trPr>
          <w:trHeight w:val="20"/>
        </w:trPr>
        <w:tc>
          <w:tcPr>
            <w:tcW w:w="5489" w:type="dxa"/>
            <w:gridSpan w:val="2"/>
            <w:tcBorders>
              <w:top w:val="double" w:sz="4" w:space="0" w:color="auto"/>
              <w:left w:val="double" w:sz="6" w:space="0" w:color="auto"/>
              <w:bottom w:val="nil"/>
              <w:right w:val="nil"/>
            </w:tcBorders>
            <w:shd w:val="clear" w:color="auto" w:fill="auto"/>
            <w:noWrap/>
            <w:tcMar>
              <w:left w:w="58" w:type="dxa"/>
              <w:right w:w="58" w:type="dxa"/>
            </w:tcMar>
            <w:vAlign w:val="center"/>
          </w:tcPr>
          <w:p w14:paraId="66116376" w14:textId="77777777" w:rsidR="00E27267" w:rsidRPr="00FE3EAF" w:rsidRDefault="00E27267" w:rsidP="00E27267">
            <w:pPr>
              <w:spacing w:after="0" w:line="240" w:lineRule="auto"/>
              <w:jc w:val="left"/>
              <w:rPr>
                <w:rFonts w:eastAsia="Times New Roman"/>
                <w:i/>
                <w:iCs/>
                <w:sz w:val="21"/>
                <w:szCs w:val="21"/>
              </w:rPr>
            </w:pPr>
            <w:r w:rsidRPr="00FE3EAF">
              <w:rPr>
                <w:rFonts w:eastAsia="Times New Roman"/>
                <w:i/>
                <w:iCs/>
                <w:sz w:val="21"/>
                <w:szCs w:val="21"/>
              </w:rPr>
              <w:t>Household Demographics</w:t>
            </w:r>
          </w:p>
        </w:tc>
        <w:tc>
          <w:tcPr>
            <w:tcW w:w="724" w:type="dxa"/>
            <w:tcBorders>
              <w:top w:val="double" w:sz="4" w:space="0" w:color="auto"/>
              <w:left w:val="nil"/>
              <w:bottom w:val="nil"/>
              <w:right w:val="nil"/>
            </w:tcBorders>
            <w:tcMar>
              <w:left w:w="58" w:type="dxa"/>
              <w:right w:w="58" w:type="dxa"/>
            </w:tcMar>
          </w:tcPr>
          <w:p w14:paraId="0A7092B3" w14:textId="77777777" w:rsidR="00E27267" w:rsidRPr="00FE3EAF" w:rsidRDefault="00E27267" w:rsidP="00E27267">
            <w:pPr>
              <w:spacing w:after="0" w:line="240" w:lineRule="auto"/>
              <w:jc w:val="left"/>
              <w:rPr>
                <w:rFonts w:eastAsia="Times New Roman"/>
                <w:sz w:val="21"/>
                <w:szCs w:val="21"/>
              </w:rPr>
            </w:pPr>
          </w:p>
        </w:tc>
        <w:tc>
          <w:tcPr>
            <w:tcW w:w="716" w:type="dxa"/>
            <w:tcBorders>
              <w:top w:val="double" w:sz="4" w:space="0" w:color="auto"/>
              <w:left w:val="nil"/>
              <w:bottom w:val="nil"/>
              <w:right w:val="double" w:sz="4" w:space="0" w:color="auto"/>
            </w:tcBorders>
            <w:shd w:val="clear" w:color="auto" w:fill="auto"/>
            <w:noWrap/>
            <w:tcMar>
              <w:left w:w="58" w:type="dxa"/>
              <w:right w:w="58" w:type="dxa"/>
            </w:tcMar>
            <w:vAlign w:val="center"/>
          </w:tcPr>
          <w:p w14:paraId="4421A313" w14:textId="315E51B0" w:rsidR="00E27267" w:rsidRPr="00FE3EAF" w:rsidRDefault="00E27267" w:rsidP="00E27267">
            <w:pPr>
              <w:spacing w:after="0" w:line="240" w:lineRule="auto"/>
              <w:jc w:val="left"/>
              <w:rPr>
                <w:rFonts w:eastAsia="Times New Roman"/>
                <w:sz w:val="21"/>
                <w:szCs w:val="21"/>
              </w:rPr>
            </w:pPr>
          </w:p>
        </w:tc>
        <w:tc>
          <w:tcPr>
            <w:tcW w:w="4409" w:type="dxa"/>
            <w:tcBorders>
              <w:top w:val="nil"/>
              <w:left w:val="double" w:sz="4" w:space="0" w:color="auto"/>
              <w:bottom w:val="nil"/>
              <w:right w:val="nil"/>
            </w:tcBorders>
            <w:shd w:val="clear" w:color="auto" w:fill="auto"/>
            <w:noWrap/>
            <w:tcMar>
              <w:left w:w="58" w:type="dxa"/>
              <w:right w:w="58" w:type="dxa"/>
            </w:tcMar>
            <w:vAlign w:val="center"/>
          </w:tcPr>
          <w:p w14:paraId="5979D762" w14:textId="77777777" w:rsidR="00E27267" w:rsidRPr="00FE3EAF" w:rsidRDefault="00E27267" w:rsidP="00E27267">
            <w:pPr>
              <w:spacing w:after="0" w:line="240" w:lineRule="auto"/>
              <w:jc w:val="left"/>
              <w:rPr>
                <w:rFonts w:eastAsia="Times New Roman"/>
                <w:sz w:val="21"/>
                <w:szCs w:val="21"/>
              </w:rPr>
            </w:pPr>
            <w:r w:rsidRPr="00FE3EAF">
              <w:rPr>
                <w:rFonts w:eastAsia="Times New Roman"/>
                <w:sz w:val="21"/>
                <w:szCs w:val="21"/>
              </w:rPr>
              <w:t xml:space="preserve"> Medium</w:t>
            </w:r>
          </w:p>
        </w:tc>
        <w:tc>
          <w:tcPr>
            <w:tcW w:w="720" w:type="dxa"/>
            <w:tcBorders>
              <w:top w:val="nil"/>
              <w:left w:val="nil"/>
              <w:bottom w:val="nil"/>
              <w:right w:val="nil"/>
            </w:tcBorders>
            <w:shd w:val="clear" w:color="auto" w:fill="auto"/>
            <w:noWrap/>
            <w:tcMar>
              <w:left w:w="58" w:type="dxa"/>
              <w:right w:w="58" w:type="dxa"/>
            </w:tcMar>
            <w:vAlign w:val="center"/>
          </w:tcPr>
          <w:p w14:paraId="3248AF62" w14:textId="77777777" w:rsidR="00E27267" w:rsidRPr="00FE3EAF" w:rsidRDefault="00E27267" w:rsidP="00E27267">
            <w:pPr>
              <w:spacing w:after="0" w:line="240" w:lineRule="auto"/>
              <w:jc w:val="right"/>
              <w:rPr>
                <w:rFonts w:eastAsia="Times New Roman"/>
                <w:sz w:val="21"/>
                <w:szCs w:val="21"/>
              </w:rPr>
            </w:pPr>
            <w:r w:rsidRPr="00FE3EAF">
              <w:rPr>
                <w:rFonts w:eastAsia="Times New Roman"/>
                <w:sz w:val="21"/>
                <w:szCs w:val="21"/>
              </w:rPr>
              <w:t>45</w:t>
            </w:r>
          </w:p>
        </w:tc>
        <w:tc>
          <w:tcPr>
            <w:tcW w:w="720" w:type="dxa"/>
            <w:tcBorders>
              <w:top w:val="nil"/>
              <w:left w:val="nil"/>
              <w:right w:val="nil"/>
            </w:tcBorders>
            <w:tcMar>
              <w:left w:w="58" w:type="dxa"/>
              <w:right w:w="58" w:type="dxa"/>
            </w:tcMar>
          </w:tcPr>
          <w:p w14:paraId="4571B799" w14:textId="60401AC1" w:rsidR="00E27267" w:rsidRPr="00FE3EAF" w:rsidRDefault="00E27267" w:rsidP="00E27267">
            <w:pPr>
              <w:spacing w:after="0" w:line="240" w:lineRule="auto"/>
              <w:jc w:val="right"/>
              <w:rPr>
                <w:rFonts w:eastAsia="Times New Roman"/>
                <w:sz w:val="21"/>
                <w:szCs w:val="21"/>
              </w:rPr>
            </w:pPr>
            <w:r>
              <w:rPr>
                <w:rFonts w:eastAsia="Times New Roman"/>
                <w:sz w:val="21"/>
                <w:szCs w:val="21"/>
              </w:rPr>
              <w:t>5.5</w:t>
            </w:r>
          </w:p>
        </w:tc>
        <w:tc>
          <w:tcPr>
            <w:tcW w:w="632" w:type="dxa"/>
            <w:tcBorders>
              <w:top w:val="nil"/>
              <w:left w:val="nil"/>
              <w:right w:val="double" w:sz="4" w:space="0" w:color="auto"/>
            </w:tcBorders>
            <w:shd w:val="clear" w:color="auto" w:fill="auto"/>
            <w:noWrap/>
            <w:tcMar>
              <w:left w:w="58" w:type="dxa"/>
              <w:right w:w="58" w:type="dxa"/>
            </w:tcMar>
            <w:vAlign w:val="center"/>
          </w:tcPr>
          <w:p w14:paraId="297D01D8" w14:textId="4F67FDEF" w:rsidR="00E27267" w:rsidRPr="00FE3EAF" w:rsidRDefault="00D17B54" w:rsidP="00E27267">
            <w:pPr>
              <w:spacing w:after="0" w:line="240" w:lineRule="auto"/>
              <w:jc w:val="right"/>
              <w:rPr>
                <w:rFonts w:eastAsia="Times New Roman"/>
                <w:sz w:val="21"/>
                <w:szCs w:val="21"/>
              </w:rPr>
            </w:pPr>
            <w:r>
              <w:rPr>
                <w:rFonts w:eastAsia="Times New Roman"/>
                <w:sz w:val="21"/>
                <w:szCs w:val="21"/>
              </w:rPr>
              <w:t>--</w:t>
            </w:r>
          </w:p>
        </w:tc>
        <w:tc>
          <w:tcPr>
            <w:tcW w:w="1184" w:type="dxa"/>
            <w:tcMar>
              <w:left w:w="58" w:type="dxa"/>
              <w:right w:w="58" w:type="dxa"/>
            </w:tcMar>
            <w:vAlign w:val="center"/>
          </w:tcPr>
          <w:p w14:paraId="3BBC7AA2" w14:textId="77777777" w:rsidR="00E27267" w:rsidRPr="00FE3EAF" w:rsidRDefault="00E27267" w:rsidP="00E27267">
            <w:pPr>
              <w:spacing w:after="0"/>
              <w:jc w:val="center"/>
              <w:rPr>
                <w:rFonts w:eastAsia="Calibri"/>
              </w:rPr>
            </w:pPr>
          </w:p>
        </w:tc>
      </w:tr>
      <w:tr w:rsidR="00E27267" w:rsidRPr="00FE3EAF" w14:paraId="35E6C315" w14:textId="77777777" w:rsidTr="00784D3F">
        <w:trPr>
          <w:gridAfter w:val="1"/>
          <w:wAfter w:w="1184" w:type="dxa"/>
          <w:trHeight w:val="20"/>
        </w:trPr>
        <w:tc>
          <w:tcPr>
            <w:tcW w:w="4769" w:type="dxa"/>
            <w:tcBorders>
              <w:top w:val="nil"/>
              <w:left w:val="double" w:sz="6" w:space="0" w:color="auto"/>
              <w:bottom w:val="nil"/>
              <w:right w:val="nil"/>
            </w:tcBorders>
            <w:shd w:val="clear" w:color="auto" w:fill="auto"/>
            <w:noWrap/>
            <w:tcMar>
              <w:left w:w="58" w:type="dxa"/>
              <w:right w:w="58" w:type="dxa"/>
            </w:tcMar>
            <w:vAlign w:val="center"/>
            <w:hideMark/>
          </w:tcPr>
          <w:p w14:paraId="0E26D9D4" w14:textId="77777777" w:rsidR="00E27267" w:rsidRPr="00FE3EAF" w:rsidRDefault="00E27267" w:rsidP="00E27267">
            <w:pPr>
              <w:spacing w:after="0" w:line="240" w:lineRule="auto"/>
              <w:jc w:val="left"/>
              <w:rPr>
                <w:rFonts w:eastAsia="Times New Roman"/>
                <w:sz w:val="21"/>
                <w:szCs w:val="21"/>
              </w:rPr>
            </w:pPr>
            <w:r w:rsidRPr="00FE3EAF">
              <w:rPr>
                <w:rFonts w:eastAsia="Times New Roman"/>
                <w:b/>
                <w:bCs/>
                <w:sz w:val="21"/>
                <w:szCs w:val="21"/>
              </w:rPr>
              <w:t xml:space="preserve"> Presence of Children (including ages)</w:t>
            </w:r>
          </w:p>
        </w:tc>
        <w:tc>
          <w:tcPr>
            <w:tcW w:w="720" w:type="dxa"/>
            <w:tcBorders>
              <w:top w:val="nil"/>
              <w:left w:val="nil"/>
              <w:bottom w:val="nil"/>
              <w:right w:val="nil"/>
            </w:tcBorders>
            <w:shd w:val="clear" w:color="auto" w:fill="auto"/>
            <w:noWrap/>
            <w:tcMar>
              <w:left w:w="58" w:type="dxa"/>
              <w:right w:w="58" w:type="dxa"/>
            </w:tcMar>
            <w:vAlign w:val="center"/>
          </w:tcPr>
          <w:p w14:paraId="037F55F6" w14:textId="77777777" w:rsidR="00E27267" w:rsidRPr="00FE3EAF" w:rsidRDefault="00E27267" w:rsidP="00E27267">
            <w:pPr>
              <w:spacing w:after="0" w:line="240" w:lineRule="auto"/>
              <w:jc w:val="right"/>
              <w:rPr>
                <w:rFonts w:eastAsia="Times New Roman"/>
                <w:sz w:val="21"/>
                <w:szCs w:val="21"/>
              </w:rPr>
            </w:pPr>
          </w:p>
        </w:tc>
        <w:tc>
          <w:tcPr>
            <w:tcW w:w="724" w:type="dxa"/>
            <w:tcBorders>
              <w:top w:val="nil"/>
              <w:left w:val="nil"/>
              <w:bottom w:val="nil"/>
              <w:right w:val="nil"/>
            </w:tcBorders>
            <w:tcMar>
              <w:left w:w="58" w:type="dxa"/>
              <w:right w:w="58" w:type="dxa"/>
            </w:tcMar>
            <w:vAlign w:val="center"/>
          </w:tcPr>
          <w:p w14:paraId="132A8F6D" w14:textId="77777777" w:rsidR="00E27267" w:rsidRPr="00FE3EAF" w:rsidRDefault="00E27267" w:rsidP="00E27267">
            <w:pPr>
              <w:spacing w:after="0" w:line="240" w:lineRule="auto"/>
              <w:jc w:val="right"/>
              <w:rPr>
                <w:rFonts w:eastAsia="Times New Roman"/>
                <w:sz w:val="21"/>
                <w:szCs w:val="21"/>
              </w:rPr>
            </w:pPr>
          </w:p>
        </w:tc>
        <w:tc>
          <w:tcPr>
            <w:tcW w:w="716" w:type="dxa"/>
            <w:tcBorders>
              <w:top w:val="nil"/>
              <w:left w:val="nil"/>
              <w:bottom w:val="nil"/>
              <w:right w:val="double" w:sz="4" w:space="0" w:color="auto"/>
            </w:tcBorders>
            <w:shd w:val="clear" w:color="auto" w:fill="auto"/>
            <w:noWrap/>
            <w:tcMar>
              <w:left w:w="58" w:type="dxa"/>
              <w:right w:w="58" w:type="dxa"/>
            </w:tcMar>
            <w:vAlign w:val="center"/>
          </w:tcPr>
          <w:p w14:paraId="47117DD5" w14:textId="1BB894A0" w:rsidR="00E27267" w:rsidRPr="00FE3EAF" w:rsidRDefault="00E27267" w:rsidP="00E27267">
            <w:pPr>
              <w:spacing w:after="0" w:line="240" w:lineRule="auto"/>
              <w:jc w:val="right"/>
              <w:rPr>
                <w:rFonts w:eastAsia="Times New Roman"/>
                <w:sz w:val="21"/>
                <w:szCs w:val="21"/>
              </w:rPr>
            </w:pPr>
          </w:p>
        </w:tc>
        <w:tc>
          <w:tcPr>
            <w:tcW w:w="4409" w:type="dxa"/>
            <w:tcBorders>
              <w:top w:val="nil"/>
              <w:left w:val="double" w:sz="4" w:space="0" w:color="auto"/>
              <w:right w:val="nil"/>
            </w:tcBorders>
            <w:shd w:val="clear" w:color="auto" w:fill="auto"/>
            <w:noWrap/>
            <w:tcMar>
              <w:left w:w="58" w:type="dxa"/>
              <w:right w:w="58" w:type="dxa"/>
            </w:tcMar>
            <w:vAlign w:val="bottom"/>
          </w:tcPr>
          <w:p w14:paraId="05152874" w14:textId="77777777" w:rsidR="00E27267" w:rsidRPr="00FE3EAF" w:rsidRDefault="00E27267" w:rsidP="00E27267">
            <w:pPr>
              <w:spacing w:after="0" w:line="240" w:lineRule="auto"/>
              <w:jc w:val="left"/>
              <w:rPr>
                <w:rFonts w:eastAsia="Times New Roman"/>
                <w:sz w:val="21"/>
                <w:szCs w:val="21"/>
              </w:rPr>
            </w:pPr>
            <w:r w:rsidRPr="00FE3EAF">
              <w:rPr>
                <w:rFonts w:eastAsia="Times New Roman"/>
                <w:sz w:val="21"/>
                <w:szCs w:val="21"/>
              </w:rPr>
              <w:t xml:space="preserve"> High</w:t>
            </w:r>
          </w:p>
        </w:tc>
        <w:tc>
          <w:tcPr>
            <w:tcW w:w="720" w:type="dxa"/>
            <w:tcBorders>
              <w:top w:val="nil"/>
              <w:left w:val="nil"/>
              <w:right w:val="nil"/>
            </w:tcBorders>
            <w:shd w:val="clear" w:color="auto" w:fill="auto"/>
            <w:noWrap/>
            <w:tcMar>
              <w:left w:w="58" w:type="dxa"/>
              <w:right w:w="58" w:type="dxa"/>
            </w:tcMar>
            <w:vAlign w:val="bottom"/>
          </w:tcPr>
          <w:p w14:paraId="17BD95FA" w14:textId="77777777" w:rsidR="00E27267" w:rsidRPr="00FE3EAF" w:rsidRDefault="00E27267" w:rsidP="00E27267">
            <w:pPr>
              <w:spacing w:after="0" w:line="240" w:lineRule="auto"/>
              <w:jc w:val="right"/>
              <w:rPr>
                <w:rFonts w:eastAsia="Times New Roman"/>
                <w:sz w:val="21"/>
                <w:szCs w:val="21"/>
              </w:rPr>
            </w:pPr>
            <w:r w:rsidRPr="00FE3EAF">
              <w:rPr>
                <w:rFonts w:eastAsia="Times New Roman"/>
                <w:sz w:val="21"/>
                <w:szCs w:val="21"/>
              </w:rPr>
              <w:t>586</w:t>
            </w:r>
          </w:p>
        </w:tc>
        <w:tc>
          <w:tcPr>
            <w:tcW w:w="720" w:type="dxa"/>
            <w:tcBorders>
              <w:top w:val="nil"/>
              <w:left w:val="nil"/>
              <w:right w:val="nil"/>
            </w:tcBorders>
            <w:tcMar>
              <w:left w:w="58" w:type="dxa"/>
              <w:right w:w="58" w:type="dxa"/>
            </w:tcMar>
            <w:vAlign w:val="bottom"/>
          </w:tcPr>
          <w:p w14:paraId="4ABF12C2" w14:textId="212B2F04" w:rsidR="00E27267" w:rsidRPr="00FE3EAF" w:rsidRDefault="00E27267" w:rsidP="00E27267">
            <w:pPr>
              <w:spacing w:after="0" w:line="240" w:lineRule="auto"/>
              <w:jc w:val="right"/>
              <w:rPr>
                <w:rFonts w:eastAsia="Times New Roman"/>
                <w:sz w:val="21"/>
                <w:szCs w:val="21"/>
              </w:rPr>
            </w:pPr>
            <w:r w:rsidRPr="00FE3EAF">
              <w:rPr>
                <w:rFonts w:eastAsia="Times New Roman"/>
                <w:sz w:val="21"/>
                <w:szCs w:val="21"/>
              </w:rPr>
              <w:t>71.1</w:t>
            </w:r>
          </w:p>
        </w:tc>
        <w:tc>
          <w:tcPr>
            <w:tcW w:w="632" w:type="dxa"/>
            <w:tcBorders>
              <w:top w:val="nil"/>
              <w:left w:val="nil"/>
              <w:right w:val="double" w:sz="4" w:space="0" w:color="auto"/>
            </w:tcBorders>
            <w:shd w:val="clear" w:color="auto" w:fill="auto"/>
            <w:noWrap/>
            <w:tcMar>
              <w:left w:w="58" w:type="dxa"/>
              <w:right w:w="58" w:type="dxa"/>
            </w:tcMar>
            <w:vAlign w:val="bottom"/>
          </w:tcPr>
          <w:p w14:paraId="5F2F5543" w14:textId="6385996E" w:rsidR="00E27267" w:rsidRPr="00FE3EAF" w:rsidRDefault="00D17B54" w:rsidP="00E27267">
            <w:pPr>
              <w:spacing w:after="0" w:line="240" w:lineRule="auto"/>
              <w:jc w:val="right"/>
              <w:rPr>
                <w:rFonts w:eastAsia="Times New Roman"/>
                <w:sz w:val="21"/>
                <w:szCs w:val="21"/>
              </w:rPr>
            </w:pPr>
            <w:r>
              <w:rPr>
                <w:rFonts w:eastAsia="Times New Roman"/>
                <w:sz w:val="21"/>
                <w:szCs w:val="21"/>
              </w:rPr>
              <w:t>--</w:t>
            </w:r>
          </w:p>
        </w:tc>
      </w:tr>
      <w:bookmarkEnd w:id="61"/>
      <w:tr w:rsidR="00E27267" w:rsidRPr="00FE3EAF" w14:paraId="343433CC" w14:textId="77777777" w:rsidTr="00784D3F">
        <w:trPr>
          <w:gridAfter w:val="1"/>
          <w:wAfter w:w="1184" w:type="dxa"/>
          <w:trHeight w:val="20"/>
        </w:trPr>
        <w:tc>
          <w:tcPr>
            <w:tcW w:w="4769" w:type="dxa"/>
            <w:tcBorders>
              <w:top w:val="nil"/>
              <w:left w:val="double" w:sz="6" w:space="0" w:color="auto"/>
              <w:bottom w:val="nil"/>
              <w:right w:val="nil"/>
            </w:tcBorders>
            <w:shd w:val="clear" w:color="auto" w:fill="auto"/>
            <w:noWrap/>
            <w:tcMar>
              <w:left w:w="58" w:type="dxa"/>
              <w:right w:w="58" w:type="dxa"/>
            </w:tcMar>
            <w:vAlign w:val="center"/>
            <w:hideMark/>
          </w:tcPr>
          <w:p w14:paraId="70D6CB00" w14:textId="77777777" w:rsidR="00E27267" w:rsidRPr="00FE3EAF" w:rsidRDefault="00E27267" w:rsidP="00E27267">
            <w:pPr>
              <w:spacing w:after="0" w:line="240" w:lineRule="auto"/>
              <w:jc w:val="left"/>
              <w:rPr>
                <w:rFonts w:eastAsia="Times New Roman"/>
                <w:sz w:val="21"/>
                <w:szCs w:val="21"/>
              </w:rPr>
            </w:pPr>
            <w:r w:rsidRPr="00FE3EAF">
              <w:rPr>
                <w:rFonts w:eastAsia="Times New Roman"/>
                <w:sz w:val="21"/>
                <w:szCs w:val="21"/>
              </w:rPr>
              <w:t xml:space="preserve"> No children</w:t>
            </w:r>
          </w:p>
        </w:tc>
        <w:tc>
          <w:tcPr>
            <w:tcW w:w="720" w:type="dxa"/>
            <w:tcBorders>
              <w:top w:val="nil"/>
              <w:left w:val="nil"/>
              <w:bottom w:val="nil"/>
              <w:right w:val="nil"/>
            </w:tcBorders>
            <w:shd w:val="clear" w:color="auto" w:fill="auto"/>
            <w:noWrap/>
            <w:tcMar>
              <w:left w:w="58" w:type="dxa"/>
              <w:right w:w="58" w:type="dxa"/>
            </w:tcMar>
            <w:vAlign w:val="center"/>
            <w:hideMark/>
          </w:tcPr>
          <w:p w14:paraId="7B36BF0D" w14:textId="77777777" w:rsidR="00E27267" w:rsidRPr="00FE3EAF" w:rsidRDefault="00E27267" w:rsidP="00E27267">
            <w:pPr>
              <w:spacing w:after="0" w:line="240" w:lineRule="auto"/>
              <w:jc w:val="right"/>
              <w:rPr>
                <w:rFonts w:eastAsia="Calibri"/>
                <w:color w:val="000000"/>
                <w:sz w:val="21"/>
                <w:szCs w:val="21"/>
              </w:rPr>
            </w:pPr>
            <w:r w:rsidRPr="00FE3EAF">
              <w:rPr>
                <w:rFonts w:eastAsia="Times New Roman"/>
                <w:sz w:val="21"/>
                <w:szCs w:val="21"/>
              </w:rPr>
              <w:t>598</w:t>
            </w:r>
          </w:p>
        </w:tc>
        <w:tc>
          <w:tcPr>
            <w:tcW w:w="724" w:type="dxa"/>
            <w:tcBorders>
              <w:top w:val="nil"/>
              <w:left w:val="nil"/>
              <w:bottom w:val="nil"/>
              <w:right w:val="nil"/>
            </w:tcBorders>
            <w:tcMar>
              <w:left w:w="58" w:type="dxa"/>
              <w:right w:w="58" w:type="dxa"/>
            </w:tcMar>
            <w:vAlign w:val="center"/>
          </w:tcPr>
          <w:p w14:paraId="6D651145" w14:textId="69E61FC8" w:rsidR="00E27267" w:rsidRPr="00FE3EAF" w:rsidRDefault="00E27267" w:rsidP="00E27267">
            <w:pPr>
              <w:spacing w:after="0" w:line="240" w:lineRule="auto"/>
              <w:jc w:val="right"/>
              <w:rPr>
                <w:rFonts w:eastAsia="Times New Roman"/>
                <w:sz w:val="21"/>
                <w:szCs w:val="21"/>
              </w:rPr>
            </w:pPr>
            <w:r w:rsidRPr="00FE3EAF">
              <w:rPr>
                <w:rFonts w:eastAsia="Times New Roman"/>
                <w:sz w:val="21"/>
                <w:szCs w:val="21"/>
              </w:rPr>
              <w:t>72.6</w:t>
            </w:r>
          </w:p>
        </w:tc>
        <w:tc>
          <w:tcPr>
            <w:tcW w:w="716" w:type="dxa"/>
            <w:tcBorders>
              <w:top w:val="nil"/>
              <w:left w:val="nil"/>
              <w:bottom w:val="nil"/>
              <w:right w:val="double" w:sz="4" w:space="0" w:color="auto"/>
            </w:tcBorders>
            <w:shd w:val="clear" w:color="auto" w:fill="auto"/>
            <w:noWrap/>
            <w:tcMar>
              <w:left w:w="58" w:type="dxa"/>
              <w:right w:w="58" w:type="dxa"/>
            </w:tcMar>
            <w:vAlign w:val="center"/>
          </w:tcPr>
          <w:p w14:paraId="7E4C3FE4" w14:textId="175C0879" w:rsidR="00E27267" w:rsidRPr="00FE3EAF" w:rsidRDefault="00D17B54" w:rsidP="00E27267">
            <w:pPr>
              <w:spacing w:after="0" w:line="240" w:lineRule="auto"/>
              <w:jc w:val="right"/>
              <w:rPr>
                <w:rFonts w:eastAsia="Calibri"/>
                <w:color w:val="000000"/>
                <w:sz w:val="21"/>
                <w:szCs w:val="21"/>
              </w:rPr>
            </w:pPr>
            <w:r>
              <w:rPr>
                <w:rFonts w:eastAsia="Times New Roman"/>
                <w:sz w:val="21"/>
                <w:szCs w:val="21"/>
              </w:rPr>
              <w:t>--</w:t>
            </w:r>
          </w:p>
        </w:tc>
        <w:tc>
          <w:tcPr>
            <w:tcW w:w="4409" w:type="dxa"/>
            <w:tcBorders>
              <w:left w:val="double" w:sz="4" w:space="0" w:color="auto"/>
              <w:right w:val="nil"/>
            </w:tcBorders>
            <w:shd w:val="clear" w:color="auto" w:fill="auto"/>
            <w:noWrap/>
            <w:tcMar>
              <w:left w:w="58" w:type="dxa"/>
              <w:right w:w="58" w:type="dxa"/>
            </w:tcMar>
            <w:vAlign w:val="center"/>
          </w:tcPr>
          <w:p w14:paraId="4E3C1CDE" w14:textId="77777777" w:rsidR="00E27267" w:rsidRPr="00FE3EAF" w:rsidRDefault="00E27267" w:rsidP="00E27267">
            <w:pPr>
              <w:spacing w:after="0" w:line="240" w:lineRule="auto"/>
              <w:jc w:val="left"/>
              <w:rPr>
                <w:rFonts w:eastAsia="Times New Roman"/>
                <w:sz w:val="21"/>
                <w:szCs w:val="21"/>
              </w:rPr>
            </w:pPr>
            <w:r w:rsidRPr="00FE3EAF">
              <w:rPr>
                <w:rFonts w:eastAsia="Times New Roman"/>
                <w:sz w:val="21"/>
                <w:szCs w:val="21"/>
              </w:rPr>
              <w:t xml:space="preserve"> </w:t>
            </w:r>
            <w:r w:rsidRPr="00FE3EAF">
              <w:rPr>
                <w:rFonts w:eastAsia="Times New Roman"/>
                <w:b/>
                <w:bCs/>
                <w:sz w:val="21"/>
                <w:szCs w:val="21"/>
              </w:rPr>
              <w:t>Employment Status and Structure</w:t>
            </w:r>
          </w:p>
        </w:tc>
        <w:tc>
          <w:tcPr>
            <w:tcW w:w="720" w:type="dxa"/>
            <w:tcBorders>
              <w:left w:val="nil"/>
              <w:right w:val="nil"/>
            </w:tcBorders>
            <w:shd w:val="clear" w:color="auto" w:fill="auto"/>
            <w:noWrap/>
            <w:tcMar>
              <w:left w:w="58" w:type="dxa"/>
              <w:right w:w="58" w:type="dxa"/>
            </w:tcMar>
            <w:vAlign w:val="bottom"/>
          </w:tcPr>
          <w:p w14:paraId="732C410B" w14:textId="77777777" w:rsidR="00E27267" w:rsidRPr="00FE3EAF" w:rsidRDefault="00E27267" w:rsidP="00E27267">
            <w:pPr>
              <w:spacing w:after="0" w:line="240" w:lineRule="auto"/>
              <w:jc w:val="right"/>
              <w:rPr>
                <w:rFonts w:eastAsia="Times New Roman"/>
                <w:sz w:val="21"/>
                <w:szCs w:val="21"/>
              </w:rPr>
            </w:pPr>
          </w:p>
        </w:tc>
        <w:tc>
          <w:tcPr>
            <w:tcW w:w="720" w:type="dxa"/>
            <w:tcBorders>
              <w:left w:val="nil"/>
              <w:right w:val="nil"/>
            </w:tcBorders>
            <w:tcMar>
              <w:left w:w="58" w:type="dxa"/>
              <w:right w:w="58" w:type="dxa"/>
            </w:tcMar>
            <w:vAlign w:val="bottom"/>
          </w:tcPr>
          <w:p w14:paraId="61EFA47B" w14:textId="77777777" w:rsidR="00E27267" w:rsidRPr="00FE3EAF" w:rsidRDefault="00E27267" w:rsidP="00E27267">
            <w:pPr>
              <w:spacing w:after="0" w:line="240" w:lineRule="auto"/>
              <w:jc w:val="right"/>
              <w:rPr>
                <w:rFonts w:eastAsia="Times New Roman"/>
                <w:sz w:val="21"/>
                <w:szCs w:val="21"/>
              </w:rPr>
            </w:pPr>
          </w:p>
        </w:tc>
        <w:tc>
          <w:tcPr>
            <w:tcW w:w="632" w:type="dxa"/>
            <w:tcBorders>
              <w:left w:val="nil"/>
              <w:right w:val="double" w:sz="4" w:space="0" w:color="auto"/>
            </w:tcBorders>
            <w:shd w:val="clear" w:color="auto" w:fill="auto"/>
            <w:noWrap/>
            <w:tcMar>
              <w:left w:w="58" w:type="dxa"/>
              <w:right w:w="58" w:type="dxa"/>
            </w:tcMar>
            <w:vAlign w:val="bottom"/>
          </w:tcPr>
          <w:p w14:paraId="03C83F62" w14:textId="1F3F7EC9" w:rsidR="00E27267" w:rsidRPr="00FE3EAF" w:rsidRDefault="00E27267" w:rsidP="00E27267">
            <w:pPr>
              <w:spacing w:after="0" w:line="240" w:lineRule="auto"/>
              <w:jc w:val="right"/>
              <w:rPr>
                <w:rFonts w:eastAsia="Times New Roman"/>
                <w:sz w:val="21"/>
                <w:szCs w:val="21"/>
              </w:rPr>
            </w:pPr>
          </w:p>
        </w:tc>
      </w:tr>
      <w:tr w:rsidR="00E27267" w:rsidRPr="00FE3EAF" w14:paraId="76E947CE" w14:textId="77777777" w:rsidTr="00784D3F">
        <w:trPr>
          <w:gridAfter w:val="1"/>
          <w:wAfter w:w="1184" w:type="dxa"/>
          <w:trHeight w:val="20"/>
        </w:trPr>
        <w:tc>
          <w:tcPr>
            <w:tcW w:w="4769" w:type="dxa"/>
            <w:tcBorders>
              <w:top w:val="nil"/>
              <w:left w:val="double" w:sz="6" w:space="0" w:color="auto"/>
              <w:bottom w:val="nil"/>
              <w:right w:val="nil"/>
            </w:tcBorders>
            <w:shd w:val="clear" w:color="auto" w:fill="auto"/>
            <w:noWrap/>
            <w:tcMar>
              <w:left w:w="58" w:type="dxa"/>
              <w:right w:w="58" w:type="dxa"/>
            </w:tcMar>
            <w:vAlign w:val="center"/>
          </w:tcPr>
          <w:p w14:paraId="51B3DE7E" w14:textId="77777777" w:rsidR="00E27267" w:rsidRPr="00FE3EAF" w:rsidRDefault="00E27267" w:rsidP="00E27267">
            <w:pPr>
              <w:spacing w:after="0" w:line="240" w:lineRule="auto"/>
              <w:jc w:val="left"/>
              <w:rPr>
                <w:rFonts w:eastAsia="Times New Roman"/>
                <w:sz w:val="21"/>
                <w:szCs w:val="21"/>
              </w:rPr>
            </w:pPr>
            <w:r w:rsidRPr="00FE3EAF">
              <w:rPr>
                <w:rFonts w:eastAsia="Times New Roman"/>
                <w:sz w:val="21"/>
                <w:szCs w:val="21"/>
              </w:rPr>
              <w:t xml:space="preserve"> Child(ren) aged 0 to 4</w:t>
            </w:r>
          </w:p>
        </w:tc>
        <w:tc>
          <w:tcPr>
            <w:tcW w:w="720" w:type="dxa"/>
            <w:tcBorders>
              <w:top w:val="nil"/>
              <w:left w:val="nil"/>
              <w:bottom w:val="nil"/>
              <w:right w:val="nil"/>
            </w:tcBorders>
            <w:shd w:val="clear" w:color="auto" w:fill="auto"/>
            <w:noWrap/>
            <w:tcMar>
              <w:left w:w="58" w:type="dxa"/>
              <w:right w:w="58" w:type="dxa"/>
            </w:tcMar>
            <w:vAlign w:val="center"/>
          </w:tcPr>
          <w:p w14:paraId="7C6B6940" w14:textId="77777777" w:rsidR="00E27267" w:rsidRPr="00FE3EAF" w:rsidRDefault="00E27267" w:rsidP="00E27267">
            <w:pPr>
              <w:spacing w:after="0" w:line="240" w:lineRule="auto"/>
              <w:jc w:val="right"/>
              <w:rPr>
                <w:rFonts w:eastAsia="Times New Roman"/>
                <w:sz w:val="21"/>
                <w:szCs w:val="21"/>
              </w:rPr>
            </w:pPr>
            <w:r w:rsidRPr="00FE3EAF">
              <w:rPr>
                <w:rFonts w:eastAsia="Times New Roman"/>
                <w:sz w:val="21"/>
                <w:szCs w:val="21"/>
              </w:rPr>
              <w:t>46*</w:t>
            </w:r>
          </w:p>
        </w:tc>
        <w:tc>
          <w:tcPr>
            <w:tcW w:w="724" w:type="dxa"/>
            <w:tcBorders>
              <w:top w:val="nil"/>
              <w:left w:val="nil"/>
              <w:bottom w:val="nil"/>
              <w:right w:val="nil"/>
            </w:tcBorders>
            <w:tcMar>
              <w:left w:w="58" w:type="dxa"/>
              <w:right w:w="58" w:type="dxa"/>
            </w:tcMar>
            <w:vAlign w:val="center"/>
          </w:tcPr>
          <w:p w14:paraId="17FED870" w14:textId="3C5E308C" w:rsidR="00E27267" w:rsidRPr="00FE3EAF" w:rsidRDefault="00E27267" w:rsidP="00E27267">
            <w:pPr>
              <w:spacing w:after="0" w:line="240" w:lineRule="auto"/>
              <w:jc w:val="right"/>
              <w:rPr>
                <w:rFonts w:eastAsia="Times New Roman"/>
                <w:sz w:val="21"/>
                <w:szCs w:val="21"/>
              </w:rPr>
            </w:pPr>
            <w:r w:rsidRPr="00FE3EAF">
              <w:rPr>
                <w:rFonts w:eastAsia="Times New Roman"/>
                <w:sz w:val="21"/>
                <w:szCs w:val="21"/>
              </w:rPr>
              <w:t>5.6</w:t>
            </w:r>
          </w:p>
        </w:tc>
        <w:tc>
          <w:tcPr>
            <w:tcW w:w="716" w:type="dxa"/>
            <w:tcBorders>
              <w:top w:val="nil"/>
              <w:left w:val="nil"/>
              <w:bottom w:val="nil"/>
              <w:right w:val="double" w:sz="4" w:space="0" w:color="auto"/>
            </w:tcBorders>
            <w:shd w:val="clear" w:color="auto" w:fill="auto"/>
            <w:noWrap/>
            <w:tcMar>
              <w:left w:w="58" w:type="dxa"/>
              <w:right w:w="58" w:type="dxa"/>
            </w:tcMar>
            <w:vAlign w:val="center"/>
          </w:tcPr>
          <w:p w14:paraId="3FB1C884" w14:textId="40BDD8EF" w:rsidR="00E27267" w:rsidRPr="00FE3EAF" w:rsidRDefault="00D17B54" w:rsidP="00E27267">
            <w:pPr>
              <w:spacing w:after="0" w:line="240" w:lineRule="auto"/>
              <w:jc w:val="right"/>
              <w:rPr>
                <w:rFonts w:eastAsia="Times New Roman"/>
                <w:sz w:val="21"/>
                <w:szCs w:val="21"/>
              </w:rPr>
            </w:pPr>
            <w:r>
              <w:rPr>
                <w:rFonts w:eastAsia="Times New Roman"/>
                <w:sz w:val="21"/>
                <w:szCs w:val="21"/>
              </w:rPr>
              <w:t>--</w:t>
            </w:r>
          </w:p>
        </w:tc>
        <w:tc>
          <w:tcPr>
            <w:tcW w:w="4409" w:type="dxa"/>
            <w:tcBorders>
              <w:top w:val="nil"/>
              <w:left w:val="double" w:sz="4" w:space="0" w:color="auto"/>
              <w:right w:val="nil"/>
            </w:tcBorders>
            <w:shd w:val="clear" w:color="auto" w:fill="auto"/>
            <w:noWrap/>
            <w:tcMar>
              <w:left w:w="58" w:type="dxa"/>
              <w:right w:w="58" w:type="dxa"/>
            </w:tcMar>
            <w:vAlign w:val="center"/>
          </w:tcPr>
          <w:p w14:paraId="22664AFE" w14:textId="77777777" w:rsidR="00E27267" w:rsidRPr="00FE3EAF" w:rsidRDefault="00E27267" w:rsidP="00E27267">
            <w:pPr>
              <w:spacing w:after="0" w:line="240" w:lineRule="auto"/>
              <w:jc w:val="left"/>
              <w:rPr>
                <w:rFonts w:eastAsia="Times New Roman"/>
                <w:sz w:val="21"/>
                <w:szCs w:val="21"/>
              </w:rPr>
            </w:pPr>
            <w:r w:rsidRPr="00FE3EAF">
              <w:rPr>
                <w:rFonts w:eastAsia="Times New Roman"/>
                <w:sz w:val="21"/>
                <w:szCs w:val="21"/>
              </w:rPr>
              <w:t xml:space="preserve"> Full-time (work </w:t>
            </w:r>
            <w:proofErr w:type="spellStart"/>
            <w:r w:rsidRPr="00FE3EAF">
              <w:rPr>
                <w:rFonts w:eastAsia="Times New Roman"/>
                <w:sz w:val="21"/>
                <w:szCs w:val="21"/>
              </w:rPr>
              <w:t>hrs</w:t>
            </w:r>
            <w:proofErr w:type="spellEnd"/>
            <w:r w:rsidRPr="00FE3EAF">
              <w:rPr>
                <w:rFonts w:eastAsia="Times New Roman"/>
                <w:sz w:val="21"/>
                <w:szCs w:val="21"/>
              </w:rPr>
              <w:t xml:space="preserve"> per week≥30), self-employed</w:t>
            </w:r>
          </w:p>
        </w:tc>
        <w:tc>
          <w:tcPr>
            <w:tcW w:w="720" w:type="dxa"/>
            <w:tcBorders>
              <w:top w:val="nil"/>
              <w:left w:val="nil"/>
              <w:right w:val="nil"/>
            </w:tcBorders>
            <w:shd w:val="clear" w:color="auto" w:fill="auto"/>
            <w:noWrap/>
            <w:tcMar>
              <w:left w:w="58" w:type="dxa"/>
              <w:right w:w="58" w:type="dxa"/>
            </w:tcMar>
            <w:vAlign w:val="bottom"/>
          </w:tcPr>
          <w:p w14:paraId="4957C059" w14:textId="77777777" w:rsidR="00E27267" w:rsidRPr="00FE3EAF" w:rsidRDefault="00E27267" w:rsidP="00E27267">
            <w:pPr>
              <w:spacing w:after="0" w:line="240" w:lineRule="auto"/>
              <w:jc w:val="right"/>
              <w:rPr>
                <w:rFonts w:eastAsia="Times New Roman"/>
                <w:sz w:val="21"/>
                <w:szCs w:val="21"/>
              </w:rPr>
            </w:pPr>
            <w:r w:rsidRPr="00FE3EAF">
              <w:rPr>
                <w:rFonts w:eastAsia="Calibri"/>
                <w:color w:val="000000"/>
                <w:sz w:val="21"/>
                <w:szCs w:val="21"/>
              </w:rPr>
              <w:t>106</w:t>
            </w:r>
          </w:p>
        </w:tc>
        <w:tc>
          <w:tcPr>
            <w:tcW w:w="720" w:type="dxa"/>
            <w:tcBorders>
              <w:top w:val="nil"/>
              <w:left w:val="nil"/>
              <w:right w:val="nil"/>
            </w:tcBorders>
            <w:tcMar>
              <w:left w:w="58" w:type="dxa"/>
              <w:right w:w="58" w:type="dxa"/>
            </w:tcMar>
            <w:vAlign w:val="bottom"/>
          </w:tcPr>
          <w:p w14:paraId="4C4C3A18" w14:textId="10B76C4C" w:rsidR="00E27267" w:rsidRPr="00FE3EAF" w:rsidRDefault="00E27267" w:rsidP="00E27267">
            <w:pPr>
              <w:spacing w:after="0" w:line="240" w:lineRule="auto"/>
              <w:jc w:val="right"/>
              <w:rPr>
                <w:rFonts w:eastAsia="Calibri"/>
                <w:color w:val="000000"/>
                <w:sz w:val="21"/>
                <w:szCs w:val="21"/>
              </w:rPr>
            </w:pPr>
            <w:r w:rsidRPr="00FE3EAF">
              <w:rPr>
                <w:rFonts w:eastAsia="Calibri"/>
                <w:color w:val="000000"/>
                <w:sz w:val="21"/>
                <w:szCs w:val="21"/>
              </w:rPr>
              <w:t>12.9</w:t>
            </w:r>
          </w:p>
        </w:tc>
        <w:tc>
          <w:tcPr>
            <w:tcW w:w="632" w:type="dxa"/>
            <w:tcBorders>
              <w:top w:val="nil"/>
              <w:left w:val="nil"/>
              <w:right w:val="double" w:sz="4" w:space="0" w:color="auto"/>
            </w:tcBorders>
            <w:shd w:val="clear" w:color="auto" w:fill="auto"/>
            <w:noWrap/>
            <w:tcMar>
              <w:left w:w="58" w:type="dxa"/>
              <w:right w:w="58" w:type="dxa"/>
            </w:tcMar>
            <w:vAlign w:val="bottom"/>
          </w:tcPr>
          <w:p w14:paraId="467AFA83" w14:textId="4E380D88" w:rsidR="00E27267" w:rsidRPr="00FE3EAF" w:rsidRDefault="00D17B54" w:rsidP="00E27267">
            <w:pPr>
              <w:spacing w:after="0" w:line="240" w:lineRule="auto"/>
              <w:jc w:val="right"/>
              <w:rPr>
                <w:rFonts w:eastAsia="Times New Roman"/>
                <w:sz w:val="21"/>
                <w:szCs w:val="21"/>
              </w:rPr>
            </w:pPr>
            <w:r>
              <w:rPr>
                <w:rFonts w:eastAsia="Calibri"/>
                <w:color w:val="000000"/>
                <w:sz w:val="21"/>
                <w:szCs w:val="21"/>
              </w:rPr>
              <w:t>--</w:t>
            </w:r>
          </w:p>
        </w:tc>
      </w:tr>
      <w:tr w:rsidR="00E27267" w:rsidRPr="00FE3EAF" w14:paraId="1CF4BE41" w14:textId="77777777" w:rsidTr="00784D3F">
        <w:trPr>
          <w:gridAfter w:val="1"/>
          <w:wAfter w:w="1184" w:type="dxa"/>
          <w:trHeight w:val="20"/>
        </w:trPr>
        <w:tc>
          <w:tcPr>
            <w:tcW w:w="4769" w:type="dxa"/>
            <w:tcBorders>
              <w:top w:val="nil"/>
              <w:left w:val="double" w:sz="6" w:space="0" w:color="auto"/>
              <w:bottom w:val="nil"/>
              <w:right w:val="nil"/>
            </w:tcBorders>
            <w:shd w:val="clear" w:color="auto" w:fill="auto"/>
            <w:noWrap/>
            <w:tcMar>
              <w:left w:w="58" w:type="dxa"/>
              <w:right w:w="58" w:type="dxa"/>
            </w:tcMar>
            <w:vAlign w:val="center"/>
            <w:hideMark/>
          </w:tcPr>
          <w:p w14:paraId="6E74B054" w14:textId="77777777" w:rsidR="00E27267" w:rsidRPr="00FE3EAF" w:rsidRDefault="00E27267" w:rsidP="00E27267">
            <w:pPr>
              <w:spacing w:after="0" w:line="240" w:lineRule="auto"/>
              <w:jc w:val="left"/>
              <w:rPr>
                <w:rFonts w:eastAsia="Times New Roman"/>
                <w:sz w:val="21"/>
                <w:szCs w:val="21"/>
              </w:rPr>
            </w:pPr>
            <w:r w:rsidRPr="00FE3EAF">
              <w:rPr>
                <w:rFonts w:eastAsia="Times New Roman"/>
                <w:sz w:val="21"/>
                <w:szCs w:val="21"/>
              </w:rPr>
              <w:t xml:space="preserve"> Child(ren) aged 5 to 12</w:t>
            </w:r>
          </w:p>
        </w:tc>
        <w:tc>
          <w:tcPr>
            <w:tcW w:w="720" w:type="dxa"/>
            <w:tcBorders>
              <w:top w:val="nil"/>
              <w:left w:val="nil"/>
              <w:bottom w:val="nil"/>
              <w:right w:val="nil"/>
            </w:tcBorders>
            <w:shd w:val="clear" w:color="auto" w:fill="auto"/>
            <w:noWrap/>
            <w:tcMar>
              <w:left w:w="58" w:type="dxa"/>
              <w:right w:w="58" w:type="dxa"/>
            </w:tcMar>
            <w:vAlign w:val="center"/>
            <w:hideMark/>
          </w:tcPr>
          <w:p w14:paraId="0D9D8885" w14:textId="77777777" w:rsidR="00E27267" w:rsidRPr="00FE3EAF" w:rsidRDefault="00E27267" w:rsidP="00E27267">
            <w:pPr>
              <w:spacing w:after="0" w:line="240" w:lineRule="auto"/>
              <w:jc w:val="right"/>
              <w:rPr>
                <w:rFonts w:eastAsia="Calibri"/>
                <w:color w:val="000000"/>
                <w:sz w:val="21"/>
                <w:szCs w:val="21"/>
              </w:rPr>
            </w:pPr>
            <w:r w:rsidRPr="00FE3EAF">
              <w:rPr>
                <w:rFonts w:eastAsia="Times New Roman"/>
                <w:sz w:val="21"/>
                <w:szCs w:val="21"/>
              </w:rPr>
              <w:t>128*</w:t>
            </w:r>
          </w:p>
        </w:tc>
        <w:tc>
          <w:tcPr>
            <w:tcW w:w="724" w:type="dxa"/>
            <w:tcBorders>
              <w:top w:val="nil"/>
              <w:left w:val="nil"/>
              <w:bottom w:val="nil"/>
              <w:right w:val="nil"/>
            </w:tcBorders>
            <w:tcMar>
              <w:left w:w="58" w:type="dxa"/>
              <w:right w:w="58" w:type="dxa"/>
            </w:tcMar>
            <w:vAlign w:val="center"/>
          </w:tcPr>
          <w:p w14:paraId="7B16D189" w14:textId="04792C20" w:rsidR="00E27267" w:rsidRPr="00FE3EAF" w:rsidRDefault="00E27267" w:rsidP="00E27267">
            <w:pPr>
              <w:spacing w:after="0" w:line="240" w:lineRule="auto"/>
              <w:jc w:val="right"/>
              <w:rPr>
                <w:rFonts w:eastAsia="Times New Roman"/>
                <w:sz w:val="21"/>
                <w:szCs w:val="21"/>
              </w:rPr>
            </w:pPr>
            <w:r w:rsidRPr="00FE3EAF">
              <w:rPr>
                <w:rFonts w:eastAsia="Times New Roman"/>
                <w:sz w:val="21"/>
                <w:szCs w:val="21"/>
              </w:rPr>
              <w:t>15.5</w:t>
            </w:r>
          </w:p>
        </w:tc>
        <w:tc>
          <w:tcPr>
            <w:tcW w:w="716" w:type="dxa"/>
            <w:tcBorders>
              <w:top w:val="nil"/>
              <w:left w:val="nil"/>
              <w:bottom w:val="nil"/>
              <w:right w:val="double" w:sz="4" w:space="0" w:color="auto"/>
            </w:tcBorders>
            <w:shd w:val="clear" w:color="auto" w:fill="auto"/>
            <w:noWrap/>
            <w:tcMar>
              <w:left w:w="58" w:type="dxa"/>
              <w:right w:w="58" w:type="dxa"/>
            </w:tcMar>
            <w:vAlign w:val="center"/>
          </w:tcPr>
          <w:p w14:paraId="6F8B0F7C" w14:textId="576C09E6" w:rsidR="00E27267" w:rsidRPr="00FE3EAF" w:rsidRDefault="00D17B54" w:rsidP="00E27267">
            <w:pPr>
              <w:spacing w:after="0" w:line="240" w:lineRule="auto"/>
              <w:jc w:val="right"/>
              <w:rPr>
                <w:rFonts w:eastAsia="Calibri"/>
                <w:color w:val="000000"/>
                <w:sz w:val="21"/>
                <w:szCs w:val="21"/>
              </w:rPr>
            </w:pPr>
            <w:r>
              <w:rPr>
                <w:rFonts w:eastAsia="Times New Roman"/>
                <w:sz w:val="21"/>
                <w:szCs w:val="21"/>
              </w:rPr>
              <w:t>--</w:t>
            </w:r>
          </w:p>
        </w:tc>
        <w:tc>
          <w:tcPr>
            <w:tcW w:w="4409" w:type="dxa"/>
            <w:tcBorders>
              <w:top w:val="nil"/>
              <w:left w:val="double" w:sz="4" w:space="0" w:color="auto"/>
              <w:bottom w:val="nil"/>
            </w:tcBorders>
            <w:shd w:val="clear" w:color="auto" w:fill="auto"/>
            <w:noWrap/>
            <w:tcMar>
              <w:left w:w="58" w:type="dxa"/>
              <w:right w:w="58" w:type="dxa"/>
            </w:tcMar>
            <w:vAlign w:val="center"/>
          </w:tcPr>
          <w:p w14:paraId="44DDF897" w14:textId="77777777" w:rsidR="00E27267" w:rsidRPr="00FE3EAF" w:rsidRDefault="00E27267" w:rsidP="00E27267">
            <w:pPr>
              <w:spacing w:after="0" w:line="240" w:lineRule="auto"/>
              <w:jc w:val="left"/>
              <w:rPr>
                <w:rFonts w:eastAsia="Times New Roman"/>
                <w:sz w:val="21"/>
                <w:szCs w:val="21"/>
              </w:rPr>
            </w:pPr>
            <w:r w:rsidRPr="00FE3EAF">
              <w:rPr>
                <w:rFonts w:eastAsia="Times New Roman"/>
                <w:sz w:val="21"/>
                <w:szCs w:val="21"/>
              </w:rPr>
              <w:t xml:space="preserve"> Part-time (work </w:t>
            </w:r>
            <w:proofErr w:type="spellStart"/>
            <w:r w:rsidRPr="00FE3EAF">
              <w:rPr>
                <w:rFonts w:eastAsia="Times New Roman"/>
                <w:sz w:val="21"/>
                <w:szCs w:val="21"/>
              </w:rPr>
              <w:t>hrs</w:t>
            </w:r>
            <w:proofErr w:type="spellEnd"/>
            <w:r w:rsidRPr="00FE3EAF">
              <w:rPr>
                <w:rFonts w:eastAsia="Times New Roman"/>
                <w:sz w:val="21"/>
                <w:szCs w:val="21"/>
              </w:rPr>
              <w:t xml:space="preserve"> per week&lt;30), self-employed</w:t>
            </w:r>
          </w:p>
        </w:tc>
        <w:tc>
          <w:tcPr>
            <w:tcW w:w="720" w:type="dxa"/>
            <w:tcBorders>
              <w:top w:val="nil"/>
              <w:left w:val="nil"/>
            </w:tcBorders>
            <w:shd w:val="clear" w:color="auto" w:fill="auto"/>
            <w:noWrap/>
            <w:tcMar>
              <w:left w:w="58" w:type="dxa"/>
              <w:right w:w="58" w:type="dxa"/>
            </w:tcMar>
            <w:vAlign w:val="bottom"/>
          </w:tcPr>
          <w:p w14:paraId="12968C1B" w14:textId="77777777" w:rsidR="00E27267" w:rsidRPr="00FE3EAF" w:rsidRDefault="00E27267" w:rsidP="00E27267">
            <w:pPr>
              <w:spacing w:after="0" w:line="240" w:lineRule="auto"/>
              <w:jc w:val="right"/>
              <w:rPr>
                <w:rFonts w:eastAsia="Times New Roman"/>
                <w:sz w:val="21"/>
                <w:szCs w:val="21"/>
              </w:rPr>
            </w:pPr>
            <w:r w:rsidRPr="00FE3EAF">
              <w:rPr>
                <w:rFonts w:eastAsia="Calibri"/>
                <w:color w:val="000000"/>
                <w:sz w:val="21"/>
                <w:szCs w:val="21"/>
              </w:rPr>
              <w:t>10</w:t>
            </w:r>
          </w:p>
        </w:tc>
        <w:tc>
          <w:tcPr>
            <w:tcW w:w="720" w:type="dxa"/>
            <w:tcBorders>
              <w:left w:val="nil"/>
              <w:right w:val="nil"/>
            </w:tcBorders>
            <w:tcMar>
              <w:left w:w="58" w:type="dxa"/>
              <w:right w:w="58" w:type="dxa"/>
            </w:tcMar>
            <w:vAlign w:val="bottom"/>
          </w:tcPr>
          <w:p w14:paraId="5731826B" w14:textId="67C249CB" w:rsidR="00E27267" w:rsidRPr="00FE3EAF" w:rsidRDefault="00E27267" w:rsidP="00E27267">
            <w:pPr>
              <w:spacing w:after="0" w:line="240" w:lineRule="auto"/>
              <w:jc w:val="right"/>
              <w:rPr>
                <w:rFonts w:eastAsia="Calibri"/>
                <w:color w:val="000000"/>
                <w:sz w:val="21"/>
                <w:szCs w:val="21"/>
              </w:rPr>
            </w:pPr>
            <w:r w:rsidRPr="00FE3EAF">
              <w:rPr>
                <w:rFonts w:eastAsia="Calibri"/>
                <w:color w:val="000000"/>
                <w:sz w:val="21"/>
                <w:szCs w:val="21"/>
              </w:rPr>
              <w:t>1.2</w:t>
            </w:r>
          </w:p>
        </w:tc>
        <w:tc>
          <w:tcPr>
            <w:tcW w:w="632" w:type="dxa"/>
            <w:tcBorders>
              <w:left w:val="nil"/>
              <w:right w:val="double" w:sz="4" w:space="0" w:color="auto"/>
            </w:tcBorders>
            <w:noWrap/>
            <w:tcMar>
              <w:left w:w="58" w:type="dxa"/>
              <w:right w:w="58" w:type="dxa"/>
            </w:tcMar>
            <w:vAlign w:val="bottom"/>
          </w:tcPr>
          <w:p w14:paraId="348993B8" w14:textId="66C4A12E" w:rsidR="00E27267" w:rsidRPr="00FE3EAF" w:rsidRDefault="00D17B54" w:rsidP="00E27267">
            <w:pPr>
              <w:spacing w:after="0" w:line="240" w:lineRule="auto"/>
              <w:jc w:val="right"/>
              <w:rPr>
                <w:rFonts w:eastAsia="Times New Roman"/>
                <w:sz w:val="21"/>
                <w:szCs w:val="21"/>
              </w:rPr>
            </w:pPr>
            <w:r>
              <w:rPr>
                <w:rFonts w:eastAsia="Calibri"/>
                <w:color w:val="000000"/>
                <w:sz w:val="21"/>
                <w:szCs w:val="21"/>
              </w:rPr>
              <w:t>--</w:t>
            </w:r>
          </w:p>
        </w:tc>
      </w:tr>
      <w:tr w:rsidR="00E27267" w:rsidRPr="00FE3EAF" w14:paraId="54428353" w14:textId="77777777" w:rsidTr="00784D3F">
        <w:trPr>
          <w:gridAfter w:val="1"/>
          <w:wAfter w:w="1184" w:type="dxa"/>
          <w:trHeight w:val="20"/>
        </w:trPr>
        <w:tc>
          <w:tcPr>
            <w:tcW w:w="4769" w:type="dxa"/>
            <w:tcBorders>
              <w:top w:val="nil"/>
              <w:left w:val="double" w:sz="6" w:space="0" w:color="auto"/>
              <w:bottom w:val="nil"/>
              <w:right w:val="nil"/>
            </w:tcBorders>
            <w:shd w:val="clear" w:color="auto" w:fill="auto"/>
            <w:noWrap/>
            <w:tcMar>
              <w:left w:w="58" w:type="dxa"/>
              <w:right w:w="58" w:type="dxa"/>
            </w:tcMar>
            <w:vAlign w:val="center"/>
            <w:hideMark/>
          </w:tcPr>
          <w:p w14:paraId="7433973B" w14:textId="77777777" w:rsidR="00E27267" w:rsidRPr="00FE3EAF" w:rsidRDefault="00E27267" w:rsidP="00E27267">
            <w:pPr>
              <w:spacing w:after="0" w:line="240" w:lineRule="auto"/>
              <w:jc w:val="left"/>
              <w:rPr>
                <w:rFonts w:eastAsia="Times New Roman"/>
                <w:sz w:val="21"/>
                <w:szCs w:val="21"/>
              </w:rPr>
            </w:pPr>
            <w:r w:rsidRPr="00FE3EAF">
              <w:rPr>
                <w:rFonts w:eastAsia="Times New Roman"/>
                <w:sz w:val="21"/>
                <w:szCs w:val="21"/>
              </w:rPr>
              <w:t xml:space="preserve"> Child(ren) aged 13 to 17</w:t>
            </w:r>
          </w:p>
        </w:tc>
        <w:tc>
          <w:tcPr>
            <w:tcW w:w="720" w:type="dxa"/>
            <w:tcBorders>
              <w:top w:val="nil"/>
              <w:left w:val="nil"/>
              <w:bottom w:val="nil"/>
              <w:right w:val="nil"/>
            </w:tcBorders>
            <w:shd w:val="clear" w:color="auto" w:fill="auto"/>
            <w:noWrap/>
            <w:tcMar>
              <w:left w:w="58" w:type="dxa"/>
              <w:right w:w="58" w:type="dxa"/>
            </w:tcMar>
            <w:vAlign w:val="center"/>
            <w:hideMark/>
          </w:tcPr>
          <w:p w14:paraId="7A3DA78B" w14:textId="77777777" w:rsidR="00E27267" w:rsidRPr="00FE3EAF" w:rsidRDefault="00E27267" w:rsidP="00E27267">
            <w:pPr>
              <w:spacing w:after="0" w:line="240" w:lineRule="auto"/>
              <w:jc w:val="right"/>
              <w:rPr>
                <w:rFonts w:eastAsia="Calibri"/>
                <w:color w:val="000000"/>
                <w:sz w:val="21"/>
                <w:szCs w:val="21"/>
              </w:rPr>
            </w:pPr>
            <w:r w:rsidRPr="00FE3EAF">
              <w:rPr>
                <w:rFonts w:eastAsia="Times New Roman"/>
                <w:sz w:val="21"/>
                <w:szCs w:val="21"/>
              </w:rPr>
              <w:t>118*</w:t>
            </w:r>
          </w:p>
        </w:tc>
        <w:tc>
          <w:tcPr>
            <w:tcW w:w="724" w:type="dxa"/>
            <w:tcBorders>
              <w:top w:val="nil"/>
              <w:left w:val="nil"/>
              <w:bottom w:val="nil"/>
              <w:right w:val="nil"/>
            </w:tcBorders>
            <w:tcMar>
              <w:left w:w="58" w:type="dxa"/>
              <w:right w:w="58" w:type="dxa"/>
            </w:tcMar>
            <w:vAlign w:val="center"/>
          </w:tcPr>
          <w:p w14:paraId="5DCF188C" w14:textId="379E831E" w:rsidR="00E27267" w:rsidRPr="00FE3EAF" w:rsidRDefault="00E27267" w:rsidP="00E27267">
            <w:pPr>
              <w:spacing w:after="0" w:line="240" w:lineRule="auto"/>
              <w:jc w:val="right"/>
              <w:rPr>
                <w:rFonts w:eastAsia="Times New Roman"/>
                <w:sz w:val="21"/>
                <w:szCs w:val="21"/>
              </w:rPr>
            </w:pPr>
            <w:r w:rsidRPr="00FE3EAF">
              <w:rPr>
                <w:rFonts w:eastAsia="Times New Roman"/>
                <w:sz w:val="21"/>
                <w:szCs w:val="21"/>
              </w:rPr>
              <w:t>14.3</w:t>
            </w:r>
          </w:p>
        </w:tc>
        <w:tc>
          <w:tcPr>
            <w:tcW w:w="716" w:type="dxa"/>
            <w:tcBorders>
              <w:top w:val="nil"/>
              <w:left w:val="nil"/>
              <w:bottom w:val="nil"/>
              <w:right w:val="double" w:sz="4" w:space="0" w:color="auto"/>
            </w:tcBorders>
            <w:shd w:val="clear" w:color="auto" w:fill="auto"/>
            <w:noWrap/>
            <w:tcMar>
              <w:left w:w="58" w:type="dxa"/>
              <w:right w:w="58" w:type="dxa"/>
            </w:tcMar>
            <w:vAlign w:val="center"/>
          </w:tcPr>
          <w:p w14:paraId="2A517C1A" w14:textId="20685FBE" w:rsidR="00E27267" w:rsidRPr="00FE3EAF" w:rsidRDefault="00D17B54" w:rsidP="00E27267">
            <w:pPr>
              <w:spacing w:after="0" w:line="240" w:lineRule="auto"/>
              <w:jc w:val="right"/>
              <w:rPr>
                <w:rFonts w:eastAsia="Calibri"/>
                <w:color w:val="000000"/>
                <w:sz w:val="21"/>
                <w:szCs w:val="21"/>
              </w:rPr>
            </w:pPr>
            <w:r>
              <w:rPr>
                <w:rFonts w:eastAsia="Times New Roman"/>
                <w:sz w:val="21"/>
                <w:szCs w:val="21"/>
              </w:rPr>
              <w:t>--</w:t>
            </w:r>
          </w:p>
        </w:tc>
        <w:tc>
          <w:tcPr>
            <w:tcW w:w="4409" w:type="dxa"/>
            <w:tcBorders>
              <w:top w:val="nil"/>
              <w:left w:val="double" w:sz="4" w:space="0" w:color="auto"/>
            </w:tcBorders>
            <w:shd w:val="clear" w:color="auto" w:fill="auto"/>
            <w:noWrap/>
            <w:tcMar>
              <w:left w:w="58" w:type="dxa"/>
              <w:right w:w="58" w:type="dxa"/>
            </w:tcMar>
            <w:vAlign w:val="center"/>
          </w:tcPr>
          <w:p w14:paraId="1312CDFC" w14:textId="77777777" w:rsidR="00E27267" w:rsidRPr="00FE3EAF" w:rsidRDefault="00E27267" w:rsidP="00E27267">
            <w:pPr>
              <w:spacing w:after="0" w:line="240" w:lineRule="auto"/>
              <w:jc w:val="left"/>
              <w:rPr>
                <w:rFonts w:eastAsia="Times New Roman"/>
                <w:sz w:val="21"/>
                <w:szCs w:val="21"/>
              </w:rPr>
            </w:pPr>
            <w:r w:rsidRPr="00FE3EAF">
              <w:rPr>
                <w:rFonts w:eastAsia="Times New Roman"/>
                <w:sz w:val="21"/>
                <w:szCs w:val="21"/>
              </w:rPr>
              <w:t xml:space="preserve"> Full-time, not self-employed</w:t>
            </w:r>
          </w:p>
        </w:tc>
        <w:tc>
          <w:tcPr>
            <w:tcW w:w="720" w:type="dxa"/>
            <w:tcBorders>
              <w:top w:val="nil"/>
              <w:left w:val="nil"/>
            </w:tcBorders>
            <w:shd w:val="clear" w:color="auto" w:fill="auto"/>
            <w:tcMar>
              <w:left w:w="58" w:type="dxa"/>
              <w:right w:w="58" w:type="dxa"/>
            </w:tcMar>
            <w:vAlign w:val="bottom"/>
          </w:tcPr>
          <w:p w14:paraId="5374FC89" w14:textId="77777777" w:rsidR="00E27267" w:rsidRPr="00FE3EAF" w:rsidRDefault="00E27267" w:rsidP="00E27267">
            <w:pPr>
              <w:spacing w:after="0" w:line="240" w:lineRule="auto"/>
              <w:jc w:val="right"/>
              <w:rPr>
                <w:rFonts w:eastAsia="Calibri"/>
                <w:color w:val="000000"/>
                <w:sz w:val="21"/>
                <w:szCs w:val="21"/>
              </w:rPr>
            </w:pPr>
            <w:r w:rsidRPr="00FE3EAF">
              <w:rPr>
                <w:rFonts w:eastAsia="Calibri"/>
                <w:color w:val="000000"/>
                <w:sz w:val="21"/>
                <w:szCs w:val="21"/>
              </w:rPr>
              <w:t>682</w:t>
            </w:r>
          </w:p>
        </w:tc>
        <w:tc>
          <w:tcPr>
            <w:tcW w:w="720" w:type="dxa"/>
            <w:tcBorders>
              <w:top w:val="nil"/>
              <w:left w:val="nil"/>
              <w:right w:val="nil"/>
            </w:tcBorders>
            <w:tcMar>
              <w:left w:w="58" w:type="dxa"/>
              <w:right w:w="58" w:type="dxa"/>
            </w:tcMar>
            <w:vAlign w:val="bottom"/>
          </w:tcPr>
          <w:p w14:paraId="4313355C" w14:textId="2395D4B4" w:rsidR="00E27267" w:rsidRPr="00FE3EAF" w:rsidRDefault="00E27267" w:rsidP="00E27267">
            <w:pPr>
              <w:spacing w:after="0" w:line="240" w:lineRule="auto"/>
              <w:jc w:val="right"/>
              <w:rPr>
                <w:rFonts w:eastAsia="Calibri"/>
                <w:color w:val="000000"/>
                <w:sz w:val="21"/>
                <w:szCs w:val="21"/>
              </w:rPr>
            </w:pPr>
            <w:r w:rsidRPr="00FE3EAF">
              <w:rPr>
                <w:rFonts w:eastAsia="Calibri"/>
                <w:color w:val="000000"/>
                <w:sz w:val="21"/>
                <w:szCs w:val="21"/>
              </w:rPr>
              <w:t>82.8</w:t>
            </w:r>
          </w:p>
        </w:tc>
        <w:tc>
          <w:tcPr>
            <w:tcW w:w="632" w:type="dxa"/>
            <w:tcBorders>
              <w:top w:val="nil"/>
              <w:left w:val="nil"/>
              <w:bottom w:val="nil"/>
              <w:right w:val="double" w:sz="4" w:space="0" w:color="auto"/>
            </w:tcBorders>
            <w:shd w:val="clear" w:color="auto" w:fill="auto"/>
            <w:noWrap/>
            <w:tcMar>
              <w:left w:w="58" w:type="dxa"/>
              <w:right w:w="58" w:type="dxa"/>
            </w:tcMar>
            <w:vAlign w:val="bottom"/>
          </w:tcPr>
          <w:p w14:paraId="4A08F241" w14:textId="5F2DC36E" w:rsidR="00E27267" w:rsidRPr="00FE3EAF" w:rsidRDefault="00D17B54" w:rsidP="00E27267">
            <w:pPr>
              <w:spacing w:after="0" w:line="240" w:lineRule="auto"/>
              <w:jc w:val="right"/>
              <w:rPr>
                <w:rFonts w:eastAsia="Calibri"/>
                <w:color w:val="000000"/>
                <w:sz w:val="21"/>
                <w:szCs w:val="21"/>
              </w:rPr>
            </w:pPr>
            <w:r>
              <w:rPr>
                <w:rFonts w:eastAsia="Calibri"/>
                <w:color w:val="000000"/>
                <w:sz w:val="21"/>
                <w:szCs w:val="21"/>
              </w:rPr>
              <w:t>--</w:t>
            </w:r>
          </w:p>
        </w:tc>
      </w:tr>
      <w:tr w:rsidR="00E27267" w:rsidRPr="00FE3EAF" w14:paraId="6BDF7AFF" w14:textId="77777777" w:rsidTr="00784D3F">
        <w:trPr>
          <w:gridAfter w:val="1"/>
          <w:wAfter w:w="1184" w:type="dxa"/>
          <w:trHeight w:val="20"/>
        </w:trPr>
        <w:tc>
          <w:tcPr>
            <w:tcW w:w="4769" w:type="dxa"/>
            <w:tcBorders>
              <w:top w:val="nil"/>
              <w:left w:val="double" w:sz="6" w:space="0" w:color="auto"/>
              <w:bottom w:val="nil"/>
              <w:right w:val="nil"/>
            </w:tcBorders>
            <w:shd w:val="clear" w:color="auto" w:fill="auto"/>
            <w:noWrap/>
            <w:tcMar>
              <w:left w:w="58" w:type="dxa"/>
              <w:right w:w="58" w:type="dxa"/>
            </w:tcMar>
            <w:vAlign w:val="center"/>
          </w:tcPr>
          <w:p w14:paraId="16B4ED95" w14:textId="77777777" w:rsidR="00E27267" w:rsidRPr="00FE3EAF" w:rsidRDefault="00E27267" w:rsidP="00E27267">
            <w:pPr>
              <w:spacing w:after="0" w:line="240" w:lineRule="auto"/>
              <w:jc w:val="left"/>
              <w:rPr>
                <w:rFonts w:eastAsia="Times New Roman"/>
                <w:sz w:val="21"/>
                <w:szCs w:val="21"/>
              </w:rPr>
            </w:pPr>
            <w:r w:rsidRPr="00FE3EAF">
              <w:rPr>
                <w:rFonts w:eastAsia="Times New Roman"/>
                <w:b/>
                <w:bCs/>
                <w:sz w:val="21"/>
                <w:szCs w:val="21"/>
              </w:rPr>
              <w:t xml:space="preserve"> Household structure</w:t>
            </w:r>
          </w:p>
        </w:tc>
        <w:tc>
          <w:tcPr>
            <w:tcW w:w="720" w:type="dxa"/>
            <w:tcBorders>
              <w:top w:val="nil"/>
              <w:left w:val="nil"/>
              <w:bottom w:val="nil"/>
              <w:right w:val="nil"/>
            </w:tcBorders>
            <w:shd w:val="clear" w:color="auto" w:fill="auto"/>
            <w:noWrap/>
            <w:tcMar>
              <w:left w:w="58" w:type="dxa"/>
              <w:right w:w="58" w:type="dxa"/>
            </w:tcMar>
            <w:vAlign w:val="center"/>
          </w:tcPr>
          <w:p w14:paraId="360B2C38" w14:textId="77777777" w:rsidR="00E27267" w:rsidRPr="00FE3EAF" w:rsidRDefault="00E27267" w:rsidP="00E27267">
            <w:pPr>
              <w:spacing w:after="0" w:line="240" w:lineRule="auto"/>
              <w:jc w:val="right"/>
              <w:rPr>
                <w:rFonts w:eastAsia="Times New Roman"/>
                <w:sz w:val="21"/>
                <w:szCs w:val="21"/>
              </w:rPr>
            </w:pPr>
          </w:p>
        </w:tc>
        <w:tc>
          <w:tcPr>
            <w:tcW w:w="724" w:type="dxa"/>
            <w:tcBorders>
              <w:top w:val="nil"/>
              <w:left w:val="nil"/>
              <w:bottom w:val="nil"/>
              <w:right w:val="nil"/>
            </w:tcBorders>
            <w:tcMar>
              <w:left w:w="58" w:type="dxa"/>
              <w:right w:w="58" w:type="dxa"/>
            </w:tcMar>
            <w:vAlign w:val="center"/>
          </w:tcPr>
          <w:p w14:paraId="744EF1C0" w14:textId="77777777" w:rsidR="00E27267" w:rsidRPr="00FE3EAF" w:rsidRDefault="00E27267" w:rsidP="00E27267">
            <w:pPr>
              <w:spacing w:after="0" w:line="240" w:lineRule="auto"/>
              <w:jc w:val="right"/>
              <w:rPr>
                <w:rFonts w:eastAsia="Times New Roman"/>
                <w:sz w:val="21"/>
                <w:szCs w:val="21"/>
              </w:rPr>
            </w:pPr>
          </w:p>
        </w:tc>
        <w:tc>
          <w:tcPr>
            <w:tcW w:w="716" w:type="dxa"/>
            <w:tcBorders>
              <w:top w:val="nil"/>
              <w:left w:val="nil"/>
              <w:bottom w:val="nil"/>
              <w:right w:val="double" w:sz="4" w:space="0" w:color="auto"/>
            </w:tcBorders>
            <w:shd w:val="clear" w:color="auto" w:fill="auto"/>
            <w:noWrap/>
            <w:tcMar>
              <w:left w:w="58" w:type="dxa"/>
              <w:right w:w="58" w:type="dxa"/>
            </w:tcMar>
            <w:vAlign w:val="center"/>
          </w:tcPr>
          <w:p w14:paraId="65AC37EF" w14:textId="6CEDA7E5" w:rsidR="00E27267" w:rsidRPr="00FE3EAF" w:rsidRDefault="00E27267" w:rsidP="00E27267">
            <w:pPr>
              <w:spacing w:after="0" w:line="240" w:lineRule="auto"/>
              <w:jc w:val="right"/>
              <w:rPr>
                <w:rFonts w:eastAsia="Times New Roman"/>
                <w:sz w:val="21"/>
                <w:szCs w:val="21"/>
              </w:rPr>
            </w:pPr>
          </w:p>
        </w:tc>
        <w:tc>
          <w:tcPr>
            <w:tcW w:w="4409" w:type="dxa"/>
            <w:tcBorders>
              <w:top w:val="nil"/>
              <w:left w:val="double" w:sz="4" w:space="0" w:color="auto"/>
              <w:right w:val="nil"/>
            </w:tcBorders>
            <w:shd w:val="clear" w:color="auto" w:fill="auto"/>
            <w:noWrap/>
            <w:tcMar>
              <w:left w:w="58" w:type="dxa"/>
              <w:right w:w="58" w:type="dxa"/>
            </w:tcMar>
            <w:vAlign w:val="center"/>
          </w:tcPr>
          <w:p w14:paraId="1AEAB2A1" w14:textId="77777777" w:rsidR="00E27267" w:rsidRPr="00FE3EAF" w:rsidRDefault="00E27267" w:rsidP="00E27267">
            <w:pPr>
              <w:spacing w:after="0" w:line="240" w:lineRule="auto"/>
              <w:jc w:val="left"/>
              <w:rPr>
                <w:rFonts w:eastAsia="Times New Roman"/>
                <w:sz w:val="21"/>
                <w:szCs w:val="21"/>
              </w:rPr>
            </w:pPr>
            <w:r w:rsidRPr="00FE3EAF">
              <w:rPr>
                <w:rFonts w:eastAsia="Times New Roman"/>
                <w:sz w:val="21"/>
                <w:szCs w:val="21"/>
              </w:rPr>
              <w:t xml:space="preserve"> Part-time, not self-employed</w:t>
            </w:r>
          </w:p>
        </w:tc>
        <w:tc>
          <w:tcPr>
            <w:tcW w:w="720" w:type="dxa"/>
            <w:tcBorders>
              <w:top w:val="nil"/>
              <w:left w:val="nil"/>
              <w:right w:val="nil"/>
            </w:tcBorders>
            <w:shd w:val="clear" w:color="auto" w:fill="auto"/>
            <w:noWrap/>
            <w:tcMar>
              <w:left w:w="58" w:type="dxa"/>
              <w:right w:w="58" w:type="dxa"/>
            </w:tcMar>
            <w:vAlign w:val="bottom"/>
          </w:tcPr>
          <w:p w14:paraId="38D3860F" w14:textId="77777777" w:rsidR="00E27267" w:rsidRPr="00FE3EAF" w:rsidRDefault="00E27267" w:rsidP="00E27267">
            <w:pPr>
              <w:spacing w:after="0" w:line="240" w:lineRule="auto"/>
              <w:jc w:val="right"/>
              <w:rPr>
                <w:rFonts w:eastAsia="Calibri"/>
                <w:color w:val="000000"/>
                <w:sz w:val="21"/>
                <w:szCs w:val="21"/>
              </w:rPr>
            </w:pPr>
            <w:r w:rsidRPr="00FE3EAF">
              <w:rPr>
                <w:rFonts w:eastAsia="Calibri"/>
                <w:color w:val="000000"/>
                <w:sz w:val="21"/>
                <w:szCs w:val="21"/>
              </w:rPr>
              <w:t>26</w:t>
            </w:r>
          </w:p>
        </w:tc>
        <w:tc>
          <w:tcPr>
            <w:tcW w:w="720" w:type="dxa"/>
            <w:tcBorders>
              <w:top w:val="nil"/>
              <w:left w:val="nil"/>
              <w:right w:val="nil"/>
            </w:tcBorders>
            <w:tcMar>
              <w:left w:w="58" w:type="dxa"/>
              <w:right w:w="58" w:type="dxa"/>
            </w:tcMar>
            <w:vAlign w:val="bottom"/>
          </w:tcPr>
          <w:p w14:paraId="4D9B73F3" w14:textId="460DBCB4" w:rsidR="00E27267" w:rsidRPr="00FE3EAF" w:rsidRDefault="00E27267" w:rsidP="00E27267">
            <w:pPr>
              <w:spacing w:after="0" w:line="240" w:lineRule="auto"/>
              <w:jc w:val="right"/>
              <w:rPr>
                <w:rFonts w:eastAsia="Calibri"/>
                <w:color w:val="000000"/>
                <w:sz w:val="21"/>
                <w:szCs w:val="21"/>
              </w:rPr>
            </w:pPr>
            <w:r w:rsidRPr="00FE3EAF">
              <w:rPr>
                <w:rFonts w:eastAsia="Calibri"/>
                <w:color w:val="000000"/>
                <w:sz w:val="21"/>
                <w:szCs w:val="21"/>
              </w:rPr>
              <w:t>3.2</w:t>
            </w:r>
          </w:p>
        </w:tc>
        <w:tc>
          <w:tcPr>
            <w:tcW w:w="632" w:type="dxa"/>
            <w:tcBorders>
              <w:top w:val="nil"/>
              <w:left w:val="nil"/>
              <w:right w:val="double" w:sz="4" w:space="0" w:color="auto"/>
            </w:tcBorders>
            <w:shd w:val="clear" w:color="auto" w:fill="auto"/>
            <w:noWrap/>
            <w:tcMar>
              <w:left w:w="58" w:type="dxa"/>
              <w:right w:w="58" w:type="dxa"/>
            </w:tcMar>
            <w:vAlign w:val="bottom"/>
          </w:tcPr>
          <w:p w14:paraId="25CAB070" w14:textId="79AF30C5" w:rsidR="00E27267" w:rsidRPr="00FE3EAF" w:rsidRDefault="00D17B54" w:rsidP="00E27267">
            <w:pPr>
              <w:spacing w:after="0" w:line="240" w:lineRule="auto"/>
              <w:jc w:val="right"/>
              <w:rPr>
                <w:rFonts w:eastAsia="Calibri"/>
                <w:color w:val="000000"/>
                <w:sz w:val="21"/>
                <w:szCs w:val="21"/>
              </w:rPr>
            </w:pPr>
            <w:r>
              <w:rPr>
                <w:rFonts w:eastAsia="Calibri"/>
                <w:color w:val="000000"/>
                <w:sz w:val="21"/>
                <w:szCs w:val="21"/>
              </w:rPr>
              <w:t>--</w:t>
            </w:r>
          </w:p>
        </w:tc>
      </w:tr>
      <w:tr w:rsidR="00E27267" w:rsidRPr="00FE3EAF" w14:paraId="09659900" w14:textId="77777777" w:rsidTr="00784D3F">
        <w:trPr>
          <w:gridAfter w:val="1"/>
          <w:wAfter w:w="1184" w:type="dxa"/>
          <w:trHeight w:val="20"/>
        </w:trPr>
        <w:tc>
          <w:tcPr>
            <w:tcW w:w="4769" w:type="dxa"/>
            <w:tcBorders>
              <w:top w:val="nil"/>
              <w:left w:val="double" w:sz="6" w:space="0" w:color="auto"/>
              <w:bottom w:val="nil"/>
              <w:right w:val="nil"/>
            </w:tcBorders>
            <w:shd w:val="clear" w:color="auto" w:fill="auto"/>
            <w:noWrap/>
            <w:tcMar>
              <w:left w:w="58" w:type="dxa"/>
              <w:right w:w="58" w:type="dxa"/>
            </w:tcMar>
            <w:vAlign w:val="center"/>
          </w:tcPr>
          <w:p w14:paraId="777E7F52" w14:textId="77777777" w:rsidR="00E27267" w:rsidRPr="00FE3EAF" w:rsidRDefault="00E27267" w:rsidP="00E27267">
            <w:pPr>
              <w:spacing w:after="0" w:line="240" w:lineRule="auto"/>
              <w:jc w:val="left"/>
              <w:rPr>
                <w:rFonts w:eastAsia="Times New Roman"/>
                <w:sz w:val="21"/>
                <w:szCs w:val="21"/>
              </w:rPr>
            </w:pPr>
            <w:r w:rsidRPr="00FE3EAF">
              <w:rPr>
                <w:rFonts w:eastAsia="Times New Roman"/>
                <w:bCs/>
                <w:sz w:val="21"/>
                <w:szCs w:val="21"/>
              </w:rPr>
              <w:t xml:space="preserve"> Lives alone</w:t>
            </w:r>
          </w:p>
        </w:tc>
        <w:tc>
          <w:tcPr>
            <w:tcW w:w="720" w:type="dxa"/>
            <w:tcBorders>
              <w:top w:val="nil"/>
              <w:left w:val="nil"/>
              <w:bottom w:val="nil"/>
              <w:right w:val="nil"/>
            </w:tcBorders>
            <w:shd w:val="clear" w:color="auto" w:fill="auto"/>
            <w:noWrap/>
            <w:tcMar>
              <w:left w:w="58" w:type="dxa"/>
              <w:right w:w="58" w:type="dxa"/>
            </w:tcMar>
            <w:vAlign w:val="center"/>
          </w:tcPr>
          <w:p w14:paraId="4AE76234" w14:textId="77777777" w:rsidR="00E27267" w:rsidRPr="00FE3EAF" w:rsidRDefault="00E27267" w:rsidP="00E27267">
            <w:pPr>
              <w:spacing w:after="0" w:line="240" w:lineRule="auto"/>
              <w:jc w:val="right"/>
              <w:rPr>
                <w:rFonts w:eastAsia="Times New Roman"/>
                <w:sz w:val="21"/>
                <w:szCs w:val="21"/>
              </w:rPr>
            </w:pPr>
            <w:r w:rsidRPr="00FE3EAF">
              <w:rPr>
                <w:rFonts w:eastAsia="Times New Roman"/>
                <w:bCs/>
                <w:sz w:val="21"/>
                <w:szCs w:val="21"/>
              </w:rPr>
              <w:t>106</w:t>
            </w:r>
          </w:p>
        </w:tc>
        <w:tc>
          <w:tcPr>
            <w:tcW w:w="724" w:type="dxa"/>
            <w:tcBorders>
              <w:top w:val="nil"/>
              <w:left w:val="nil"/>
              <w:bottom w:val="nil"/>
              <w:right w:val="nil"/>
            </w:tcBorders>
            <w:tcMar>
              <w:left w:w="58" w:type="dxa"/>
              <w:right w:w="58" w:type="dxa"/>
            </w:tcMar>
            <w:vAlign w:val="center"/>
          </w:tcPr>
          <w:p w14:paraId="157E6CA6" w14:textId="5718F847" w:rsidR="00E27267" w:rsidRPr="00FE3EAF" w:rsidRDefault="00E27267" w:rsidP="00E27267">
            <w:pPr>
              <w:spacing w:after="0" w:line="240" w:lineRule="auto"/>
              <w:jc w:val="right"/>
              <w:rPr>
                <w:rFonts w:eastAsia="Times New Roman"/>
                <w:sz w:val="21"/>
                <w:szCs w:val="21"/>
              </w:rPr>
            </w:pPr>
            <w:r w:rsidRPr="00FE3EAF">
              <w:rPr>
                <w:rFonts w:eastAsia="Times New Roman"/>
                <w:sz w:val="21"/>
                <w:szCs w:val="21"/>
              </w:rPr>
              <w:t>12.9</w:t>
            </w:r>
          </w:p>
        </w:tc>
        <w:tc>
          <w:tcPr>
            <w:tcW w:w="716" w:type="dxa"/>
            <w:tcBorders>
              <w:top w:val="nil"/>
              <w:left w:val="nil"/>
              <w:bottom w:val="nil"/>
              <w:right w:val="double" w:sz="4" w:space="0" w:color="auto"/>
            </w:tcBorders>
            <w:shd w:val="clear" w:color="auto" w:fill="auto"/>
            <w:noWrap/>
            <w:tcMar>
              <w:left w:w="58" w:type="dxa"/>
              <w:right w:w="58" w:type="dxa"/>
            </w:tcMar>
            <w:vAlign w:val="center"/>
          </w:tcPr>
          <w:p w14:paraId="29AF30A5" w14:textId="50EEDF4A" w:rsidR="00E27267" w:rsidRPr="00FE3EAF" w:rsidRDefault="00D17B54" w:rsidP="00E27267">
            <w:pPr>
              <w:spacing w:after="0" w:line="240" w:lineRule="auto"/>
              <w:jc w:val="right"/>
              <w:rPr>
                <w:rFonts w:eastAsia="Times New Roman"/>
                <w:sz w:val="21"/>
                <w:szCs w:val="21"/>
              </w:rPr>
            </w:pPr>
            <w:r>
              <w:rPr>
                <w:rFonts w:eastAsia="Times New Roman"/>
                <w:sz w:val="21"/>
                <w:szCs w:val="21"/>
              </w:rPr>
              <w:t>--</w:t>
            </w:r>
          </w:p>
        </w:tc>
        <w:tc>
          <w:tcPr>
            <w:tcW w:w="4409" w:type="dxa"/>
            <w:tcBorders>
              <w:top w:val="nil"/>
              <w:left w:val="double" w:sz="4" w:space="0" w:color="auto"/>
              <w:right w:val="nil"/>
            </w:tcBorders>
            <w:shd w:val="clear" w:color="auto" w:fill="auto"/>
            <w:noWrap/>
            <w:tcMar>
              <w:left w:w="58" w:type="dxa"/>
              <w:right w:w="58" w:type="dxa"/>
            </w:tcMar>
            <w:vAlign w:val="bottom"/>
          </w:tcPr>
          <w:p w14:paraId="40E9F5EB" w14:textId="77777777" w:rsidR="00E27267" w:rsidRPr="00FE3EAF" w:rsidRDefault="00E27267" w:rsidP="00E27267">
            <w:pPr>
              <w:spacing w:after="0" w:line="240" w:lineRule="auto"/>
              <w:jc w:val="left"/>
              <w:rPr>
                <w:rFonts w:eastAsia="Times New Roman"/>
                <w:sz w:val="21"/>
                <w:szCs w:val="21"/>
              </w:rPr>
            </w:pPr>
            <w:r w:rsidRPr="00FE3EAF">
              <w:rPr>
                <w:rFonts w:eastAsia="Times New Roman"/>
                <w:sz w:val="21"/>
                <w:szCs w:val="21"/>
              </w:rPr>
              <w:t xml:space="preserve"> </w:t>
            </w:r>
            <w:r w:rsidRPr="00FE3EAF">
              <w:rPr>
                <w:rFonts w:eastAsia="Times New Roman"/>
                <w:b/>
                <w:bCs/>
                <w:sz w:val="21"/>
                <w:szCs w:val="21"/>
              </w:rPr>
              <w:t>Number of Work Days per Month</w:t>
            </w:r>
          </w:p>
        </w:tc>
        <w:tc>
          <w:tcPr>
            <w:tcW w:w="720" w:type="dxa"/>
            <w:tcBorders>
              <w:top w:val="nil"/>
              <w:left w:val="nil"/>
              <w:right w:val="nil"/>
            </w:tcBorders>
            <w:shd w:val="clear" w:color="auto" w:fill="auto"/>
            <w:noWrap/>
            <w:tcMar>
              <w:left w:w="58" w:type="dxa"/>
              <w:right w:w="58" w:type="dxa"/>
            </w:tcMar>
            <w:vAlign w:val="bottom"/>
          </w:tcPr>
          <w:p w14:paraId="6A8C1940" w14:textId="77777777" w:rsidR="00E27267" w:rsidRPr="00FE3EAF" w:rsidRDefault="00E27267" w:rsidP="00E27267">
            <w:pPr>
              <w:spacing w:after="0" w:line="240" w:lineRule="auto"/>
              <w:jc w:val="right"/>
              <w:rPr>
                <w:rFonts w:eastAsia="Calibri"/>
                <w:color w:val="000000"/>
                <w:sz w:val="21"/>
                <w:szCs w:val="21"/>
              </w:rPr>
            </w:pPr>
          </w:p>
        </w:tc>
        <w:tc>
          <w:tcPr>
            <w:tcW w:w="720" w:type="dxa"/>
            <w:tcBorders>
              <w:top w:val="nil"/>
              <w:left w:val="nil"/>
              <w:right w:val="nil"/>
            </w:tcBorders>
            <w:tcMar>
              <w:left w:w="58" w:type="dxa"/>
              <w:right w:w="58" w:type="dxa"/>
            </w:tcMar>
            <w:vAlign w:val="bottom"/>
          </w:tcPr>
          <w:p w14:paraId="4A2904E9" w14:textId="77777777" w:rsidR="00E27267" w:rsidRPr="00FE3EAF" w:rsidRDefault="00E27267" w:rsidP="00E27267">
            <w:pPr>
              <w:spacing w:after="0" w:line="240" w:lineRule="auto"/>
              <w:jc w:val="right"/>
              <w:rPr>
                <w:rFonts w:eastAsia="Calibri"/>
                <w:color w:val="000000"/>
                <w:sz w:val="21"/>
                <w:szCs w:val="21"/>
              </w:rPr>
            </w:pPr>
          </w:p>
        </w:tc>
        <w:tc>
          <w:tcPr>
            <w:tcW w:w="632" w:type="dxa"/>
            <w:tcBorders>
              <w:top w:val="nil"/>
              <w:left w:val="nil"/>
              <w:right w:val="double" w:sz="4" w:space="0" w:color="auto"/>
            </w:tcBorders>
            <w:shd w:val="clear" w:color="auto" w:fill="auto"/>
            <w:noWrap/>
            <w:tcMar>
              <w:left w:w="58" w:type="dxa"/>
              <w:right w:w="58" w:type="dxa"/>
            </w:tcMar>
            <w:vAlign w:val="bottom"/>
          </w:tcPr>
          <w:p w14:paraId="1BB1A723" w14:textId="5FBBFEC0" w:rsidR="00E27267" w:rsidRPr="00FE3EAF" w:rsidRDefault="00E27267" w:rsidP="00E27267">
            <w:pPr>
              <w:spacing w:after="0" w:line="240" w:lineRule="auto"/>
              <w:jc w:val="right"/>
              <w:rPr>
                <w:rFonts w:eastAsia="Calibri"/>
                <w:color w:val="000000"/>
                <w:sz w:val="21"/>
                <w:szCs w:val="21"/>
              </w:rPr>
            </w:pPr>
          </w:p>
        </w:tc>
      </w:tr>
      <w:tr w:rsidR="00E27267" w:rsidRPr="00FE3EAF" w14:paraId="00DA5DBC" w14:textId="77777777" w:rsidTr="00784D3F">
        <w:trPr>
          <w:gridAfter w:val="1"/>
          <w:wAfter w:w="1184" w:type="dxa"/>
          <w:trHeight w:val="20"/>
        </w:trPr>
        <w:tc>
          <w:tcPr>
            <w:tcW w:w="4769" w:type="dxa"/>
            <w:tcBorders>
              <w:top w:val="nil"/>
              <w:left w:val="double" w:sz="6" w:space="0" w:color="auto"/>
              <w:bottom w:val="nil"/>
              <w:right w:val="nil"/>
            </w:tcBorders>
            <w:shd w:val="clear" w:color="auto" w:fill="auto"/>
            <w:noWrap/>
            <w:tcMar>
              <w:left w:w="58" w:type="dxa"/>
              <w:right w:w="58" w:type="dxa"/>
            </w:tcMar>
            <w:vAlign w:val="center"/>
          </w:tcPr>
          <w:p w14:paraId="19AB39B8" w14:textId="77777777" w:rsidR="00E27267" w:rsidRPr="00FE3EAF" w:rsidRDefault="00E27267" w:rsidP="00E27267">
            <w:pPr>
              <w:spacing w:after="0" w:line="240" w:lineRule="auto"/>
              <w:jc w:val="left"/>
              <w:rPr>
                <w:rFonts w:eastAsia="Times New Roman"/>
                <w:sz w:val="21"/>
                <w:szCs w:val="21"/>
              </w:rPr>
            </w:pPr>
            <w:r w:rsidRPr="00FE3EAF">
              <w:rPr>
                <w:rFonts w:eastAsia="Times New Roman"/>
                <w:sz w:val="21"/>
                <w:szCs w:val="21"/>
              </w:rPr>
              <w:t xml:space="preserve"> Does not live with partner or alone and has no kids</w:t>
            </w:r>
          </w:p>
        </w:tc>
        <w:tc>
          <w:tcPr>
            <w:tcW w:w="720" w:type="dxa"/>
            <w:tcBorders>
              <w:top w:val="nil"/>
              <w:left w:val="nil"/>
              <w:bottom w:val="nil"/>
              <w:right w:val="nil"/>
            </w:tcBorders>
            <w:shd w:val="clear" w:color="auto" w:fill="auto"/>
            <w:noWrap/>
            <w:tcMar>
              <w:left w:w="58" w:type="dxa"/>
              <w:right w:w="58" w:type="dxa"/>
            </w:tcMar>
            <w:vAlign w:val="center"/>
          </w:tcPr>
          <w:p w14:paraId="58D1FB78" w14:textId="77777777" w:rsidR="00E27267" w:rsidRPr="00FE3EAF" w:rsidRDefault="00E27267" w:rsidP="00E27267">
            <w:pPr>
              <w:spacing w:after="0" w:line="240" w:lineRule="auto"/>
              <w:jc w:val="right"/>
              <w:rPr>
                <w:rFonts w:eastAsia="Times New Roman"/>
                <w:sz w:val="21"/>
                <w:szCs w:val="21"/>
              </w:rPr>
            </w:pPr>
            <w:r w:rsidRPr="00FE3EAF">
              <w:rPr>
                <w:rFonts w:eastAsia="Times New Roman"/>
                <w:bCs/>
                <w:sz w:val="21"/>
                <w:szCs w:val="21"/>
              </w:rPr>
              <w:t>106</w:t>
            </w:r>
          </w:p>
        </w:tc>
        <w:tc>
          <w:tcPr>
            <w:tcW w:w="724" w:type="dxa"/>
            <w:tcBorders>
              <w:top w:val="nil"/>
              <w:left w:val="nil"/>
              <w:bottom w:val="nil"/>
              <w:right w:val="nil"/>
            </w:tcBorders>
            <w:tcMar>
              <w:left w:w="58" w:type="dxa"/>
              <w:right w:w="58" w:type="dxa"/>
            </w:tcMar>
            <w:vAlign w:val="center"/>
          </w:tcPr>
          <w:p w14:paraId="57D843DA" w14:textId="73F9A896" w:rsidR="00E27267" w:rsidRPr="00FE3EAF" w:rsidRDefault="00E27267" w:rsidP="00E27267">
            <w:pPr>
              <w:spacing w:after="0" w:line="240" w:lineRule="auto"/>
              <w:jc w:val="right"/>
              <w:rPr>
                <w:rFonts w:eastAsia="Times New Roman"/>
                <w:bCs/>
                <w:sz w:val="21"/>
                <w:szCs w:val="21"/>
              </w:rPr>
            </w:pPr>
            <w:r w:rsidRPr="00FE3EAF">
              <w:rPr>
                <w:rFonts w:eastAsia="Times New Roman"/>
                <w:bCs/>
                <w:sz w:val="21"/>
                <w:szCs w:val="21"/>
              </w:rPr>
              <w:t>12.9</w:t>
            </w:r>
          </w:p>
        </w:tc>
        <w:tc>
          <w:tcPr>
            <w:tcW w:w="716" w:type="dxa"/>
            <w:tcBorders>
              <w:top w:val="nil"/>
              <w:left w:val="nil"/>
              <w:bottom w:val="nil"/>
              <w:right w:val="double" w:sz="4" w:space="0" w:color="auto"/>
            </w:tcBorders>
            <w:shd w:val="clear" w:color="auto" w:fill="auto"/>
            <w:noWrap/>
            <w:tcMar>
              <w:left w:w="58" w:type="dxa"/>
              <w:right w:w="58" w:type="dxa"/>
            </w:tcMar>
            <w:vAlign w:val="center"/>
          </w:tcPr>
          <w:p w14:paraId="0AA90A35" w14:textId="76F8FF1C" w:rsidR="00E27267" w:rsidRPr="00FE3EAF" w:rsidRDefault="00D17B54" w:rsidP="00E27267">
            <w:pPr>
              <w:spacing w:after="0" w:line="240" w:lineRule="auto"/>
              <w:jc w:val="right"/>
              <w:rPr>
                <w:rFonts w:eastAsia="Times New Roman"/>
                <w:sz w:val="21"/>
                <w:szCs w:val="21"/>
              </w:rPr>
            </w:pPr>
            <w:r>
              <w:rPr>
                <w:rFonts w:eastAsia="Times New Roman"/>
                <w:bCs/>
                <w:sz w:val="21"/>
                <w:szCs w:val="21"/>
              </w:rPr>
              <w:t>--</w:t>
            </w:r>
          </w:p>
        </w:tc>
        <w:tc>
          <w:tcPr>
            <w:tcW w:w="4409" w:type="dxa"/>
            <w:tcBorders>
              <w:top w:val="nil"/>
              <w:left w:val="double" w:sz="4" w:space="0" w:color="auto"/>
              <w:right w:val="nil"/>
            </w:tcBorders>
            <w:shd w:val="clear" w:color="auto" w:fill="auto"/>
            <w:noWrap/>
            <w:tcMar>
              <w:left w:w="58" w:type="dxa"/>
              <w:right w:w="58" w:type="dxa"/>
            </w:tcMar>
            <w:vAlign w:val="bottom"/>
          </w:tcPr>
          <w:p w14:paraId="11F93E0B" w14:textId="77777777" w:rsidR="00E27267" w:rsidRPr="00FE3EAF" w:rsidRDefault="00E27267" w:rsidP="00E27267">
            <w:pPr>
              <w:spacing w:after="0" w:line="240" w:lineRule="auto"/>
              <w:jc w:val="left"/>
              <w:rPr>
                <w:rFonts w:eastAsia="Times New Roman"/>
                <w:sz w:val="21"/>
                <w:szCs w:val="21"/>
              </w:rPr>
            </w:pPr>
            <w:r w:rsidRPr="00FE3EAF">
              <w:rPr>
                <w:rFonts w:eastAsia="Times New Roman"/>
                <w:sz w:val="21"/>
                <w:szCs w:val="21"/>
              </w:rPr>
              <w:t xml:space="preserve"> 1-5 days</w:t>
            </w:r>
          </w:p>
        </w:tc>
        <w:tc>
          <w:tcPr>
            <w:tcW w:w="720" w:type="dxa"/>
            <w:tcBorders>
              <w:top w:val="nil"/>
              <w:left w:val="nil"/>
              <w:right w:val="nil"/>
            </w:tcBorders>
            <w:shd w:val="clear" w:color="auto" w:fill="auto"/>
            <w:noWrap/>
            <w:tcMar>
              <w:left w:w="58" w:type="dxa"/>
              <w:right w:w="58" w:type="dxa"/>
            </w:tcMar>
            <w:vAlign w:val="bottom"/>
          </w:tcPr>
          <w:p w14:paraId="21CDD49C" w14:textId="77777777" w:rsidR="00E27267" w:rsidRPr="00FE3EAF" w:rsidRDefault="00E27267" w:rsidP="00E27267">
            <w:pPr>
              <w:spacing w:after="0" w:line="240" w:lineRule="auto"/>
              <w:jc w:val="right"/>
              <w:rPr>
                <w:rFonts w:eastAsia="Calibri"/>
                <w:color w:val="000000"/>
                <w:sz w:val="21"/>
                <w:szCs w:val="21"/>
              </w:rPr>
            </w:pPr>
            <w:r w:rsidRPr="00FE3EAF">
              <w:rPr>
                <w:rFonts w:eastAsia="Calibri"/>
                <w:sz w:val="21"/>
                <w:szCs w:val="21"/>
              </w:rPr>
              <w:t>19</w:t>
            </w:r>
          </w:p>
        </w:tc>
        <w:tc>
          <w:tcPr>
            <w:tcW w:w="720" w:type="dxa"/>
            <w:tcBorders>
              <w:top w:val="nil"/>
              <w:left w:val="nil"/>
              <w:right w:val="nil"/>
            </w:tcBorders>
            <w:tcMar>
              <w:left w:w="58" w:type="dxa"/>
              <w:right w:w="58" w:type="dxa"/>
            </w:tcMar>
            <w:vAlign w:val="bottom"/>
          </w:tcPr>
          <w:p w14:paraId="0F1331BC" w14:textId="180D31E4" w:rsidR="00E27267" w:rsidRPr="00FE3EAF" w:rsidRDefault="00E27267" w:rsidP="00E27267">
            <w:pPr>
              <w:spacing w:after="0" w:line="240" w:lineRule="auto"/>
              <w:jc w:val="right"/>
              <w:rPr>
                <w:rFonts w:eastAsia="Calibri"/>
                <w:sz w:val="21"/>
                <w:szCs w:val="21"/>
              </w:rPr>
            </w:pPr>
            <w:r w:rsidRPr="00FE3EAF">
              <w:rPr>
                <w:rFonts w:eastAsia="Calibri"/>
                <w:sz w:val="21"/>
                <w:szCs w:val="21"/>
              </w:rPr>
              <w:t>2.3</w:t>
            </w:r>
          </w:p>
        </w:tc>
        <w:tc>
          <w:tcPr>
            <w:tcW w:w="632" w:type="dxa"/>
            <w:tcBorders>
              <w:top w:val="nil"/>
              <w:left w:val="nil"/>
              <w:right w:val="double" w:sz="4" w:space="0" w:color="auto"/>
            </w:tcBorders>
            <w:shd w:val="clear" w:color="auto" w:fill="auto"/>
            <w:noWrap/>
            <w:tcMar>
              <w:left w:w="58" w:type="dxa"/>
              <w:right w:w="58" w:type="dxa"/>
            </w:tcMar>
            <w:vAlign w:val="bottom"/>
          </w:tcPr>
          <w:p w14:paraId="70622961" w14:textId="495FBE39" w:rsidR="00E27267" w:rsidRPr="00FE3EAF" w:rsidRDefault="00D17B54" w:rsidP="00E27267">
            <w:pPr>
              <w:spacing w:after="0" w:line="240" w:lineRule="auto"/>
              <w:jc w:val="right"/>
              <w:rPr>
                <w:rFonts w:eastAsia="Calibri"/>
                <w:color w:val="000000"/>
                <w:sz w:val="21"/>
                <w:szCs w:val="21"/>
              </w:rPr>
            </w:pPr>
            <w:r>
              <w:rPr>
                <w:rFonts w:eastAsia="Calibri"/>
                <w:sz w:val="21"/>
                <w:szCs w:val="21"/>
              </w:rPr>
              <w:t>--</w:t>
            </w:r>
          </w:p>
        </w:tc>
      </w:tr>
      <w:tr w:rsidR="00E27267" w:rsidRPr="00FE3EAF" w14:paraId="272F9B2C" w14:textId="77777777" w:rsidTr="00784D3F">
        <w:trPr>
          <w:gridAfter w:val="1"/>
          <w:wAfter w:w="1184" w:type="dxa"/>
          <w:trHeight w:val="20"/>
        </w:trPr>
        <w:tc>
          <w:tcPr>
            <w:tcW w:w="4769" w:type="dxa"/>
            <w:tcBorders>
              <w:top w:val="nil"/>
              <w:left w:val="double" w:sz="6" w:space="0" w:color="auto"/>
              <w:bottom w:val="nil"/>
              <w:right w:val="nil"/>
            </w:tcBorders>
            <w:shd w:val="clear" w:color="auto" w:fill="auto"/>
            <w:noWrap/>
            <w:tcMar>
              <w:left w:w="58" w:type="dxa"/>
              <w:right w:w="58" w:type="dxa"/>
            </w:tcMar>
            <w:vAlign w:val="center"/>
          </w:tcPr>
          <w:p w14:paraId="544AB390" w14:textId="14A9AF7A" w:rsidR="00E27267" w:rsidRPr="00FE3EAF" w:rsidRDefault="00E27267" w:rsidP="00E27267">
            <w:pPr>
              <w:spacing w:after="0" w:line="240" w:lineRule="auto"/>
              <w:jc w:val="left"/>
              <w:rPr>
                <w:rFonts w:eastAsia="Times New Roman"/>
                <w:sz w:val="21"/>
                <w:szCs w:val="21"/>
              </w:rPr>
            </w:pPr>
            <w:r w:rsidRPr="00FE3EAF">
              <w:rPr>
                <w:rFonts w:eastAsia="Times New Roman"/>
                <w:sz w:val="21"/>
                <w:szCs w:val="21"/>
              </w:rPr>
              <w:t xml:space="preserve"> Does not live with partner and has kids (</w:t>
            </w:r>
            <w:r>
              <w:rPr>
                <w:rFonts w:eastAsia="Times New Roman"/>
                <w:sz w:val="21"/>
                <w:szCs w:val="21"/>
              </w:rPr>
              <w:t>s</w:t>
            </w:r>
            <w:r w:rsidRPr="00FE3EAF">
              <w:rPr>
                <w:rFonts w:eastAsia="Times New Roman"/>
                <w:sz w:val="21"/>
                <w:szCs w:val="21"/>
              </w:rPr>
              <w:t xml:space="preserve">ingle </w:t>
            </w:r>
            <w:r>
              <w:rPr>
                <w:rFonts w:eastAsia="Times New Roman"/>
                <w:sz w:val="21"/>
                <w:szCs w:val="21"/>
              </w:rPr>
              <w:t>p</w:t>
            </w:r>
            <w:r w:rsidRPr="00FE3EAF">
              <w:rPr>
                <w:rFonts w:eastAsia="Times New Roman"/>
                <w:sz w:val="21"/>
                <w:szCs w:val="21"/>
              </w:rPr>
              <w:t>arent)</w:t>
            </w:r>
          </w:p>
        </w:tc>
        <w:tc>
          <w:tcPr>
            <w:tcW w:w="720" w:type="dxa"/>
            <w:tcBorders>
              <w:top w:val="nil"/>
              <w:left w:val="nil"/>
              <w:bottom w:val="nil"/>
              <w:right w:val="nil"/>
            </w:tcBorders>
            <w:shd w:val="clear" w:color="auto" w:fill="auto"/>
            <w:noWrap/>
            <w:tcMar>
              <w:left w:w="58" w:type="dxa"/>
              <w:right w:w="58" w:type="dxa"/>
            </w:tcMar>
            <w:vAlign w:val="center"/>
          </w:tcPr>
          <w:p w14:paraId="50D772FB" w14:textId="77777777" w:rsidR="00E27267" w:rsidRPr="00FE3EAF" w:rsidRDefault="00E27267" w:rsidP="00E27267">
            <w:pPr>
              <w:spacing w:after="0" w:line="240" w:lineRule="auto"/>
              <w:jc w:val="right"/>
              <w:rPr>
                <w:rFonts w:eastAsia="Times New Roman"/>
                <w:sz w:val="21"/>
                <w:szCs w:val="21"/>
              </w:rPr>
            </w:pPr>
            <w:r w:rsidRPr="00FE3EAF">
              <w:rPr>
                <w:rFonts w:eastAsia="Times New Roman"/>
                <w:bCs/>
                <w:sz w:val="21"/>
                <w:szCs w:val="21"/>
              </w:rPr>
              <w:t>46</w:t>
            </w:r>
          </w:p>
        </w:tc>
        <w:tc>
          <w:tcPr>
            <w:tcW w:w="724" w:type="dxa"/>
            <w:tcBorders>
              <w:top w:val="nil"/>
              <w:left w:val="nil"/>
              <w:bottom w:val="nil"/>
              <w:right w:val="nil"/>
            </w:tcBorders>
            <w:tcMar>
              <w:left w:w="58" w:type="dxa"/>
              <w:right w:w="58" w:type="dxa"/>
            </w:tcMar>
            <w:vAlign w:val="center"/>
          </w:tcPr>
          <w:p w14:paraId="5A994273" w14:textId="4BC578CE" w:rsidR="00E27267" w:rsidRPr="00FE3EAF" w:rsidRDefault="00E27267" w:rsidP="00E27267">
            <w:pPr>
              <w:spacing w:after="0" w:line="240" w:lineRule="auto"/>
              <w:jc w:val="right"/>
              <w:rPr>
                <w:rFonts w:eastAsia="Times New Roman"/>
                <w:bCs/>
                <w:sz w:val="21"/>
                <w:szCs w:val="21"/>
              </w:rPr>
            </w:pPr>
            <w:r w:rsidRPr="00FE3EAF">
              <w:rPr>
                <w:rFonts w:eastAsia="Times New Roman"/>
                <w:bCs/>
                <w:sz w:val="21"/>
                <w:szCs w:val="21"/>
              </w:rPr>
              <w:t>3.9</w:t>
            </w:r>
          </w:p>
        </w:tc>
        <w:tc>
          <w:tcPr>
            <w:tcW w:w="716" w:type="dxa"/>
            <w:tcBorders>
              <w:top w:val="nil"/>
              <w:left w:val="nil"/>
              <w:bottom w:val="nil"/>
              <w:right w:val="double" w:sz="4" w:space="0" w:color="auto"/>
            </w:tcBorders>
            <w:shd w:val="clear" w:color="auto" w:fill="auto"/>
            <w:noWrap/>
            <w:tcMar>
              <w:left w:w="58" w:type="dxa"/>
              <w:right w:w="58" w:type="dxa"/>
            </w:tcMar>
            <w:vAlign w:val="center"/>
          </w:tcPr>
          <w:p w14:paraId="7462DA0D" w14:textId="79115DA8" w:rsidR="00E27267" w:rsidRPr="00FE3EAF" w:rsidRDefault="00D17B54" w:rsidP="00E27267">
            <w:pPr>
              <w:spacing w:after="0" w:line="240" w:lineRule="auto"/>
              <w:jc w:val="right"/>
              <w:rPr>
                <w:rFonts w:eastAsia="Times New Roman"/>
                <w:sz w:val="21"/>
                <w:szCs w:val="21"/>
              </w:rPr>
            </w:pPr>
            <w:r>
              <w:rPr>
                <w:rFonts w:eastAsia="Times New Roman"/>
                <w:bCs/>
                <w:sz w:val="21"/>
                <w:szCs w:val="21"/>
              </w:rPr>
              <w:t>--</w:t>
            </w:r>
          </w:p>
        </w:tc>
        <w:tc>
          <w:tcPr>
            <w:tcW w:w="4409" w:type="dxa"/>
            <w:tcBorders>
              <w:top w:val="nil"/>
              <w:left w:val="double" w:sz="4" w:space="0" w:color="auto"/>
              <w:right w:val="nil"/>
            </w:tcBorders>
            <w:shd w:val="clear" w:color="auto" w:fill="auto"/>
            <w:noWrap/>
            <w:tcMar>
              <w:left w:w="58" w:type="dxa"/>
              <w:right w:w="58" w:type="dxa"/>
            </w:tcMar>
            <w:vAlign w:val="center"/>
          </w:tcPr>
          <w:p w14:paraId="0F5420E2" w14:textId="77777777" w:rsidR="00E27267" w:rsidRPr="00FE3EAF" w:rsidRDefault="00E27267" w:rsidP="00E27267">
            <w:pPr>
              <w:spacing w:after="0" w:line="240" w:lineRule="auto"/>
              <w:jc w:val="left"/>
              <w:rPr>
                <w:rFonts w:eastAsia="Times New Roman"/>
                <w:sz w:val="21"/>
                <w:szCs w:val="21"/>
              </w:rPr>
            </w:pPr>
            <w:r w:rsidRPr="00FE3EAF">
              <w:rPr>
                <w:rFonts w:eastAsia="Times New Roman"/>
                <w:sz w:val="21"/>
                <w:szCs w:val="21"/>
              </w:rPr>
              <w:t xml:space="preserve"> 6 to 10 days</w:t>
            </w:r>
          </w:p>
        </w:tc>
        <w:tc>
          <w:tcPr>
            <w:tcW w:w="720" w:type="dxa"/>
            <w:tcBorders>
              <w:top w:val="nil"/>
              <w:left w:val="nil"/>
              <w:right w:val="nil"/>
            </w:tcBorders>
            <w:shd w:val="clear" w:color="auto" w:fill="auto"/>
            <w:noWrap/>
            <w:tcMar>
              <w:left w:w="58" w:type="dxa"/>
              <w:right w:w="58" w:type="dxa"/>
            </w:tcMar>
            <w:vAlign w:val="bottom"/>
          </w:tcPr>
          <w:p w14:paraId="297E30D4" w14:textId="77777777" w:rsidR="00E27267" w:rsidRPr="00FE3EAF" w:rsidRDefault="00E27267" w:rsidP="00E27267">
            <w:pPr>
              <w:spacing w:after="0" w:line="240" w:lineRule="auto"/>
              <w:jc w:val="right"/>
              <w:rPr>
                <w:rFonts w:eastAsia="Calibri"/>
                <w:sz w:val="21"/>
                <w:szCs w:val="21"/>
              </w:rPr>
            </w:pPr>
            <w:r w:rsidRPr="00FE3EAF">
              <w:rPr>
                <w:rFonts w:eastAsia="Times New Roman"/>
                <w:sz w:val="21"/>
                <w:szCs w:val="21"/>
              </w:rPr>
              <w:t>17</w:t>
            </w:r>
          </w:p>
        </w:tc>
        <w:tc>
          <w:tcPr>
            <w:tcW w:w="720" w:type="dxa"/>
            <w:tcBorders>
              <w:top w:val="nil"/>
              <w:left w:val="nil"/>
              <w:right w:val="nil"/>
            </w:tcBorders>
            <w:tcMar>
              <w:left w:w="58" w:type="dxa"/>
              <w:right w:w="58" w:type="dxa"/>
            </w:tcMar>
            <w:vAlign w:val="bottom"/>
          </w:tcPr>
          <w:p w14:paraId="19172838" w14:textId="4D3FABE7" w:rsidR="00E27267" w:rsidRPr="00FE3EAF" w:rsidRDefault="00E27267" w:rsidP="00E27267">
            <w:pPr>
              <w:spacing w:after="0" w:line="240" w:lineRule="auto"/>
              <w:jc w:val="right"/>
              <w:rPr>
                <w:rFonts w:eastAsia="Times New Roman"/>
                <w:sz w:val="21"/>
                <w:szCs w:val="21"/>
              </w:rPr>
            </w:pPr>
            <w:r w:rsidRPr="00FE3EAF">
              <w:rPr>
                <w:rFonts w:eastAsia="Times New Roman"/>
                <w:sz w:val="21"/>
                <w:szCs w:val="21"/>
              </w:rPr>
              <w:t>2.1</w:t>
            </w:r>
          </w:p>
        </w:tc>
        <w:tc>
          <w:tcPr>
            <w:tcW w:w="632" w:type="dxa"/>
            <w:tcBorders>
              <w:top w:val="nil"/>
              <w:left w:val="nil"/>
              <w:right w:val="double" w:sz="4" w:space="0" w:color="auto"/>
            </w:tcBorders>
            <w:shd w:val="clear" w:color="auto" w:fill="auto"/>
            <w:noWrap/>
            <w:tcMar>
              <w:left w:w="58" w:type="dxa"/>
              <w:right w:w="58" w:type="dxa"/>
            </w:tcMar>
            <w:vAlign w:val="bottom"/>
          </w:tcPr>
          <w:p w14:paraId="69240DBB" w14:textId="40C7A5A0" w:rsidR="00E27267" w:rsidRPr="00FE3EAF" w:rsidRDefault="00D17B54" w:rsidP="00E27267">
            <w:pPr>
              <w:spacing w:after="0" w:line="240" w:lineRule="auto"/>
              <w:jc w:val="right"/>
              <w:rPr>
                <w:rFonts w:eastAsia="Calibri"/>
                <w:sz w:val="21"/>
                <w:szCs w:val="21"/>
              </w:rPr>
            </w:pPr>
            <w:r>
              <w:rPr>
                <w:rFonts w:eastAsia="Times New Roman"/>
                <w:sz w:val="21"/>
                <w:szCs w:val="21"/>
              </w:rPr>
              <w:t>--</w:t>
            </w:r>
          </w:p>
        </w:tc>
      </w:tr>
      <w:tr w:rsidR="00E27267" w:rsidRPr="00FE3EAF" w14:paraId="3BF26D30" w14:textId="77777777" w:rsidTr="00784D3F">
        <w:trPr>
          <w:gridAfter w:val="1"/>
          <w:wAfter w:w="1184" w:type="dxa"/>
          <w:trHeight w:val="20"/>
        </w:trPr>
        <w:tc>
          <w:tcPr>
            <w:tcW w:w="4769" w:type="dxa"/>
            <w:tcBorders>
              <w:top w:val="nil"/>
              <w:left w:val="double" w:sz="6" w:space="0" w:color="auto"/>
              <w:bottom w:val="nil"/>
              <w:right w:val="nil"/>
            </w:tcBorders>
            <w:shd w:val="clear" w:color="auto" w:fill="auto"/>
            <w:noWrap/>
            <w:tcMar>
              <w:left w:w="58" w:type="dxa"/>
              <w:right w:w="58" w:type="dxa"/>
            </w:tcMar>
            <w:vAlign w:val="center"/>
          </w:tcPr>
          <w:p w14:paraId="6860B176" w14:textId="77777777" w:rsidR="00E27267" w:rsidRPr="00FE3EAF" w:rsidRDefault="00E27267" w:rsidP="00E27267">
            <w:pPr>
              <w:spacing w:after="0" w:line="240" w:lineRule="auto"/>
              <w:jc w:val="left"/>
              <w:rPr>
                <w:rFonts w:eastAsia="Times New Roman"/>
                <w:sz w:val="21"/>
                <w:szCs w:val="21"/>
              </w:rPr>
            </w:pPr>
            <w:r w:rsidRPr="00FE3EAF">
              <w:rPr>
                <w:rFonts w:eastAsia="Times New Roman"/>
                <w:sz w:val="21"/>
                <w:szCs w:val="21"/>
              </w:rPr>
              <w:t xml:space="preserve"> Lives with partner and has no kids</w:t>
            </w:r>
          </w:p>
        </w:tc>
        <w:tc>
          <w:tcPr>
            <w:tcW w:w="720" w:type="dxa"/>
            <w:tcBorders>
              <w:top w:val="nil"/>
              <w:left w:val="nil"/>
              <w:bottom w:val="nil"/>
              <w:right w:val="nil"/>
            </w:tcBorders>
            <w:shd w:val="clear" w:color="auto" w:fill="auto"/>
            <w:noWrap/>
            <w:tcMar>
              <w:left w:w="58" w:type="dxa"/>
              <w:right w:w="58" w:type="dxa"/>
            </w:tcMar>
            <w:vAlign w:val="center"/>
          </w:tcPr>
          <w:p w14:paraId="6084EAD6" w14:textId="77777777" w:rsidR="00E27267" w:rsidRPr="00FE3EAF" w:rsidRDefault="00E27267" w:rsidP="00E27267">
            <w:pPr>
              <w:spacing w:after="0" w:line="240" w:lineRule="auto"/>
              <w:jc w:val="right"/>
              <w:rPr>
                <w:rFonts w:eastAsia="Times New Roman"/>
                <w:bCs/>
                <w:sz w:val="21"/>
                <w:szCs w:val="21"/>
              </w:rPr>
            </w:pPr>
            <w:r w:rsidRPr="00FE3EAF">
              <w:rPr>
                <w:rFonts w:eastAsia="Times New Roman"/>
                <w:bCs/>
                <w:sz w:val="21"/>
                <w:szCs w:val="21"/>
              </w:rPr>
              <w:t>128</w:t>
            </w:r>
          </w:p>
        </w:tc>
        <w:tc>
          <w:tcPr>
            <w:tcW w:w="724" w:type="dxa"/>
            <w:tcBorders>
              <w:top w:val="nil"/>
              <w:left w:val="nil"/>
              <w:bottom w:val="nil"/>
              <w:right w:val="nil"/>
            </w:tcBorders>
            <w:tcMar>
              <w:left w:w="58" w:type="dxa"/>
              <w:right w:w="58" w:type="dxa"/>
            </w:tcMar>
            <w:vAlign w:val="center"/>
          </w:tcPr>
          <w:p w14:paraId="7566ADBA" w14:textId="71B8497B" w:rsidR="00E27267" w:rsidRPr="00FE3EAF" w:rsidRDefault="00E27267" w:rsidP="00E27267">
            <w:pPr>
              <w:spacing w:after="0" w:line="240" w:lineRule="auto"/>
              <w:jc w:val="right"/>
              <w:rPr>
                <w:rFonts w:eastAsia="Times New Roman"/>
                <w:bCs/>
                <w:sz w:val="21"/>
                <w:szCs w:val="21"/>
              </w:rPr>
            </w:pPr>
            <w:r w:rsidRPr="00FE3EAF">
              <w:rPr>
                <w:rFonts w:eastAsia="Times New Roman"/>
                <w:bCs/>
                <w:sz w:val="21"/>
                <w:szCs w:val="21"/>
              </w:rPr>
              <w:t>46.8</w:t>
            </w:r>
          </w:p>
        </w:tc>
        <w:tc>
          <w:tcPr>
            <w:tcW w:w="716" w:type="dxa"/>
            <w:tcBorders>
              <w:top w:val="nil"/>
              <w:left w:val="nil"/>
              <w:bottom w:val="nil"/>
              <w:right w:val="double" w:sz="4" w:space="0" w:color="auto"/>
            </w:tcBorders>
            <w:shd w:val="clear" w:color="auto" w:fill="auto"/>
            <w:noWrap/>
            <w:tcMar>
              <w:left w:w="58" w:type="dxa"/>
              <w:right w:w="58" w:type="dxa"/>
            </w:tcMar>
            <w:vAlign w:val="center"/>
          </w:tcPr>
          <w:p w14:paraId="6631EDF4" w14:textId="4629BB39" w:rsidR="00E27267" w:rsidRPr="00FE3EAF" w:rsidRDefault="00D17B54" w:rsidP="00E27267">
            <w:pPr>
              <w:spacing w:after="0" w:line="240" w:lineRule="auto"/>
              <w:jc w:val="right"/>
              <w:rPr>
                <w:rFonts w:eastAsia="Times New Roman"/>
                <w:bCs/>
                <w:sz w:val="21"/>
                <w:szCs w:val="21"/>
              </w:rPr>
            </w:pPr>
            <w:r>
              <w:rPr>
                <w:rFonts w:eastAsia="Times New Roman"/>
                <w:bCs/>
                <w:sz w:val="21"/>
                <w:szCs w:val="21"/>
              </w:rPr>
              <w:t>--</w:t>
            </w:r>
          </w:p>
        </w:tc>
        <w:tc>
          <w:tcPr>
            <w:tcW w:w="4409" w:type="dxa"/>
            <w:tcBorders>
              <w:top w:val="nil"/>
              <w:left w:val="double" w:sz="4" w:space="0" w:color="auto"/>
              <w:right w:val="nil"/>
            </w:tcBorders>
            <w:shd w:val="clear" w:color="auto" w:fill="auto"/>
            <w:noWrap/>
            <w:tcMar>
              <w:left w:w="58" w:type="dxa"/>
              <w:right w:w="58" w:type="dxa"/>
            </w:tcMar>
            <w:vAlign w:val="center"/>
          </w:tcPr>
          <w:p w14:paraId="24829E28" w14:textId="77777777" w:rsidR="00E27267" w:rsidRPr="00FE3EAF" w:rsidRDefault="00E27267" w:rsidP="00E27267">
            <w:pPr>
              <w:spacing w:after="0" w:line="240" w:lineRule="auto"/>
              <w:jc w:val="left"/>
              <w:rPr>
                <w:rFonts w:eastAsia="Times New Roman"/>
                <w:sz w:val="21"/>
                <w:szCs w:val="21"/>
              </w:rPr>
            </w:pPr>
            <w:r w:rsidRPr="00FE3EAF">
              <w:rPr>
                <w:rFonts w:eastAsia="Times New Roman"/>
                <w:sz w:val="21"/>
                <w:szCs w:val="21"/>
              </w:rPr>
              <w:t xml:space="preserve"> 11 to 19 days</w:t>
            </w:r>
          </w:p>
        </w:tc>
        <w:tc>
          <w:tcPr>
            <w:tcW w:w="720" w:type="dxa"/>
            <w:tcBorders>
              <w:top w:val="nil"/>
              <w:left w:val="nil"/>
              <w:right w:val="nil"/>
            </w:tcBorders>
            <w:shd w:val="clear" w:color="auto" w:fill="auto"/>
            <w:noWrap/>
            <w:tcMar>
              <w:left w:w="58" w:type="dxa"/>
              <w:right w:w="58" w:type="dxa"/>
            </w:tcMar>
            <w:vAlign w:val="bottom"/>
          </w:tcPr>
          <w:p w14:paraId="41FA2951" w14:textId="77777777" w:rsidR="00E27267" w:rsidRPr="00FE3EAF" w:rsidRDefault="00E27267" w:rsidP="00E27267">
            <w:pPr>
              <w:spacing w:after="0" w:line="240" w:lineRule="auto"/>
              <w:jc w:val="right"/>
              <w:rPr>
                <w:rFonts w:eastAsia="Times New Roman"/>
                <w:sz w:val="21"/>
                <w:szCs w:val="21"/>
              </w:rPr>
            </w:pPr>
            <w:r w:rsidRPr="00FE3EAF">
              <w:rPr>
                <w:rFonts w:eastAsia="Times New Roman"/>
                <w:sz w:val="21"/>
                <w:szCs w:val="21"/>
              </w:rPr>
              <w:t>16</w:t>
            </w:r>
          </w:p>
        </w:tc>
        <w:tc>
          <w:tcPr>
            <w:tcW w:w="720" w:type="dxa"/>
            <w:tcBorders>
              <w:top w:val="nil"/>
              <w:left w:val="nil"/>
              <w:right w:val="nil"/>
            </w:tcBorders>
            <w:tcMar>
              <w:left w:w="58" w:type="dxa"/>
              <w:right w:w="58" w:type="dxa"/>
            </w:tcMar>
            <w:vAlign w:val="bottom"/>
          </w:tcPr>
          <w:p w14:paraId="37B3C46D" w14:textId="1EB29FFA" w:rsidR="00E27267" w:rsidRPr="00FE3EAF" w:rsidRDefault="00E27267" w:rsidP="00E27267">
            <w:pPr>
              <w:spacing w:after="0" w:line="240" w:lineRule="auto"/>
              <w:jc w:val="right"/>
              <w:rPr>
                <w:rFonts w:eastAsia="Times New Roman"/>
                <w:sz w:val="21"/>
                <w:szCs w:val="21"/>
              </w:rPr>
            </w:pPr>
            <w:r w:rsidRPr="00FE3EAF">
              <w:rPr>
                <w:rFonts w:eastAsia="Times New Roman"/>
                <w:sz w:val="21"/>
                <w:szCs w:val="21"/>
              </w:rPr>
              <w:t>1.9</w:t>
            </w:r>
          </w:p>
        </w:tc>
        <w:tc>
          <w:tcPr>
            <w:tcW w:w="632" w:type="dxa"/>
            <w:tcBorders>
              <w:top w:val="nil"/>
              <w:left w:val="nil"/>
              <w:right w:val="double" w:sz="4" w:space="0" w:color="auto"/>
            </w:tcBorders>
            <w:shd w:val="clear" w:color="auto" w:fill="auto"/>
            <w:noWrap/>
            <w:tcMar>
              <w:left w:w="58" w:type="dxa"/>
              <w:right w:w="58" w:type="dxa"/>
            </w:tcMar>
            <w:vAlign w:val="bottom"/>
          </w:tcPr>
          <w:p w14:paraId="350FD886" w14:textId="4A005A37" w:rsidR="00E27267" w:rsidRPr="00FE3EAF" w:rsidRDefault="00D17B54" w:rsidP="00E27267">
            <w:pPr>
              <w:spacing w:after="0" w:line="240" w:lineRule="auto"/>
              <w:jc w:val="right"/>
              <w:rPr>
                <w:rFonts w:eastAsia="Times New Roman"/>
                <w:sz w:val="21"/>
                <w:szCs w:val="21"/>
              </w:rPr>
            </w:pPr>
            <w:r>
              <w:rPr>
                <w:rFonts w:eastAsia="Times New Roman"/>
                <w:sz w:val="21"/>
                <w:szCs w:val="21"/>
              </w:rPr>
              <w:t>--</w:t>
            </w:r>
          </w:p>
        </w:tc>
      </w:tr>
      <w:tr w:rsidR="00E27267" w:rsidRPr="00FE3EAF" w14:paraId="3A6B9F6B" w14:textId="77777777" w:rsidTr="00784D3F">
        <w:trPr>
          <w:gridAfter w:val="1"/>
          <w:wAfter w:w="1184" w:type="dxa"/>
          <w:trHeight w:val="20"/>
        </w:trPr>
        <w:tc>
          <w:tcPr>
            <w:tcW w:w="4769" w:type="dxa"/>
            <w:tcBorders>
              <w:top w:val="nil"/>
              <w:left w:val="double" w:sz="6" w:space="0" w:color="auto"/>
              <w:bottom w:val="nil"/>
              <w:right w:val="nil"/>
            </w:tcBorders>
            <w:shd w:val="clear" w:color="auto" w:fill="auto"/>
            <w:noWrap/>
            <w:tcMar>
              <w:left w:w="58" w:type="dxa"/>
              <w:right w:w="58" w:type="dxa"/>
            </w:tcMar>
            <w:vAlign w:val="center"/>
          </w:tcPr>
          <w:p w14:paraId="5E53A27A" w14:textId="77777777" w:rsidR="00E27267" w:rsidRPr="00FE3EAF" w:rsidRDefault="00E27267" w:rsidP="00E27267">
            <w:pPr>
              <w:spacing w:after="0" w:line="240" w:lineRule="auto"/>
              <w:jc w:val="left"/>
              <w:rPr>
                <w:rFonts w:eastAsia="Times New Roman"/>
                <w:sz w:val="21"/>
                <w:szCs w:val="21"/>
              </w:rPr>
            </w:pPr>
            <w:r w:rsidRPr="00FE3EAF">
              <w:rPr>
                <w:rFonts w:eastAsia="Times New Roman"/>
                <w:sz w:val="21"/>
                <w:szCs w:val="21"/>
              </w:rPr>
              <w:t xml:space="preserve"> Lives with partner and has kids</w:t>
            </w:r>
          </w:p>
        </w:tc>
        <w:tc>
          <w:tcPr>
            <w:tcW w:w="720" w:type="dxa"/>
            <w:tcBorders>
              <w:top w:val="nil"/>
              <w:left w:val="nil"/>
              <w:bottom w:val="nil"/>
              <w:right w:val="nil"/>
            </w:tcBorders>
            <w:shd w:val="clear" w:color="auto" w:fill="auto"/>
            <w:noWrap/>
            <w:tcMar>
              <w:left w:w="58" w:type="dxa"/>
              <w:right w:w="58" w:type="dxa"/>
            </w:tcMar>
            <w:vAlign w:val="center"/>
          </w:tcPr>
          <w:p w14:paraId="498D0C92" w14:textId="77777777" w:rsidR="00E27267" w:rsidRPr="00FE3EAF" w:rsidRDefault="00E27267" w:rsidP="00E27267">
            <w:pPr>
              <w:spacing w:after="0" w:line="240" w:lineRule="auto"/>
              <w:jc w:val="right"/>
              <w:rPr>
                <w:rFonts w:eastAsia="Times New Roman"/>
                <w:bCs/>
                <w:sz w:val="21"/>
                <w:szCs w:val="21"/>
              </w:rPr>
            </w:pPr>
            <w:r w:rsidRPr="00FE3EAF">
              <w:rPr>
                <w:rFonts w:eastAsia="Times New Roman"/>
                <w:sz w:val="21"/>
                <w:szCs w:val="21"/>
              </w:rPr>
              <w:t>118</w:t>
            </w:r>
          </w:p>
        </w:tc>
        <w:tc>
          <w:tcPr>
            <w:tcW w:w="724" w:type="dxa"/>
            <w:tcBorders>
              <w:top w:val="nil"/>
              <w:left w:val="nil"/>
              <w:bottom w:val="nil"/>
              <w:right w:val="nil"/>
            </w:tcBorders>
            <w:tcMar>
              <w:left w:w="58" w:type="dxa"/>
              <w:right w:w="58" w:type="dxa"/>
            </w:tcMar>
            <w:vAlign w:val="center"/>
          </w:tcPr>
          <w:p w14:paraId="175202D1" w14:textId="45E7DAEF" w:rsidR="00E27267" w:rsidRPr="00FE3EAF" w:rsidRDefault="00E27267" w:rsidP="00E27267">
            <w:pPr>
              <w:spacing w:after="0" w:line="240" w:lineRule="auto"/>
              <w:jc w:val="right"/>
              <w:rPr>
                <w:rFonts w:eastAsia="Times New Roman"/>
                <w:sz w:val="21"/>
                <w:szCs w:val="21"/>
              </w:rPr>
            </w:pPr>
            <w:r w:rsidRPr="00FE3EAF">
              <w:rPr>
                <w:rFonts w:eastAsia="Times New Roman"/>
                <w:sz w:val="21"/>
                <w:szCs w:val="21"/>
              </w:rPr>
              <w:t>23.5</w:t>
            </w:r>
          </w:p>
        </w:tc>
        <w:tc>
          <w:tcPr>
            <w:tcW w:w="716" w:type="dxa"/>
            <w:tcBorders>
              <w:top w:val="nil"/>
              <w:left w:val="nil"/>
              <w:bottom w:val="nil"/>
              <w:right w:val="double" w:sz="4" w:space="0" w:color="auto"/>
            </w:tcBorders>
            <w:shd w:val="clear" w:color="auto" w:fill="auto"/>
            <w:noWrap/>
            <w:tcMar>
              <w:left w:w="58" w:type="dxa"/>
              <w:right w:w="58" w:type="dxa"/>
            </w:tcMar>
            <w:vAlign w:val="center"/>
          </w:tcPr>
          <w:p w14:paraId="4328063E" w14:textId="0A91C806" w:rsidR="00E27267" w:rsidRPr="00FE3EAF" w:rsidRDefault="00D17B54" w:rsidP="00E27267">
            <w:pPr>
              <w:spacing w:after="0" w:line="240" w:lineRule="auto"/>
              <w:jc w:val="right"/>
              <w:rPr>
                <w:rFonts w:eastAsia="Times New Roman"/>
                <w:bCs/>
                <w:sz w:val="21"/>
                <w:szCs w:val="21"/>
              </w:rPr>
            </w:pPr>
            <w:r>
              <w:rPr>
                <w:rFonts w:eastAsia="Times New Roman"/>
                <w:sz w:val="21"/>
                <w:szCs w:val="21"/>
              </w:rPr>
              <w:t>--</w:t>
            </w:r>
          </w:p>
        </w:tc>
        <w:tc>
          <w:tcPr>
            <w:tcW w:w="4409" w:type="dxa"/>
            <w:tcBorders>
              <w:top w:val="nil"/>
              <w:left w:val="double" w:sz="4" w:space="0" w:color="auto"/>
              <w:right w:val="nil"/>
            </w:tcBorders>
            <w:shd w:val="clear" w:color="auto" w:fill="auto"/>
            <w:noWrap/>
            <w:tcMar>
              <w:left w:w="58" w:type="dxa"/>
              <w:right w:w="58" w:type="dxa"/>
            </w:tcMar>
            <w:vAlign w:val="center"/>
          </w:tcPr>
          <w:p w14:paraId="7184641E" w14:textId="77777777" w:rsidR="00E27267" w:rsidRPr="00FE3EAF" w:rsidRDefault="00E27267" w:rsidP="00E27267">
            <w:pPr>
              <w:spacing w:after="0" w:line="240" w:lineRule="auto"/>
              <w:jc w:val="left"/>
              <w:rPr>
                <w:rFonts w:eastAsia="Times New Roman"/>
                <w:sz w:val="21"/>
                <w:szCs w:val="21"/>
              </w:rPr>
            </w:pPr>
            <w:r w:rsidRPr="00FE3EAF">
              <w:rPr>
                <w:rFonts w:eastAsia="Times New Roman"/>
                <w:sz w:val="21"/>
                <w:szCs w:val="21"/>
              </w:rPr>
              <w:t xml:space="preserve"> 20 to 24 days</w:t>
            </w:r>
          </w:p>
        </w:tc>
        <w:tc>
          <w:tcPr>
            <w:tcW w:w="720" w:type="dxa"/>
            <w:tcBorders>
              <w:top w:val="nil"/>
              <w:left w:val="nil"/>
              <w:right w:val="nil"/>
            </w:tcBorders>
            <w:shd w:val="clear" w:color="auto" w:fill="auto"/>
            <w:noWrap/>
            <w:tcMar>
              <w:left w:w="58" w:type="dxa"/>
              <w:right w:w="58" w:type="dxa"/>
            </w:tcMar>
            <w:vAlign w:val="bottom"/>
          </w:tcPr>
          <w:p w14:paraId="7F01CCCE" w14:textId="77777777" w:rsidR="00E27267" w:rsidRPr="00FE3EAF" w:rsidRDefault="00E27267" w:rsidP="00E27267">
            <w:pPr>
              <w:spacing w:after="0" w:line="240" w:lineRule="auto"/>
              <w:jc w:val="right"/>
              <w:rPr>
                <w:rFonts w:eastAsia="Times New Roman"/>
                <w:sz w:val="21"/>
                <w:szCs w:val="21"/>
              </w:rPr>
            </w:pPr>
            <w:r w:rsidRPr="00FE3EAF">
              <w:rPr>
                <w:rFonts w:eastAsia="Calibri"/>
                <w:sz w:val="21"/>
                <w:szCs w:val="21"/>
              </w:rPr>
              <w:t>665</w:t>
            </w:r>
          </w:p>
        </w:tc>
        <w:tc>
          <w:tcPr>
            <w:tcW w:w="720" w:type="dxa"/>
            <w:tcBorders>
              <w:top w:val="nil"/>
              <w:left w:val="nil"/>
              <w:right w:val="nil"/>
            </w:tcBorders>
            <w:tcMar>
              <w:left w:w="58" w:type="dxa"/>
              <w:right w:w="58" w:type="dxa"/>
            </w:tcMar>
            <w:vAlign w:val="bottom"/>
          </w:tcPr>
          <w:p w14:paraId="78F51815" w14:textId="45AFF23E" w:rsidR="00E27267" w:rsidRPr="00FE3EAF" w:rsidRDefault="00E27267" w:rsidP="00E27267">
            <w:pPr>
              <w:spacing w:after="0" w:line="240" w:lineRule="auto"/>
              <w:jc w:val="right"/>
              <w:rPr>
                <w:rFonts w:eastAsia="Calibri"/>
                <w:sz w:val="21"/>
                <w:szCs w:val="21"/>
              </w:rPr>
            </w:pPr>
            <w:r w:rsidRPr="00FE3EAF">
              <w:rPr>
                <w:rFonts w:eastAsia="Calibri"/>
                <w:sz w:val="21"/>
                <w:szCs w:val="21"/>
              </w:rPr>
              <w:t>80.7</w:t>
            </w:r>
          </w:p>
        </w:tc>
        <w:tc>
          <w:tcPr>
            <w:tcW w:w="632" w:type="dxa"/>
            <w:tcBorders>
              <w:top w:val="nil"/>
              <w:left w:val="nil"/>
              <w:right w:val="double" w:sz="4" w:space="0" w:color="auto"/>
            </w:tcBorders>
            <w:shd w:val="clear" w:color="auto" w:fill="auto"/>
            <w:noWrap/>
            <w:tcMar>
              <w:left w:w="58" w:type="dxa"/>
              <w:right w:w="58" w:type="dxa"/>
            </w:tcMar>
            <w:vAlign w:val="bottom"/>
          </w:tcPr>
          <w:p w14:paraId="031AE90F" w14:textId="5639391C" w:rsidR="00E27267" w:rsidRPr="00FE3EAF" w:rsidRDefault="00D17B54" w:rsidP="00E27267">
            <w:pPr>
              <w:spacing w:after="0" w:line="240" w:lineRule="auto"/>
              <w:jc w:val="right"/>
              <w:rPr>
                <w:rFonts w:eastAsia="Times New Roman"/>
                <w:sz w:val="21"/>
                <w:szCs w:val="21"/>
              </w:rPr>
            </w:pPr>
            <w:r>
              <w:rPr>
                <w:rFonts w:eastAsia="Calibri"/>
                <w:sz w:val="21"/>
                <w:szCs w:val="21"/>
              </w:rPr>
              <w:t>--</w:t>
            </w:r>
          </w:p>
        </w:tc>
      </w:tr>
      <w:tr w:rsidR="00E27267" w:rsidRPr="00FE3EAF" w14:paraId="68E78F6F" w14:textId="77777777" w:rsidTr="00784D3F">
        <w:trPr>
          <w:gridAfter w:val="1"/>
          <w:wAfter w:w="1184" w:type="dxa"/>
          <w:trHeight w:val="20"/>
        </w:trPr>
        <w:tc>
          <w:tcPr>
            <w:tcW w:w="4769" w:type="dxa"/>
            <w:tcBorders>
              <w:top w:val="nil"/>
              <w:left w:val="double" w:sz="6" w:space="0" w:color="auto"/>
              <w:bottom w:val="nil"/>
              <w:right w:val="nil"/>
            </w:tcBorders>
            <w:shd w:val="clear" w:color="auto" w:fill="auto"/>
            <w:noWrap/>
            <w:tcMar>
              <w:left w:w="58" w:type="dxa"/>
              <w:right w:w="58" w:type="dxa"/>
            </w:tcMar>
            <w:vAlign w:val="center"/>
          </w:tcPr>
          <w:p w14:paraId="4DCFA3D7" w14:textId="77777777" w:rsidR="00E27267" w:rsidRPr="00FE3EAF" w:rsidRDefault="00E27267" w:rsidP="00E27267">
            <w:pPr>
              <w:spacing w:after="0" w:line="240" w:lineRule="auto"/>
              <w:jc w:val="left"/>
              <w:rPr>
                <w:rFonts w:eastAsia="Times New Roman"/>
                <w:sz w:val="21"/>
                <w:szCs w:val="21"/>
              </w:rPr>
            </w:pPr>
            <w:r w:rsidRPr="00FE3EAF">
              <w:rPr>
                <w:rFonts w:eastAsia="Times New Roman"/>
                <w:b/>
                <w:bCs/>
                <w:sz w:val="21"/>
                <w:szCs w:val="21"/>
              </w:rPr>
              <w:t xml:space="preserve"> Household Annual Income</w:t>
            </w:r>
          </w:p>
        </w:tc>
        <w:tc>
          <w:tcPr>
            <w:tcW w:w="720" w:type="dxa"/>
            <w:tcBorders>
              <w:top w:val="nil"/>
              <w:left w:val="nil"/>
              <w:bottom w:val="nil"/>
              <w:right w:val="nil"/>
            </w:tcBorders>
            <w:shd w:val="clear" w:color="auto" w:fill="auto"/>
            <w:noWrap/>
            <w:tcMar>
              <w:left w:w="58" w:type="dxa"/>
              <w:right w:w="58" w:type="dxa"/>
            </w:tcMar>
            <w:vAlign w:val="center"/>
          </w:tcPr>
          <w:p w14:paraId="31CD4307" w14:textId="77777777" w:rsidR="00E27267" w:rsidRPr="00FE3EAF" w:rsidRDefault="00E27267" w:rsidP="00E27267">
            <w:pPr>
              <w:spacing w:after="0" w:line="240" w:lineRule="auto"/>
              <w:jc w:val="right"/>
              <w:rPr>
                <w:rFonts w:eastAsia="Times New Roman"/>
                <w:sz w:val="21"/>
                <w:szCs w:val="21"/>
              </w:rPr>
            </w:pPr>
          </w:p>
        </w:tc>
        <w:tc>
          <w:tcPr>
            <w:tcW w:w="724" w:type="dxa"/>
            <w:tcBorders>
              <w:top w:val="nil"/>
              <w:left w:val="nil"/>
              <w:bottom w:val="nil"/>
              <w:right w:val="nil"/>
            </w:tcBorders>
            <w:tcMar>
              <w:left w:w="58" w:type="dxa"/>
              <w:right w:w="58" w:type="dxa"/>
            </w:tcMar>
            <w:vAlign w:val="center"/>
          </w:tcPr>
          <w:p w14:paraId="5CE096A3" w14:textId="77777777" w:rsidR="00E27267" w:rsidRPr="00FE3EAF" w:rsidRDefault="00E27267" w:rsidP="00E27267">
            <w:pPr>
              <w:spacing w:after="0" w:line="240" w:lineRule="auto"/>
              <w:jc w:val="right"/>
              <w:rPr>
                <w:rFonts w:eastAsia="Times New Roman"/>
                <w:sz w:val="21"/>
                <w:szCs w:val="21"/>
              </w:rPr>
            </w:pPr>
          </w:p>
        </w:tc>
        <w:tc>
          <w:tcPr>
            <w:tcW w:w="716" w:type="dxa"/>
            <w:tcBorders>
              <w:top w:val="nil"/>
              <w:left w:val="nil"/>
              <w:bottom w:val="nil"/>
              <w:right w:val="double" w:sz="4" w:space="0" w:color="auto"/>
            </w:tcBorders>
            <w:shd w:val="clear" w:color="auto" w:fill="auto"/>
            <w:noWrap/>
            <w:tcMar>
              <w:left w:w="58" w:type="dxa"/>
              <w:right w:w="58" w:type="dxa"/>
            </w:tcMar>
            <w:vAlign w:val="center"/>
          </w:tcPr>
          <w:p w14:paraId="2A9127CE" w14:textId="4042C732" w:rsidR="00E27267" w:rsidRPr="00FE3EAF" w:rsidRDefault="00E27267" w:rsidP="00E27267">
            <w:pPr>
              <w:spacing w:after="0" w:line="240" w:lineRule="auto"/>
              <w:jc w:val="right"/>
              <w:rPr>
                <w:rFonts w:eastAsia="Times New Roman"/>
                <w:sz w:val="21"/>
                <w:szCs w:val="21"/>
              </w:rPr>
            </w:pPr>
          </w:p>
        </w:tc>
        <w:tc>
          <w:tcPr>
            <w:tcW w:w="4409" w:type="dxa"/>
            <w:tcBorders>
              <w:top w:val="nil"/>
              <w:left w:val="double" w:sz="4" w:space="0" w:color="auto"/>
              <w:right w:val="nil"/>
            </w:tcBorders>
            <w:shd w:val="clear" w:color="auto" w:fill="auto"/>
            <w:noWrap/>
            <w:tcMar>
              <w:left w:w="58" w:type="dxa"/>
              <w:right w:w="58" w:type="dxa"/>
            </w:tcMar>
            <w:vAlign w:val="center"/>
          </w:tcPr>
          <w:p w14:paraId="1DB0CF86" w14:textId="77777777" w:rsidR="00E27267" w:rsidRPr="00FE3EAF" w:rsidRDefault="00E27267" w:rsidP="00E27267">
            <w:pPr>
              <w:spacing w:after="0" w:line="240" w:lineRule="auto"/>
              <w:jc w:val="left"/>
              <w:rPr>
                <w:rFonts w:eastAsia="Times New Roman"/>
                <w:sz w:val="21"/>
                <w:szCs w:val="21"/>
              </w:rPr>
            </w:pPr>
            <w:r w:rsidRPr="00FE3EAF">
              <w:rPr>
                <w:rFonts w:eastAsia="Times New Roman"/>
                <w:sz w:val="21"/>
                <w:szCs w:val="21"/>
              </w:rPr>
              <w:t xml:space="preserve"> 25 days or more</w:t>
            </w:r>
          </w:p>
        </w:tc>
        <w:tc>
          <w:tcPr>
            <w:tcW w:w="720" w:type="dxa"/>
            <w:tcBorders>
              <w:top w:val="nil"/>
              <w:left w:val="nil"/>
              <w:right w:val="nil"/>
            </w:tcBorders>
            <w:shd w:val="clear" w:color="auto" w:fill="auto"/>
            <w:noWrap/>
            <w:tcMar>
              <w:left w:w="58" w:type="dxa"/>
              <w:right w:w="58" w:type="dxa"/>
            </w:tcMar>
            <w:vAlign w:val="bottom"/>
          </w:tcPr>
          <w:p w14:paraId="2315F84F" w14:textId="77777777" w:rsidR="00E27267" w:rsidRPr="00FE3EAF" w:rsidRDefault="00E27267" w:rsidP="00E27267">
            <w:pPr>
              <w:spacing w:after="0" w:line="240" w:lineRule="auto"/>
              <w:jc w:val="right"/>
              <w:rPr>
                <w:rFonts w:eastAsia="Calibri"/>
                <w:sz w:val="21"/>
                <w:szCs w:val="21"/>
              </w:rPr>
            </w:pPr>
            <w:r w:rsidRPr="00FE3EAF">
              <w:rPr>
                <w:rFonts w:eastAsia="Calibri"/>
                <w:sz w:val="21"/>
                <w:szCs w:val="21"/>
              </w:rPr>
              <w:t>107</w:t>
            </w:r>
          </w:p>
        </w:tc>
        <w:tc>
          <w:tcPr>
            <w:tcW w:w="720" w:type="dxa"/>
            <w:tcBorders>
              <w:top w:val="nil"/>
              <w:left w:val="nil"/>
              <w:right w:val="nil"/>
            </w:tcBorders>
            <w:tcMar>
              <w:left w:w="58" w:type="dxa"/>
              <w:right w:w="58" w:type="dxa"/>
            </w:tcMar>
            <w:vAlign w:val="bottom"/>
          </w:tcPr>
          <w:p w14:paraId="263D6252" w14:textId="09ED05C0" w:rsidR="00E27267" w:rsidRPr="00FE3EAF" w:rsidRDefault="00E27267" w:rsidP="00E27267">
            <w:pPr>
              <w:spacing w:after="0" w:line="240" w:lineRule="auto"/>
              <w:jc w:val="right"/>
              <w:rPr>
                <w:rFonts w:eastAsia="Calibri"/>
                <w:sz w:val="21"/>
                <w:szCs w:val="21"/>
              </w:rPr>
            </w:pPr>
            <w:r w:rsidRPr="00FE3EAF">
              <w:rPr>
                <w:rFonts w:eastAsia="Calibri"/>
                <w:sz w:val="21"/>
                <w:szCs w:val="21"/>
              </w:rPr>
              <w:t>13.0</w:t>
            </w:r>
          </w:p>
        </w:tc>
        <w:tc>
          <w:tcPr>
            <w:tcW w:w="632" w:type="dxa"/>
            <w:tcBorders>
              <w:top w:val="nil"/>
              <w:left w:val="nil"/>
              <w:right w:val="double" w:sz="4" w:space="0" w:color="auto"/>
            </w:tcBorders>
            <w:shd w:val="clear" w:color="auto" w:fill="auto"/>
            <w:noWrap/>
            <w:tcMar>
              <w:left w:w="58" w:type="dxa"/>
              <w:right w:w="58" w:type="dxa"/>
            </w:tcMar>
            <w:vAlign w:val="bottom"/>
          </w:tcPr>
          <w:p w14:paraId="1CE3C41F" w14:textId="6C50BA91" w:rsidR="00E27267" w:rsidRPr="00FE3EAF" w:rsidRDefault="00D17B54" w:rsidP="00E27267">
            <w:pPr>
              <w:spacing w:after="0" w:line="240" w:lineRule="auto"/>
              <w:jc w:val="right"/>
              <w:rPr>
                <w:rFonts w:eastAsia="Calibri"/>
                <w:sz w:val="21"/>
                <w:szCs w:val="21"/>
              </w:rPr>
            </w:pPr>
            <w:r>
              <w:rPr>
                <w:rFonts w:eastAsia="Calibri"/>
                <w:sz w:val="21"/>
                <w:szCs w:val="21"/>
              </w:rPr>
              <w:t>--</w:t>
            </w:r>
          </w:p>
        </w:tc>
      </w:tr>
      <w:tr w:rsidR="00E27267" w:rsidRPr="00FE3EAF" w14:paraId="1B115D25" w14:textId="77777777" w:rsidTr="00784D3F">
        <w:trPr>
          <w:gridAfter w:val="1"/>
          <w:wAfter w:w="1184" w:type="dxa"/>
          <w:trHeight w:val="20"/>
        </w:trPr>
        <w:tc>
          <w:tcPr>
            <w:tcW w:w="4769" w:type="dxa"/>
            <w:tcBorders>
              <w:top w:val="nil"/>
              <w:left w:val="double" w:sz="6" w:space="0" w:color="auto"/>
              <w:bottom w:val="nil"/>
              <w:right w:val="nil"/>
            </w:tcBorders>
            <w:shd w:val="clear" w:color="auto" w:fill="auto"/>
            <w:noWrap/>
            <w:tcMar>
              <w:left w:w="58" w:type="dxa"/>
              <w:right w:w="58" w:type="dxa"/>
            </w:tcMar>
            <w:vAlign w:val="center"/>
          </w:tcPr>
          <w:p w14:paraId="16767BAE" w14:textId="77777777" w:rsidR="00E27267" w:rsidRPr="00FE3EAF" w:rsidRDefault="00E27267" w:rsidP="00E27267">
            <w:pPr>
              <w:spacing w:after="0" w:line="240" w:lineRule="auto"/>
              <w:jc w:val="left"/>
              <w:rPr>
                <w:rFonts w:eastAsia="Times New Roman"/>
                <w:sz w:val="21"/>
                <w:szCs w:val="21"/>
              </w:rPr>
            </w:pPr>
            <w:r w:rsidRPr="00FE3EAF">
              <w:rPr>
                <w:rFonts w:eastAsia="Times New Roman"/>
                <w:sz w:val="21"/>
                <w:szCs w:val="21"/>
              </w:rPr>
              <w:t xml:space="preserve"> Less than $25,000</w:t>
            </w:r>
          </w:p>
        </w:tc>
        <w:tc>
          <w:tcPr>
            <w:tcW w:w="720" w:type="dxa"/>
            <w:tcBorders>
              <w:top w:val="nil"/>
              <w:left w:val="nil"/>
              <w:bottom w:val="nil"/>
              <w:right w:val="nil"/>
            </w:tcBorders>
            <w:shd w:val="clear" w:color="auto" w:fill="auto"/>
            <w:noWrap/>
            <w:tcMar>
              <w:left w:w="58" w:type="dxa"/>
              <w:right w:w="58" w:type="dxa"/>
            </w:tcMar>
            <w:vAlign w:val="bottom"/>
          </w:tcPr>
          <w:p w14:paraId="5A737A55" w14:textId="77777777" w:rsidR="00E27267" w:rsidRPr="00FE3EAF" w:rsidRDefault="00E27267" w:rsidP="00E27267">
            <w:pPr>
              <w:spacing w:after="0" w:line="240" w:lineRule="auto"/>
              <w:jc w:val="right"/>
              <w:rPr>
                <w:rFonts w:eastAsia="Times New Roman"/>
                <w:sz w:val="21"/>
                <w:szCs w:val="21"/>
              </w:rPr>
            </w:pPr>
            <w:r w:rsidRPr="00FE3EAF">
              <w:rPr>
                <w:rFonts w:eastAsia="Calibri"/>
                <w:color w:val="000000"/>
                <w:sz w:val="21"/>
                <w:szCs w:val="21"/>
              </w:rPr>
              <w:t>6</w:t>
            </w:r>
          </w:p>
        </w:tc>
        <w:tc>
          <w:tcPr>
            <w:tcW w:w="724" w:type="dxa"/>
            <w:tcBorders>
              <w:top w:val="nil"/>
              <w:left w:val="nil"/>
              <w:bottom w:val="nil"/>
              <w:right w:val="nil"/>
            </w:tcBorders>
            <w:tcMar>
              <w:left w:w="58" w:type="dxa"/>
              <w:right w:w="58" w:type="dxa"/>
            </w:tcMar>
            <w:vAlign w:val="bottom"/>
          </w:tcPr>
          <w:p w14:paraId="29E905B4" w14:textId="6AC6E85A" w:rsidR="00E27267" w:rsidRPr="00FE3EAF" w:rsidRDefault="00E27267" w:rsidP="00E27267">
            <w:pPr>
              <w:spacing w:after="0" w:line="240" w:lineRule="auto"/>
              <w:jc w:val="right"/>
              <w:rPr>
                <w:rFonts w:eastAsia="Calibri"/>
                <w:color w:val="000000"/>
                <w:sz w:val="21"/>
                <w:szCs w:val="21"/>
              </w:rPr>
            </w:pPr>
            <w:r w:rsidRPr="00FE3EAF">
              <w:rPr>
                <w:rFonts w:eastAsia="Calibri"/>
                <w:color w:val="000000"/>
                <w:sz w:val="21"/>
                <w:szCs w:val="21"/>
              </w:rPr>
              <w:t>0.6</w:t>
            </w:r>
          </w:p>
        </w:tc>
        <w:tc>
          <w:tcPr>
            <w:tcW w:w="716" w:type="dxa"/>
            <w:tcBorders>
              <w:top w:val="nil"/>
              <w:left w:val="nil"/>
              <w:bottom w:val="nil"/>
              <w:right w:val="nil"/>
            </w:tcBorders>
            <w:shd w:val="clear" w:color="auto" w:fill="auto"/>
            <w:noWrap/>
            <w:tcMar>
              <w:left w:w="58" w:type="dxa"/>
              <w:right w:w="58" w:type="dxa"/>
            </w:tcMar>
            <w:vAlign w:val="bottom"/>
          </w:tcPr>
          <w:p w14:paraId="1B28EA98" w14:textId="70122CE2" w:rsidR="00E27267" w:rsidRPr="003B2539" w:rsidRDefault="00E27267" w:rsidP="00E27267">
            <w:pPr>
              <w:spacing w:after="0" w:line="240" w:lineRule="auto"/>
              <w:jc w:val="right"/>
              <w:rPr>
                <w:rFonts w:eastAsia="Times New Roman"/>
                <w:sz w:val="21"/>
                <w:szCs w:val="21"/>
              </w:rPr>
            </w:pPr>
            <w:r w:rsidRPr="004817C2">
              <w:rPr>
                <w:color w:val="000000"/>
                <w:sz w:val="21"/>
                <w:szCs w:val="21"/>
              </w:rPr>
              <w:t>18.3</w:t>
            </w:r>
          </w:p>
        </w:tc>
        <w:tc>
          <w:tcPr>
            <w:tcW w:w="4409" w:type="dxa"/>
            <w:tcBorders>
              <w:top w:val="nil"/>
              <w:left w:val="double" w:sz="4" w:space="0" w:color="auto"/>
              <w:right w:val="nil"/>
            </w:tcBorders>
            <w:shd w:val="clear" w:color="auto" w:fill="auto"/>
            <w:noWrap/>
            <w:tcMar>
              <w:left w:w="58" w:type="dxa"/>
              <w:right w:w="58" w:type="dxa"/>
            </w:tcMar>
            <w:vAlign w:val="bottom"/>
          </w:tcPr>
          <w:p w14:paraId="0BBC8949" w14:textId="77777777" w:rsidR="00E27267" w:rsidRPr="00FE3EAF" w:rsidRDefault="00E27267" w:rsidP="00E27267">
            <w:pPr>
              <w:spacing w:after="0" w:line="240" w:lineRule="auto"/>
              <w:jc w:val="left"/>
              <w:rPr>
                <w:rFonts w:eastAsia="Times New Roman"/>
                <w:sz w:val="21"/>
                <w:szCs w:val="21"/>
              </w:rPr>
            </w:pPr>
            <w:r w:rsidRPr="00FE3EAF">
              <w:rPr>
                <w:rFonts w:eastAsia="Times New Roman"/>
                <w:sz w:val="21"/>
                <w:szCs w:val="21"/>
              </w:rPr>
              <w:t xml:space="preserve"> </w:t>
            </w:r>
            <w:r w:rsidRPr="00FE3EAF">
              <w:rPr>
                <w:rFonts w:eastAsia="Times New Roman"/>
                <w:b/>
                <w:bCs/>
                <w:sz w:val="21"/>
                <w:szCs w:val="21"/>
              </w:rPr>
              <w:t>Occupation</w:t>
            </w:r>
          </w:p>
        </w:tc>
        <w:tc>
          <w:tcPr>
            <w:tcW w:w="720" w:type="dxa"/>
            <w:tcBorders>
              <w:top w:val="nil"/>
              <w:left w:val="nil"/>
              <w:right w:val="nil"/>
            </w:tcBorders>
            <w:shd w:val="clear" w:color="auto" w:fill="auto"/>
            <w:noWrap/>
            <w:tcMar>
              <w:left w:w="58" w:type="dxa"/>
              <w:right w:w="58" w:type="dxa"/>
            </w:tcMar>
            <w:vAlign w:val="bottom"/>
          </w:tcPr>
          <w:p w14:paraId="5AEB749C" w14:textId="77777777" w:rsidR="00E27267" w:rsidRPr="00FE3EAF" w:rsidRDefault="00E27267" w:rsidP="00E27267">
            <w:pPr>
              <w:spacing w:after="0" w:line="240" w:lineRule="auto"/>
              <w:jc w:val="right"/>
              <w:rPr>
                <w:rFonts w:eastAsia="Calibri"/>
                <w:sz w:val="21"/>
                <w:szCs w:val="21"/>
              </w:rPr>
            </w:pPr>
          </w:p>
        </w:tc>
        <w:tc>
          <w:tcPr>
            <w:tcW w:w="720" w:type="dxa"/>
            <w:tcBorders>
              <w:top w:val="nil"/>
              <w:left w:val="nil"/>
              <w:right w:val="nil"/>
            </w:tcBorders>
            <w:tcMar>
              <w:left w:w="58" w:type="dxa"/>
              <w:right w:w="58" w:type="dxa"/>
            </w:tcMar>
            <w:vAlign w:val="bottom"/>
          </w:tcPr>
          <w:p w14:paraId="21A8F652" w14:textId="77777777" w:rsidR="00E27267" w:rsidRPr="00FE3EAF" w:rsidRDefault="00E27267" w:rsidP="00E27267">
            <w:pPr>
              <w:spacing w:after="0" w:line="240" w:lineRule="auto"/>
              <w:jc w:val="right"/>
              <w:rPr>
                <w:rFonts w:eastAsia="Calibri"/>
                <w:sz w:val="21"/>
                <w:szCs w:val="21"/>
              </w:rPr>
            </w:pPr>
          </w:p>
        </w:tc>
        <w:tc>
          <w:tcPr>
            <w:tcW w:w="632" w:type="dxa"/>
            <w:tcBorders>
              <w:top w:val="nil"/>
              <w:left w:val="nil"/>
              <w:right w:val="double" w:sz="4" w:space="0" w:color="auto"/>
            </w:tcBorders>
            <w:shd w:val="clear" w:color="auto" w:fill="auto"/>
            <w:noWrap/>
            <w:tcMar>
              <w:left w:w="58" w:type="dxa"/>
              <w:right w:w="58" w:type="dxa"/>
            </w:tcMar>
            <w:vAlign w:val="bottom"/>
          </w:tcPr>
          <w:p w14:paraId="15E55C44" w14:textId="1BF1ADE5" w:rsidR="00E27267" w:rsidRPr="00FE3EAF" w:rsidRDefault="00E27267" w:rsidP="00E27267">
            <w:pPr>
              <w:spacing w:after="0" w:line="240" w:lineRule="auto"/>
              <w:jc w:val="right"/>
              <w:rPr>
                <w:rFonts w:eastAsia="Calibri"/>
                <w:sz w:val="21"/>
                <w:szCs w:val="21"/>
              </w:rPr>
            </w:pPr>
          </w:p>
        </w:tc>
      </w:tr>
      <w:tr w:rsidR="00E27267" w:rsidRPr="00FE3EAF" w14:paraId="18B1CEE1" w14:textId="77777777" w:rsidTr="00784D3F">
        <w:trPr>
          <w:gridAfter w:val="1"/>
          <w:wAfter w:w="1184" w:type="dxa"/>
          <w:trHeight w:val="20"/>
        </w:trPr>
        <w:tc>
          <w:tcPr>
            <w:tcW w:w="4769" w:type="dxa"/>
            <w:tcBorders>
              <w:top w:val="nil"/>
              <w:left w:val="double" w:sz="6" w:space="0" w:color="auto"/>
              <w:bottom w:val="nil"/>
              <w:right w:val="nil"/>
            </w:tcBorders>
            <w:shd w:val="clear" w:color="auto" w:fill="auto"/>
            <w:noWrap/>
            <w:tcMar>
              <w:left w:w="58" w:type="dxa"/>
              <w:right w:w="58" w:type="dxa"/>
            </w:tcMar>
            <w:vAlign w:val="center"/>
          </w:tcPr>
          <w:p w14:paraId="042F1003" w14:textId="77777777" w:rsidR="00E27267" w:rsidRPr="00FE3EAF" w:rsidRDefault="00E27267" w:rsidP="00E27267">
            <w:pPr>
              <w:spacing w:after="0" w:line="240" w:lineRule="auto"/>
              <w:jc w:val="left"/>
              <w:rPr>
                <w:rFonts w:eastAsia="Times New Roman"/>
                <w:sz w:val="21"/>
                <w:szCs w:val="21"/>
              </w:rPr>
            </w:pPr>
            <w:r w:rsidRPr="00FE3EAF">
              <w:rPr>
                <w:rFonts w:eastAsia="Times New Roman"/>
                <w:sz w:val="21"/>
                <w:szCs w:val="21"/>
              </w:rPr>
              <w:t xml:space="preserve"> $25,000 to $49,999</w:t>
            </w:r>
          </w:p>
        </w:tc>
        <w:tc>
          <w:tcPr>
            <w:tcW w:w="720" w:type="dxa"/>
            <w:tcBorders>
              <w:top w:val="nil"/>
              <w:left w:val="nil"/>
              <w:bottom w:val="nil"/>
              <w:right w:val="nil"/>
            </w:tcBorders>
            <w:shd w:val="clear" w:color="auto" w:fill="auto"/>
            <w:noWrap/>
            <w:tcMar>
              <w:left w:w="58" w:type="dxa"/>
              <w:right w:w="58" w:type="dxa"/>
            </w:tcMar>
            <w:vAlign w:val="bottom"/>
          </w:tcPr>
          <w:p w14:paraId="1C860614" w14:textId="77777777" w:rsidR="00E27267" w:rsidRPr="00FE3EAF" w:rsidRDefault="00E27267" w:rsidP="00E27267">
            <w:pPr>
              <w:spacing w:after="0" w:line="240" w:lineRule="auto"/>
              <w:jc w:val="right"/>
              <w:rPr>
                <w:rFonts w:eastAsia="Times New Roman"/>
                <w:bCs/>
                <w:sz w:val="21"/>
                <w:szCs w:val="21"/>
              </w:rPr>
            </w:pPr>
            <w:r w:rsidRPr="00FE3EAF">
              <w:rPr>
                <w:rFonts w:eastAsia="Calibri"/>
                <w:color w:val="000000"/>
                <w:sz w:val="21"/>
                <w:szCs w:val="21"/>
              </w:rPr>
              <w:t>40</w:t>
            </w:r>
          </w:p>
        </w:tc>
        <w:tc>
          <w:tcPr>
            <w:tcW w:w="724" w:type="dxa"/>
            <w:tcBorders>
              <w:top w:val="nil"/>
              <w:left w:val="nil"/>
              <w:bottom w:val="nil"/>
              <w:right w:val="nil"/>
            </w:tcBorders>
            <w:tcMar>
              <w:left w:w="58" w:type="dxa"/>
              <w:right w:w="58" w:type="dxa"/>
            </w:tcMar>
            <w:vAlign w:val="bottom"/>
          </w:tcPr>
          <w:p w14:paraId="0843F9A2" w14:textId="6BCCA341" w:rsidR="00E27267" w:rsidRPr="00FE3EAF" w:rsidRDefault="00E27267" w:rsidP="00E27267">
            <w:pPr>
              <w:spacing w:after="0" w:line="240" w:lineRule="auto"/>
              <w:jc w:val="right"/>
              <w:rPr>
                <w:rFonts w:eastAsia="Calibri"/>
                <w:color w:val="000000"/>
                <w:sz w:val="21"/>
                <w:szCs w:val="21"/>
              </w:rPr>
            </w:pPr>
            <w:r w:rsidRPr="00FE3EAF">
              <w:rPr>
                <w:rFonts w:eastAsia="Calibri"/>
                <w:color w:val="000000"/>
                <w:sz w:val="21"/>
                <w:szCs w:val="21"/>
              </w:rPr>
              <w:t>4.7</w:t>
            </w:r>
          </w:p>
        </w:tc>
        <w:tc>
          <w:tcPr>
            <w:tcW w:w="716" w:type="dxa"/>
            <w:tcBorders>
              <w:top w:val="nil"/>
              <w:left w:val="nil"/>
              <w:bottom w:val="nil"/>
              <w:right w:val="nil"/>
            </w:tcBorders>
            <w:shd w:val="clear" w:color="auto" w:fill="auto"/>
            <w:noWrap/>
            <w:tcMar>
              <w:left w:w="58" w:type="dxa"/>
              <w:right w:w="58" w:type="dxa"/>
            </w:tcMar>
            <w:vAlign w:val="bottom"/>
          </w:tcPr>
          <w:p w14:paraId="5CA3EF93" w14:textId="0450BCA3" w:rsidR="00E27267" w:rsidRPr="003B2539" w:rsidRDefault="00E27267" w:rsidP="00E27267">
            <w:pPr>
              <w:spacing w:after="0" w:line="240" w:lineRule="auto"/>
              <w:jc w:val="right"/>
              <w:rPr>
                <w:rFonts w:eastAsia="Times New Roman"/>
                <w:bCs/>
                <w:sz w:val="21"/>
                <w:szCs w:val="21"/>
              </w:rPr>
            </w:pPr>
            <w:r w:rsidRPr="004817C2">
              <w:rPr>
                <w:color w:val="000000"/>
                <w:sz w:val="21"/>
                <w:szCs w:val="21"/>
              </w:rPr>
              <w:t>21.2</w:t>
            </w:r>
          </w:p>
        </w:tc>
        <w:tc>
          <w:tcPr>
            <w:tcW w:w="4409" w:type="dxa"/>
            <w:tcBorders>
              <w:top w:val="nil"/>
              <w:left w:val="double" w:sz="4" w:space="0" w:color="auto"/>
              <w:right w:val="nil"/>
            </w:tcBorders>
            <w:shd w:val="clear" w:color="auto" w:fill="auto"/>
            <w:noWrap/>
            <w:tcMar>
              <w:left w:w="58" w:type="dxa"/>
              <w:right w:w="58" w:type="dxa"/>
            </w:tcMar>
            <w:vAlign w:val="bottom"/>
          </w:tcPr>
          <w:p w14:paraId="182AD117" w14:textId="77777777" w:rsidR="00E27267" w:rsidRPr="00FE3EAF" w:rsidRDefault="00E27267" w:rsidP="00E27267">
            <w:pPr>
              <w:spacing w:after="0" w:line="240" w:lineRule="auto"/>
              <w:jc w:val="left"/>
              <w:rPr>
                <w:rFonts w:eastAsia="Times New Roman"/>
                <w:sz w:val="21"/>
                <w:szCs w:val="21"/>
              </w:rPr>
            </w:pPr>
            <w:r w:rsidRPr="00FE3EAF">
              <w:rPr>
                <w:rFonts w:eastAsia="Times New Roman"/>
                <w:sz w:val="21"/>
                <w:szCs w:val="21"/>
              </w:rPr>
              <w:t xml:space="preserve"> Healthcare</w:t>
            </w:r>
          </w:p>
        </w:tc>
        <w:tc>
          <w:tcPr>
            <w:tcW w:w="720" w:type="dxa"/>
            <w:tcBorders>
              <w:top w:val="nil"/>
              <w:left w:val="nil"/>
              <w:right w:val="nil"/>
            </w:tcBorders>
            <w:shd w:val="clear" w:color="auto" w:fill="auto"/>
            <w:noWrap/>
            <w:tcMar>
              <w:left w:w="58" w:type="dxa"/>
              <w:right w:w="58" w:type="dxa"/>
            </w:tcMar>
            <w:vAlign w:val="bottom"/>
          </w:tcPr>
          <w:p w14:paraId="3DA42E68" w14:textId="77777777" w:rsidR="00E27267" w:rsidRPr="00FE3EAF" w:rsidRDefault="00E27267" w:rsidP="00E27267">
            <w:pPr>
              <w:spacing w:after="0" w:line="240" w:lineRule="auto"/>
              <w:jc w:val="right"/>
              <w:rPr>
                <w:rFonts w:eastAsia="Times New Roman"/>
                <w:sz w:val="21"/>
                <w:szCs w:val="21"/>
              </w:rPr>
            </w:pPr>
            <w:r w:rsidRPr="00FE3EAF">
              <w:rPr>
                <w:rFonts w:eastAsia="Calibri"/>
                <w:color w:val="000000"/>
                <w:sz w:val="21"/>
                <w:szCs w:val="21"/>
              </w:rPr>
              <w:t>43</w:t>
            </w:r>
          </w:p>
        </w:tc>
        <w:tc>
          <w:tcPr>
            <w:tcW w:w="720" w:type="dxa"/>
            <w:tcBorders>
              <w:top w:val="nil"/>
              <w:left w:val="nil"/>
              <w:right w:val="nil"/>
            </w:tcBorders>
            <w:tcMar>
              <w:left w:w="58" w:type="dxa"/>
              <w:right w:w="58" w:type="dxa"/>
            </w:tcMar>
            <w:vAlign w:val="bottom"/>
          </w:tcPr>
          <w:p w14:paraId="6124ED29" w14:textId="65024654" w:rsidR="00E27267" w:rsidRPr="00FE3EAF" w:rsidRDefault="00E27267" w:rsidP="00E27267">
            <w:pPr>
              <w:spacing w:after="0" w:line="240" w:lineRule="auto"/>
              <w:jc w:val="right"/>
              <w:rPr>
                <w:rFonts w:eastAsia="Calibri"/>
                <w:color w:val="000000"/>
                <w:sz w:val="21"/>
                <w:szCs w:val="21"/>
              </w:rPr>
            </w:pPr>
            <w:r w:rsidRPr="00FE3EAF">
              <w:rPr>
                <w:rFonts w:eastAsia="Calibri"/>
                <w:color w:val="000000"/>
                <w:sz w:val="21"/>
                <w:szCs w:val="21"/>
              </w:rPr>
              <w:t>5.2</w:t>
            </w:r>
          </w:p>
        </w:tc>
        <w:tc>
          <w:tcPr>
            <w:tcW w:w="632" w:type="dxa"/>
            <w:tcBorders>
              <w:top w:val="nil"/>
              <w:left w:val="nil"/>
              <w:right w:val="double" w:sz="4" w:space="0" w:color="auto"/>
            </w:tcBorders>
            <w:shd w:val="clear" w:color="auto" w:fill="auto"/>
            <w:noWrap/>
            <w:tcMar>
              <w:left w:w="58" w:type="dxa"/>
              <w:right w:w="58" w:type="dxa"/>
            </w:tcMar>
            <w:vAlign w:val="bottom"/>
          </w:tcPr>
          <w:p w14:paraId="5E951775" w14:textId="2861674C" w:rsidR="00E27267" w:rsidRPr="00FE3EAF" w:rsidRDefault="00D17B54" w:rsidP="00E27267">
            <w:pPr>
              <w:spacing w:after="0" w:line="240" w:lineRule="auto"/>
              <w:jc w:val="right"/>
              <w:rPr>
                <w:rFonts w:eastAsia="Times New Roman"/>
                <w:sz w:val="21"/>
                <w:szCs w:val="21"/>
              </w:rPr>
            </w:pPr>
            <w:r>
              <w:rPr>
                <w:rFonts w:eastAsia="Calibri"/>
                <w:color w:val="000000"/>
                <w:sz w:val="21"/>
                <w:szCs w:val="21"/>
              </w:rPr>
              <w:t>--</w:t>
            </w:r>
          </w:p>
        </w:tc>
      </w:tr>
      <w:tr w:rsidR="00E27267" w:rsidRPr="00FE3EAF" w14:paraId="20EAA4DF" w14:textId="77777777" w:rsidTr="00784D3F">
        <w:trPr>
          <w:gridAfter w:val="1"/>
          <w:wAfter w:w="1184" w:type="dxa"/>
          <w:trHeight w:val="20"/>
        </w:trPr>
        <w:tc>
          <w:tcPr>
            <w:tcW w:w="4769" w:type="dxa"/>
            <w:tcBorders>
              <w:top w:val="nil"/>
              <w:left w:val="double" w:sz="6" w:space="0" w:color="auto"/>
              <w:bottom w:val="nil"/>
              <w:right w:val="nil"/>
            </w:tcBorders>
            <w:shd w:val="clear" w:color="auto" w:fill="auto"/>
            <w:noWrap/>
            <w:tcMar>
              <w:left w:w="58" w:type="dxa"/>
              <w:right w:w="58" w:type="dxa"/>
            </w:tcMar>
            <w:vAlign w:val="center"/>
          </w:tcPr>
          <w:p w14:paraId="785A4C60" w14:textId="77777777" w:rsidR="00E27267" w:rsidRPr="00FE3EAF" w:rsidRDefault="00E27267" w:rsidP="00E27267">
            <w:pPr>
              <w:spacing w:after="0" w:line="240" w:lineRule="auto"/>
              <w:jc w:val="left"/>
              <w:rPr>
                <w:rFonts w:eastAsia="Times New Roman"/>
                <w:sz w:val="21"/>
                <w:szCs w:val="21"/>
              </w:rPr>
            </w:pPr>
            <w:r w:rsidRPr="00FE3EAF">
              <w:rPr>
                <w:rFonts w:eastAsia="Times New Roman"/>
                <w:sz w:val="21"/>
                <w:szCs w:val="21"/>
              </w:rPr>
              <w:t xml:space="preserve"> $50,000 to $74,999</w:t>
            </w:r>
          </w:p>
        </w:tc>
        <w:tc>
          <w:tcPr>
            <w:tcW w:w="720" w:type="dxa"/>
            <w:tcBorders>
              <w:top w:val="nil"/>
              <w:left w:val="nil"/>
              <w:bottom w:val="nil"/>
              <w:right w:val="nil"/>
            </w:tcBorders>
            <w:shd w:val="clear" w:color="auto" w:fill="auto"/>
            <w:noWrap/>
            <w:tcMar>
              <w:left w:w="58" w:type="dxa"/>
              <w:right w:w="58" w:type="dxa"/>
            </w:tcMar>
            <w:vAlign w:val="bottom"/>
          </w:tcPr>
          <w:p w14:paraId="3B30F962" w14:textId="77777777" w:rsidR="00E27267" w:rsidRPr="00FE3EAF" w:rsidRDefault="00E27267" w:rsidP="00E27267">
            <w:pPr>
              <w:spacing w:after="0" w:line="240" w:lineRule="auto"/>
              <w:jc w:val="right"/>
              <w:rPr>
                <w:rFonts w:eastAsia="Times New Roman"/>
                <w:bCs/>
                <w:sz w:val="21"/>
                <w:szCs w:val="21"/>
              </w:rPr>
            </w:pPr>
            <w:r w:rsidRPr="00FE3EAF">
              <w:rPr>
                <w:rFonts w:eastAsia="Calibri"/>
                <w:color w:val="000000"/>
                <w:sz w:val="21"/>
                <w:szCs w:val="21"/>
              </w:rPr>
              <w:t>108</w:t>
            </w:r>
          </w:p>
        </w:tc>
        <w:tc>
          <w:tcPr>
            <w:tcW w:w="724" w:type="dxa"/>
            <w:tcBorders>
              <w:top w:val="nil"/>
              <w:left w:val="nil"/>
              <w:bottom w:val="nil"/>
              <w:right w:val="nil"/>
            </w:tcBorders>
            <w:tcMar>
              <w:left w:w="58" w:type="dxa"/>
              <w:right w:w="58" w:type="dxa"/>
            </w:tcMar>
            <w:vAlign w:val="bottom"/>
          </w:tcPr>
          <w:p w14:paraId="695EA999" w14:textId="249FD772" w:rsidR="00E27267" w:rsidRPr="00FE3EAF" w:rsidRDefault="00E27267" w:rsidP="00E27267">
            <w:pPr>
              <w:spacing w:after="0" w:line="240" w:lineRule="auto"/>
              <w:jc w:val="right"/>
              <w:rPr>
                <w:rFonts w:eastAsia="Calibri"/>
                <w:color w:val="000000"/>
                <w:sz w:val="21"/>
                <w:szCs w:val="21"/>
              </w:rPr>
            </w:pPr>
            <w:r w:rsidRPr="00FE3EAF">
              <w:rPr>
                <w:rFonts w:eastAsia="Calibri"/>
                <w:color w:val="000000"/>
                <w:sz w:val="21"/>
                <w:szCs w:val="21"/>
              </w:rPr>
              <w:t>13.0</w:t>
            </w:r>
          </w:p>
        </w:tc>
        <w:tc>
          <w:tcPr>
            <w:tcW w:w="716" w:type="dxa"/>
            <w:tcBorders>
              <w:top w:val="nil"/>
              <w:left w:val="nil"/>
              <w:bottom w:val="nil"/>
              <w:right w:val="nil"/>
            </w:tcBorders>
            <w:shd w:val="clear" w:color="auto" w:fill="auto"/>
            <w:noWrap/>
            <w:tcMar>
              <w:left w:w="58" w:type="dxa"/>
              <w:right w:w="58" w:type="dxa"/>
            </w:tcMar>
            <w:vAlign w:val="bottom"/>
          </w:tcPr>
          <w:p w14:paraId="60DBFDD7" w14:textId="3BC49D49" w:rsidR="00E27267" w:rsidRPr="003B2539" w:rsidRDefault="00E27267" w:rsidP="00E27267">
            <w:pPr>
              <w:spacing w:after="0" w:line="240" w:lineRule="auto"/>
              <w:jc w:val="right"/>
              <w:rPr>
                <w:rFonts w:eastAsia="Times New Roman"/>
                <w:bCs/>
                <w:sz w:val="21"/>
                <w:szCs w:val="21"/>
              </w:rPr>
            </w:pPr>
            <w:r w:rsidRPr="004817C2">
              <w:rPr>
                <w:color w:val="000000"/>
                <w:sz w:val="21"/>
                <w:szCs w:val="21"/>
              </w:rPr>
              <w:t>17.6</w:t>
            </w:r>
          </w:p>
        </w:tc>
        <w:tc>
          <w:tcPr>
            <w:tcW w:w="4409" w:type="dxa"/>
            <w:tcBorders>
              <w:top w:val="nil"/>
              <w:left w:val="double" w:sz="4" w:space="0" w:color="auto"/>
              <w:right w:val="nil"/>
            </w:tcBorders>
            <w:shd w:val="clear" w:color="auto" w:fill="auto"/>
            <w:noWrap/>
            <w:tcMar>
              <w:left w:w="58" w:type="dxa"/>
              <w:right w:w="58" w:type="dxa"/>
            </w:tcMar>
            <w:vAlign w:val="center"/>
          </w:tcPr>
          <w:p w14:paraId="72A607C1" w14:textId="77777777" w:rsidR="00E27267" w:rsidRPr="00FE3EAF" w:rsidRDefault="00E27267" w:rsidP="00E27267">
            <w:pPr>
              <w:spacing w:after="0" w:line="240" w:lineRule="auto"/>
              <w:jc w:val="left"/>
              <w:rPr>
                <w:rFonts w:eastAsia="Times New Roman"/>
                <w:sz w:val="21"/>
                <w:szCs w:val="21"/>
              </w:rPr>
            </w:pPr>
            <w:r w:rsidRPr="00FE3EAF">
              <w:rPr>
                <w:rFonts w:eastAsia="Times New Roman"/>
                <w:sz w:val="21"/>
                <w:szCs w:val="21"/>
              </w:rPr>
              <w:t xml:space="preserve"> Retail Sales/Food Services</w:t>
            </w:r>
          </w:p>
        </w:tc>
        <w:tc>
          <w:tcPr>
            <w:tcW w:w="720" w:type="dxa"/>
            <w:tcBorders>
              <w:top w:val="nil"/>
              <w:left w:val="nil"/>
              <w:right w:val="nil"/>
            </w:tcBorders>
            <w:shd w:val="clear" w:color="auto" w:fill="auto"/>
            <w:noWrap/>
            <w:tcMar>
              <w:left w:w="58" w:type="dxa"/>
              <w:right w:w="58" w:type="dxa"/>
            </w:tcMar>
            <w:vAlign w:val="bottom"/>
          </w:tcPr>
          <w:p w14:paraId="66847178" w14:textId="77777777" w:rsidR="00E27267" w:rsidRPr="00FE3EAF" w:rsidRDefault="00E27267" w:rsidP="00E27267">
            <w:pPr>
              <w:spacing w:after="0" w:line="240" w:lineRule="auto"/>
              <w:jc w:val="right"/>
              <w:rPr>
                <w:rFonts w:eastAsia="Times New Roman"/>
                <w:sz w:val="21"/>
                <w:szCs w:val="21"/>
              </w:rPr>
            </w:pPr>
            <w:r w:rsidRPr="00FE3EAF">
              <w:rPr>
                <w:rFonts w:eastAsia="Calibri"/>
                <w:color w:val="000000"/>
                <w:sz w:val="21"/>
                <w:szCs w:val="21"/>
              </w:rPr>
              <w:t>23</w:t>
            </w:r>
          </w:p>
        </w:tc>
        <w:tc>
          <w:tcPr>
            <w:tcW w:w="720" w:type="dxa"/>
            <w:tcBorders>
              <w:top w:val="nil"/>
              <w:left w:val="nil"/>
              <w:right w:val="nil"/>
            </w:tcBorders>
            <w:tcMar>
              <w:left w:w="58" w:type="dxa"/>
              <w:right w:w="58" w:type="dxa"/>
            </w:tcMar>
            <w:vAlign w:val="bottom"/>
          </w:tcPr>
          <w:p w14:paraId="23F5DCB4" w14:textId="2350EB78" w:rsidR="00E27267" w:rsidRPr="00FE3EAF" w:rsidRDefault="00E27267" w:rsidP="00E27267">
            <w:pPr>
              <w:spacing w:after="0" w:line="240" w:lineRule="auto"/>
              <w:jc w:val="right"/>
              <w:rPr>
                <w:rFonts w:eastAsia="Calibri"/>
                <w:color w:val="000000"/>
                <w:sz w:val="21"/>
                <w:szCs w:val="21"/>
              </w:rPr>
            </w:pPr>
            <w:r w:rsidRPr="00FE3EAF">
              <w:rPr>
                <w:rFonts w:eastAsia="Calibri"/>
                <w:color w:val="000000"/>
                <w:sz w:val="21"/>
                <w:szCs w:val="21"/>
              </w:rPr>
              <w:t>2.8</w:t>
            </w:r>
          </w:p>
        </w:tc>
        <w:tc>
          <w:tcPr>
            <w:tcW w:w="632" w:type="dxa"/>
            <w:tcBorders>
              <w:top w:val="nil"/>
              <w:left w:val="nil"/>
              <w:right w:val="double" w:sz="4" w:space="0" w:color="auto"/>
            </w:tcBorders>
            <w:shd w:val="clear" w:color="auto" w:fill="auto"/>
            <w:noWrap/>
            <w:tcMar>
              <w:left w:w="58" w:type="dxa"/>
              <w:right w:w="58" w:type="dxa"/>
            </w:tcMar>
            <w:vAlign w:val="bottom"/>
          </w:tcPr>
          <w:p w14:paraId="0201FA44" w14:textId="00D2C8B9" w:rsidR="00E27267" w:rsidRPr="00FE3EAF" w:rsidRDefault="00D17B54" w:rsidP="00E27267">
            <w:pPr>
              <w:spacing w:after="0" w:line="240" w:lineRule="auto"/>
              <w:jc w:val="right"/>
              <w:rPr>
                <w:rFonts w:eastAsia="Times New Roman"/>
                <w:sz w:val="21"/>
                <w:szCs w:val="21"/>
              </w:rPr>
            </w:pPr>
            <w:r>
              <w:rPr>
                <w:rFonts w:eastAsia="Calibri"/>
                <w:color w:val="000000"/>
                <w:sz w:val="21"/>
                <w:szCs w:val="21"/>
              </w:rPr>
              <w:t>--</w:t>
            </w:r>
          </w:p>
        </w:tc>
      </w:tr>
      <w:tr w:rsidR="00E27267" w:rsidRPr="00FE3EAF" w14:paraId="07E68439" w14:textId="77777777" w:rsidTr="00784D3F">
        <w:trPr>
          <w:gridAfter w:val="1"/>
          <w:wAfter w:w="1184" w:type="dxa"/>
          <w:trHeight w:val="20"/>
        </w:trPr>
        <w:tc>
          <w:tcPr>
            <w:tcW w:w="4769" w:type="dxa"/>
            <w:tcBorders>
              <w:top w:val="nil"/>
              <w:left w:val="double" w:sz="6" w:space="0" w:color="auto"/>
              <w:bottom w:val="nil"/>
              <w:right w:val="nil"/>
            </w:tcBorders>
            <w:shd w:val="clear" w:color="auto" w:fill="auto"/>
            <w:noWrap/>
            <w:tcMar>
              <w:left w:w="58" w:type="dxa"/>
              <w:right w:w="58" w:type="dxa"/>
            </w:tcMar>
            <w:vAlign w:val="center"/>
          </w:tcPr>
          <w:p w14:paraId="64C3D242" w14:textId="77777777" w:rsidR="00E27267" w:rsidRPr="00FE3EAF" w:rsidRDefault="00E27267" w:rsidP="00E27267">
            <w:pPr>
              <w:spacing w:after="0" w:line="240" w:lineRule="auto"/>
              <w:jc w:val="left"/>
              <w:rPr>
                <w:rFonts w:eastAsia="Times New Roman"/>
                <w:sz w:val="21"/>
                <w:szCs w:val="21"/>
              </w:rPr>
            </w:pPr>
            <w:r w:rsidRPr="00FE3EAF">
              <w:rPr>
                <w:rFonts w:eastAsia="Times New Roman"/>
                <w:sz w:val="21"/>
                <w:szCs w:val="21"/>
              </w:rPr>
              <w:t xml:space="preserve"> $75,000 to $99,999</w:t>
            </w:r>
          </w:p>
        </w:tc>
        <w:tc>
          <w:tcPr>
            <w:tcW w:w="720" w:type="dxa"/>
            <w:tcBorders>
              <w:top w:val="nil"/>
              <w:left w:val="nil"/>
              <w:bottom w:val="nil"/>
              <w:right w:val="nil"/>
            </w:tcBorders>
            <w:shd w:val="clear" w:color="auto" w:fill="auto"/>
            <w:noWrap/>
            <w:tcMar>
              <w:left w:w="58" w:type="dxa"/>
              <w:right w:w="58" w:type="dxa"/>
            </w:tcMar>
            <w:vAlign w:val="bottom"/>
          </w:tcPr>
          <w:p w14:paraId="47661740" w14:textId="77777777" w:rsidR="00E27267" w:rsidRPr="00FE3EAF" w:rsidRDefault="00E27267" w:rsidP="00E27267">
            <w:pPr>
              <w:spacing w:after="0" w:line="240" w:lineRule="auto"/>
              <w:jc w:val="right"/>
              <w:rPr>
                <w:rFonts w:eastAsia="Times New Roman"/>
                <w:bCs/>
                <w:sz w:val="21"/>
                <w:szCs w:val="21"/>
              </w:rPr>
            </w:pPr>
            <w:r w:rsidRPr="00FE3EAF">
              <w:rPr>
                <w:rFonts w:eastAsia="Calibri"/>
                <w:color w:val="000000"/>
                <w:sz w:val="21"/>
                <w:szCs w:val="21"/>
              </w:rPr>
              <w:t>114</w:t>
            </w:r>
          </w:p>
        </w:tc>
        <w:tc>
          <w:tcPr>
            <w:tcW w:w="724" w:type="dxa"/>
            <w:tcBorders>
              <w:top w:val="nil"/>
              <w:left w:val="nil"/>
              <w:bottom w:val="nil"/>
              <w:right w:val="nil"/>
            </w:tcBorders>
            <w:tcMar>
              <w:left w:w="58" w:type="dxa"/>
              <w:right w:w="58" w:type="dxa"/>
            </w:tcMar>
            <w:vAlign w:val="bottom"/>
          </w:tcPr>
          <w:p w14:paraId="7DEBA3D0" w14:textId="2318FA5F" w:rsidR="00E27267" w:rsidRPr="00FE3EAF" w:rsidRDefault="00E27267" w:rsidP="00E27267">
            <w:pPr>
              <w:spacing w:after="0" w:line="240" w:lineRule="auto"/>
              <w:jc w:val="right"/>
              <w:rPr>
                <w:rFonts w:eastAsia="Calibri"/>
                <w:color w:val="000000"/>
                <w:sz w:val="21"/>
                <w:szCs w:val="21"/>
              </w:rPr>
            </w:pPr>
            <w:r w:rsidRPr="00FE3EAF">
              <w:rPr>
                <w:rFonts w:eastAsia="Calibri"/>
                <w:color w:val="000000"/>
                <w:sz w:val="21"/>
                <w:szCs w:val="21"/>
              </w:rPr>
              <w:t>13.7</w:t>
            </w:r>
          </w:p>
        </w:tc>
        <w:tc>
          <w:tcPr>
            <w:tcW w:w="716" w:type="dxa"/>
            <w:tcBorders>
              <w:top w:val="nil"/>
              <w:left w:val="nil"/>
              <w:bottom w:val="nil"/>
              <w:right w:val="nil"/>
            </w:tcBorders>
            <w:shd w:val="clear" w:color="auto" w:fill="auto"/>
            <w:noWrap/>
            <w:tcMar>
              <w:left w:w="58" w:type="dxa"/>
              <w:right w:w="58" w:type="dxa"/>
            </w:tcMar>
            <w:vAlign w:val="bottom"/>
          </w:tcPr>
          <w:p w14:paraId="3296D3F5" w14:textId="316B1476" w:rsidR="00E27267" w:rsidRPr="003B2539" w:rsidRDefault="00E27267" w:rsidP="00E27267">
            <w:pPr>
              <w:spacing w:after="0" w:line="240" w:lineRule="auto"/>
              <w:jc w:val="right"/>
              <w:rPr>
                <w:rFonts w:eastAsia="Times New Roman"/>
                <w:bCs/>
                <w:sz w:val="21"/>
                <w:szCs w:val="21"/>
              </w:rPr>
            </w:pPr>
            <w:r w:rsidRPr="004817C2">
              <w:rPr>
                <w:color w:val="000000"/>
                <w:sz w:val="21"/>
                <w:szCs w:val="21"/>
              </w:rPr>
              <w:t>12.5</w:t>
            </w:r>
          </w:p>
        </w:tc>
        <w:tc>
          <w:tcPr>
            <w:tcW w:w="4409" w:type="dxa"/>
            <w:tcBorders>
              <w:top w:val="nil"/>
              <w:left w:val="double" w:sz="4" w:space="0" w:color="auto"/>
              <w:right w:val="nil"/>
            </w:tcBorders>
            <w:shd w:val="clear" w:color="auto" w:fill="auto"/>
            <w:noWrap/>
            <w:tcMar>
              <w:left w:w="58" w:type="dxa"/>
              <w:right w:w="58" w:type="dxa"/>
            </w:tcMar>
            <w:vAlign w:val="center"/>
          </w:tcPr>
          <w:p w14:paraId="5F4E3272" w14:textId="77777777" w:rsidR="00E27267" w:rsidRPr="00FE3EAF" w:rsidRDefault="00E27267" w:rsidP="00E27267">
            <w:pPr>
              <w:spacing w:after="0" w:line="240" w:lineRule="auto"/>
              <w:jc w:val="left"/>
              <w:rPr>
                <w:rFonts w:eastAsia="Times New Roman"/>
                <w:sz w:val="21"/>
                <w:szCs w:val="21"/>
              </w:rPr>
            </w:pPr>
            <w:r w:rsidRPr="00FE3EAF">
              <w:rPr>
                <w:rFonts w:eastAsia="Times New Roman"/>
                <w:sz w:val="21"/>
                <w:szCs w:val="21"/>
              </w:rPr>
              <w:t xml:space="preserve"> Education/Social Services</w:t>
            </w:r>
          </w:p>
        </w:tc>
        <w:tc>
          <w:tcPr>
            <w:tcW w:w="720" w:type="dxa"/>
            <w:tcBorders>
              <w:top w:val="nil"/>
              <w:left w:val="nil"/>
              <w:right w:val="nil"/>
            </w:tcBorders>
            <w:shd w:val="clear" w:color="auto" w:fill="auto"/>
            <w:noWrap/>
            <w:tcMar>
              <w:left w:w="58" w:type="dxa"/>
              <w:right w:w="58" w:type="dxa"/>
            </w:tcMar>
            <w:vAlign w:val="bottom"/>
          </w:tcPr>
          <w:p w14:paraId="55F23473" w14:textId="77777777" w:rsidR="00E27267" w:rsidRPr="00FE3EAF" w:rsidRDefault="00E27267" w:rsidP="00E27267">
            <w:pPr>
              <w:spacing w:after="0" w:line="240" w:lineRule="auto"/>
              <w:jc w:val="right"/>
              <w:rPr>
                <w:rFonts w:eastAsia="Times New Roman"/>
                <w:sz w:val="21"/>
                <w:szCs w:val="21"/>
              </w:rPr>
            </w:pPr>
            <w:r w:rsidRPr="00FE3EAF">
              <w:rPr>
                <w:rFonts w:eastAsia="Calibri"/>
                <w:color w:val="000000"/>
                <w:sz w:val="21"/>
                <w:szCs w:val="21"/>
              </w:rPr>
              <w:t>375</w:t>
            </w:r>
          </w:p>
        </w:tc>
        <w:tc>
          <w:tcPr>
            <w:tcW w:w="720" w:type="dxa"/>
            <w:tcBorders>
              <w:top w:val="nil"/>
              <w:left w:val="nil"/>
              <w:right w:val="nil"/>
            </w:tcBorders>
            <w:tcMar>
              <w:left w:w="58" w:type="dxa"/>
              <w:right w:w="58" w:type="dxa"/>
            </w:tcMar>
            <w:vAlign w:val="bottom"/>
          </w:tcPr>
          <w:p w14:paraId="44ED90C3" w14:textId="72662418" w:rsidR="00E27267" w:rsidRPr="00FE3EAF" w:rsidRDefault="00E27267" w:rsidP="00E27267">
            <w:pPr>
              <w:spacing w:after="0" w:line="240" w:lineRule="auto"/>
              <w:jc w:val="right"/>
              <w:rPr>
                <w:rFonts w:eastAsia="Calibri"/>
                <w:color w:val="000000"/>
                <w:sz w:val="21"/>
                <w:szCs w:val="21"/>
              </w:rPr>
            </w:pPr>
            <w:r w:rsidRPr="00FE3EAF">
              <w:rPr>
                <w:rFonts w:eastAsia="Calibri"/>
                <w:color w:val="000000"/>
                <w:sz w:val="21"/>
                <w:szCs w:val="21"/>
              </w:rPr>
              <w:t>45.5</w:t>
            </w:r>
          </w:p>
        </w:tc>
        <w:tc>
          <w:tcPr>
            <w:tcW w:w="632" w:type="dxa"/>
            <w:tcBorders>
              <w:top w:val="nil"/>
              <w:left w:val="nil"/>
              <w:right w:val="double" w:sz="4" w:space="0" w:color="auto"/>
            </w:tcBorders>
            <w:shd w:val="clear" w:color="auto" w:fill="auto"/>
            <w:noWrap/>
            <w:tcMar>
              <w:left w:w="58" w:type="dxa"/>
              <w:right w:w="58" w:type="dxa"/>
            </w:tcMar>
            <w:vAlign w:val="bottom"/>
          </w:tcPr>
          <w:p w14:paraId="47D31557" w14:textId="73FCAFA2" w:rsidR="00E27267" w:rsidRPr="00FE3EAF" w:rsidRDefault="00286700" w:rsidP="00E27267">
            <w:pPr>
              <w:spacing w:after="0" w:line="240" w:lineRule="auto"/>
              <w:jc w:val="right"/>
              <w:rPr>
                <w:rFonts w:eastAsia="Times New Roman"/>
                <w:sz w:val="21"/>
                <w:szCs w:val="21"/>
              </w:rPr>
            </w:pPr>
            <w:r>
              <w:rPr>
                <w:rFonts w:eastAsia="Calibri"/>
                <w:color w:val="000000"/>
                <w:sz w:val="21"/>
                <w:szCs w:val="21"/>
              </w:rPr>
              <w:t>--</w:t>
            </w:r>
          </w:p>
        </w:tc>
      </w:tr>
      <w:tr w:rsidR="00E27267" w:rsidRPr="00FE3EAF" w14:paraId="3FD58231" w14:textId="77777777" w:rsidTr="00784D3F">
        <w:trPr>
          <w:gridAfter w:val="1"/>
          <w:wAfter w:w="1184" w:type="dxa"/>
          <w:trHeight w:val="20"/>
        </w:trPr>
        <w:tc>
          <w:tcPr>
            <w:tcW w:w="4769" w:type="dxa"/>
            <w:tcBorders>
              <w:top w:val="nil"/>
              <w:left w:val="double" w:sz="6" w:space="0" w:color="auto"/>
              <w:bottom w:val="nil"/>
              <w:right w:val="nil"/>
            </w:tcBorders>
            <w:shd w:val="clear" w:color="auto" w:fill="auto"/>
            <w:noWrap/>
            <w:tcMar>
              <w:left w:w="58" w:type="dxa"/>
              <w:right w:w="58" w:type="dxa"/>
            </w:tcMar>
            <w:vAlign w:val="center"/>
          </w:tcPr>
          <w:p w14:paraId="316B3B7A" w14:textId="77777777" w:rsidR="00E27267" w:rsidRPr="00FE3EAF" w:rsidRDefault="00E27267" w:rsidP="00E27267">
            <w:pPr>
              <w:spacing w:after="0" w:line="240" w:lineRule="auto"/>
              <w:jc w:val="left"/>
              <w:rPr>
                <w:rFonts w:eastAsia="Times New Roman"/>
                <w:sz w:val="21"/>
                <w:szCs w:val="21"/>
              </w:rPr>
            </w:pPr>
            <w:r w:rsidRPr="00FE3EAF">
              <w:rPr>
                <w:rFonts w:eastAsia="Times New Roman"/>
                <w:sz w:val="21"/>
                <w:szCs w:val="21"/>
              </w:rPr>
              <w:t xml:space="preserve"> $100,000 to $149,999</w:t>
            </w:r>
          </w:p>
        </w:tc>
        <w:tc>
          <w:tcPr>
            <w:tcW w:w="720" w:type="dxa"/>
            <w:tcBorders>
              <w:top w:val="nil"/>
              <w:left w:val="nil"/>
              <w:bottom w:val="nil"/>
              <w:right w:val="nil"/>
            </w:tcBorders>
            <w:shd w:val="clear" w:color="auto" w:fill="auto"/>
            <w:noWrap/>
            <w:tcMar>
              <w:left w:w="58" w:type="dxa"/>
              <w:right w:w="58" w:type="dxa"/>
            </w:tcMar>
            <w:vAlign w:val="bottom"/>
          </w:tcPr>
          <w:p w14:paraId="79D576B5" w14:textId="77777777" w:rsidR="00E27267" w:rsidRPr="00FE3EAF" w:rsidRDefault="00E27267" w:rsidP="00E27267">
            <w:pPr>
              <w:spacing w:after="0" w:line="240" w:lineRule="auto"/>
              <w:jc w:val="right"/>
              <w:rPr>
                <w:rFonts w:eastAsia="Calibri"/>
                <w:color w:val="000000"/>
                <w:sz w:val="21"/>
                <w:szCs w:val="21"/>
              </w:rPr>
            </w:pPr>
            <w:r w:rsidRPr="00FE3EAF">
              <w:rPr>
                <w:rFonts w:eastAsia="Calibri"/>
                <w:color w:val="000000"/>
                <w:sz w:val="21"/>
                <w:szCs w:val="21"/>
              </w:rPr>
              <w:t>217</w:t>
            </w:r>
          </w:p>
        </w:tc>
        <w:tc>
          <w:tcPr>
            <w:tcW w:w="724" w:type="dxa"/>
            <w:tcBorders>
              <w:top w:val="nil"/>
              <w:left w:val="nil"/>
              <w:bottom w:val="nil"/>
              <w:right w:val="nil"/>
            </w:tcBorders>
            <w:tcMar>
              <w:left w:w="58" w:type="dxa"/>
              <w:right w:w="58" w:type="dxa"/>
            </w:tcMar>
            <w:vAlign w:val="bottom"/>
          </w:tcPr>
          <w:p w14:paraId="7BCC411E" w14:textId="1049CCB5" w:rsidR="00E27267" w:rsidRPr="00FE3EAF" w:rsidRDefault="00E27267" w:rsidP="00E27267">
            <w:pPr>
              <w:spacing w:after="0" w:line="240" w:lineRule="auto"/>
              <w:jc w:val="right"/>
              <w:rPr>
                <w:rFonts w:eastAsia="Calibri"/>
                <w:color w:val="000000"/>
                <w:sz w:val="21"/>
                <w:szCs w:val="21"/>
              </w:rPr>
            </w:pPr>
            <w:r w:rsidRPr="00FE3EAF">
              <w:rPr>
                <w:rFonts w:eastAsia="Calibri"/>
                <w:color w:val="000000"/>
                <w:sz w:val="21"/>
                <w:szCs w:val="21"/>
              </w:rPr>
              <w:t>33.6</w:t>
            </w:r>
          </w:p>
        </w:tc>
        <w:tc>
          <w:tcPr>
            <w:tcW w:w="716" w:type="dxa"/>
            <w:tcBorders>
              <w:top w:val="nil"/>
              <w:left w:val="nil"/>
              <w:bottom w:val="nil"/>
              <w:right w:val="nil"/>
            </w:tcBorders>
            <w:shd w:val="clear" w:color="auto" w:fill="auto"/>
            <w:noWrap/>
            <w:tcMar>
              <w:left w:w="58" w:type="dxa"/>
              <w:right w:w="58" w:type="dxa"/>
            </w:tcMar>
            <w:vAlign w:val="bottom"/>
          </w:tcPr>
          <w:p w14:paraId="0D37F139" w14:textId="3FEACB1B" w:rsidR="00E27267" w:rsidRPr="003B2539" w:rsidRDefault="00E27267" w:rsidP="00E27267">
            <w:pPr>
              <w:spacing w:after="0" w:line="240" w:lineRule="auto"/>
              <w:jc w:val="right"/>
              <w:rPr>
                <w:rFonts w:eastAsia="Calibri"/>
                <w:color w:val="000000"/>
                <w:sz w:val="21"/>
                <w:szCs w:val="21"/>
              </w:rPr>
            </w:pPr>
            <w:r w:rsidRPr="004817C2">
              <w:rPr>
                <w:color w:val="000000"/>
                <w:sz w:val="21"/>
                <w:szCs w:val="21"/>
              </w:rPr>
              <w:t>15.6</w:t>
            </w:r>
          </w:p>
        </w:tc>
        <w:tc>
          <w:tcPr>
            <w:tcW w:w="4409" w:type="dxa"/>
            <w:tcBorders>
              <w:top w:val="nil"/>
              <w:left w:val="double" w:sz="4" w:space="0" w:color="auto"/>
              <w:right w:val="nil"/>
            </w:tcBorders>
            <w:shd w:val="clear" w:color="auto" w:fill="auto"/>
            <w:noWrap/>
            <w:tcMar>
              <w:left w:w="58" w:type="dxa"/>
              <w:right w:w="58" w:type="dxa"/>
            </w:tcMar>
            <w:vAlign w:val="center"/>
          </w:tcPr>
          <w:p w14:paraId="362DC7BD" w14:textId="77777777" w:rsidR="00E27267" w:rsidRPr="00FE3EAF" w:rsidRDefault="00E27267" w:rsidP="00E27267">
            <w:pPr>
              <w:spacing w:after="0" w:line="240" w:lineRule="auto"/>
              <w:jc w:val="left"/>
              <w:rPr>
                <w:rFonts w:eastAsia="Times New Roman"/>
                <w:sz w:val="21"/>
                <w:szCs w:val="21"/>
              </w:rPr>
            </w:pPr>
            <w:r w:rsidRPr="00FE3EAF">
              <w:rPr>
                <w:rFonts w:eastAsia="Times New Roman"/>
                <w:sz w:val="21"/>
                <w:szCs w:val="21"/>
              </w:rPr>
              <w:t xml:space="preserve"> Information/Finance</w:t>
            </w:r>
          </w:p>
        </w:tc>
        <w:tc>
          <w:tcPr>
            <w:tcW w:w="720" w:type="dxa"/>
            <w:tcBorders>
              <w:top w:val="nil"/>
              <w:left w:val="nil"/>
              <w:right w:val="nil"/>
            </w:tcBorders>
            <w:shd w:val="clear" w:color="auto" w:fill="auto"/>
            <w:noWrap/>
            <w:tcMar>
              <w:left w:w="58" w:type="dxa"/>
              <w:right w:w="58" w:type="dxa"/>
            </w:tcMar>
            <w:vAlign w:val="bottom"/>
          </w:tcPr>
          <w:p w14:paraId="155461B3" w14:textId="77777777" w:rsidR="00E27267" w:rsidRPr="00FE3EAF" w:rsidRDefault="00E27267" w:rsidP="00E27267">
            <w:pPr>
              <w:spacing w:after="0" w:line="240" w:lineRule="auto"/>
              <w:jc w:val="right"/>
              <w:rPr>
                <w:rFonts w:eastAsia="Times New Roman"/>
                <w:sz w:val="21"/>
                <w:szCs w:val="21"/>
              </w:rPr>
            </w:pPr>
            <w:r w:rsidRPr="00FE3EAF">
              <w:rPr>
                <w:rFonts w:eastAsia="Calibri"/>
                <w:color w:val="000000"/>
                <w:sz w:val="21"/>
                <w:szCs w:val="21"/>
              </w:rPr>
              <w:t>46</w:t>
            </w:r>
          </w:p>
        </w:tc>
        <w:tc>
          <w:tcPr>
            <w:tcW w:w="720" w:type="dxa"/>
            <w:tcBorders>
              <w:top w:val="nil"/>
              <w:left w:val="nil"/>
              <w:right w:val="nil"/>
            </w:tcBorders>
            <w:tcMar>
              <w:left w:w="58" w:type="dxa"/>
              <w:right w:w="58" w:type="dxa"/>
            </w:tcMar>
            <w:vAlign w:val="bottom"/>
          </w:tcPr>
          <w:p w14:paraId="291CC874" w14:textId="5383B430" w:rsidR="00E27267" w:rsidRPr="00FE3EAF" w:rsidRDefault="00E27267" w:rsidP="00E27267">
            <w:pPr>
              <w:spacing w:after="0" w:line="240" w:lineRule="auto"/>
              <w:jc w:val="right"/>
              <w:rPr>
                <w:rFonts w:eastAsia="Calibri"/>
                <w:color w:val="000000"/>
                <w:sz w:val="21"/>
                <w:szCs w:val="21"/>
              </w:rPr>
            </w:pPr>
            <w:r w:rsidRPr="00FE3EAF">
              <w:rPr>
                <w:rFonts w:eastAsia="Calibri"/>
                <w:color w:val="000000"/>
                <w:sz w:val="21"/>
                <w:szCs w:val="21"/>
              </w:rPr>
              <w:t>5.6</w:t>
            </w:r>
          </w:p>
        </w:tc>
        <w:tc>
          <w:tcPr>
            <w:tcW w:w="632" w:type="dxa"/>
            <w:tcBorders>
              <w:top w:val="nil"/>
              <w:left w:val="nil"/>
              <w:right w:val="double" w:sz="4" w:space="0" w:color="auto"/>
            </w:tcBorders>
            <w:shd w:val="clear" w:color="auto" w:fill="auto"/>
            <w:noWrap/>
            <w:tcMar>
              <w:left w:w="58" w:type="dxa"/>
              <w:right w:w="58" w:type="dxa"/>
            </w:tcMar>
            <w:vAlign w:val="bottom"/>
          </w:tcPr>
          <w:p w14:paraId="6134C0CE" w14:textId="2D7EA699" w:rsidR="00E27267" w:rsidRPr="00FE3EAF" w:rsidRDefault="00286700" w:rsidP="00E27267">
            <w:pPr>
              <w:spacing w:after="0" w:line="240" w:lineRule="auto"/>
              <w:jc w:val="right"/>
              <w:rPr>
                <w:rFonts w:eastAsia="Times New Roman"/>
                <w:sz w:val="21"/>
                <w:szCs w:val="21"/>
              </w:rPr>
            </w:pPr>
            <w:r>
              <w:rPr>
                <w:rFonts w:eastAsia="Calibri"/>
                <w:color w:val="000000"/>
                <w:sz w:val="21"/>
                <w:szCs w:val="21"/>
              </w:rPr>
              <w:t>--</w:t>
            </w:r>
          </w:p>
        </w:tc>
      </w:tr>
      <w:tr w:rsidR="00E27267" w:rsidRPr="00FE3EAF" w14:paraId="3EF73FD5" w14:textId="77777777" w:rsidTr="00784D3F">
        <w:trPr>
          <w:gridAfter w:val="1"/>
          <w:wAfter w:w="1184" w:type="dxa"/>
          <w:trHeight w:val="20"/>
        </w:trPr>
        <w:tc>
          <w:tcPr>
            <w:tcW w:w="4769" w:type="dxa"/>
            <w:tcBorders>
              <w:top w:val="nil"/>
              <w:left w:val="double" w:sz="6" w:space="0" w:color="auto"/>
              <w:bottom w:val="nil"/>
              <w:right w:val="nil"/>
            </w:tcBorders>
            <w:shd w:val="clear" w:color="auto" w:fill="auto"/>
            <w:noWrap/>
            <w:tcMar>
              <w:left w:w="58" w:type="dxa"/>
              <w:right w:w="58" w:type="dxa"/>
            </w:tcMar>
            <w:vAlign w:val="center"/>
          </w:tcPr>
          <w:p w14:paraId="7CF06617" w14:textId="77777777" w:rsidR="00E27267" w:rsidRPr="00FE3EAF" w:rsidRDefault="00E27267" w:rsidP="00E27267">
            <w:pPr>
              <w:spacing w:after="0" w:line="240" w:lineRule="auto"/>
              <w:jc w:val="left"/>
              <w:rPr>
                <w:rFonts w:eastAsia="Times New Roman"/>
                <w:sz w:val="21"/>
                <w:szCs w:val="21"/>
              </w:rPr>
            </w:pPr>
            <w:r w:rsidRPr="00FE3EAF">
              <w:rPr>
                <w:rFonts w:eastAsia="Times New Roman"/>
                <w:sz w:val="21"/>
                <w:szCs w:val="21"/>
              </w:rPr>
              <w:t xml:space="preserve"> $150,000 to $249,999</w:t>
            </w:r>
          </w:p>
        </w:tc>
        <w:tc>
          <w:tcPr>
            <w:tcW w:w="720" w:type="dxa"/>
            <w:tcBorders>
              <w:top w:val="nil"/>
              <w:left w:val="nil"/>
              <w:bottom w:val="nil"/>
              <w:right w:val="nil"/>
            </w:tcBorders>
            <w:shd w:val="clear" w:color="auto" w:fill="auto"/>
            <w:noWrap/>
            <w:tcMar>
              <w:left w:w="58" w:type="dxa"/>
              <w:right w:w="58" w:type="dxa"/>
            </w:tcMar>
            <w:vAlign w:val="bottom"/>
          </w:tcPr>
          <w:p w14:paraId="2D898DD2" w14:textId="77777777" w:rsidR="00E27267" w:rsidRPr="00FE3EAF" w:rsidRDefault="00E27267" w:rsidP="00E27267">
            <w:pPr>
              <w:spacing w:after="0" w:line="240" w:lineRule="auto"/>
              <w:jc w:val="right"/>
              <w:rPr>
                <w:rFonts w:eastAsia="Calibri"/>
                <w:color w:val="000000"/>
                <w:sz w:val="21"/>
                <w:szCs w:val="21"/>
              </w:rPr>
            </w:pPr>
            <w:r w:rsidRPr="00FE3EAF">
              <w:rPr>
                <w:rFonts w:eastAsia="Calibri"/>
                <w:color w:val="000000"/>
                <w:sz w:val="21"/>
                <w:szCs w:val="21"/>
              </w:rPr>
              <w:t>191</w:t>
            </w:r>
          </w:p>
        </w:tc>
        <w:tc>
          <w:tcPr>
            <w:tcW w:w="724" w:type="dxa"/>
            <w:tcBorders>
              <w:top w:val="nil"/>
              <w:left w:val="nil"/>
              <w:bottom w:val="nil"/>
              <w:right w:val="nil"/>
            </w:tcBorders>
            <w:tcMar>
              <w:left w:w="58" w:type="dxa"/>
              <w:right w:w="58" w:type="dxa"/>
            </w:tcMar>
            <w:vAlign w:val="bottom"/>
          </w:tcPr>
          <w:p w14:paraId="07AA82E2" w14:textId="7A3EE616" w:rsidR="00E27267" w:rsidRPr="00FE3EAF" w:rsidRDefault="00E27267" w:rsidP="00E27267">
            <w:pPr>
              <w:spacing w:after="0" w:line="240" w:lineRule="auto"/>
              <w:jc w:val="right"/>
              <w:rPr>
                <w:rFonts w:eastAsia="Calibri"/>
                <w:color w:val="000000"/>
                <w:sz w:val="21"/>
                <w:szCs w:val="21"/>
              </w:rPr>
            </w:pPr>
            <w:r w:rsidRPr="00FE3EAF">
              <w:rPr>
                <w:rFonts w:eastAsia="Calibri"/>
                <w:color w:val="000000"/>
                <w:sz w:val="21"/>
                <w:szCs w:val="21"/>
              </w:rPr>
              <w:t>23.5</w:t>
            </w:r>
          </w:p>
        </w:tc>
        <w:tc>
          <w:tcPr>
            <w:tcW w:w="716" w:type="dxa"/>
            <w:tcBorders>
              <w:top w:val="nil"/>
              <w:left w:val="nil"/>
              <w:bottom w:val="nil"/>
              <w:right w:val="nil"/>
            </w:tcBorders>
            <w:shd w:val="clear" w:color="auto" w:fill="auto"/>
            <w:noWrap/>
            <w:tcMar>
              <w:left w:w="58" w:type="dxa"/>
              <w:right w:w="58" w:type="dxa"/>
            </w:tcMar>
            <w:vAlign w:val="bottom"/>
          </w:tcPr>
          <w:p w14:paraId="111288BC" w14:textId="6ECA029D" w:rsidR="00E27267" w:rsidRPr="003B2539" w:rsidRDefault="00E27267" w:rsidP="00E27267">
            <w:pPr>
              <w:spacing w:after="0" w:line="240" w:lineRule="auto"/>
              <w:jc w:val="right"/>
              <w:rPr>
                <w:rFonts w:eastAsia="Calibri"/>
                <w:color w:val="000000"/>
                <w:sz w:val="21"/>
                <w:szCs w:val="21"/>
              </w:rPr>
            </w:pPr>
            <w:r w:rsidRPr="004817C2">
              <w:rPr>
                <w:color w:val="000000"/>
                <w:sz w:val="21"/>
                <w:szCs w:val="21"/>
              </w:rPr>
              <w:t>7</w:t>
            </w:r>
            <w:r w:rsidR="003B2539">
              <w:rPr>
                <w:color w:val="000000"/>
                <w:sz w:val="21"/>
                <w:szCs w:val="21"/>
              </w:rPr>
              <w:t>.0</w:t>
            </w:r>
          </w:p>
        </w:tc>
        <w:tc>
          <w:tcPr>
            <w:tcW w:w="4409" w:type="dxa"/>
            <w:tcBorders>
              <w:top w:val="nil"/>
              <w:left w:val="double" w:sz="4" w:space="0" w:color="auto"/>
              <w:right w:val="nil"/>
            </w:tcBorders>
            <w:shd w:val="clear" w:color="auto" w:fill="auto"/>
            <w:noWrap/>
            <w:tcMar>
              <w:left w:w="58" w:type="dxa"/>
              <w:right w:w="58" w:type="dxa"/>
            </w:tcMar>
            <w:vAlign w:val="center"/>
          </w:tcPr>
          <w:p w14:paraId="0F1446CD" w14:textId="77777777" w:rsidR="00E27267" w:rsidRPr="00FE3EAF" w:rsidRDefault="00E27267" w:rsidP="00E27267">
            <w:pPr>
              <w:spacing w:after="0" w:line="240" w:lineRule="auto"/>
              <w:jc w:val="left"/>
              <w:rPr>
                <w:rFonts w:eastAsia="Times New Roman"/>
                <w:sz w:val="21"/>
                <w:szCs w:val="21"/>
              </w:rPr>
            </w:pPr>
            <w:r w:rsidRPr="00FE3EAF">
              <w:rPr>
                <w:rFonts w:eastAsia="Times New Roman"/>
                <w:sz w:val="21"/>
                <w:szCs w:val="21"/>
              </w:rPr>
              <w:t xml:space="preserve"> Managerial/Technical</w:t>
            </w:r>
          </w:p>
        </w:tc>
        <w:tc>
          <w:tcPr>
            <w:tcW w:w="720" w:type="dxa"/>
            <w:tcBorders>
              <w:top w:val="nil"/>
              <w:left w:val="nil"/>
              <w:right w:val="nil"/>
            </w:tcBorders>
            <w:shd w:val="clear" w:color="auto" w:fill="auto"/>
            <w:noWrap/>
            <w:tcMar>
              <w:left w:w="58" w:type="dxa"/>
              <w:right w:w="58" w:type="dxa"/>
            </w:tcMar>
            <w:vAlign w:val="bottom"/>
          </w:tcPr>
          <w:p w14:paraId="17ECEA49" w14:textId="77777777" w:rsidR="00E27267" w:rsidRPr="00FE3EAF" w:rsidRDefault="00E27267" w:rsidP="00E27267">
            <w:pPr>
              <w:spacing w:after="0" w:line="240" w:lineRule="auto"/>
              <w:jc w:val="right"/>
              <w:rPr>
                <w:rFonts w:eastAsia="Times New Roman"/>
                <w:sz w:val="21"/>
                <w:szCs w:val="21"/>
              </w:rPr>
            </w:pPr>
            <w:r w:rsidRPr="00FE3EAF">
              <w:rPr>
                <w:rFonts w:eastAsia="Times New Roman"/>
                <w:sz w:val="21"/>
                <w:szCs w:val="21"/>
              </w:rPr>
              <w:t>188</w:t>
            </w:r>
          </w:p>
        </w:tc>
        <w:tc>
          <w:tcPr>
            <w:tcW w:w="720" w:type="dxa"/>
            <w:tcBorders>
              <w:top w:val="nil"/>
              <w:left w:val="nil"/>
              <w:right w:val="nil"/>
            </w:tcBorders>
            <w:tcMar>
              <w:left w:w="58" w:type="dxa"/>
              <w:right w:w="58" w:type="dxa"/>
            </w:tcMar>
            <w:vAlign w:val="bottom"/>
          </w:tcPr>
          <w:p w14:paraId="30D4E9FF" w14:textId="7EA47EDC" w:rsidR="00E27267" w:rsidRPr="00FE3EAF" w:rsidRDefault="00E27267" w:rsidP="00E27267">
            <w:pPr>
              <w:spacing w:after="0" w:line="240" w:lineRule="auto"/>
              <w:jc w:val="right"/>
              <w:rPr>
                <w:rFonts w:eastAsia="Calibri"/>
                <w:color w:val="000000"/>
                <w:sz w:val="21"/>
                <w:szCs w:val="21"/>
              </w:rPr>
            </w:pPr>
            <w:r w:rsidRPr="00FE3EAF">
              <w:rPr>
                <w:rFonts w:eastAsia="Calibri"/>
                <w:color w:val="000000"/>
                <w:sz w:val="21"/>
                <w:szCs w:val="21"/>
              </w:rPr>
              <w:t>21.8</w:t>
            </w:r>
          </w:p>
        </w:tc>
        <w:tc>
          <w:tcPr>
            <w:tcW w:w="632" w:type="dxa"/>
            <w:tcBorders>
              <w:top w:val="nil"/>
              <w:left w:val="nil"/>
              <w:right w:val="double" w:sz="4" w:space="0" w:color="auto"/>
            </w:tcBorders>
            <w:shd w:val="clear" w:color="auto" w:fill="auto"/>
            <w:noWrap/>
            <w:tcMar>
              <w:left w:w="58" w:type="dxa"/>
              <w:right w:w="58" w:type="dxa"/>
            </w:tcMar>
            <w:vAlign w:val="bottom"/>
          </w:tcPr>
          <w:p w14:paraId="76E4B4C1" w14:textId="56D3225E" w:rsidR="00E27267" w:rsidRPr="00FE3EAF" w:rsidRDefault="00286700" w:rsidP="00E27267">
            <w:pPr>
              <w:spacing w:after="0" w:line="240" w:lineRule="auto"/>
              <w:jc w:val="right"/>
              <w:rPr>
                <w:rFonts w:eastAsia="Times New Roman"/>
                <w:sz w:val="21"/>
                <w:szCs w:val="21"/>
              </w:rPr>
            </w:pPr>
            <w:r>
              <w:rPr>
                <w:rFonts w:eastAsia="Calibri"/>
                <w:color w:val="000000"/>
                <w:sz w:val="21"/>
                <w:szCs w:val="21"/>
              </w:rPr>
              <w:t>--</w:t>
            </w:r>
          </w:p>
        </w:tc>
      </w:tr>
      <w:tr w:rsidR="00E27267" w:rsidRPr="00FE3EAF" w14:paraId="711EE81F" w14:textId="77777777" w:rsidTr="00784D3F">
        <w:trPr>
          <w:gridAfter w:val="1"/>
          <w:wAfter w:w="1184" w:type="dxa"/>
          <w:trHeight w:val="20"/>
        </w:trPr>
        <w:tc>
          <w:tcPr>
            <w:tcW w:w="4769" w:type="dxa"/>
            <w:tcBorders>
              <w:top w:val="nil"/>
              <w:left w:val="double" w:sz="6" w:space="0" w:color="auto"/>
              <w:bottom w:val="nil"/>
              <w:right w:val="nil"/>
            </w:tcBorders>
            <w:shd w:val="clear" w:color="auto" w:fill="auto"/>
            <w:noWrap/>
            <w:tcMar>
              <w:left w:w="58" w:type="dxa"/>
              <w:right w:w="58" w:type="dxa"/>
            </w:tcMar>
            <w:vAlign w:val="center"/>
          </w:tcPr>
          <w:p w14:paraId="2E58A1A0" w14:textId="77777777" w:rsidR="00E27267" w:rsidRPr="00FE3EAF" w:rsidRDefault="00E27267" w:rsidP="00E27267">
            <w:pPr>
              <w:spacing w:after="0" w:line="240" w:lineRule="auto"/>
              <w:jc w:val="left"/>
              <w:rPr>
                <w:rFonts w:eastAsia="Times New Roman"/>
                <w:sz w:val="21"/>
                <w:szCs w:val="21"/>
              </w:rPr>
            </w:pPr>
            <w:r w:rsidRPr="00FE3EAF">
              <w:rPr>
                <w:rFonts w:eastAsia="Times New Roman"/>
                <w:b/>
                <w:bCs/>
                <w:sz w:val="21"/>
                <w:szCs w:val="21"/>
              </w:rPr>
              <w:t xml:space="preserve"> </w:t>
            </w:r>
            <w:r w:rsidRPr="00FE3EAF">
              <w:rPr>
                <w:rFonts w:eastAsia="Times New Roman"/>
                <w:sz w:val="21"/>
                <w:szCs w:val="21"/>
              </w:rPr>
              <w:t>$250,000 or more</w:t>
            </w:r>
          </w:p>
        </w:tc>
        <w:tc>
          <w:tcPr>
            <w:tcW w:w="720" w:type="dxa"/>
            <w:tcBorders>
              <w:top w:val="nil"/>
              <w:left w:val="nil"/>
              <w:bottom w:val="nil"/>
              <w:right w:val="nil"/>
            </w:tcBorders>
            <w:shd w:val="clear" w:color="auto" w:fill="auto"/>
            <w:noWrap/>
            <w:tcMar>
              <w:left w:w="58" w:type="dxa"/>
              <w:right w:w="58" w:type="dxa"/>
            </w:tcMar>
            <w:vAlign w:val="bottom"/>
          </w:tcPr>
          <w:p w14:paraId="193D4966" w14:textId="77777777" w:rsidR="00E27267" w:rsidRPr="00FE3EAF" w:rsidRDefault="00E27267" w:rsidP="00E27267">
            <w:pPr>
              <w:spacing w:after="0" w:line="240" w:lineRule="auto"/>
              <w:jc w:val="right"/>
              <w:rPr>
                <w:rFonts w:eastAsia="Calibri"/>
                <w:color w:val="000000"/>
                <w:sz w:val="21"/>
                <w:szCs w:val="21"/>
              </w:rPr>
            </w:pPr>
            <w:r w:rsidRPr="00FE3EAF">
              <w:rPr>
                <w:rFonts w:eastAsia="Calibri"/>
                <w:color w:val="000000"/>
                <w:sz w:val="21"/>
                <w:szCs w:val="21"/>
              </w:rPr>
              <w:t>148</w:t>
            </w:r>
          </w:p>
        </w:tc>
        <w:tc>
          <w:tcPr>
            <w:tcW w:w="724" w:type="dxa"/>
            <w:tcBorders>
              <w:top w:val="nil"/>
              <w:left w:val="nil"/>
              <w:bottom w:val="nil"/>
              <w:right w:val="nil"/>
            </w:tcBorders>
            <w:tcMar>
              <w:left w:w="58" w:type="dxa"/>
              <w:right w:w="58" w:type="dxa"/>
            </w:tcMar>
            <w:vAlign w:val="bottom"/>
          </w:tcPr>
          <w:p w14:paraId="4998DC7F" w14:textId="5A0DCBE2" w:rsidR="00E27267" w:rsidRPr="00FE3EAF" w:rsidRDefault="00E27267" w:rsidP="00E27267">
            <w:pPr>
              <w:spacing w:after="0" w:line="240" w:lineRule="auto"/>
              <w:jc w:val="right"/>
              <w:rPr>
                <w:rFonts w:eastAsia="Calibri"/>
                <w:color w:val="000000"/>
                <w:sz w:val="21"/>
                <w:szCs w:val="21"/>
              </w:rPr>
            </w:pPr>
            <w:r w:rsidRPr="00FE3EAF">
              <w:rPr>
                <w:rFonts w:eastAsia="Calibri"/>
                <w:color w:val="000000"/>
                <w:sz w:val="21"/>
                <w:szCs w:val="21"/>
              </w:rPr>
              <w:t>10.9</w:t>
            </w:r>
          </w:p>
        </w:tc>
        <w:tc>
          <w:tcPr>
            <w:tcW w:w="716" w:type="dxa"/>
            <w:tcBorders>
              <w:top w:val="nil"/>
              <w:left w:val="nil"/>
              <w:bottom w:val="nil"/>
              <w:right w:val="nil"/>
            </w:tcBorders>
            <w:shd w:val="clear" w:color="auto" w:fill="auto"/>
            <w:noWrap/>
            <w:tcMar>
              <w:left w:w="58" w:type="dxa"/>
              <w:right w:w="58" w:type="dxa"/>
            </w:tcMar>
            <w:vAlign w:val="bottom"/>
          </w:tcPr>
          <w:p w14:paraId="5F359276" w14:textId="7CDA4830" w:rsidR="00E27267" w:rsidRPr="003B2539" w:rsidRDefault="00E27267" w:rsidP="00E27267">
            <w:pPr>
              <w:spacing w:after="0" w:line="240" w:lineRule="auto"/>
              <w:jc w:val="right"/>
              <w:rPr>
                <w:rFonts w:eastAsia="Calibri"/>
                <w:color w:val="000000"/>
                <w:sz w:val="21"/>
                <w:szCs w:val="21"/>
              </w:rPr>
            </w:pPr>
            <w:r w:rsidRPr="004817C2">
              <w:rPr>
                <w:color w:val="000000"/>
                <w:sz w:val="21"/>
                <w:szCs w:val="21"/>
              </w:rPr>
              <w:t>7.8</w:t>
            </w:r>
          </w:p>
        </w:tc>
        <w:tc>
          <w:tcPr>
            <w:tcW w:w="4409" w:type="dxa"/>
            <w:tcBorders>
              <w:top w:val="nil"/>
              <w:left w:val="double" w:sz="4" w:space="0" w:color="auto"/>
              <w:right w:val="nil"/>
            </w:tcBorders>
            <w:shd w:val="clear" w:color="auto" w:fill="auto"/>
            <w:noWrap/>
            <w:tcMar>
              <w:left w:w="58" w:type="dxa"/>
              <w:right w:w="58" w:type="dxa"/>
            </w:tcMar>
            <w:vAlign w:val="center"/>
          </w:tcPr>
          <w:p w14:paraId="2540B2DA" w14:textId="77777777" w:rsidR="00E27267" w:rsidRPr="00FE3EAF" w:rsidRDefault="00E27267" w:rsidP="00E27267">
            <w:pPr>
              <w:spacing w:after="0" w:line="240" w:lineRule="auto"/>
              <w:jc w:val="left"/>
              <w:rPr>
                <w:rFonts w:eastAsia="Times New Roman"/>
                <w:sz w:val="21"/>
                <w:szCs w:val="21"/>
              </w:rPr>
            </w:pPr>
            <w:r w:rsidRPr="00FE3EAF">
              <w:rPr>
                <w:rFonts w:eastAsia="Times New Roman"/>
                <w:sz w:val="21"/>
                <w:szCs w:val="21"/>
              </w:rPr>
              <w:t xml:space="preserve"> Professional Services</w:t>
            </w:r>
          </w:p>
        </w:tc>
        <w:tc>
          <w:tcPr>
            <w:tcW w:w="720" w:type="dxa"/>
            <w:tcBorders>
              <w:top w:val="nil"/>
              <w:left w:val="nil"/>
              <w:right w:val="nil"/>
            </w:tcBorders>
            <w:shd w:val="clear" w:color="auto" w:fill="auto"/>
            <w:noWrap/>
            <w:tcMar>
              <w:left w:w="58" w:type="dxa"/>
              <w:right w:w="58" w:type="dxa"/>
            </w:tcMar>
            <w:vAlign w:val="bottom"/>
          </w:tcPr>
          <w:p w14:paraId="3E1A23F2" w14:textId="77777777" w:rsidR="00E27267" w:rsidRPr="00FE3EAF" w:rsidRDefault="00E27267" w:rsidP="00E27267">
            <w:pPr>
              <w:spacing w:after="0" w:line="240" w:lineRule="auto"/>
              <w:jc w:val="right"/>
              <w:rPr>
                <w:rFonts w:eastAsia="Times New Roman"/>
                <w:sz w:val="21"/>
                <w:szCs w:val="21"/>
              </w:rPr>
            </w:pPr>
            <w:r w:rsidRPr="00FE3EAF">
              <w:rPr>
                <w:rFonts w:eastAsia="Calibri"/>
                <w:color w:val="000000"/>
                <w:sz w:val="21"/>
                <w:szCs w:val="21"/>
              </w:rPr>
              <w:t>108</w:t>
            </w:r>
          </w:p>
        </w:tc>
        <w:tc>
          <w:tcPr>
            <w:tcW w:w="720" w:type="dxa"/>
            <w:tcBorders>
              <w:top w:val="nil"/>
              <w:left w:val="nil"/>
              <w:right w:val="nil"/>
            </w:tcBorders>
            <w:tcMar>
              <w:left w:w="58" w:type="dxa"/>
              <w:right w:w="58" w:type="dxa"/>
            </w:tcMar>
            <w:vAlign w:val="bottom"/>
          </w:tcPr>
          <w:p w14:paraId="6BEEC103" w14:textId="07A3AD92" w:rsidR="00E27267" w:rsidRPr="00FE3EAF" w:rsidRDefault="00E27267" w:rsidP="00E27267">
            <w:pPr>
              <w:spacing w:after="0" w:line="240" w:lineRule="auto"/>
              <w:jc w:val="right"/>
              <w:rPr>
                <w:rFonts w:eastAsia="Calibri"/>
                <w:color w:val="000000"/>
                <w:sz w:val="21"/>
                <w:szCs w:val="21"/>
              </w:rPr>
            </w:pPr>
            <w:r w:rsidRPr="00FE3EAF">
              <w:rPr>
                <w:rFonts w:eastAsia="Calibri"/>
                <w:color w:val="000000"/>
                <w:sz w:val="21"/>
                <w:szCs w:val="21"/>
              </w:rPr>
              <w:t>13.1</w:t>
            </w:r>
          </w:p>
        </w:tc>
        <w:tc>
          <w:tcPr>
            <w:tcW w:w="632" w:type="dxa"/>
            <w:tcBorders>
              <w:top w:val="nil"/>
              <w:left w:val="nil"/>
              <w:right w:val="double" w:sz="4" w:space="0" w:color="auto"/>
            </w:tcBorders>
            <w:shd w:val="clear" w:color="auto" w:fill="auto"/>
            <w:noWrap/>
            <w:tcMar>
              <w:left w:w="58" w:type="dxa"/>
              <w:right w:w="58" w:type="dxa"/>
            </w:tcMar>
            <w:vAlign w:val="bottom"/>
          </w:tcPr>
          <w:p w14:paraId="0BE1D116" w14:textId="5D1043AF" w:rsidR="00E27267" w:rsidRPr="00FE3EAF" w:rsidRDefault="00286700" w:rsidP="00E27267">
            <w:pPr>
              <w:spacing w:after="0" w:line="240" w:lineRule="auto"/>
              <w:jc w:val="right"/>
              <w:rPr>
                <w:rFonts w:eastAsia="Times New Roman"/>
                <w:sz w:val="21"/>
                <w:szCs w:val="21"/>
              </w:rPr>
            </w:pPr>
            <w:r>
              <w:rPr>
                <w:rFonts w:eastAsia="Calibri"/>
                <w:color w:val="000000"/>
                <w:sz w:val="21"/>
                <w:szCs w:val="21"/>
              </w:rPr>
              <w:t>--</w:t>
            </w:r>
          </w:p>
        </w:tc>
      </w:tr>
      <w:tr w:rsidR="00E27267" w:rsidRPr="00FE3EAF" w14:paraId="0D2EB779" w14:textId="77777777" w:rsidTr="00784D3F">
        <w:trPr>
          <w:gridAfter w:val="1"/>
          <w:wAfter w:w="1184" w:type="dxa"/>
          <w:trHeight w:val="20"/>
        </w:trPr>
        <w:tc>
          <w:tcPr>
            <w:tcW w:w="4769" w:type="dxa"/>
            <w:tcBorders>
              <w:top w:val="nil"/>
              <w:left w:val="double" w:sz="6" w:space="0" w:color="auto"/>
              <w:bottom w:val="double" w:sz="4" w:space="0" w:color="auto"/>
              <w:right w:val="nil"/>
            </w:tcBorders>
            <w:shd w:val="clear" w:color="auto" w:fill="auto"/>
            <w:noWrap/>
            <w:tcMar>
              <w:left w:w="58" w:type="dxa"/>
              <w:right w:w="58" w:type="dxa"/>
            </w:tcMar>
            <w:vAlign w:val="center"/>
          </w:tcPr>
          <w:p w14:paraId="49BBD0C4" w14:textId="77777777" w:rsidR="00E27267" w:rsidRPr="00FE3EAF" w:rsidRDefault="00E27267" w:rsidP="00E27267">
            <w:pPr>
              <w:spacing w:after="0" w:line="240" w:lineRule="auto"/>
              <w:jc w:val="left"/>
              <w:rPr>
                <w:rFonts w:eastAsia="Times New Roman"/>
                <w:sz w:val="21"/>
                <w:szCs w:val="21"/>
              </w:rPr>
            </w:pPr>
          </w:p>
        </w:tc>
        <w:tc>
          <w:tcPr>
            <w:tcW w:w="720" w:type="dxa"/>
            <w:tcBorders>
              <w:top w:val="nil"/>
              <w:left w:val="nil"/>
              <w:bottom w:val="double" w:sz="4" w:space="0" w:color="auto"/>
              <w:right w:val="nil"/>
            </w:tcBorders>
            <w:shd w:val="clear" w:color="auto" w:fill="auto"/>
            <w:noWrap/>
            <w:tcMar>
              <w:left w:w="58" w:type="dxa"/>
              <w:right w:w="58" w:type="dxa"/>
            </w:tcMar>
            <w:vAlign w:val="bottom"/>
          </w:tcPr>
          <w:p w14:paraId="4544D16F" w14:textId="77777777" w:rsidR="00E27267" w:rsidRPr="00FE3EAF" w:rsidRDefault="00E27267" w:rsidP="00E27267">
            <w:pPr>
              <w:spacing w:after="0" w:line="240" w:lineRule="auto"/>
              <w:jc w:val="right"/>
              <w:rPr>
                <w:rFonts w:eastAsia="Calibri"/>
                <w:color w:val="000000"/>
                <w:sz w:val="21"/>
                <w:szCs w:val="21"/>
              </w:rPr>
            </w:pPr>
          </w:p>
        </w:tc>
        <w:tc>
          <w:tcPr>
            <w:tcW w:w="724" w:type="dxa"/>
            <w:tcBorders>
              <w:top w:val="nil"/>
              <w:left w:val="nil"/>
              <w:bottom w:val="double" w:sz="4" w:space="0" w:color="auto"/>
              <w:right w:val="nil"/>
            </w:tcBorders>
            <w:tcMar>
              <w:left w:w="58" w:type="dxa"/>
              <w:right w:w="58" w:type="dxa"/>
            </w:tcMar>
            <w:vAlign w:val="bottom"/>
          </w:tcPr>
          <w:p w14:paraId="7AC88887" w14:textId="77777777" w:rsidR="00E27267" w:rsidRPr="00FE3EAF" w:rsidRDefault="00E27267" w:rsidP="00E27267">
            <w:pPr>
              <w:spacing w:after="0" w:line="240" w:lineRule="auto"/>
              <w:jc w:val="right"/>
              <w:rPr>
                <w:rFonts w:eastAsia="Calibri"/>
                <w:color w:val="000000"/>
                <w:sz w:val="21"/>
                <w:szCs w:val="21"/>
              </w:rPr>
            </w:pPr>
          </w:p>
        </w:tc>
        <w:tc>
          <w:tcPr>
            <w:tcW w:w="716" w:type="dxa"/>
            <w:tcBorders>
              <w:top w:val="nil"/>
              <w:left w:val="nil"/>
              <w:bottom w:val="double" w:sz="4" w:space="0" w:color="auto"/>
              <w:right w:val="double" w:sz="4" w:space="0" w:color="auto"/>
            </w:tcBorders>
            <w:shd w:val="clear" w:color="auto" w:fill="auto"/>
            <w:noWrap/>
            <w:tcMar>
              <w:left w:w="58" w:type="dxa"/>
              <w:right w:w="58" w:type="dxa"/>
            </w:tcMar>
            <w:vAlign w:val="bottom"/>
          </w:tcPr>
          <w:p w14:paraId="7C236E2E" w14:textId="084FDC71" w:rsidR="00E27267" w:rsidRPr="00FE3EAF" w:rsidRDefault="00E27267" w:rsidP="00E27267">
            <w:pPr>
              <w:spacing w:after="0" w:line="240" w:lineRule="auto"/>
              <w:jc w:val="right"/>
              <w:rPr>
                <w:rFonts w:eastAsia="Calibri"/>
                <w:color w:val="000000"/>
                <w:sz w:val="21"/>
                <w:szCs w:val="21"/>
              </w:rPr>
            </w:pPr>
          </w:p>
        </w:tc>
        <w:tc>
          <w:tcPr>
            <w:tcW w:w="4409" w:type="dxa"/>
            <w:tcBorders>
              <w:top w:val="nil"/>
              <w:left w:val="double" w:sz="4" w:space="0" w:color="auto"/>
              <w:bottom w:val="double" w:sz="4" w:space="0" w:color="auto"/>
              <w:right w:val="nil"/>
            </w:tcBorders>
            <w:shd w:val="clear" w:color="auto" w:fill="auto"/>
            <w:noWrap/>
            <w:tcMar>
              <w:left w:w="58" w:type="dxa"/>
              <w:right w:w="58" w:type="dxa"/>
            </w:tcMar>
            <w:vAlign w:val="center"/>
          </w:tcPr>
          <w:p w14:paraId="7646D943" w14:textId="77777777" w:rsidR="00E27267" w:rsidRPr="00FE3EAF" w:rsidRDefault="00E27267" w:rsidP="00E27267">
            <w:pPr>
              <w:spacing w:after="0" w:line="240" w:lineRule="auto"/>
              <w:jc w:val="left"/>
              <w:rPr>
                <w:rFonts w:eastAsia="Times New Roman"/>
                <w:sz w:val="21"/>
                <w:szCs w:val="21"/>
              </w:rPr>
            </w:pPr>
            <w:r w:rsidRPr="00FE3EAF">
              <w:rPr>
                <w:rFonts w:eastAsia="Times New Roman"/>
                <w:sz w:val="21"/>
                <w:szCs w:val="21"/>
              </w:rPr>
              <w:t xml:space="preserve"> Public Administration</w:t>
            </w:r>
          </w:p>
        </w:tc>
        <w:tc>
          <w:tcPr>
            <w:tcW w:w="720" w:type="dxa"/>
            <w:tcBorders>
              <w:top w:val="nil"/>
              <w:left w:val="nil"/>
              <w:bottom w:val="double" w:sz="4" w:space="0" w:color="auto"/>
              <w:right w:val="nil"/>
            </w:tcBorders>
            <w:shd w:val="clear" w:color="auto" w:fill="auto"/>
            <w:noWrap/>
            <w:tcMar>
              <w:left w:w="58" w:type="dxa"/>
              <w:right w:w="58" w:type="dxa"/>
            </w:tcMar>
            <w:vAlign w:val="bottom"/>
          </w:tcPr>
          <w:p w14:paraId="1709D79A" w14:textId="77777777" w:rsidR="00E27267" w:rsidRPr="00FE3EAF" w:rsidRDefault="00E27267" w:rsidP="00E27267">
            <w:pPr>
              <w:spacing w:after="0" w:line="240" w:lineRule="auto"/>
              <w:jc w:val="right"/>
              <w:rPr>
                <w:rFonts w:eastAsia="Times New Roman"/>
                <w:sz w:val="21"/>
                <w:szCs w:val="21"/>
              </w:rPr>
            </w:pPr>
            <w:r w:rsidRPr="00FE3EAF">
              <w:rPr>
                <w:rFonts w:eastAsia="Times New Roman"/>
                <w:sz w:val="21"/>
                <w:szCs w:val="21"/>
              </w:rPr>
              <w:t>41</w:t>
            </w:r>
          </w:p>
        </w:tc>
        <w:tc>
          <w:tcPr>
            <w:tcW w:w="720" w:type="dxa"/>
            <w:tcBorders>
              <w:top w:val="nil"/>
              <w:left w:val="nil"/>
              <w:bottom w:val="double" w:sz="4" w:space="0" w:color="auto"/>
              <w:right w:val="nil"/>
            </w:tcBorders>
            <w:tcMar>
              <w:left w:w="58" w:type="dxa"/>
              <w:right w:w="58" w:type="dxa"/>
            </w:tcMar>
            <w:vAlign w:val="bottom"/>
          </w:tcPr>
          <w:p w14:paraId="6D86FB71" w14:textId="2D466007" w:rsidR="00E27267" w:rsidRPr="00FE3EAF" w:rsidRDefault="00E27267" w:rsidP="00E27267">
            <w:pPr>
              <w:spacing w:after="0" w:line="240" w:lineRule="auto"/>
              <w:jc w:val="right"/>
              <w:rPr>
                <w:rFonts w:eastAsia="Times New Roman"/>
                <w:sz w:val="21"/>
                <w:szCs w:val="21"/>
              </w:rPr>
            </w:pPr>
            <w:r w:rsidRPr="00FE3EAF">
              <w:rPr>
                <w:rFonts w:eastAsia="Times New Roman"/>
                <w:sz w:val="21"/>
                <w:szCs w:val="21"/>
              </w:rPr>
              <w:t>5.0</w:t>
            </w:r>
          </w:p>
        </w:tc>
        <w:tc>
          <w:tcPr>
            <w:tcW w:w="632" w:type="dxa"/>
            <w:tcBorders>
              <w:top w:val="nil"/>
              <w:left w:val="nil"/>
              <w:bottom w:val="double" w:sz="4" w:space="0" w:color="auto"/>
              <w:right w:val="double" w:sz="4" w:space="0" w:color="auto"/>
            </w:tcBorders>
            <w:shd w:val="clear" w:color="auto" w:fill="auto"/>
            <w:noWrap/>
            <w:tcMar>
              <w:left w:w="58" w:type="dxa"/>
              <w:right w:w="58" w:type="dxa"/>
            </w:tcMar>
            <w:vAlign w:val="bottom"/>
          </w:tcPr>
          <w:p w14:paraId="6FA0F6F3" w14:textId="5401804B" w:rsidR="00E27267" w:rsidRPr="00FE3EAF" w:rsidRDefault="00286700" w:rsidP="00E27267">
            <w:pPr>
              <w:spacing w:after="0" w:line="240" w:lineRule="auto"/>
              <w:jc w:val="right"/>
              <w:rPr>
                <w:rFonts w:eastAsia="Times New Roman"/>
                <w:sz w:val="21"/>
                <w:szCs w:val="21"/>
              </w:rPr>
            </w:pPr>
            <w:r>
              <w:rPr>
                <w:rFonts w:eastAsia="Times New Roman"/>
                <w:sz w:val="21"/>
                <w:szCs w:val="21"/>
              </w:rPr>
              <w:t>--</w:t>
            </w:r>
          </w:p>
        </w:tc>
      </w:tr>
    </w:tbl>
    <w:p w14:paraId="395A3E71" w14:textId="77777777" w:rsidR="00FE3EAF" w:rsidRDefault="00FE3EAF" w:rsidP="00055B8A">
      <w:pPr>
        <w:spacing w:after="0" w:line="240" w:lineRule="auto"/>
        <w:ind w:left="90"/>
        <w:jc w:val="left"/>
        <w:rPr>
          <w:rFonts w:eastAsia="Calibri"/>
          <w:sz w:val="20"/>
        </w:rPr>
      </w:pPr>
      <w:r w:rsidRPr="00055B8A">
        <w:rPr>
          <w:rFonts w:eastAsia="Calibri"/>
          <w:sz w:val="20"/>
        </w:rPr>
        <w:t xml:space="preserve">*226 households have children in them. The children categories do not add up to this number because some households have more than one child, who are in multiple age groups. </w:t>
      </w:r>
    </w:p>
    <w:p w14:paraId="544165B6" w14:textId="433C939C" w:rsidR="00D17B54" w:rsidRPr="00055B8A" w:rsidRDefault="00784D3F" w:rsidP="00055B8A">
      <w:pPr>
        <w:spacing w:after="0" w:line="240" w:lineRule="auto"/>
        <w:ind w:left="90"/>
        <w:jc w:val="left"/>
        <w:rPr>
          <w:rFonts w:eastAsia="Calibri"/>
          <w:sz w:val="22"/>
        </w:rPr>
        <w:sectPr w:rsidR="00D17B54" w:rsidRPr="00055B8A" w:rsidSect="005A682A">
          <w:pgSz w:w="15840" w:h="12240" w:orient="landscape"/>
          <w:pgMar w:top="1008" w:right="1440" w:bottom="1008" w:left="1440" w:header="720" w:footer="720" w:gutter="0"/>
          <w:cols w:space="720"/>
          <w:docGrid w:linePitch="360"/>
        </w:sectPr>
      </w:pPr>
      <w:r>
        <w:rPr>
          <w:rFonts w:eastAsia="Calibri"/>
          <w:sz w:val="20"/>
        </w:rPr>
        <w:t>“</w:t>
      </w:r>
      <w:r w:rsidR="00D17B54">
        <w:rPr>
          <w:rFonts w:eastAsia="Calibri"/>
          <w:sz w:val="20"/>
        </w:rPr>
        <w:t>—</w:t>
      </w:r>
      <w:r>
        <w:rPr>
          <w:rFonts w:eastAsia="Calibri"/>
          <w:sz w:val="20"/>
        </w:rPr>
        <w:t xml:space="preserve">” </w:t>
      </w:r>
      <w:r w:rsidR="00D17B54">
        <w:rPr>
          <w:rFonts w:eastAsia="Calibri"/>
          <w:sz w:val="20"/>
        </w:rPr>
        <w:t xml:space="preserve">indicates that census comparisons are not available on the employed Texas population. </w:t>
      </w:r>
    </w:p>
    <w:p w14:paraId="7DC63EC6" w14:textId="62D4EB71" w:rsidR="00FE3EAF" w:rsidRPr="00FE3EAF" w:rsidRDefault="00FE3EAF" w:rsidP="00FE3EAF">
      <w:pPr>
        <w:spacing w:after="0" w:line="240" w:lineRule="auto"/>
        <w:jc w:val="left"/>
        <w:rPr>
          <w:rFonts w:eastAsia="Calibri"/>
          <w:b/>
          <w:sz w:val="22"/>
          <w:szCs w:val="20"/>
        </w:rPr>
      </w:pPr>
      <w:bookmarkStart w:id="62" w:name="_Hlk139224685"/>
      <w:bookmarkEnd w:id="60"/>
      <w:r w:rsidRPr="00FE3EAF">
        <w:rPr>
          <w:rFonts w:eastAsia="Calibri"/>
          <w:b/>
          <w:sz w:val="22"/>
          <w:szCs w:val="20"/>
        </w:rPr>
        <w:lastRenderedPageBreak/>
        <w:t xml:space="preserve">   Table </w:t>
      </w:r>
      <w:r w:rsidR="00EC4B38">
        <w:rPr>
          <w:rFonts w:eastAsia="Calibri"/>
          <w:b/>
          <w:sz w:val="22"/>
          <w:szCs w:val="20"/>
        </w:rPr>
        <w:t>2</w:t>
      </w:r>
      <w:r w:rsidRPr="00FE3EAF">
        <w:rPr>
          <w:rFonts w:eastAsia="Calibri"/>
          <w:b/>
          <w:sz w:val="22"/>
          <w:szCs w:val="20"/>
        </w:rPr>
        <w:t>: Estimation Results for Endogenous Variables Within Each Segment</w:t>
      </w:r>
    </w:p>
    <w:tbl>
      <w:tblPr>
        <w:tblStyle w:val="TableGrid"/>
        <w:tblW w:w="9544" w:type="dxa"/>
        <w:tblInd w:w="165" w:type="dxa"/>
        <w:tblCellMar>
          <w:left w:w="58" w:type="dxa"/>
          <w:right w:w="58" w:type="dxa"/>
        </w:tblCellMar>
        <w:tblLook w:val="04A0" w:firstRow="1" w:lastRow="0" w:firstColumn="1" w:lastColumn="0" w:noHBand="0" w:noVBand="1"/>
      </w:tblPr>
      <w:tblGrid>
        <w:gridCol w:w="3330"/>
        <w:gridCol w:w="765"/>
        <w:gridCol w:w="765"/>
        <w:gridCol w:w="540"/>
        <w:gridCol w:w="225"/>
        <w:gridCol w:w="765"/>
        <w:gridCol w:w="765"/>
        <w:gridCol w:w="315"/>
        <w:gridCol w:w="450"/>
        <w:gridCol w:w="810"/>
        <w:gridCol w:w="814"/>
      </w:tblGrid>
      <w:tr w:rsidR="00FE3EAF" w:rsidRPr="00FE3EAF" w14:paraId="7A9C4B9A" w14:textId="77777777" w:rsidTr="00810642">
        <w:trPr>
          <w:trHeight w:val="144"/>
          <w:tblHeader/>
        </w:trPr>
        <w:tc>
          <w:tcPr>
            <w:tcW w:w="3330" w:type="dxa"/>
            <w:vMerge w:val="restart"/>
            <w:tcBorders>
              <w:top w:val="double" w:sz="4" w:space="0" w:color="auto"/>
              <w:left w:val="double" w:sz="4" w:space="0" w:color="auto"/>
              <w:right w:val="double" w:sz="4" w:space="0" w:color="auto"/>
            </w:tcBorders>
            <w:shd w:val="clear" w:color="auto" w:fill="D9D9D9" w:themeFill="background1" w:themeFillShade="D9"/>
            <w:vAlign w:val="center"/>
          </w:tcPr>
          <w:p w14:paraId="39633F52" w14:textId="77777777" w:rsidR="00FE3EAF" w:rsidRPr="00FE3EAF" w:rsidRDefault="00FE3EAF" w:rsidP="00FE3EAF">
            <w:pPr>
              <w:jc w:val="center"/>
              <w:rPr>
                <w:rFonts w:eastAsia="Calibri"/>
                <w:b/>
                <w:sz w:val="18"/>
                <w:szCs w:val="18"/>
              </w:rPr>
            </w:pPr>
            <w:bookmarkStart w:id="63" w:name="_Hlk134602526"/>
            <w:r w:rsidRPr="00FE3EAF">
              <w:rPr>
                <w:rFonts w:eastAsia="Calibri"/>
                <w:b/>
                <w:sz w:val="18"/>
                <w:szCs w:val="18"/>
              </w:rPr>
              <w:t xml:space="preserve">Explanatory Variables </w:t>
            </w:r>
          </w:p>
          <w:p w14:paraId="2F80FD57" w14:textId="77777777" w:rsidR="00FE3EAF" w:rsidRPr="00FE3EAF" w:rsidRDefault="00FE3EAF" w:rsidP="00FE3EAF">
            <w:pPr>
              <w:jc w:val="center"/>
              <w:rPr>
                <w:rFonts w:eastAsia="Calibri"/>
                <w:b/>
                <w:sz w:val="18"/>
                <w:szCs w:val="18"/>
              </w:rPr>
            </w:pPr>
            <w:r w:rsidRPr="00FE3EAF">
              <w:rPr>
                <w:rFonts w:eastAsia="Calibri"/>
                <w:b/>
                <w:sz w:val="18"/>
                <w:szCs w:val="18"/>
              </w:rPr>
              <w:t>(base category)</w:t>
            </w:r>
          </w:p>
        </w:tc>
        <w:tc>
          <w:tcPr>
            <w:tcW w:w="4590" w:type="dxa"/>
            <w:gridSpan w:val="8"/>
            <w:tcBorders>
              <w:top w:val="double" w:sz="4" w:space="0" w:color="auto"/>
              <w:left w:val="double" w:sz="4" w:space="0" w:color="auto"/>
              <w:right w:val="double" w:sz="4" w:space="0" w:color="auto"/>
            </w:tcBorders>
            <w:shd w:val="clear" w:color="auto" w:fill="D9D9D9" w:themeFill="background1" w:themeFillShade="D9"/>
            <w:vAlign w:val="center"/>
          </w:tcPr>
          <w:p w14:paraId="0283B033" w14:textId="77777777" w:rsidR="00FE3EAF" w:rsidRPr="00FE3EAF" w:rsidRDefault="00FE3EAF" w:rsidP="00FE3EAF">
            <w:pPr>
              <w:jc w:val="center"/>
              <w:rPr>
                <w:rFonts w:eastAsia="Calibri"/>
                <w:b/>
                <w:sz w:val="18"/>
                <w:szCs w:val="18"/>
              </w:rPr>
            </w:pPr>
            <w:r w:rsidRPr="00FE3EAF">
              <w:rPr>
                <w:rFonts w:eastAsia="Calibri"/>
                <w:b/>
                <w:sz w:val="18"/>
                <w:szCs w:val="18"/>
              </w:rPr>
              <w:t>Telework Choice</w:t>
            </w:r>
          </w:p>
        </w:tc>
        <w:tc>
          <w:tcPr>
            <w:tcW w:w="1620" w:type="dxa"/>
            <w:gridSpan w:val="2"/>
            <w:vMerge w:val="restart"/>
            <w:tcBorders>
              <w:top w:val="double" w:sz="4" w:space="0" w:color="auto"/>
              <w:left w:val="double" w:sz="4" w:space="0" w:color="auto"/>
              <w:right w:val="double" w:sz="4" w:space="0" w:color="auto"/>
            </w:tcBorders>
            <w:shd w:val="clear" w:color="auto" w:fill="D9D9D9" w:themeFill="background1" w:themeFillShade="D9"/>
            <w:vAlign w:val="center"/>
          </w:tcPr>
          <w:p w14:paraId="110B53D8" w14:textId="0C538E1E" w:rsidR="00FE3EAF" w:rsidRPr="00FE3EAF" w:rsidRDefault="00FE3EAF" w:rsidP="00FE3EAF">
            <w:pPr>
              <w:jc w:val="center"/>
              <w:rPr>
                <w:rFonts w:eastAsia="Calibri"/>
                <w:b/>
                <w:sz w:val="18"/>
                <w:szCs w:val="18"/>
              </w:rPr>
            </w:pPr>
            <w:r w:rsidRPr="00FE3EAF">
              <w:rPr>
                <w:rFonts w:eastAsia="Calibri"/>
                <w:b/>
                <w:sz w:val="18"/>
                <w:szCs w:val="18"/>
              </w:rPr>
              <w:t>Ln</w:t>
            </w:r>
            <w:r w:rsidR="00055B8A">
              <w:rPr>
                <w:rFonts w:eastAsia="Calibri"/>
                <w:b/>
                <w:sz w:val="18"/>
                <w:szCs w:val="18"/>
              </w:rPr>
              <w:t xml:space="preserve"> </w:t>
            </w:r>
            <w:r w:rsidRPr="00FE3EAF">
              <w:rPr>
                <w:rFonts w:eastAsia="Calibri"/>
                <w:b/>
                <w:sz w:val="18"/>
                <w:szCs w:val="18"/>
              </w:rPr>
              <w:t>(Commute Distance)</w:t>
            </w:r>
          </w:p>
        </w:tc>
      </w:tr>
      <w:tr w:rsidR="00FE3EAF" w:rsidRPr="00FE3EAF" w14:paraId="74B2F423" w14:textId="77777777" w:rsidTr="00810642">
        <w:trPr>
          <w:trHeight w:val="144"/>
          <w:tblHeader/>
        </w:trPr>
        <w:tc>
          <w:tcPr>
            <w:tcW w:w="3330" w:type="dxa"/>
            <w:vMerge/>
            <w:tcBorders>
              <w:left w:val="double" w:sz="4" w:space="0" w:color="auto"/>
              <w:right w:val="double" w:sz="4" w:space="0" w:color="auto"/>
            </w:tcBorders>
            <w:shd w:val="clear" w:color="auto" w:fill="D9D9D9" w:themeFill="background1" w:themeFillShade="D9"/>
            <w:vAlign w:val="center"/>
          </w:tcPr>
          <w:p w14:paraId="590D4463" w14:textId="77777777" w:rsidR="00FE3EAF" w:rsidRPr="00FE3EAF" w:rsidRDefault="00FE3EAF" w:rsidP="00FE3EAF">
            <w:pPr>
              <w:jc w:val="center"/>
              <w:rPr>
                <w:rFonts w:eastAsia="Calibri"/>
                <w:b/>
                <w:sz w:val="18"/>
                <w:szCs w:val="18"/>
              </w:rPr>
            </w:pPr>
          </w:p>
        </w:tc>
        <w:tc>
          <w:tcPr>
            <w:tcW w:w="1530" w:type="dxa"/>
            <w:gridSpan w:val="2"/>
            <w:tcBorders>
              <w:left w:val="double" w:sz="4" w:space="0" w:color="auto"/>
              <w:right w:val="single" w:sz="12" w:space="0" w:color="auto"/>
            </w:tcBorders>
            <w:shd w:val="clear" w:color="auto" w:fill="D9D9D9" w:themeFill="background1" w:themeFillShade="D9"/>
            <w:vAlign w:val="center"/>
          </w:tcPr>
          <w:p w14:paraId="6D05641A" w14:textId="77777777" w:rsidR="00FE3EAF" w:rsidRPr="00FE3EAF" w:rsidRDefault="00FE3EAF" w:rsidP="00FE3EAF">
            <w:pPr>
              <w:jc w:val="center"/>
              <w:rPr>
                <w:rFonts w:eastAsia="Calibri"/>
                <w:b/>
                <w:sz w:val="18"/>
                <w:szCs w:val="18"/>
              </w:rPr>
            </w:pPr>
            <w:r w:rsidRPr="00FE3EAF">
              <w:rPr>
                <w:rFonts w:eastAsia="Calibri"/>
                <w:b/>
                <w:sz w:val="18"/>
                <w:szCs w:val="18"/>
              </w:rPr>
              <w:t>Work from Home</w:t>
            </w:r>
          </w:p>
        </w:tc>
        <w:tc>
          <w:tcPr>
            <w:tcW w:w="1530" w:type="dxa"/>
            <w:gridSpan w:val="3"/>
            <w:tcBorders>
              <w:left w:val="single" w:sz="12" w:space="0" w:color="auto"/>
              <w:right w:val="single" w:sz="12" w:space="0" w:color="auto"/>
            </w:tcBorders>
            <w:shd w:val="clear" w:color="auto" w:fill="D9D9D9" w:themeFill="background1" w:themeFillShade="D9"/>
            <w:vAlign w:val="center"/>
          </w:tcPr>
          <w:p w14:paraId="02DE26FF" w14:textId="77777777" w:rsidR="00FE3EAF" w:rsidRPr="00FE3EAF" w:rsidRDefault="00FE3EAF" w:rsidP="00FE3EAF">
            <w:pPr>
              <w:jc w:val="center"/>
              <w:rPr>
                <w:rFonts w:eastAsia="Calibri"/>
                <w:b/>
                <w:sz w:val="18"/>
                <w:szCs w:val="18"/>
              </w:rPr>
            </w:pPr>
            <w:r w:rsidRPr="00FE3EAF">
              <w:rPr>
                <w:rFonts w:eastAsia="Calibri"/>
                <w:b/>
                <w:sz w:val="18"/>
                <w:szCs w:val="18"/>
              </w:rPr>
              <w:t>Work from the Work Office</w:t>
            </w:r>
          </w:p>
        </w:tc>
        <w:tc>
          <w:tcPr>
            <w:tcW w:w="1530" w:type="dxa"/>
            <w:gridSpan w:val="3"/>
            <w:tcBorders>
              <w:left w:val="single" w:sz="12" w:space="0" w:color="auto"/>
              <w:right w:val="double" w:sz="4" w:space="0" w:color="auto"/>
            </w:tcBorders>
            <w:shd w:val="clear" w:color="auto" w:fill="D9D9D9" w:themeFill="background1" w:themeFillShade="D9"/>
            <w:vAlign w:val="center"/>
          </w:tcPr>
          <w:p w14:paraId="1F8AA755" w14:textId="77777777" w:rsidR="00FE3EAF" w:rsidRPr="00FE3EAF" w:rsidRDefault="00FE3EAF" w:rsidP="00FE3EAF">
            <w:pPr>
              <w:jc w:val="center"/>
              <w:rPr>
                <w:rFonts w:eastAsia="Calibri"/>
                <w:b/>
                <w:sz w:val="18"/>
                <w:szCs w:val="18"/>
              </w:rPr>
            </w:pPr>
            <w:r w:rsidRPr="00FE3EAF">
              <w:rPr>
                <w:rFonts w:eastAsia="Calibri"/>
                <w:b/>
                <w:sz w:val="18"/>
                <w:szCs w:val="18"/>
              </w:rPr>
              <w:t>Work from a Third WPL</w:t>
            </w:r>
          </w:p>
        </w:tc>
        <w:tc>
          <w:tcPr>
            <w:tcW w:w="1620" w:type="dxa"/>
            <w:gridSpan w:val="2"/>
            <w:vMerge/>
            <w:tcBorders>
              <w:left w:val="double" w:sz="4" w:space="0" w:color="auto"/>
              <w:right w:val="double" w:sz="4" w:space="0" w:color="auto"/>
            </w:tcBorders>
            <w:shd w:val="clear" w:color="auto" w:fill="D9D9D9" w:themeFill="background1" w:themeFillShade="D9"/>
            <w:vAlign w:val="center"/>
          </w:tcPr>
          <w:p w14:paraId="25421F2E" w14:textId="77777777" w:rsidR="00FE3EAF" w:rsidRPr="00FE3EAF" w:rsidRDefault="00FE3EAF" w:rsidP="00FE3EAF">
            <w:pPr>
              <w:jc w:val="left"/>
              <w:rPr>
                <w:rFonts w:eastAsia="Calibri"/>
                <w:b/>
                <w:sz w:val="18"/>
                <w:szCs w:val="18"/>
              </w:rPr>
            </w:pPr>
          </w:p>
        </w:tc>
      </w:tr>
      <w:tr w:rsidR="00FE3EAF" w:rsidRPr="00FE3EAF" w14:paraId="0296BAF8" w14:textId="77777777" w:rsidTr="00810642">
        <w:trPr>
          <w:trHeight w:val="144"/>
          <w:tblHeader/>
        </w:trPr>
        <w:tc>
          <w:tcPr>
            <w:tcW w:w="3330" w:type="dxa"/>
            <w:vMerge/>
            <w:tcBorders>
              <w:left w:val="double" w:sz="4" w:space="0" w:color="auto"/>
              <w:right w:val="double" w:sz="4" w:space="0" w:color="auto"/>
            </w:tcBorders>
            <w:shd w:val="clear" w:color="auto" w:fill="D9D9D9" w:themeFill="background1" w:themeFillShade="D9"/>
            <w:vAlign w:val="center"/>
          </w:tcPr>
          <w:p w14:paraId="104CC70C" w14:textId="77777777" w:rsidR="00FE3EAF" w:rsidRPr="00FE3EAF" w:rsidRDefault="00FE3EAF" w:rsidP="00FE3EAF">
            <w:pPr>
              <w:jc w:val="center"/>
              <w:rPr>
                <w:rFonts w:eastAsia="Calibri"/>
                <w:b/>
                <w:sz w:val="18"/>
                <w:szCs w:val="18"/>
              </w:rPr>
            </w:pPr>
          </w:p>
        </w:tc>
        <w:tc>
          <w:tcPr>
            <w:tcW w:w="765" w:type="dxa"/>
            <w:tcBorders>
              <w:left w:val="double" w:sz="4" w:space="0" w:color="auto"/>
            </w:tcBorders>
            <w:shd w:val="clear" w:color="auto" w:fill="D9D9D9" w:themeFill="background1" w:themeFillShade="D9"/>
            <w:vAlign w:val="center"/>
          </w:tcPr>
          <w:p w14:paraId="6C7CD33A" w14:textId="77777777" w:rsidR="00FE3EAF" w:rsidRPr="00FE3EAF" w:rsidRDefault="00FE3EAF" w:rsidP="00FE3EAF">
            <w:pPr>
              <w:jc w:val="center"/>
              <w:rPr>
                <w:rFonts w:eastAsia="Calibri"/>
                <w:b/>
                <w:sz w:val="18"/>
                <w:szCs w:val="18"/>
              </w:rPr>
            </w:pPr>
            <w:r w:rsidRPr="00FE3EAF">
              <w:rPr>
                <w:rFonts w:eastAsia="Calibri"/>
                <w:b/>
                <w:sz w:val="18"/>
                <w:szCs w:val="18"/>
              </w:rPr>
              <w:t>Coeff.</w:t>
            </w:r>
          </w:p>
        </w:tc>
        <w:tc>
          <w:tcPr>
            <w:tcW w:w="765" w:type="dxa"/>
            <w:tcBorders>
              <w:right w:val="single" w:sz="12" w:space="0" w:color="auto"/>
            </w:tcBorders>
            <w:shd w:val="clear" w:color="auto" w:fill="D9D9D9" w:themeFill="background1" w:themeFillShade="D9"/>
            <w:vAlign w:val="center"/>
          </w:tcPr>
          <w:p w14:paraId="0BC036EF" w14:textId="77777777" w:rsidR="00FE3EAF" w:rsidRPr="00FE3EAF" w:rsidRDefault="00FE3EAF" w:rsidP="00FE3EAF">
            <w:pPr>
              <w:jc w:val="center"/>
              <w:rPr>
                <w:rFonts w:eastAsia="Calibri"/>
                <w:b/>
                <w:sz w:val="18"/>
                <w:szCs w:val="18"/>
              </w:rPr>
            </w:pPr>
            <w:r w:rsidRPr="00FE3EAF">
              <w:rPr>
                <w:rFonts w:eastAsia="Calibri"/>
                <w:b/>
                <w:sz w:val="18"/>
                <w:szCs w:val="18"/>
              </w:rPr>
              <w:t>t-stat</w:t>
            </w:r>
          </w:p>
        </w:tc>
        <w:tc>
          <w:tcPr>
            <w:tcW w:w="765" w:type="dxa"/>
            <w:gridSpan w:val="2"/>
            <w:tcBorders>
              <w:left w:val="single" w:sz="12" w:space="0" w:color="auto"/>
              <w:right w:val="single" w:sz="4" w:space="0" w:color="auto"/>
            </w:tcBorders>
            <w:shd w:val="clear" w:color="auto" w:fill="D9D9D9" w:themeFill="background1" w:themeFillShade="D9"/>
            <w:vAlign w:val="center"/>
          </w:tcPr>
          <w:p w14:paraId="680820CD" w14:textId="77777777" w:rsidR="00FE3EAF" w:rsidRPr="00FE3EAF" w:rsidRDefault="00FE3EAF" w:rsidP="00FE3EAF">
            <w:pPr>
              <w:jc w:val="center"/>
              <w:rPr>
                <w:rFonts w:eastAsia="Calibri"/>
                <w:b/>
                <w:sz w:val="18"/>
                <w:szCs w:val="18"/>
              </w:rPr>
            </w:pPr>
            <w:r w:rsidRPr="00FE3EAF">
              <w:rPr>
                <w:rFonts w:eastAsia="Calibri"/>
                <w:b/>
                <w:sz w:val="18"/>
                <w:szCs w:val="18"/>
              </w:rPr>
              <w:t>Coeff.</w:t>
            </w:r>
          </w:p>
        </w:tc>
        <w:tc>
          <w:tcPr>
            <w:tcW w:w="765" w:type="dxa"/>
            <w:tcBorders>
              <w:left w:val="single" w:sz="4" w:space="0" w:color="auto"/>
              <w:right w:val="single" w:sz="12" w:space="0" w:color="auto"/>
            </w:tcBorders>
            <w:shd w:val="clear" w:color="auto" w:fill="D9D9D9" w:themeFill="background1" w:themeFillShade="D9"/>
            <w:vAlign w:val="center"/>
          </w:tcPr>
          <w:p w14:paraId="1ADF383C" w14:textId="77777777" w:rsidR="00FE3EAF" w:rsidRPr="00FE3EAF" w:rsidRDefault="00FE3EAF" w:rsidP="00FE3EAF">
            <w:pPr>
              <w:jc w:val="center"/>
              <w:rPr>
                <w:rFonts w:eastAsia="Calibri"/>
                <w:b/>
                <w:sz w:val="18"/>
                <w:szCs w:val="18"/>
              </w:rPr>
            </w:pPr>
            <w:r w:rsidRPr="00FE3EAF">
              <w:rPr>
                <w:rFonts w:eastAsia="Calibri"/>
                <w:b/>
                <w:sz w:val="18"/>
                <w:szCs w:val="18"/>
              </w:rPr>
              <w:t>t-stat</w:t>
            </w:r>
          </w:p>
        </w:tc>
        <w:tc>
          <w:tcPr>
            <w:tcW w:w="765" w:type="dxa"/>
            <w:tcBorders>
              <w:left w:val="single" w:sz="12" w:space="0" w:color="auto"/>
            </w:tcBorders>
            <w:shd w:val="clear" w:color="auto" w:fill="D9D9D9" w:themeFill="background1" w:themeFillShade="D9"/>
            <w:vAlign w:val="center"/>
          </w:tcPr>
          <w:p w14:paraId="007D0E86" w14:textId="77777777" w:rsidR="00FE3EAF" w:rsidRPr="00FE3EAF" w:rsidRDefault="00FE3EAF" w:rsidP="00FE3EAF">
            <w:pPr>
              <w:jc w:val="center"/>
              <w:rPr>
                <w:rFonts w:eastAsia="Calibri"/>
                <w:b/>
                <w:sz w:val="18"/>
                <w:szCs w:val="18"/>
              </w:rPr>
            </w:pPr>
            <w:r w:rsidRPr="00FE3EAF">
              <w:rPr>
                <w:rFonts w:eastAsia="Calibri"/>
                <w:b/>
                <w:sz w:val="18"/>
                <w:szCs w:val="18"/>
              </w:rPr>
              <w:t>Coeff.</w:t>
            </w:r>
          </w:p>
        </w:tc>
        <w:tc>
          <w:tcPr>
            <w:tcW w:w="765" w:type="dxa"/>
            <w:gridSpan w:val="2"/>
            <w:tcBorders>
              <w:right w:val="double" w:sz="4" w:space="0" w:color="auto"/>
            </w:tcBorders>
            <w:shd w:val="clear" w:color="auto" w:fill="D9D9D9" w:themeFill="background1" w:themeFillShade="D9"/>
            <w:vAlign w:val="center"/>
          </w:tcPr>
          <w:p w14:paraId="58A2CB0C" w14:textId="77777777" w:rsidR="00FE3EAF" w:rsidRPr="00FE3EAF" w:rsidRDefault="00FE3EAF" w:rsidP="00FE3EAF">
            <w:pPr>
              <w:jc w:val="center"/>
              <w:rPr>
                <w:rFonts w:eastAsia="Calibri"/>
                <w:b/>
                <w:sz w:val="18"/>
                <w:szCs w:val="18"/>
              </w:rPr>
            </w:pPr>
            <w:r w:rsidRPr="00FE3EAF">
              <w:rPr>
                <w:rFonts w:eastAsia="Calibri"/>
                <w:b/>
                <w:sz w:val="18"/>
                <w:szCs w:val="18"/>
              </w:rPr>
              <w:t>t-stat</w:t>
            </w:r>
          </w:p>
        </w:tc>
        <w:tc>
          <w:tcPr>
            <w:tcW w:w="810" w:type="dxa"/>
            <w:tcBorders>
              <w:left w:val="double" w:sz="4" w:space="0" w:color="auto"/>
              <w:right w:val="single" w:sz="4" w:space="0" w:color="auto"/>
            </w:tcBorders>
            <w:shd w:val="clear" w:color="auto" w:fill="D9D9D9" w:themeFill="background1" w:themeFillShade="D9"/>
            <w:vAlign w:val="center"/>
          </w:tcPr>
          <w:p w14:paraId="7854772E" w14:textId="77777777" w:rsidR="00FE3EAF" w:rsidRPr="00FE3EAF" w:rsidRDefault="00FE3EAF" w:rsidP="00FE3EAF">
            <w:pPr>
              <w:jc w:val="center"/>
              <w:rPr>
                <w:rFonts w:eastAsia="Calibri"/>
                <w:b/>
                <w:sz w:val="18"/>
                <w:szCs w:val="18"/>
              </w:rPr>
            </w:pPr>
            <w:r w:rsidRPr="00FE3EAF">
              <w:rPr>
                <w:rFonts w:eastAsia="Calibri"/>
                <w:b/>
                <w:sz w:val="18"/>
                <w:szCs w:val="18"/>
              </w:rPr>
              <w:t>Coeff.</w:t>
            </w:r>
          </w:p>
        </w:tc>
        <w:tc>
          <w:tcPr>
            <w:tcW w:w="810" w:type="dxa"/>
            <w:tcBorders>
              <w:left w:val="single" w:sz="4" w:space="0" w:color="auto"/>
              <w:right w:val="double" w:sz="4" w:space="0" w:color="auto"/>
            </w:tcBorders>
            <w:shd w:val="clear" w:color="auto" w:fill="D9D9D9" w:themeFill="background1" w:themeFillShade="D9"/>
            <w:vAlign w:val="center"/>
          </w:tcPr>
          <w:p w14:paraId="5B6D13A0" w14:textId="77777777" w:rsidR="00FE3EAF" w:rsidRPr="00FE3EAF" w:rsidRDefault="00FE3EAF" w:rsidP="00FE3EAF">
            <w:pPr>
              <w:jc w:val="center"/>
              <w:rPr>
                <w:rFonts w:eastAsia="Calibri"/>
                <w:b/>
                <w:sz w:val="18"/>
                <w:szCs w:val="18"/>
              </w:rPr>
            </w:pPr>
            <w:r w:rsidRPr="00FE3EAF">
              <w:rPr>
                <w:rFonts w:eastAsia="Calibri"/>
                <w:b/>
                <w:sz w:val="18"/>
                <w:szCs w:val="18"/>
              </w:rPr>
              <w:t>t-stat</w:t>
            </w:r>
          </w:p>
        </w:tc>
      </w:tr>
      <w:tr w:rsidR="00FE3EAF" w:rsidRPr="00FE3EAF" w14:paraId="164DB627" w14:textId="77777777" w:rsidTr="00810642">
        <w:tc>
          <w:tcPr>
            <w:tcW w:w="3330" w:type="dxa"/>
            <w:tcBorders>
              <w:left w:val="double" w:sz="4" w:space="0" w:color="auto"/>
              <w:bottom w:val="nil"/>
              <w:right w:val="double" w:sz="4" w:space="0" w:color="auto"/>
            </w:tcBorders>
          </w:tcPr>
          <w:p w14:paraId="777EB3CF" w14:textId="50B72F83" w:rsidR="00FE3EAF" w:rsidRPr="00055B8A" w:rsidRDefault="00FE3EAF" w:rsidP="00FE3EAF">
            <w:pPr>
              <w:jc w:val="left"/>
              <w:rPr>
                <w:rFonts w:eastAsia="Calibri"/>
                <w:b/>
                <w:i/>
                <w:sz w:val="18"/>
                <w:szCs w:val="18"/>
                <w:u w:val="single"/>
              </w:rPr>
            </w:pPr>
            <w:r w:rsidRPr="00FE3EAF">
              <w:rPr>
                <w:rFonts w:eastAsia="Calibri"/>
                <w:b/>
                <w:i/>
                <w:sz w:val="18"/>
                <w:szCs w:val="18"/>
                <w:u w:val="single"/>
              </w:rPr>
              <w:t>Individual and Household</w:t>
            </w:r>
            <w:r w:rsidR="00055B8A">
              <w:rPr>
                <w:rFonts w:eastAsia="Calibri"/>
                <w:b/>
                <w:i/>
                <w:sz w:val="18"/>
                <w:szCs w:val="18"/>
                <w:u w:val="single"/>
              </w:rPr>
              <w:t xml:space="preserve"> </w:t>
            </w:r>
            <w:r w:rsidRPr="00FE3EAF">
              <w:rPr>
                <w:rFonts w:eastAsia="Calibri"/>
                <w:b/>
                <w:i/>
                <w:sz w:val="18"/>
                <w:szCs w:val="18"/>
                <w:u w:val="single"/>
              </w:rPr>
              <w:t>Demographics</w:t>
            </w:r>
          </w:p>
        </w:tc>
        <w:tc>
          <w:tcPr>
            <w:tcW w:w="765" w:type="dxa"/>
            <w:tcBorders>
              <w:left w:val="double" w:sz="4" w:space="0" w:color="auto"/>
              <w:bottom w:val="nil"/>
            </w:tcBorders>
            <w:vAlign w:val="center"/>
          </w:tcPr>
          <w:p w14:paraId="52C4F16D" w14:textId="77777777" w:rsidR="00FE3EAF" w:rsidRPr="00FE3EAF" w:rsidRDefault="00FE3EAF" w:rsidP="00FE3EAF">
            <w:pPr>
              <w:jc w:val="right"/>
              <w:rPr>
                <w:rFonts w:eastAsia="Calibri"/>
                <w:sz w:val="18"/>
                <w:szCs w:val="18"/>
              </w:rPr>
            </w:pPr>
          </w:p>
        </w:tc>
        <w:tc>
          <w:tcPr>
            <w:tcW w:w="765" w:type="dxa"/>
            <w:tcBorders>
              <w:bottom w:val="nil"/>
              <w:right w:val="single" w:sz="12" w:space="0" w:color="auto"/>
            </w:tcBorders>
            <w:vAlign w:val="center"/>
          </w:tcPr>
          <w:p w14:paraId="686ECBB8" w14:textId="77777777" w:rsidR="00FE3EAF" w:rsidRPr="00FE3EAF" w:rsidRDefault="00FE3EAF" w:rsidP="00FE3EAF">
            <w:pPr>
              <w:jc w:val="right"/>
              <w:rPr>
                <w:rFonts w:eastAsia="Calibri"/>
                <w:sz w:val="18"/>
                <w:szCs w:val="18"/>
              </w:rPr>
            </w:pPr>
          </w:p>
        </w:tc>
        <w:tc>
          <w:tcPr>
            <w:tcW w:w="765" w:type="dxa"/>
            <w:gridSpan w:val="2"/>
            <w:tcBorders>
              <w:left w:val="single" w:sz="12" w:space="0" w:color="auto"/>
              <w:bottom w:val="nil"/>
              <w:right w:val="single" w:sz="4" w:space="0" w:color="auto"/>
            </w:tcBorders>
            <w:shd w:val="clear" w:color="auto" w:fill="FFFFFF"/>
            <w:vAlign w:val="center"/>
          </w:tcPr>
          <w:p w14:paraId="7D8A4BF9" w14:textId="77777777" w:rsidR="00FE3EAF" w:rsidRPr="00FE3EAF" w:rsidRDefault="00FE3EAF" w:rsidP="00FE3EAF">
            <w:pPr>
              <w:jc w:val="right"/>
              <w:rPr>
                <w:rFonts w:eastAsia="Calibri"/>
                <w:sz w:val="18"/>
                <w:szCs w:val="18"/>
              </w:rPr>
            </w:pPr>
          </w:p>
        </w:tc>
        <w:tc>
          <w:tcPr>
            <w:tcW w:w="765" w:type="dxa"/>
            <w:tcBorders>
              <w:left w:val="single" w:sz="4" w:space="0" w:color="auto"/>
              <w:bottom w:val="nil"/>
              <w:right w:val="single" w:sz="12" w:space="0" w:color="auto"/>
            </w:tcBorders>
            <w:shd w:val="clear" w:color="auto" w:fill="FFFFFF"/>
            <w:vAlign w:val="center"/>
          </w:tcPr>
          <w:p w14:paraId="3D919282" w14:textId="77777777" w:rsidR="00FE3EAF" w:rsidRPr="00FE3EAF" w:rsidRDefault="00FE3EAF" w:rsidP="00FE3EAF">
            <w:pPr>
              <w:jc w:val="right"/>
              <w:rPr>
                <w:rFonts w:eastAsia="Calibri"/>
                <w:sz w:val="18"/>
                <w:szCs w:val="18"/>
              </w:rPr>
            </w:pPr>
          </w:p>
        </w:tc>
        <w:tc>
          <w:tcPr>
            <w:tcW w:w="765" w:type="dxa"/>
            <w:tcBorders>
              <w:left w:val="single" w:sz="12" w:space="0" w:color="auto"/>
              <w:bottom w:val="nil"/>
            </w:tcBorders>
            <w:shd w:val="clear" w:color="auto" w:fill="FFFFFF"/>
            <w:vAlign w:val="center"/>
          </w:tcPr>
          <w:p w14:paraId="14AE533B" w14:textId="77777777" w:rsidR="00FE3EAF" w:rsidRPr="00FE3EAF" w:rsidRDefault="00FE3EAF" w:rsidP="00FE3EAF">
            <w:pPr>
              <w:jc w:val="right"/>
              <w:rPr>
                <w:rFonts w:eastAsia="Calibri"/>
                <w:sz w:val="18"/>
                <w:szCs w:val="18"/>
              </w:rPr>
            </w:pPr>
          </w:p>
        </w:tc>
        <w:tc>
          <w:tcPr>
            <w:tcW w:w="765" w:type="dxa"/>
            <w:gridSpan w:val="2"/>
            <w:tcBorders>
              <w:bottom w:val="nil"/>
              <w:right w:val="double" w:sz="4" w:space="0" w:color="auto"/>
            </w:tcBorders>
            <w:shd w:val="clear" w:color="auto" w:fill="FFFFFF"/>
            <w:vAlign w:val="center"/>
          </w:tcPr>
          <w:p w14:paraId="7EBBB547" w14:textId="77777777" w:rsidR="00FE3EAF" w:rsidRPr="00FE3EAF" w:rsidRDefault="00FE3EAF" w:rsidP="00FE3EAF">
            <w:pPr>
              <w:jc w:val="right"/>
              <w:rPr>
                <w:rFonts w:eastAsia="Calibri"/>
                <w:sz w:val="18"/>
                <w:szCs w:val="18"/>
              </w:rPr>
            </w:pPr>
          </w:p>
        </w:tc>
        <w:tc>
          <w:tcPr>
            <w:tcW w:w="810" w:type="dxa"/>
            <w:tcBorders>
              <w:left w:val="double" w:sz="4" w:space="0" w:color="auto"/>
              <w:bottom w:val="nil"/>
              <w:right w:val="single" w:sz="4" w:space="0" w:color="auto"/>
            </w:tcBorders>
            <w:shd w:val="clear" w:color="auto" w:fill="FFFFFF"/>
            <w:vAlign w:val="center"/>
          </w:tcPr>
          <w:p w14:paraId="02266380" w14:textId="77777777" w:rsidR="00FE3EAF" w:rsidRPr="00FE3EAF" w:rsidRDefault="00FE3EAF" w:rsidP="00FE3EAF">
            <w:pPr>
              <w:jc w:val="right"/>
              <w:rPr>
                <w:rFonts w:eastAsia="Calibri"/>
                <w:sz w:val="18"/>
                <w:szCs w:val="18"/>
              </w:rPr>
            </w:pPr>
          </w:p>
        </w:tc>
        <w:tc>
          <w:tcPr>
            <w:tcW w:w="810" w:type="dxa"/>
            <w:tcBorders>
              <w:left w:val="single" w:sz="4" w:space="0" w:color="auto"/>
              <w:bottom w:val="nil"/>
              <w:right w:val="double" w:sz="4" w:space="0" w:color="auto"/>
            </w:tcBorders>
            <w:shd w:val="clear" w:color="auto" w:fill="FFFFFF"/>
            <w:vAlign w:val="center"/>
          </w:tcPr>
          <w:p w14:paraId="15C3DEF9" w14:textId="77777777" w:rsidR="00FE3EAF" w:rsidRPr="00FE3EAF" w:rsidRDefault="00FE3EAF" w:rsidP="00FE3EAF">
            <w:pPr>
              <w:jc w:val="right"/>
              <w:rPr>
                <w:rFonts w:eastAsia="Calibri"/>
                <w:sz w:val="18"/>
                <w:szCs w:val="18"/>
              </w:rPr>
            </w:pPr>
          </w:p>
        </w:tc>
      </w:tr>
      <w:tr w:rsidR="00FE3EAF" w:rsidRPr="00FE3EAF" w14:paraId="6FFBBCD0" w14:textId="77777777" w:rsidTr="00810642">
        <w:tc>
          <w:tcPr>
            <w:tcW w:w="3330" w:type="dxa"/>
            <w:tcBorders>
              <w:top w:val="nil"/>
              <w:left w:val="double" w:sz="4" w:space="0" w:color="auto"/>
              <w:bottom w:val="nil"/>
              <w:right w:val="double" w:sz="4" w:space="0" w:color="auto"/>
            </w:tcBorders>
          </w:tcPr>
          <w:p w14:paraId="3E51A96B" w14:textId="77777777" w:rsidR="00FE3EAF" w:rsidRPr="00FE3EAF" w:rsidRDefault="00FE3EAF" w:rsidP="00FE3EAF">
            <w:pPr>
              <w:jc w:val="left"/>
              <w:rPr>
                <w:rFonts w:eastAsia="Calibri"/>
                <w:b/>
                <w:sz w:val="18"/>
                <w:szCs w:val="18"/>
              </w:rPr>
            </w:pPr>
            <w:r w:rsidRPr="00FE3EAF">
              <w:rPr>
                <w:rFonts w:eastAsia="Calibri"/>
                <w:b/>
                <w:sz w:val="18"/>
                <w:szCs w:val="18"/>
              </w:rPr>
              <w:t>Gendered lifecycle variables</w:t>
            </w:r>
          </w:p>
        </w:tc>
        <w:tc>
          <w:tcPr>
            <w:tcW w:w="765" w:type="dxa"/>
            <w:tcBorders>
              <w:top w:val="nil"/>
              <w:left w:val="double" w:sz="4" w:space="0" w:color="auto"/>
              <w:bottom w:val="nil"/>
            </w:tcBorders>
            <w:vAlign w:val="center"/>
          </w:tcPr>
          <w:p w14:paraId="5DDD5100" w14:textId="77777777" w:rsidR="00FE3EAF" w:rsidRPr="00FE3EAF" w:rsidRDefault="00FE3EAF" w:rsidP="00FE3EAF">
            <w:pPr>
              <w:jc w:val="right"/>
              <w:rPr>
                <w:rFonts w:eastAsia="Calibri"/>
                <w:sz w:val="18"/>
                <w:szCs w:val="18"/>
              </w:rPr>
            </w:pPr>
          </w:p>
        </w:tc>
        <w:tc>
          <w:tcPr>
            <w:tcW w:w="765" w:type="dxa"/>
            <w:tcBorders>
              <w:top w:val="nil"/>
              <w:bottom w:val="nil"/>
              <w:right w:val="single" w:sz="12" w:space="0" w:color="auto"/>
            </w:tcBorders>
            <w:vAlign w:val="center"/>
          </w:tcPr>
          <w:p w14:paraId="0E7952C2" w14:textId="77777777" w:rsidR="00FE3EAF" w:rsidRPr="00FE3EAF" w:rsidRDefault="00FE3EAF" w:rsidP="00FE3EAF">
            <w:pPr>
              <w:jc w:val="right"/>
              <w:rPr>
                <w:rFonts w:eastAsia="Calibri"/>
                <w:sz w:val="18"/>
                <w:szCs w:val="18"/>
              </w:rPr>
            </w:pPr>
          </w:p>
        </w:tc>
        <w:tc>
          <w:tcPr>
            <w:tcW w:w="765" w:type="dxa"/>
            <w:gridSpan w:val="2"/>
            <w:tcBorders>
              <w:top w:val="nil"/>
              <w:left w:val="single" w:sz="12" w:space="0" w:color="auto"/>
              <w:bottom w:val="nil"/>
              <w:right w:val="single" w:sz="4" w:space="0" w:color="auto"/>
            </w:tcBorders>
            <w:shd w:val="clear" w:color="auto" w:fill="FFFFFF"/>
            <w:vAlign w:val="center"/>
          </w:tcPr>
          <w:p w14:paraId="5F688337" w14:textId="77777777" w:rsidR="00FE3EAF" w:rsidRPr="00FE3EAF" w:rsidRDefault="00FE3EAF" w:rsidP="00FE3EAF">
            <w:pPr>
              <w:jc w:val="right"/>
              <w:rPr>
                <w:rFonts w:eastAsia="Calibri"/>
                <w:sz w:val="18"/>
                <w:szCs w:val="18"/>
              </w:rPr>
            </w:pPr>
          </w:p>
        </w:tc>
        <w:tc>
          <w:tcPr>
            <w:tcW w:w="765" w:type="dxa"/>
            <w:tcBorders>
              <w:top w:val="nil"/>
              <w:left w:val="single" w:sz="4" w:space="0" w:color="auto"/>
              <w:bottom w:val="nil"/>
              <w:right w:val="single" w:sz="12" w:space="0" w:color="auto"/>
            </w:tcBorders>
            <w:shd w:val="clear" w:color="auto" w:fill="FFFFFF"/>
            <w:vAlign w:val="center"/>
          </w:tcPr>
          <w:p w14:paraId="477EAB4C" w14:textId="77777777" w:rsidR="00FE3EAF" w:rsidRPr="00FE3EAF" w:rsidRDefault="00FE3EAF" w:rsidP="00FE3EAF">
            <w:pPr>
              <w:jc w:val="right"/>
              <w:rPr>
                <w:rFonts w:eastAsia="Calibri"/>
                <w:sz w:val="18"/>
                <w:szCs w:val="18"/>
              </w:rPr>
            </w:pPr>
          </w:p>
        </w:tc>
        <w:tc>
          <w:tcPr>
            <w:tcW w:w="765" w:type="dxa"/>
            <w:tcBorders>
              <w:top w:val="nil"/>
              <w:left w:val="single" w:sz="12" w:space="0" w:color="auto"/>
              <w:bottom w:val="nil"/>
            </w:tcBorders>
            <w:shd w:val="clear" w:color="auto" w:fill="FFFFFF"/>
            <w:vAlign w:val="center"/>
          </w:tcPr>
          <w:p w14:paraId="617E660A" w14:textId="77777777" w:rsidR="00FE3EAF" w:rsidRPr="00FE3EAF" w:rsidRDefault="00FE3EAF" w:rsidP="00FE3EAF">
            <w:pPr>
              <w:jc w:val="right"/>
              <w:rPr>
                <w:rFonts w:eastAsia="Calibri"/>
                <w:sz w:val="18"/>
                <w:szCs w:val="18"/>
              </w:rPr>
            </w:pPr>
          </w:p>
        </w:tc>
        <w:tc>
          <w:tcPr>
            <w:tcW w:w="765" w:type="dxa"/>
            <w:gridSpan w:val="2"/>
            <w:tcBorders>
              <w:top w:val="nil"/>
              <w:bottom w:val="nil"/>
              <w:right w:val="double" w:sz="4" w:space="0" w:color="auto"/>
            </w:tcBorders>
            <w:shd w:val="clear" w:color="auto" w:fill="FFFFFF"/>
            <w:vAlign w:val="center"/>
          </w:tcPr>
          <w:p w14:paraId="491D68E5" w14:textId="77777777" w:rsidR="00FE3EAF" w:rsidRPr="00FE3EAF" w:rsidRDefault="00FE3EAF" w:rsidP="00FE3EAF">
            <w:pPr>
              <w:jc w:val="right"/>
              <w:rPr>
                <w:rFonts w:eastAsia="Calibri"/>
                <w:sz w:val="18"/>
                <w:szCs w:val="18"/>
              </w:rPr>
            </w:pPr>
          </w:p>
        </w:tc>
        <w:tc>
          <w:tcPr>
            <w:tcW w:w="810" w:type="dxa"/>
            <w:tcBorders>
              <w:top w:val="nil"/>
              <w:left w:val="double" w:sz="4" w:space="0" w:color="auto"/>
              <w:bottom w:val="nil"/>
              <w:right w:val="single" w:sz="4" w:space="0" w:color="auto"/>
            </w:tcBorders>
            <w:shd w:val="clear" w:color="auto" w:fill="FFFFFF"/>
            <w:vAlign w:val="center"/>
          </w:tcPr>
          <w:p w14:paraId="084DFC2D" w14:textId="77777777" w:rsidR="00FE3EAF" w:rsidRPr="00FE3EAF" w:rsidRDefault="00FE3EAF" w:rsidP="00FE3EAF">
            <w:pPr>
              <w:jc w:val="right"/>
              <w:rPr>
                <w:rFonts w:eastAsia="Calibri"/>
                <w:sz w:val="18"/>
                <w:szCs w:val="18"/>
              </w:rPr>
            </w:pPr>
          </w:p>
        </w:tc>
        <w:tc>
          <w:tcPr>
            <w:tcW w:w="810" w:type="dxa"/>
            <w:tcBorders>
              <w:top w:val="nil"/>
              <w:left w:val="single" w:sz="4" w:space="0" w:color="auto"/>
              <w:bottom w:val="nil"/>
              <w:right w:val="double" w:sz="4" w:space="0" w:color="auto"/>
            </w:tcBorders>
            <w:shd w:val="clear" w:color="auto" w:fill="FFFFFF"/>
            <w:vAlign w:val="center"/>
          </w:tcPr>
          <w:p w14:paraId="32CFFBCD" w14:textId="77777777" w:rsidR="00FE3EAF" w:rsidRPr="00FE3EAF" w:rsidRDefault="00FE3EAF" w:rsidP="00FE3EAF">
            <w:pPr>
              <w:jc w:val="right"/>
              <w:rPr>
                <w:rFonts w:eastAsia="Calibri"/>
                <w:sz w:val="18"/>
                <w:szCs w:val="18"/>
              </w:rPr>
            </w:pPr>
          </w:p>
        </w:tc>
      </w:tr>
      <w:tr w:rsidR="00FE3EAF" w:rsidRPr="00FE3EAF" w14:paraId="3B9573E0" w14:textId="77777777" w:rsidTr="00810642">
        <w:tc>
          <w:tcPr>
            <w:tcW w:w="3330" w:type="dxa"/>
            <w:tcBorders>
              <w:top w:val="nil"/>
              <w:left w:val="double" w:sz="4" w:space="0" w:color="auto"/>
              <w:bottom w:val="nil"/>
              <w:right w:val="double" w:sz="4" w:space="0" w:color="auto"/>
            </w:tcBorders>
          </w:tcPr>
          <w:p w14:paraId="2787737F" w14:textId="77777777" w:rsidR="00FE3EAF" w:rsidRPr="00FE3EAF" w:rsidRDefault="00FE3EAF" w:rsidP="00FE3EAF">
            <w:pPr>
              <w:jc w:val="left"/>
              <w:rPr>
                <w:rFonts w:eastAsia="Calibri"/>
                <w:bCs/>
                <w:sz w:val="18"/>
                <w:szCs w:val="18"/>
              </w:rPr>
            </w:pPr>
            <w:r w:rsidRPr="00FE3EAF">
              <w:rPr>
                <w:rFonts w:eastAsia="Calibri"/>
                <w:bCs/>
                <w:sz w:val="18"/>
                <w:szCs w:val="18"/>
              </w:rPr>
              <w:t xml:space="preserve"> Female</w:t>
            </w:r>
          </w:p>
        </w:tc>
        <w:tc>
          <w:tcPr>
            <w:tcW w:w="765" w:type="dxa"/>
            <w:tcBorders>
              <w:top w:val="nil"/>
              <w:left w:val="double" w:sz="4" w:space="0" w:color="auto"/>
              <w:bottom w:val="nil"/>
            </w:tcBorders>
            <w:vAlign w:val="center"/>
          </w:tcPr>
          <w:p w14:paraId="12669366" w14:textId="77777777" w:rsidR="00FE3EAF" w:rsidRPr="00FE3EAF" w:rsidRDefault="00FE3EAF" w:rsidP="00FE3EAF">
            <w:pPr>
              <w:jc w:val="right"/>
              <w:rPr>
                <w:rFonts w:eastAsia="Calibri"/>
                <w:sz w:val="20"/>
                <w:szCs w:val="20"/>
              </w:rPr>
            </w:pPr>
            <w:r w:rsidRPr="00FE3EAF">
              <w:rPr>
                <w:rFonts w:eastAsia="Calibri"/>
                <w:sz w:val="20"/>
                <w:szCs w:val="20"/>
              </w:rPr>
              <w:t>--</w:t>
            </w:r>
          </w:p>
        </w:tc>
        <w:tc>
          <w:tcPr>
            <w:tcW w:w="765" w:type="dxa"/>
            <w:tcBorders>
              <w:top w:val="nil"/>
              <w:bottom w:val="nil"/>
              <w:right w:val="single" w:sz="12" w:space="0" w:color="auto"/>
            </w:tcBorders>
            <w:vAlign w:val="center"/>
          </w:tcPr>
          <w:p w14:paraId="043175BE" w14:textId="77777777" w:rsidR="00FE3EAF" w:rsidRPr="00FE3EAF" w:rsidRDefault="00FE3EAF" w:rsidP="00FE3EAF">
            <w:pPr>
              <w:jc w:val="right"/>
              <w:rPr>
                <w:rFonts w:eastAsia="Calibri"/>
                <w:sz w:val="20"/>
                <w:szCs w:val="20"/>
              </w:rPr>
            </w:pPr>
          </w:p>
        </w:tc>
        <w:tc>
          <w:tcPr>
            <w:tcW w:w="765" w:type="dxa"/>
            <w:gridSpan w:val="2"/>
            <w:tcBorders>
              <w:top w:val="nil"/>
              <w:left w:val="single" w:sz="12" w:space="0" w:color="auto"/>
              <w:bottom w:val="nil"/>
              <w:right w:val="single" w:sz="4" w:space="0" w:color="auto"/>
            </w:tcBorders>
            <w:shd w:val="clear" w:color="auto" w:fill="FFFFFF"/>
            <w:vAlign w:val="bottom"/>
          </w:tcPr>
          <w:p w14:paraId="787EAAA6" w14:textId="77777777" w:rsidR="00FE3EAF" w:rsidRPr="00FE3EAF" w:rsidRDefault="00FE3EAF" w:rsidP="00FE3EAF">
            <w:pPr>
              <w:jc w:val="right"/>
              <w:rPr>
                <w:rFonts w:eastAsia="Calibri"/>
                <w:sz w:val="20"/>
                <w:szCs w:val="20"/>
              </w:rPr>
            </w:pPr>
            <w:r w:rsidRPr="00FE3EAF">
              <w:rPr>
                <w:rFonts w:eastAsia="Calibri"/>
                <w:sz w:val="20"/>
                <w:szCs w:val="20"/>
              </w:rPr>
              <w:t>0.095</w:t>
            </w:r>
          </w:p>
        </w:tc>
        <w:tc>
          <w:tcPr>
            <w:tcW w:w="765" w:type="dxa"/>
            <w:tcBorders>
              <w:top w:val="nil"/>
              <w:left w:val="single" w:sz="4" w:space="0" w:color="auto"/>
              <w:bottom w:val="nil"/>
              <w:right w:val="single" w:sz="12" w:space="0" w:color="auto"/>
            </w:tcBorders>
            <w:shd w:val="clear" w:color="auto" w:fill="FFFFFF"/>
            <w:vAlign w:val="bottom"/>
          </w:tcPr>
          <w:p w14:paraId="2E659E16" w14:textId="77777777" w:rsidR="00FE3EAF" w:rsidRPr="00FE3EAF" w:rsidRDefault="00FE3EAF" w:rsidP="00FE3EAF">
            <w:pPr>
              <w:jc w:val="right"/>
              <w:rPr>
                <w:rFonts w:eastAsia="Calibri"/>
                <w:sz w:val="20"/>
                <w:szCs w:val="20"/>
              </w:rPr>
            </w:pPr>
            <w:r w:rsidRPr="00FE3EAF">
              <w:rPr>
                <w:rFonts w:eastAsia="Calibri"/>
                <w:sz w:val="20"/>
                <w:szCs w:val="20"/>
              </w:rPr>
              <w:t>1.21</w:t>
            </w:r>
          </w:p>
        </w:tc>
        <w:tc>
          <w:tcPr>
            <w:tcW w:w="765" w:type="dxa"/>
            <w:tcBorders>
              <w:top w:val="nil"/>
              <w:left w:val="single" w:sz="12" w:space="0" w:color="auto"/>
              <w:bottom w:val="nil"/>
            </w:tcBorders>
            <w:shd w:val="clear" w:color="auto" w:fill="FFFFFF"/>
            <w:vAlign w:val="center"/>
          </w:tcPr>
          <w:p w14:paraId="0B6E8E88" w14:textId="77777777" w:rsidR="00FE3EAF" w:rsidRPr="00FE3EAF" w:rsidRDefault="00FE3EAF" w:rsidP="00FE3EAF">
            <w:pPr>
              <w:jc w:val="right"/>
              <w:rPr>
                <w:rFonts w:eastAsia="Calibri"/>
                <w:sz w:val="20"/>
                <w:szCs w:val="20"/>
              </w:rPr>
            </w:pPr>
            <w:r w:rsidRPr="00FE3EAF">
              <w:rPr>
                <w:rFonts w:eastAsia="Calibri"/>
                <w:sz w:val="20"/>
                <w:szCs w:val="20"/>
              </w:rPr>
              <w:t>--</w:t>
            </w:r>
          </w:p>
        </w:tc>
        <w:tc>
          <w:tcPr>
            <w:tcW w:w="765" w:type="dxa"/>
            <w:gridSpan w:val="2"/>
            <w:tcBorders>
              <w:top w:val="nil"/>
              <w:bottom w:val="nil"/>
              <w:right w:val="double" w:sz="4" w:space="0" w:color="auto"/>
            </w:tcBorders>
            <w:shd w:val="clear" w:color="auto" w:fill="FFFFFF"/>
            <w:vAlign w:val="center"/>
          </w:tcPr>
          <w:p w14:paraId="2B5EB766" w14:textId="77777777" w:rsidR="00FE3EAF" w:rsidRPr="00FE3EAF" w:rsidRDefault="00FE3EAF" w:rsidP="00FE3EAF">
            <w:pPr>
              <w:jc w:val="right"/>
              <w:rPr>
                <w:rFonts w:eastAsia="Calibri"/>
                <w:sz w:val="20"/>
                <w:szCs w:val="20"/>
              </w:rPr>
            </w:pPr>
          </w:p>
        </w:tc>
        <w:tc>
          <w:tcPr>
            <w:tcW w:w="810" w:type="dxa"/>
            <w:tcBorders>
              <w:top w:val="nil"/>
              <w:left w:val="double" w:sz="4" w:space="0" w:color="auto"/>
              <w:bottom w:val="nil"/>
              <w:right w:val="single" w:sz="4" w:space="0" w:color="auto"/>
            </w:tcBorders>
            <w:shd w:val="clear" w:color="auto" w:fill="FFFFFF"/>
            <w:vAlign w:val="bottom"/>
          </w:tcPr>
          <w:p w14:paraId="6BAE7C2C" w14:textId="77777777" w:rsidR="00FE3EAF" w:rsidRPr="00FE3EAF" w:rsidRDefault="00FE3EAF" w:rsidP="00FE3EAF">
            <w:pPr>
              <w:jc w:val="right"/>
              <w:rPr>
                <w:rFonts w:eastAsia="Calibri"/>
                <w:sz w:val="20"/>
                <w:szCs w:val="20"/>
              </w:rPr>
            </w:pPr>
            <w:r w:rsidRPr="00FE3EAF">
              <w:rPr>
                <w:rFonts w:eastAsia="Calibri"/>
                <w:sz w:val="20"/>
                <w:szCs w:val="20"/>
              </w:rPr>
              <w:t>-0.077</w:t>
            </w:r>
          </w:p>
        </w:tc>
        <w:tc>
          <w:tcPr>
            <w:tcW w:w="810" w:type="dxa"/>
            <w:tcBorders>
              <w:top w:val="nil"/>
              <w:left w:val="single" w:sz="4" w:space="0" w:color="auto"/>
              <w:bottom w:val="nil"/>
              <w:right w:val="double" w:sz="4" w:space="0" w:color="auto"/>
            </w:tcBorders>
            <w:shd w:val="clear" w:color="auto" w:fill="FFFFFF"/>
            <w:vAlign w:val="bottom"/>
          </w:tcPr>
          <w:p w14:paraId="1FDEA610" w14:textId="77777777" w:rsidR="00FE3EAF" w:rsidRPr="00FE3EAF" w:rsidRDefault="00FE3EAF" w:rsidP="00FE3EAF">
            <w:pPr>
              <w:jc w:val="right"/>
              <w:rPr>
                <w:rFonts w:eastAsia="Calibri"/>
                <w:sz w:val="20"/>
                <w:szCs w:val="20"/>
              </w:rPr>
            </w:pPr>
            <w:r w:rsidRPr="00FE3EAF">
              <w:rPr>
                <w:rFonts w:eastAsia="Calibri"/>
                <w:sz w:val="20"/>
                <w:szCs w:val="20"/>
              </w:rPr>
              <w:t>-1.25</w:t>
            </w:r>
          </w:p>
        </w:tc>
      </w:tr>
      <w:tr w:rsidR="00FE3EAF" w:rsidRPr="00FE3EAF" w14:paraId="5CA7FC24" w14:textId="77777777" w:rsidTr="00810642">
        <w:tc>
          <w:tcPr>
            <w:tcW w:w="3330" w:type="dxa"/>
            <w:tcBorders>
              <w:top w:val="nil"/>
              <w:left w:val="double" w:sz="4" w:space="0" w:color="auto"/>
              <w:bottom w:val="nil"/>
              <w:right w:val="double" w:sz="4" w:space="0" w:color="auto"/>
            </w:tcBorders>
          </w:tcPr>
          <w:p w14:paraId="6F8B3DD3" w14:textId="77777777" w:rsidR="00FE3EAF" w:rsidRPr="00FE3EAF" w:rsidRDefault="00FE3EAF" w:rsidP="00FE3EAF">
            <w:pPr>
              <w:jc w:val="left"/>
              <w:rPr>
                <w:rFonts w:eastAsia="Calibri"/>
                <w:bCs/>
                <w:sz w:val="18"/>
                <w:szCs w:val="18"/>
              </w:rPr>
            </w:pPr>
            <w:r w:rsidRPr="00FE3EAF">
              <w:rPr>
                <w:rFonts w:eastAsia="Calibri"/>
                <w:b/>
                <w:sz w:val="18"/>
                <w:szCs w:val="18"/>
              </w:rPr>
              <w:t xml:space="preserve"> </w:t>
            </w:r>
            <w:r w:rsidRPr="00FE3EAF">
              <w:rPr>
                <w:rFonts w:eastAsia="Calibri"/>
                <w:bCs/>
                <w:sz w:val="18"/>
                <w:szCs w:val="18"/>
              </w:rPr>
              <w:t>Single Mothers</w:t>
            </w:r>
          </w:p>
        </w:tc>
        <w:tc>
          <w:tcPr>
            <w:tcW w:w="765" w:type="dxa"/>
            <w:tcBorders>
              <w:top w:val="nil"/>
              <w:left w:val="double" w:sz="4" w:space="0" w:color="auto"/>
              <w:bottom w:val="nil"/>
            </w:tcBorders>
            <w:vAlign w:val="bottom"/>
          </w:tcPr>
          <w:p w14:paraId="4BCFC59B" w14:textId="77777777" w:rsidR="00FE3EAF" w:rsidRPr="00FE3EAF" w:rsidRDefault="00FE3EAF" w:rsidP="00FE3EAF">
            <w:pPr>
              <w:jc w:val="right"/>
              <w:rPr>
                <w:rFonts w:eastAsia="Calibri"/>
                <w:sz w:val="20"/>
                <w:szCs w:val="20"/>
              </w:rPr>
            </w:pPr>
            <w:r w:rsidRPr="00FE3EAF">
              <w:rPr>
                <w:rFonts w:eastAsia="Calibri"/>
                <w:sz w:val="20"/>
                <w:szCs w:val="20"/>
              </w:rPr>
              <w:t>--</w:t>
            </w:r>
          </w:p>
        </w:tc>
        <w:tc>
          <w:tcPr>
            <w:tcW w:w="765" w:type="dxa"/>
            <w:tcBorders>
              <w:top w:val="nil"/>
              <w:bottom w:val="nil"/>
              <w:right w:val="single" w:sz="12" w:space="0" w:color="auto"/>
            </w:tcBorders>
            <w:vAlign w:val="bottom"/>
          </w:tcPr>
          <w:p w14:paraId="7CDCB22F" w14:textId="77777777" w:rsidR="00FE3EAF" w:rsidRPr="00FE3EAF" w:rsidRDefault="00FE3EAF" w:rsidP="00FE3EAF">
            <w:pPr>
              <w:jc w:val="right"/>
              <w:rPr>
                <w:rFonts w:eastAsia="Calibri"/>
                <w:sz w:val="20"/>
                <w:szCs w:val="20"/>
              </w:rPr>
            </w:pPr>
          </w:p>
        </w:tc>
        <w:tc>
          <w:tcPr>
            <w:tcW w:w="765" w:type="dxa"/>
            <w:gridSpan w:val="2"/>
            <w:tcBorders>
              <w:top w:val="nil"/>
              <w:left w:val="single" w:sz="12" w:space="0" w:color="auto"/>
              <w:bottom w:val="nil"/>
              <w:right w:val="single" w:sz="4" w:space="0" w:color="auto"/>
            </w:tcBorders>
            <w:shd w:val="clear" w:color="auto" w:fill="FFFFFF"/>
            <w:vAlign w:val="bottom"/>
          </w:tcPr>
          <w:p w14:paraId="39AC9DF9" w14:textId="77777777" w:rsidR="00FE3EAF" w:rsidRPr="00FE3EAF" w:rsidRDefault="00FE3EAF" w:rsidP="00FE3EAF">
            <w:pPr>
              <w:jc w:val="right"/>
              <w:rPr>
                <w:rFonts w:eastAsia="Calibri"/>
                <w:sz w:val="20"/>
                <w:szCs w:val="20"/>
              </w:rPr>
            </w:pPr>
            <w:r w:rsidRPr="00FE3EAF">
              <w:rPr>
                <w:rFonts w:eastAsia="Calibri"/>
                <w:sz w:val="20"/>
                <w:szCs w:val="20"/>
              </w:rPr>
              <w:t>-0.377</w:t>
            </w:r>
          </w:p>
        </w:tc>
        <w:tc>
          <w:tcPr>
            <w:tcW w:w="765" w:type="dxa"/>
            <w:tcBorders>
              <w:top w:val="nil"/>
              <w:left w:val="single" w:sz="4" w:space="0" w:color="auto"/>
              <w:bottom w:val="nil"/>
              <w:right w:val="single" w:sz="12" w:space="0" w:color="auto"/>
            </w:tcBorders>
            <w:shd w:val="clear" w:color="auto" w:fill="FFFFFF"/>
            <w:vAlign w:val="bottom"/>
          </w:tcPr>
          <w:p w14:paraId="2E353EB0" w14:textId="77777777" w:rsidR="00FE3EAF" w:rsidRPr="00FE3EAF" w:rsidRDefault="00FE3EAF" w:rsidP="00FE3EAF">
            <w:pPr>
              <w:jc w:val="right"/>
              <w:rPr>
                <w:rFonts w:eastAsia="Calibri"/>
                <w:sz w:val="20"/>
                <w:szCs w:val="20"/>
              </w:rPr>
            </w:pPr>
            <w:r w:rsidRPr="00FE3EAF">
              <w:rPr>
                <w:rFonts w:eastAsia="Calibri"/>
                <w:sz w:val="20"/>
                <w:szCs w:val="20"/>
              </w:rPr>
              <w:t>-1.75</w:t>
            </w:r>
          </w:p>
        </w:tc>
        <w:tc>
          <w:tcPr>
            <w:tcW w:w="765" w:type="dxa"/>
            <w:tcBorders>
              <w:top w:val="nil"/>
              <w:left w:val="single" w:sz="12" w:space="0" w:color="auto"/>
              <w:bottom w:val="nil"/>
            </w:tcBorders>
            <w:shd w:val="clear" w:color="auto" w:fill="FFFFFF"/>
            <w:vAlign w:val="bottom"/>
          </w:tcPr>
          <w:p w14:paraId="4BB2A8A0" w14:textId="77777777" w:rsidR="00FE3EAF" w:rsidRPr="00FE3EAF" w:rsidRDefault="00FE3EAF" w:rsidP="00FE3EAF">
            <w:pPr>
              <w:jc w:val="right"/>
              <w:rPr>
                <w:rFonts w:eastAsia="Calibri"/>
                <w:sz w:val="20"/>
                <w:szCs w:val="20"/>
              </w:rPr>
            </w:pPr>
            <w:r w:rsidRPr="00FE3EAF">
              <w:rPr>
                <w:rFonts w:eastAsia="Calibri"/>
                <w:sz w:val="20"/>
                <w:szCs w:val="20"/>
              </w:rPr>
              <w:t>--</w:t>
            </w:r>
          </w:p>
        </w:tc>
        <w:tc>
          <w:tcPr>
            <w:tcW w:w="765" w:type="dxa"/>
            <w:gridSpan w:val="2"/>
            <w:tcBorders>
              <w:top w:val="nil"/>
              <w:bottom w:val="nil"/>
              <w:right w:val="double" w:sz="4" w:space="0" w:color="auto"/>
            </w:tcBorders>
            <w:shd w:val="clear" w:color="auto" w:fill="FFFFFF"/>
            <w:vAlign w:val="bottom"/>
          </w:tcPr>
          <w:p w14:paraId="1FFBCEEE" w14:textId="77777777" w:rsidR="00FE3EAF" w:rsidRPr="00FE3EAF" w:rsidRDefault="00FE3EAF" w:rsidP="00FE3EAF">
            <w:pPr>
              <w:jc w:val="right"/>
              <w:rPr>
                <w:rFonts w:eastAsia="Calibri"/>
                <w:sz w:val="20"/>
                <w:szCs w:val="20"/>
              </w:rPr>
            </w:pPr>
          </w:p>
        </w:tc>
        <w:tc>
          <w:tcPr>
            <w:tcW w:w="810" w:type="dxa"/>
            <w:tcBorders>
              <w:top w:val="nil"/>
              <w:left w:val="double" w:sz="4" w:space="0" w:color="auto"/>
              <w:bottom w:val="nil"/>
              <w:right w:val="single" w:sz="4" w:space="0" w:color="auto"/>
            </w:tcBorders>
            <w:shd w:val="clear" w:color="auto" w:fill="FFFFFF"/>
            <w:vAlign w:val="bottom"/>
          </w:tcPr>
          <w:p w14:paraId="1A3E3AE8" w14:textId="4350E6BF" w:rsidR="00FE3EAF" w:rsidRPr="00FE3EAF" w:rsidRDefault="00FE3EAF" w:rsidP="00FE3EAF">
            <w:pPr>
              <w:jc w:val="right"/>
              <w:rPr>
                <w:rFonts w:eastAsia="Calibri"/>
                <w:sz w:val="20"/>
                <w:szCs w:val="20"/>
              </w:rPr>
            </w:pPr>
          </w:p>
        </w:tc>
        <w:tc>
          <w:tcPr>
            <w:tcW w:w="810" w:type="dxa"/>
            <w:tcBorders>
              <w:top w:val="nil"/>
              <w:left w:val="single" w:sz="4" w:space="0" w:color="auto"/>
              <w:bottom w:val="nil"/>
              <w:right w:val="double" w:sz="4" w:space="0" w:color="auto"/>
            </w:tcBorders>
            <w:shd w:val="clear" w:color="auto" w:fill="FFFFFF"/>
            <w:vAlign w:val="bottom"/>
          </w:tcPr>
          <w:p w14:paraId="6066A3D5" w14:textId="49C2806F" w:rsidR="00FE3EAF" w:rsidRPr="00FE3EAF" w:rsidRDefault="00FE3EAF" w:rsidP="00FE3EAF">
            <w:pPr>
              <w:jc w:val="right"/>
              <w:rPr>
                <w:rFonts w:eastAsia="Calibri"/>
                <w:sz w:val="20"/>
                <w:szCs w:val="20"/>
              </w:rPr>
            </w:pPr>
          </w:p>
        </w:tc>
      </w:tr>
      <w:tr w:rsidR="00FE3EAF" w:rsidRPr="00FE3EAF" w14:paraId="6F144CF3" w14:textId="77777777" w:rsidTr="00810642">
        <w:tc>
          <w:tcPr>
            <w:tcW w:w="3330" w:type="dxa"/>
            <w:tcBorders>
              <w:top w:val="nil"/>
              <w:left w:val="double" w:sz="4" w:space="0" w:color="auto"/>
              <w:bottom w:val="nil"/>
              <w:right w:val="double" w:sz="4" w:space="0" w:color="auto"/>
            </w:tcBorders>
          </w:tcPr>
          <w:p w14:paraId="3380E225" w14:textId="672EDFD3" w:rsidR="00FE3EAF" w:rsidRPr="00FE3EAF" w:rsidRDefault="00FE3EAF" w:rsidP="00FE3EAF">
            <w:pPr>
              <w:jc w:val="left"/>
              <w:rPr>
                <w:rFonts w:eastAsia="Calibri"/>
                <w:b/>
                <w:sz w:val="18"/>
                <w:szCs w:val="18"/>
              </w:rPr>
            </w:pPr>
            <w:r w:rsidRPr="00FE3EAF">
              <w:rPr>
                <w:rFonts w:eastAsia="Calibri"/>
                <w:bCs/>
                <w:sz w:val="18"/>
                <w:szCs w:val="18"/>
              </w:rPr>
              <w:t xml:space="preserve"> Single </w:t>
            </w:r>
            <w:r w:rsidR="00331488">
              <w:rPr>
                <w:rFonts w:eastAsia="Calibri"/>
                <w:bCs/>
                <w:sz w:val="18"/>
                <w:szCs w:val="18"/>
              </w:rPr>
              <w:t>Parents (father and mothers)</w:t>
            </w:r>
          </w:p>
        </w:tc>
        <w:tc>
          <w:tcPr>
            <w:tcW w:w="765" w:type="dxa"/>
            <w:tcBorders>
              <w:top w:val="nil"/>
              <w:left w:val="double" w:sz="4" w:space="0" w:color="auto"/>
              <w:bottom w:val="nil"/>
            </w:tcBorders>
            <w:vAlign w:val="bottom"/>
          </w:tcPr>
          <w:p w14:paraId="727082F3" w14:textId="77777777" w:rsidR="00FE3EAF" w:rsidRPr="00FE3EAF" w:rsidRDefault="00FE3EAF" w:rsidP="00FE3EAF">
            <w:pPr>
              <w:jc w:val="right"/>
              <w:rPr>
                <w:rFonts w:eastAsia="Calibri"/>
                <w:sz w:val="20"/>
                <w:szCs w:val="20"/>
              </w:rPr>
            </w:pPr>
            <w:r w:rsidRPr="00FE3EAF">
              <w:rPr>
                <w:rFonts w:eastAsia="Calibri"/>
                <w:sz w:val="20"/>
                <w:szCs w:val="20"/>
              </w:rPr>
              <w:t>--</w:t>
            </w:r>
          </w:p>
        </w:tc>
        <w:tc>
          <w:tcPr>
            <w:tcW w:w="765" w:type="dxa"/>
            <w:tcBorders>
              <w:top w:val="nil"/>
              <w:bottom w:val="nil"/>
              <w:right w:val="single" w:sz="12" w:space="0" w:color="auto"/>
            </w:tcBorders>
            <w:vAlign w:val="bottom"/>
          </w:tcPr>
          <w:p w14:paraId="615C987D" w14:textId="77777777" w:rsidR="00FE3EAF" w:rsidRPr="00FE3EAF" w:rsidRDefault="00FE3EAF" w:rsidP="00FE3EAF">
            <w:pPr>
              <w:jc w:val="right"/>
              <w:rPr>
                <w:rFonts w:eastAsia="Calibri"/>
                <w:sz w:val="20"/>
                <w:szCs w:val="20"/>
              </w:rPr>
            </w:pPr>
          </w:p>
        </w:tc>
        <w:tc>
          <w:tcPr>
            <w:tcW w:w="765" w:type="dxa"/>
            <w:gridSpan w:val="2"/>
            <w:tcBorders>
              <w:top w:val="nil"/>
              <w:left w:val="single" w:sz="12" w:space="0" w:color="auto"/>
              <w:bottom w:val="nil"/>
              <w:right w:val="single" w:sz="4" w:space="0" w:color="auto"/>
            </w:tcBorders>
            <w:shd w:val="clear" w:color="auto" w:fill="FFFFFF"/>
            <w:vAlign w:val="bottom"/>
          </w:tcPr>
          <w:p w14:paraId="3852E920" w14:textId="77777777" w:rsidR="00FE3EAF" w:rsidRPr="00FE3EAF" w:rsidRDefault="00FE3EAF" w:rsidP="00FE3EAF">
            <w:pPr>
              <w:jc w:val="right"/>
              <w:rPr>
                <w:rFonts w:eastAsia="Calibri"/>
                <w:sz w:val="20"/>
                <w:szCs w:val="20"/>
              </w:rPr>
            </w:pPr>
            <w:r w:rsidRPr="00FE3EAF">
              <w:rPr>
                <w:rFonts w:eastAsia="Calibri"/>
                <w:sz w:val="20"/>
                <w:szCs w:val="20"/>
              </w:rPr>
              <w:t>--</w:t>
            </w:r>
          </w:p>
        </w:tc>
        <w:tc>
          <w:tcPr>
            <w:tcW w:w="765" w:type="dxa"/>
            <w:tcBorders>
              <w:top w:val="nil"/>
              <w:left w:val="single" w:sz="4" w:space="0" w:color="auto"/>
              <w:bottom w:val="nil"/>
              <w:right w:val="single" w:sz="12" w:space="0" w:color="auto"/>
            </w:tcBorders>
            <w:shd w:val="clear" w:color="auto" w:fill="FFFFFF"/>
            <w:vAlign w:val="bottom"/>
          </w:tcPr>
          <w:p w14:paraId="5FC631D0" w14:textId="77777777" w:rsidR="00FE3EAF" w:rsidRPr="00FE3EAF" w:rsidRDefault="00FE3EAF" w:rsidP="00FE3EAF">
            <w:pPr>
              <w:jc w:val="right"/>
              <w:rPr>
                <w:rFonts w:eastAsia="Calibri"/>
                <w:sz w:val="20"/>
                <w:szCs w:val="20"/>
              </w:rPr>
            </w:pPr>
          </w:p>
        </w:tc>
        <w:tc>
          <w:tcPr>
            <w:tcW w:w="765" w:type="dxa"/>
            <w:tcBorders>
              <w:top w:val="nil"/>
              <w:left w:val="single" w:sz="12" w:space="0" w:color="auto"/>
              <w:bottom w:val="nil"/>
            </w:tcBorders>
            <w:shd w:val="clear" w:color="auto" w:fill="FFFFFF"/>
            <w:vAlign w:val="bottom"/>
          </w:tcPr>
          <w:p w14:paraId="5171D373" w14:textId="77777777" w:rsidR="00FE3EAF" w:rsidRPr="00FE3EAF" w:rsidRDefault="00FE3EAF" w:rsidP="00FE3EAF">
            <w:pPr>
              <w:jc w:val="right"/>
              <w:rPr>
                <w:rFonts w:eastAsia="Calibri"/>
                <w:sz w:val="20"/>
                <w:szCs w:val="20"/>
              </w:rPr>
            </w:pPr>
            <w:r w:rsidRPr="00FE3EAF">
              <w:rPr>
                <w:rFonts w:eastAsia="Calibri"/>
                <w:sz w:val="20"/>
                <w:szCs w:val="20"/>
              </w:rPr>
              <w:t>--</w:t>
            </w:r>
          </w:p>
        </w:tc>
        <w:tc>
          <w:tcPr>
            <w:tcW w:w="765" w:type="dxa"/>
            <w:gridSpan w:val="2"/>
            <w:tcBorders>
              <w:top w:val="nil"/>
              <w:bottom w:val="nil"/>
              <w:right w:val="double" w:sz="4" w:space="0" w:color="auto"/>
            </w:tcBorders>
            <w:shd w:val="clear" w:color="auto" w:fill="FFFFFF"/>
            <w:vAlign w:val="bottom"/>
          </w:tcPr>
          <w:p w14:paraId="16C9C948" w14:textId="77777777" w:rsidR="00FE3EAF" w:rsidRPr="00FE3EAF" w:rsidRDefault="00FE3EAF" w:rsidP="00FE3EAF">
            <w:pPr>
              <w:jc w:val="right"/>
              <w:rPr>
                <w:rFonts w:eastAsia="Calibri"/>
                <w:sz w:val="20"/>
                <w:szCs w:val="20"/>
              </w:rPr>
            </w:pPr>
          </w:p>
        </w:tc>
        <w:tc>
          <w:tcPr>
            <w:tcW w:w="810" w:type="dxa"/>
            <w:tcBorders>
              <w:top w:val="nil"/>
              <w:left w:val="double" w:sz="4" w:space="0" w:color="auto"/>
              <w:bottom w:val="nil"/>
              <w:right w:val="single" w:sz="4" w:space="0" w:color="auto"/>
            </w:tcBorders>
            <w:shd w:val="clear" w:color="auto" w:fill="FFFFFF"/>
            <w:vAlign w:val="bottom"/>
          </w:tcPr>
          <w:p w14:paraId="563B9537" w14:textId="77777777" w:rsidR="00FE3EAF" w:rsidRPr="00FE3EAF" w:rsidRDefault="00FE3EAF" w:rsidP="00FE3EAF">
            <w:pPr>
              <w:jc w:val="right"/>
              <w:rPr>
                <w:rFonts w:eastAsia="Calibri"/>
                <w:sz w:val="20"/>
                <w:szCs w:val="20"/>
              </w:rPr>
            </w:pPr>
            <w:r w:rsidRPr="00FE3EAF">
              <w:rPr>
                <w:rFonts w:eastAsia="Calibri"/>
                <w:sz w:val="20"/>
                <w:szCs w:val="20"/>
              </w:rPr>
              <w:t>0.223</w:t>
            </w:r>
          </w:p>
        </w:tc>
        <w:tc>
          <w:tcPr>
            <w:tcW w:w="810" w:type="dxa"/>
            <w:tcBorders>
              <w:top w:val="nil"/>
              <w:left w:val="single" w:sz="4" w:space="0" w:color="auto"/>
              <w:bottom w:val="nil"/>
              <w:right w:val="double" w:sz="4" w:space="0" w:color="auto"/>
            </w:tcBorders>
            <w:shd w:val="clear" w:color="auto" w:fill="FFFFFF"/>
            <w:vAlign w:val="bottom"/>
          </w:tcPr>
          <w:p w14:paraId="46D83273" w14:textId="77777777" w:rsidR="00FE3EAF" w:rsidRPr="00FE3EAF" w:rsidRDefault="00FE3EAF" w:rsidP="00FE3EAF">
            <w:pPr>
              <w:jc w:val="right"/>
              <w:rPr>
                <w:rFonts w:eastAsia="Calibri"/>
                <w:sz w:val="20"/>
                <w:szCs w:val="20"/>
              </w:rPr>
            </w:pPr>
            <w:r w:rsidRPr="00FE3EAF">
              <w:rPr>
                <w:rFonts w:eastAsia="Calibri"/>
                <w:sz w:val="20"/>
                <w:szCs w:val="20"/>
              </w:rPr>
              <w:t>1.28</w:t>
            </w:r>
          </w:p>
        </w:tc>
      </w:tr>
      <w:tr w:rsidR="00FE3EAF" w:rsidRPr="00FE3EAF" w14:paraId="1A984FC5" w14:textId="77777777" w:rsidTr="00810642">
        <w:tc>
          <w:tcPr>
            <w:tcW w:w="3330" w:type="dxa"/>
            <w:tcBorders>
              <w:top w:val="nil"/>
              <w:left w:val="double" w:sz="4" w:space="0" w:color="auto"/>
              <w:bottom w:val="nil"/>
              <w:right w:val="double" w:sz="4" w:space="0" w:color="auto"/>
            </w:tcBorders>
          </w:tcPr>
          <w:p w14:paraId="3989C678" w14:textId="2065C786" w:rsidR="00FE3EAF" w:rsidRPr="00810642" w:rsidRDefault="00FE3EAF" w:rsidP="00FE3EAF">
            <w:pPr>
              <w:jc w:val="left"/>
              <w:rPr>
                <w:rFonts w:eastAsia="Calibri"/>
                <w:bCs/>
                <w:sz w:val="18"/>
                <w:szCs w:val="18"/>
              </w:rPr>
            </w:pPr>
            <w:r w:rsidRPr="00FE3EAF">
              <w:rPr>
                <w:rFonts w:eastAsia="Calibri"/>
                <w:bCs/>
                <w:sz w:val="18"/>
                <w:szCs w:val="18"/>
              </w:rPr>
              <w:t xml:space="preserve"> Presence of children 0-12 years</w:t>
            </w:r>
            <w:r w:rsidR="00810642">
              <w:rPr>
                <w:rFonts w:eastAsia="Calibri"/>
                <w:bCs/>
                <w:sz w:val="18"/>
                <w:szCs w:val="18"/>
              </w:rPr>
              <w:t xml:space="preserve"> </w:t>
            </w:r>
            <w:r w:rsidRPr="00FE3EAF">
              <w:rPr>
                <w:rFonts w:eastAsia="Calibri"/>
                <w:bCs/>
                <w:i/>
                <w:iCs/>
                <w:sz w:val="18"/>
                <w:szCs w:val="18"/>
              </w:rPr>
              <w:t>(satiation)</w:t>
            </w:r>
          </w:p>
        </w:tc>
        <w:tc>
          <w:tcPr>
            <w:tcW w:w="765" w:type="dxa"/>
            <w:tcBorders>
              <w:top w:val="nil"/>
              <w:left w:val="double" w:sz="4" w:space="0" w:color="auto"/>
              <w:bottom w:val="nil"/>
            </w:tcBorders>
            <w:vAlign w:val="center"/>
          </w:tcPr>
          <w:p w14:paraId="758FADDA" w14:textId="77777777" w:rsidR="00FE3EAF" w:rsidRPr="00FE3EAF" w:rsidRDefault="00FE3EAF" w:rsidP="00FE3EAF">
            <w:pPr>
              <w:jc w:val="right"/>
              <w:rPr>
                <w:rFonts w:eastAsia="Calibri"/>
                <w:sz w:val="20"/>
                <w:szCs w:val="20"/>
              </w:rPr>
            </w:pPr>
            <w:r w:rsidRPr="00FE3EAF">
              <w:rPr>
                <w:rFonts w:eastAsia="Calibri"/>
                <w:sz w:val="20"/>
                <w:szCs w:val="20"/>
              </w:rPr>
              <w:t>--</w:t>
            </w:r>
          </w:p>
        </w:tc>
        <w:tc>
          <w:tcPr>
            <w:tcW w:w="765" w:type="dxa"/>
            <w:tcBorders>
              <w:top w:val="nil"/>
              <w:bottom w:val="nil"/>
              <w:right w:val="single" w:sz="12" w:space="0" w:color="auto"/>
            </w:tcBorders>
            <w:vAlign w:val="center"/>
          </w:tcPr>
          <w:p w14:paraId="240D703E" w14:textId="77777777" w:rsidR="00FE3EAF" w:rsidRPr="00FE3EAF" w:rsidRDefault="00FE3EAF" w:rsidP="00FE3EAF">
            <w:pPr>
              <w:jc w:val="right"/>
              <w:rPr>
                <w:rFonts w:eastAsia="Calibri"/>
                <w:sz w:val="20"/>
                <w:szCs w:val="20"/>
              </w:rPr>
            </w:pPr>
          </w:p>
        </w:tc>
        <w:tc>
          <w:tcPr>
            <w:tcW w:w="765" w:type="dxa"/>
            <w:gridSpan w:val="2"/>
            <w:tcBorders>
              <w:top w:val="nil"/>
              <w:left w:val="single" w:sz="12" w:space="0" w:color="auto"/>
              <w:bottom w:val="nil"/>
              <w:right w:val="single" w:sz="4" w:space="0" w:color="auto"/>
            </w:tcBorders>
            <w:shd w:val="clear" w:color="auto" w:fill="FFFFFF"/>
            <w:vAlign w:val="bottom"/>
          </w:tcPr>
          <w:p w14:paraId="3297D1AB" w14:textId="77777777" w:rsidR="00FE3EAF" w:rsidRPr="00FE3EAF" w:rsidRDefault="00FE3EAF" w:rsidP="00FE3EAF">
            <w:pPr>
              <w:jc w:val="right"/>
              <w:rPr>
                <w:rFonts w:eastAsia="Calibri"/>
                <w:sz w:val="20"/>
                <w:szCs w:val="20"/>
                <w:highlight w:val="yellow"/>
              </w:rPr>
            </w:pPr>
            <w:r w:rsidRPr="00FE3EAF">
              <w:rPr>
                <w:rFonts w:eastAsia="Calibri"/>
                <w:sz w:val="20"/>
                <w:szCs w:val="20"/>
              </w:rPr>
              <w:t>-0.330</w:t>
            </w:r>
          </w:p>
        </w:tc>
        <w:tc>
          <w:tcPr>
            <w:tcW w:w="765" w:type="dxa"/>
            <w:tcBorders>
              <w:top w:val="nil"/>
              <w:left w:val="single" w:sz="4" w:space="0" w:color="auto"/>
              <w:bottom w:val="nil"/>
              <w:right w:val="single" w:sz="12" w:space="0" w:color="auto"/>
            </w:tcBorders>
            <w:shd w:val="clear" w:color="auto" w:fill="FFFFFF"/>
            <w:vAlign w:val="bottom"/>
          </w:tcPr>
          <w:p w14:paraId="05534A1E" w14:textId="77777777" w:rsidR="00FE3EAF" w:rsidRPr="00FE3EAF" w:rsidRDefault="00FE3EAF" w:rsidP="00FE3EAF">
            <w:pPr>
              <w:jc w:val="right"/>
              <w:rPr>
                <w:rFonts w:eastAsia="Calibri"/>
                <w:sz w:val="20"/>
                <w:szCs w:val="20"/>
                <w:highlight w:val="yellow"/>
              </w:rPr>
            </w:pPr>
            <w:r w:rsidRPr="00FE3EAF">
              <w:rPr>
                <w:rFonts w:eastAsia="Calibri"/>
                <w:sz w:val="20"/>
                <w:szCs w:val="20"/>
              </w:rPr>
              <w:t>-1.54</w:t>
            </w:r>
          </w:p>
        </w:tc>
        <w:tc>
          <w:tcPr>
            <w:tcW w:w="765" w:type="dxa"/>
            <w:tcBorders>
              <w:top w:val="nil"/>
              <w:left w:val="single" w:sz="12" w:space="0" w:color="auto"/>
              <w:bottom w:val="nil"/>
            </w:tcBorders>
            <w:shd w:val="clear" w:color="auto" w:fill="FFFFFF"/>
            <w:vAlign w:val="center"/>
          </w:tcPr>
          <w:p w14:paraId="674F0ED4" w14:textId="77777777" w:rsidR="00FE3EAF" w:rsidRPr="00FE3EAF" w:rsidRDefault="00FE3EAF" w:rsidP="00FE3EAF">
            <w:pPr>
              <w:jc w:val="right"/>
              <w:rPr>
                <w:rFonts w:eastAsia="Calibri"/>
                <w:sz w:val="20"/>
                <w:szCs w:val="20"/>
              </w:rPr>
            </w:pPr>
            <w:r w:rsidRPr="00FE3EAF">
              <w:rPr>
                <w:rFonts w:eastAsia="Calibri"/>
                <w:sz w:val="20"/>
                <w:szCs w:val="20"/>
              </w:rPr>
              <w:t>--</w:t>
            </w:r>
          </w:p>
        </w:tc>
        <w:tc>
          <w:tcPr>
            <w:tcW w:w="765" w:type="dxa"/>
            <w:gridSpan w:val="2"/>
            <w:tcBorders>
              <w:top w:val="nil"/>
              <w:bottom w:val="nil"/>
              <w:right w:val="double" w:sz="4" w:space="0" w:color="auto"/>
            </w:tcBorders>
            <w:shd w:val="clear" w:color="auto" w:fill="FFFFFF"/>
            <w:vAlign w:val="center"/>
          </w:tcPr>
          <w:p w14:paraId="5EF8C21E" w14:textId="77777777" w:rsidR="00FE3EAF" w:rsidRPr="00FE3EAF" w:rsidRDefault="00FE3EAF" w:rsidP="00FE3EAF">
            <w:pPr>
              <w:jc w:val="right"/>
              <w:rPr>
                <w:rFonts w:eastAsia="Calibri"/>
                <w:sz w:val="20"/>
                <w:szCs w:val="20"/>
                <w:highlight w:val="yellow"/>
              </w:rPr>
            </w:pPr>
          </w:p>
        </w:tc>
        <w:tc>
          <w:tcPr>
            <w:tcW w:w="810" w:type="dxa"/>
            <w:tcBorders>
              <w:top w:val="nil"/>
              <w:left w:val="double" w:sz="4" w:space="0" w:color="auto"/>
              <w:bottom w:val="nil"/>
              <w:right w:val="single" w:sz="4" w:space="0" w:color="auto"/>
            </w:tcBorders>
            <w:shd w:val="clear" w:color="auto" w:fill="FFFFFF"/>
            <w:vAlign w:val="center"/>
          </w:tcPr>
          <w:p w14:paraId="083BD058" w14:textId="77777777" w:rsidR="00FE3EAF" w:rsidRPr="00FE3EAF" w:rsidRDefault="00FE3EAF" w:rsidP="00FE3EAF">
            <w:pPr>
              <w:jc w:val="right"/>
              <w:rPr>
                <w:rFonts w:eastAsia="Calibri"/>
                <w:sz w:val="20"/>
                <w:szCs w:val="20"/>
              </w:rPr>
            </w:pPr>
            <w:r w:rsidRPr="00FE3EAF">
              <w:rPr>
                <w:rFonts w:eastAsia="Calibri"/>
                <w:sz w:val="20"/>
                <w:szCs w:val="20"/>
              </w:rPr>
              <w:t>NA</w:t>
            </w:r>
          </w:p>
        </w:tc>
        <w:tc>
          <w:tcPr>
            <w:tcW w:w="810" w:type="dxa"/>
            <w:tcBorders>
              <w:top w:val="nil"/>
              <w:left w:val="single" w:sz="4" w:space="0" w:color="auto"/>
              <w:bottom w:val="nil"/>
              <w:right w:val="double" w:sz="4" w:space="0" w:color="auto"/>
            </w:tcBorders>
            <w:shd w:val="clear" w:color="auto" w:fill="FFFFFF"/>
            <w:vAlign w:val="center"/>
          </w:tcPr>
          <w:p w14:paraId="79B47278" w14:textId="77777777" w:rsidR="00FE3EAF" w:rsidRPr="00FE3EAF" w:rsidRDefault="00FE3EAF" w:rsidP="00FE3EAF">
            <w:pPr>
              <w:jc w:val="right"/>
              <w:rPr>
                <w:rFonts w:eastAsia="Calibri"/>
                <w:sz w:val="20"/>
                <w:szCs w:val="20"/>
              </w:rPr>
            </w:pPr>
          </w:p>
        </w:tc>
      </w:tr>
      <w:tr w:rsidR="00FE3EAF" w:rsidRPr="00FE3EAF" w14:paraId="3495B3C5" w14:textId="77777777" w:rsidTr="00810642">
        <w:tc>
          <w:tcPr>
            <w:tcW w:w="3330" w:type="dxa"/>
            <w:tcBorders>
              <w:top w:val="nil"/>
              <w:left w:val="double" w:sz="4" w:space="0" w:color="auto"/>
              <w:bottom w:val="nil"/>
              <w:right w:val="double" w:sz="4" w:space="0" w:color="auto"/>
            </w:tcBorders>
          </w:tcPr>
          <w:p w14:paraId="04FD5A11" w14:textId="1CECB1E9" w:rsidR="00FE3EAF" w:rsidRPr="00810642" w:rsidRDefault="00FE3EAF" w:rsidP="00FE3EAF">
            <w:pPr>
              <w:jc w:val="left"/>
              <w:rPr>
                <w:rFonts w:eastAsia="Calibri"/>
                <w:bCs/>
                <w:sz w:val="18"/>
                <w:szCs w:val="18"/>
              </w:rPr>
            </w:pPr>
            <w:r w:rsidRPr="00FE3EAF">
              <w:rPr>
                <w:rFonts w:eastAsia="Calibri"/>
                <w:bCs/>
                <w:sz w:val="18"/>
                <w:szCs w:val="18"/>
              </w:rPr>
              <w:t xml:space="preserve"> Presence of children 13-17 years</w:t>
            </w:r>
            <w:r w:rsidR="00810642">
              <w:rPr>
                <w:rFonts w:eastAsia="Calibri"/>
                <w:bCs/>
                <w:sz w:val="18"/>
                <w:szCs w:val="18"/>
              </w:rPr>
              <w:t xml:space="preserve"> </w:t>
            </w:r>
            <w:r w:rsidRPr="00FE3EAF">
              <w:rPr>
                <w:rFonts w:eastAsia="Calibri"/>
                <w:bCs/>
                <w:i/>
                <w:iCs/>
                <w:sz w:val="18"/>
                <w:szCs w:val="18"/>
              </w:rPr>
              <w:t>(satiation)</w:t>
            </w:r>
          </w:p>
        </w:tc>
        <w:tc>
          <w:tcPr>
            <w:tcW w:w="765" w:type="dxa"/>
            <w:tcBorders>
              <w:top w:val="nil"/>
              <w:left w:val="double" w:sz="4" w:space="0" w:color="auto"/>
              <w:bottom w:val="nil"/>
            </w:tcBorders>
            <w:vAlign w:val="center"/>
          </w:tcPr>
          <w:p w14:paraId="0674E6DE" w14:textId="77777777" w:rsidR="00FE3EAF" w:rsidRPr="00FE3EAF" w:rsidRDefault="00FE3EAF" w:rsidP="00FE3EAF">
            <w:pPr>
              <w:jc w:val="right"/>
              <w:rPr>
                <w:rFonts w:eastAsia="Calibri"/>
                <w:sz w:val="20"/>
                <w:szCs w:val="20"/>
              </w:rPr>
            </w:pPr>
            <w:r w:rsidRPr="00FE3EAF">
              <w:rPr>
                <w:rFonts w:eastAsia="Calibri"/>
                <w:sz w:val="20"/>
                <w:szCs w:val="20"/>
              </w:rPr>
              <w:t>--</w:t>
            </w:r>
          </w:p>
        </w:tc>
        <w:tc>
          <w:tcPr>
            <w:tcW w:w="765" w:type="dxa"/>
            <w:tcBorders>
              <w:top w:val="nil"/>
              <w:bottom w:val="nil"/>
              <w:right w:val="single" w:sz="12" w:space="0" w:color="auto"/>
            </w:tcBorders>
            <w:vAlign w:val="center"/>
          </w:tcPr>
          <w:p w14:paraId="4DC977F6" w14:textId="77777777" w:rsidR="00FE3EAF" w:rsidRPr="00FE3EAF" w:rsidRDefault="00FE3EAF" w:rsidP="00FE3EAF">
            <w:pPr>
              <w:jc w:val="right"/>
              <w:rPr>
                <w:rFonts w:eastAsia="Calibri"/>
                <w:sz w:val="20"/>
                <w:szCs w:val="20"/>
              </w:rPr>
            </w:pPr>
          </w:p>
        </w:tc>
        <w:tc>
          <w:tcPr>
            <w:tcW w:w="765" w:type="dxa"/>
            <w:gridSpan w:val="2"/>
            <w:tcBorders>
              <w:top w:val="nil"/>
              <w:left w:val="single" w:sz="12" w:space="0" w:color="auto"/>
              <w:bottom w:val="nil"/>
              <w:right w:val="single" w:sz="4" w:space="0" w:color="auto"/>
            </w:tcBorders>
            <w:shd w:val="clear" w:color="auto" w:fill="FFFFFF"/>
            <w:vAlign w:val="bottom"/>
          </w:tcPr>
          <w:p w14:paraId="450C03BD" w14:textId="77777777" w:rsidR="00FE3EAF" w:rsidRPr="00FE3EAF" w:rsidRDefault="00FE3EAF" w:rsidP="00FE3EAF">
            <w:pPr>
              <w:jc w:val="right"/>
              <w:rPr>
                <w:rFonts w:eastAsia="Calibri"/>
                <w:sz w:val="20"/>
                <w:szCs w:val="20"/>
                <w:highlight w:val="yellow"/>
              </w:rPr>
            </w:pPr>
            <w:r w:rsidRPr="00FE3EAF">
              <w:rPr>
                <w:rFonts w:eastAsia="Calibri"/>
                <w:sz w:val="20"/>
                <w:szCs w:val="20"/>
              </w:rPr>
              <w:t>0.301</w:t>
            </w:r>
          </w:p>
        </w:tc>
        <w:tc>
          <w:tcPr>
            <w:tcW w:w="765" w:type="dxa"/>
            <w:tcBorders>
              <w:top w:val="nil"/>
              <w:left w:val="single" w:sz="4" w:space="0" w:color="auto"/>
              <w:bottom w:val="nil"/>
              <w:right w:val="single" w:sz="12" w:space="0" w:color="auto"/>
            </w:tcBorders>
            <w:shd w:val="clear" w:color="auto" w:fill="FFFFFF"/>
            <w:vAlign w:val="bottom"/>
          </w:tcPr>
          <w:p w14:paraId="78F84EA9" w14:textId="77777777" w:rsidR="00FE3EAF" w:rsidRPr="00FE3EAF" w:rsidRDefault="00FE3EAF" w:rsidP="00FE3EAF">
            <w:pPr>
              <w:jc w:val="right"/>
              <w:rPr>
                <w:rFonts w:eastAsia="Calibri"/>
                <w:sz w:val="20"/>
                <w:szCs w:val="20"/>
                <w:highlight w:val="yellow"/>
              </w:rPr>
            </w:pPr>
            <w:r w:rsidRPr="00FE3EAF">
              <w:rPr>
                <w:rFonts w:eastAsia="Calibri"/>
                <w:sz w:val="20"/>
                <w:szCs w:val="20"/>
              </w:rPr>
              <w:t>1.19</w:t>
            </w:r>
          </w:p>
        </w:tc>
        <w:tc>
          <w:tcPr>
            <w:tcW w:w="765" w:type="dxa"/>
            <w:tcBorders>
              <w:top w:val="nil"/>
              <w:left w:val="single" w:sz="12" w:space="0" w:color="auto"/>
              <w:bottom w:val="nil"/>
            </w:tcBorders>
            <w:shd w:val="clear" w:color="auto" w:fill="FFFFFF"/>
            <w:vAlign w:val="center"/>
          </w:tcPr>
          <w:p w14:paraId="68EEA3E6" w14:textId="77777777" w:rsidR="00FE3EAF" w:rsidRPr="00FE3EAF" w:rsidRDefault="00FE3EAF" w:rsidP="00FE3EAF">
            <w:pPr>
              <w:jc w:val="right"/>
              <w:rPr>
                <w:rFonts w:eastAsia="Calibri"/>
                <w:sz w:val="20"/>
                <w:szCs w:val="20"/>
              </w:rPr>
            </w:pPr>
            <w:r w:rsidRPr="00FE3EAF">
              <w:rPr>
                <w:rFonts w:eastAsia="Calibri"/>
                <w:sz w:val="20"/>
                <w:szCs w:val="20"/>
              </w:rPr>
              <w:t>--</w:t>
            </w:r>
          </w:p>
        </w:tc>
        <w:tc>
          <w:tcPr>
            <w:tcW w:w="765" w:type="dxa"/>
            <w:gridSpan w:val="2"/>
            <w:tcBorders>
              <w:top w:val="nil"/>
              <w:bottom w:val="nil"/>
              <w:right w:val="double" w:sz="4" w:space="0" w:color="auto"/>
            </w:tcBorders>
            <w:shd w:val="clear" w:color="auto" w:fill="FFFFFF"/>
            <w:vAlign w:val="center"/>
          </w:tcPr>
          <w:p w14:paraId="2612AE29" w14:textId="77777777" w:rsidR="00FE3EAF" w:rsidRPr="00FE3EAF" w:rsidRDefault="00FE3EAF" w:rsidP="00FE3EAF">
            <w:pPr>
              <w:jc w:val="right"/>
              <w:rPr>
                <w:rFonts w:eastAsia="Calibri"/>
                <w:sz w:val="20"/>
                <w:szCs w:val="20"/>
                <w:highlight w:val="yellow"/>
              </w:rPr>
            </w:pPr>
          </w:p>
        </w:tc>
        <w:tc>
          <w:tcPr>
            <w:tcW w:w="810" w:type="dxa"/>
            <w:tcBorders>
              <w:top w:val="nil"/>
              <w:left w:val="double" w:sz="4" w:space="0" w:color="auto"/>
              <w:bottom w:val="nil"/>
              <w:right w:val="single" w:sz="4" w:space="0" w:color="auto"/>
            </w:tcBorders>
            <w:shd w:val="clear" w:color="auto" w:fill="FFFFFF"/>
            <w:vAlign w:val="center"/>
          </w:tcPr>
          <w:p w14:paraId="35B01B2F" w14:textId="77777777" w:rsidR="00FE3EAF" w:rsidRPr="00FE3EAF" w:rsidRDefault="00FE3EAF" w:rsidP="00FE3EAF">
            <w:pPr>
              <w:jc w:val="right"/>
              <w:rPr>
                <w:rFonts w:eastAsia="Calibri"/>
                <w:sz w:val="20"/>
                <w:szCs w:val="20"/>
              </w:rPr>
            </w:pPr>
            <w:r w:rsidRPr="00FE3EAF">
              <w:rPr>
                <w:rFonts w:eastAsia="Calibri"/>
                <w:sz w:val="20"/>
                <w:szCs w:val="20"/>
              </w:rPr>
              <w:t>NA</w:t>
            </w:r>
          </w:p>
        </w:tc>
        <w:tc>
          <w:tcPr>
            <w:tcW w:w="810" w:type="dxa"/>
            <w:tcBorders>
              <w:top w:val="nil"/>
              <w:left w:val="single" w:sz="4" w:space="0" w:color="auto"/>
              <w:bottom w:val="nil"/>
              <w:right w:val="double" w:sz="4" w:space="0" w:color="auto"/>
            </w:tcBorders>
            <w:shd w:val="clear" w:color="auto" w:fill="FFFFFF"/>
            <w:vAlign w:val="center"/>
          </w:tcPr>
          <w:p w14:paraId="400FAE12" w14:textId="77777777" w:rsidR="00FE3EAF" w:rsidRPr="00FE3EAF" w:rsidRDefault="00FE3EAF" w:rsidP="00FE3EAF">
            <w:pPr>
              <w:jc w:val="right"/>
              <w:rPr>
                <w:rFonts w:eastAsia="Calibri"/>
                <w:sz w:val="20"/>
                <w:szCs w:val="20"/>
              </w:rPr>
            </w:pPr>
          </w:p>
        </w:tc>
      </w:tr>
      <w:tr w:rsidR="00FE3EAF" w:rsidRPr="00FE3EAF" w14:paraId="10326504" w14:textId="77777777" w:rsidTr="00810642">
        <w:tc>
          <w:tcPr>
            <w:tcW w:w="3330" w:type="dxa"/>
            <w:tcBorders>
              <w:top w:val="nil"/>
              <w:left w:val="double" w:sz="4" w:space="0" w:color="auto"/>
              <w:bottom w:val="nil"/>
              <w:right w:val="double" w:sz="4" w:space="0" w:color="auto"/>
            </w:tcBorders>
          </w:tcPr>
          <w:p w14:paraId="6E1E4E20" w14:textId="77777777" w:rsidR="00FE3EAF" w:rsidRPr="00FE3EAF" w:rsidRDefault="00FE3EAF" w:rsidP="00FE3EAF">
            <w:pPr>
              <w:jc w:val="left"/>
              <w:rPr>
                <w:rFonts w:eastAsia="Calibri"/>
                <w:b/>
                <w:sz w:val="18"/>
                <w:szCs w:val="18"/>
              </w:rPr>
            </w:pPr>
            <w:r w:rsidRPr="00FE3EAF">
              <w:rPr>
                <w:rFonts w:eastAsia="Calibri"/>
                <w:b/>
                <w:sz w:val="18"/>
                <w:szCs w:val="18"/>
              </w:rPr>
              <w:t>Age (29 years or younger)</w:t>
            </w:r>
          </w:p>
        </w:tc>
        <w:tc>
          <w:tcPr>
            <w:tcW w:w="765" w:type="dxa"/>
            <w:tcBorders>
              <w:top w:val="nil"/>
              <w:left w:val="double" w:sz="4" w:space="0" w:color="auto"/>
              <w:bottom w:val="nil"/>
            </w:tcBorders>
            <w:vAlign w:val="center"/>
          </w:tcPr>
          <w:p w14:paraId="1BA81F5B" w14:textId="77777777" w:rsidR="00FE3EAF" w:rsidRPr="00FE3EAF" w:rsidRDefault="00FE3EAF" w:rsidP="00FE3EAF">
            <w:pPr>
              <w:jc w:val="right"/>
              <w:rPr>
                <w:rFonts w:eastAsia="Calibri"/>
                <w:sz w:val="20"/>
                <w:szCs w:val="20"/>
              </w:rPr>
            </w:pPr>
          </w:p>
        </w:tc>
        <w:tc>
          <w:tcPr>
            <w:tcW w:w="765" w:type="dxa"/>
            <w:tcBorders>
              <w:top w:val="nil"/>
              <w:bottom w:val="nil"/>
              <w:right w:val="single" w:sz="12" w:space="0" w:color="auto"/>
            </w:tcBorders>
            <w:vAlign w:val="center"/>
          </w:tcPr>
          <w:p w14:paraId="1BC7B81C" w14:textId="77777777" w:rsidR="00FE3EAF" w:rsidRPr="00FE3EAF" w:rsidRDefault="00FE3EAF" w:rsidP="00FE3EAF">
            <w:pPr>
              <w:jc w:val="right"/>
              <w:rPr>
                <w:rFonts w:eastAsia="Calibri"/>
                <w:sz w:val="20"/>
                <w:szCs w:val="20"/>
              </w:rPr>
            </w:pPr>
          </w:p>
        </w:tc>
        <w:tc>
          <w:tcPr>
            <w:tcW w:w="765" w:type="dxa"/>
            <w:gridSpan w:val="2"/>
            <w:tcBorders>
              <w:top w:val="nil"/>
              <w:left w:val="single" w:sz="12" w:space="0" w:color="auto"/>
              <w:bottom w:val="nil"/>
              <w:right w:val="single" w:sz="4" w:space="0" w:color="auto"/>
            </w:tcBorders>
            <w:shd w:val="clear" w:color="auto" w:fill="FFFFFF"/>
            <w:vAlign w:val="center"/>
          </w:tcPr>
          <w:p w14:paraId="57EEB9AD" w14:textId="77777777" w:rsidR="00FE3EAF" w:rsidRPr="00FE3EAF" w:rsidRDefault="00FE3EAF" w:rsidP="00FE3EAF">
            <w:pPr>
              <w:jc w:val="right"/>
              <w:rPr>
                <w:rFonts w:eastAsia="Calibri"/>
                <w:sz w:val="20"/>
                <w:szCs w:val="20"/>
              </w:rPr>
            </w:pPr>
          </w:p>
        </w:tc>
        <w:tc>
          <w:tcPr>
            <w:tcW w:w="765" w:type="dxa"/>
            <w:tcBorders>
              <w:top w:val="nil"/>
              <w:left w:val="single" w:sz="4" w:space="0" w:color="auto"/>
              <w:bottom w:val="nil"/>
              <w:right w:val="single" w:sz="12" w:space="0" w:color="auto"/>
            </w:tcBorders>
            <w:shd w:val="clear" w:color="auto" w:fill="FFFFFF"/>
            <w:vAlign w:val="center"/>
          </w:tcPr>
          <w:p w14:paraId="7C5601D4" w14:textId="77777777" w:rsidR="00FE3EAF" w:rsidRPr="00FE3EAF" w:rsidRDefault="00FE3EAF" w:rsidP="00FE3EAF">
            <w:pPr>
              <w:jc w:val="right"/>
              <w:rPr>
                <w:rFonts w:eastAsia="Calibri"/>
                <w:sz w:val="20"/>
                <w:szCs w:val="20"/>
              </w:rPr>
            </w:pPr>
          </w:p>
        </w:tc>
        <w:tc>
          <w:tcPr>
            <w:tcW w:w="765" w:type="dxa"/>
            <w:tcBorders>
              <w:top w:val="nil"/>
              <w:left w:val="single" w:sz="12" w:space="0" w:color="auto"/>
              <w:bottom w:val="nil"/>
            </w:tcBorders>
            <w:shd w:val="clear" w:color="auto" w:fill="FFFFFF"/>
            <w:vAlign w:val="center"/>
          </w:tcPr>
          <w:p w14:paraId="0A911602" w14:textId="77777777" w:rsidR="00FE3EAF" w:rsidRPr="00FE3EAF" w:rsidRDefault="00FE3EAF" w:rsidP="00FE3EAF">
            <w:pPr>
              <w:jc w:val="right"/>
              <w:rPr>
                <w:rFonts w:eastAsia="Calibri"/>
                <w:sz w:val="20"/>
                <w:szCs w:val="20"/>
              </w:rPr>
            </w:pPr>
          </w:p>
        </w:tc>
        <w:tc>
          <w:tcPr>
            <w:tcW w:w="765" w:type="dxa"/>
            <w:gridSpan w:val="2"/>
            <w:tcBorders>
              <w:top w:val="nil"/>
              <w:bottom w:val="nil"/>
              <w:right w:val="double" w:sz="4" w:space="0" w:color="auto"/>
            </w:tcBorders>
            <w:shd w:val="clear" w:color="auto" w:fill="FFFFFF"/>
            <w:vAlign w:val="center"/>
          </w:tcPr>
          <w:p w14:paraId="7B060518" w14:textId="77777777" w:rsidR="00FE3EAF" w:rsidRPr="00FE3EAF" w:rsidRDefault="00FE3EAF" w:rsidP="00FE3EAF">
            <w:pPr>
              <w:jc w:val="right"/>
              <w:rPr>
                <w:rFonts w:eastAsia="Calibri"/>
                <w:sz w:val="20"/>
                <w:szCs w:val="20"/>
              </w:rPr>
            </w:pPr>
          </w:p>
        </w:tc>
        <w:tc>
          <w:tcPr>
            <w:tcW w:w="810" w:type="dxa"/>
            <w:tcBorders>
              <w:top w:val="nil"/>
              <w:left w:val="double" w:sz="4" w:space="0" w:color="auto"/>
              <w:bottom w:val="nil"/>
              <w:right w:val="single" w:sz="4" w:space="0" w:color="auto"/>
            </w:tcBorders>
            <w:shd w:val="clear" w:color="auto" w:fill="FFFFFF"/>
            <w:vAlign w:val="center"/>
          </w:tcPr>
          <w:p w14:paraId="30FE56AA" w14:textId="77777777" w:rsidR="00FE3EAF" w:rsidRPr="00FE3EAF" w:rsidRDefault="00FE3EAF" w:rsidP="00FE3EAF">
            <w:pPr>
              <w:jc w:val="right"/>
              <w:rPr>
                <w:rFonts w:eastAsia="Calibri"/>
                <w:sz w:val="20"/>
                <w:szCs w:val="20"/>
              </w:rPr>
            </w:pPr>
          </w:p>
        </w:tc>
        <w:tc>
          <w:tcPr>
            <w:tcW w:w="810" w:type="dxa"/>
            <w:tcBorders>
              <w:top w:val="nil"/>
              <w:left w:val="single" w:sz="4" w:space="0" w:color="auto"/>
              <w:bottom w:val="nil"/>
              <w:right w:val="double" w:sz="4" w:space="0" w:color="auto"/>
            </w:tcBorders>
            <w:shd w:val="clear" w:color="auto" w:fill="FFFFFF"/>
            <w:vAlign w:val="center"/>
          </w:tcPr>
          <w:p w14:paraId="284F95CB" w14:textId="77777777" w:rsidR="00FE3EAF" w:rsidRPr="00FE3EAF" w:rsidRDefault="00FE3EAF" w:rsidP="00FE3EAF">
            <w:pPr>
              <w:jc w:val="right"/>
              <w:rPr>
                <w:rFonts w:eastAsia="Calibri"/>
                <w:sz w:val="20"/>
                <w:szCs w:val="20"/>
              </w:rPr>
            </w:pPr>
          </w:p>
        </w:tc>
      </w:tr>
      <w:tr w:rsidR="00FE3EAF" w:rsidRPr="00FE3EAF" w14:paraId="32CFDD46" w14:textId="77777777" w:rsidTr="00810642">
        <w:tc>
          <w:tcPr>
            <w:tcW w:w="3330" w:type="dxa"/>
            <w:tcBorders>
              <w:top w:val="nil"/>
              <w:left w:val="double" w:sz="4" w:space="0" w:color="auto"/>
              <w:bottom w:val="nil"/>
              <w:right w:val="double" w:sz="4" w:space="0" w:color="auto"/>
            </w:tcBorders>
          </w:tcPr>
          <w:p w14:paraId="7859FCE0" w14:textId="77777777" w:rsidR="00FE3EAF" w:rsidRPr="00FE3EAF" w:rsidRDefault="00FE3EAF" w:rsidP="00FE3EAF">
            <w:pPr>
              <w:jc w:val="left"/>
              <w:rPr>
                <w:rFonts w:eastAsia="Calibri"/>
                <w:sz w:val="18"/>
                <w:szCs w:val="18"/>
              </w:rPr>
            </w:pPr>
            <w:r w:rsidRPr="00FE3EAF">
              <w:rPr>
                <w:rFonts w:eastAsia="Calibri"/>
                <w:b/>
                <w:sz w:val="18"/>
                <w:szCs w:val="18"/>
              </w:rPr>
              <w:t xml:space="preserve"> </w:t>
            </w:r>
            <w:r w:rsidRPr="00FE3EAF">
              <w:rPr>
                <w:rFonts w:eastAsia="Calibri"/>
                <w:sz w:val="18"/>
                <w:szCs w:val="18"/>
              </w:rPr>
              <w:t>30 to 49 years old</w:t>
            </w:r>
          </w:p>
        </w:tc>
        <w:tc>
          <w:tcPr>
            <w:tcW w:w="765" w:type="dxa"/>
            <w:tcBorders>
              <w:top w:val="nil"/>
              <w:left w:val="double" w:sz="4" w:space="0" w:color="auto"/>
              <w:bottom w:val="nil"/>
            </w:tcBorders>
            <w:vAlign w:val="bottom"/>
          </w:tcPr>
          <w:p w14:paraId="2F4726F2" w14:textId="77777777" w:rsidR="00FE3EAF" w:rsidRPr="00FE3EAF" w:rsidRDefault="00FE3EAF" w:rsidP="00FE3EAF">
            <w:pPr>
              <w:jc w:val="right"/>
              <w:rPr>
                <w:rFonts w:eastAsia="Calibri"/>
                <w:sz w:val="20"/>
                <w:szCs w:val="20"/>
              </w:rPr>
            </w:pPr>
            <w:r w:rsidRPr="00FE3EAF">
              <w:rPr>
                <w:rFonts w:eastAsia="Calibri"/>
                <w:sz w:val="20"/>
                <w:szCs w:val="20"/>
              </w:rPr>
              <w:t>--</w:t>
            </w:r>
          </w:p>
        </w:tc>
        <w:tc>
          <w:tcPr>
            <w:tcW w:w="765" w:type="dxa"/>
            <w:tcBorders>
              <w:top w:val="nil"/>
              <w:bottom w:val="nil"/>
              <w:right w:val="single" w:sz="12" w:space="0" w:color="auto"/>
            </w:tcBorders>
            <w:vAlign w:val="bottom"/>
          </w:tcPr>
          <w:p w14:paraId="57ADD845" w14:textId="77777777" w:rsidR="00FE3EAF" w:rsidRPr="00FE3EAF" w:rsidRDefault="00FE3EAF" w:rsidP="00FE3EAF">
            <w:pPr>
              <w:jc w:val="right"/>
              <w:rPr>
                <w:rFonts w:eastAsia="Calibri"/>
                <w:sz w:val="20"/>
                <w:szCs w:val="20"/>
              </w:rPr>
            </w:pPr>
          </w:p>
        </w:tc>
        <w:tc>
          <w:tcPr>
            <w:tcW w:w="765" w:type="dxa"/>
            <w:gridSpan w:val="2"/>
            <w:tcBorders>
              <w:top w:val="nil"/>
              <w:left w:val="single" w:sz="12" w:space="0" w:color="auto"/>
              <w:bottom w:val="nil"/>
              <w:right w:val="single" w:sz="4" w:space="0" w:color="auto"/>
            </w:tcBorders>
            <w:shd w:val="clear" w:color="auto" w:fill="FFFFFF"/>
            <w:vAlign w:val="center"/>
          </w:tcPr>
          <w:p w14:paraId="434EBE69" w14:textId="77777777" w:rsidR="00FE3EAF" w:rsidRPr="00FE3EAF" w:rsidRDefault="00FE3EAF" w:rsidP="00FE3EAF">
            <w:pPr>
              <w:jc w:val="right"/>
              <w:rPr>
                <w:rFonts w:eastAsia="Calibri"/>
                <w:sz w:val="20"/>
                <w:szCs w:val="20"/>
              </w:rPr>
            </w:pPr>
            <w:r w:rsidRPr="00FE3EAF">
              <w:rPr>
                <w:rFonts w:eastAsia="Calibri"/>
                <w:sz w:val="20"/>
                <w:szCs w:val="20"/>
              </w:rPr>
              <w:t>--</w:t>
            </w:r>
          </w:p>
        </w:tc>
        <w:tc>
          <w:tcPr>
            <w:tcW w:w="765" w:type="dxa"/>
            <w:tcBorders>
              <w:top w:val="nil"/>
              <w:left w:val="single" w:sz="4" w:space="0" w:color="auto"/>
              <w:bottom w:val="nil"/>
              <w:right w:val="single" w:sz="12" w:space="0" w:color="auto"/>
            </w:tcBorders>
            <w:shd w:val="clear" w:color="auto" w:fill="FFFFFF"/>
            <w:vAlign w:val="center"/>
          </w:tcPr>
          <w:p w14:paraId="3EEB98D6" w14:textId="77777777" w:rsidR="00FE3EAF" w:rsidRPr="00FE3EAF" w:rsidRDefault="00FE3EAF" w:rsidP="00FE3EAF">
            <w:pPr>
              <w:jc w:val="right"/>
              <w:rPr>
                <w:rFonts w:eastAsia="Calibri"/>
                <w:sz w:val="20"/>
                <w:szCs w:val="20"/>
              </w:rPr>
            </w:pPr>
          </w:p>
        </w:tc>
        <w:tc>
          <w:tcPr>
            <w:tcW w:w="765" w:type="dxa"/>
            <w:tcBorders>
              <w:top w:val="nil"/>
              <w:left w:val="single" w:sz="12" w:space="0" w:color="auto"/>
              <w:bottom w:val="nil"/>
            </w:tcBorders>
            <w:shd w:val="clear" w:color="auto" w:fill="FFFFFF"/>
            <w:vAlign w:val="bottom"/>
          </w:tcPr>
          <w:p w14:paraId="6F5329A6" w14:textId="77777777" w:rsidR="00FE3EAF" w:rsidRPr="00FE3EAF" w:rsidRDefault="00FE3EAF" w:rsidP="00FE3EAF">
            <w:pPr>
              <w:jc w:val="right"/>
              <w:rPr>
                <w:rFonts w:eastAsia="Calibri"/>
                <w:sz w:val="20"/>
                <w:szCs w:val="20"/>
              </w:rPr>
            </w:pPr>
            <w:r w:rsidRPr="00FE3EAF">
              <w:rPr>
                <w:rFonts w:eastAsia="Calibri"/>
                <w:sz w:val="20"/>
                <w:szCs w:val="20"/>
              </w:rPr>
              <w:t>-0.365</w:t>
            </w:r>
          </w:p>
        </w:tc>
        <w:tc>
          <w:tcPr>
            <w:tcW w:w="765" w:type="dxa"/>
            <w:gridSpan w:val="2"/>
            <w:tcBorders>
              <w:top w:val="nil"/>
              <w:bottom w:val="nil"/>
              <w:right w:val="double" w:sz="4" w:space="0" w:color="auto"/>
            </w:tcBorders>
            <w:shd w:val="clear" w:color="auto" w:fill="FFFFFF"/>
            <w:vAlign w:val="bottom"/>
          </w:tcPr>
          <w:p w14:paraId="6471B253" w14:textId="77777777" w:rsidR="00FE3EAF" w:rsidRPr="00FE3EAF" w:rsidRDefault="00FE3EAF" w:rsidP="00FE3EAF">
            <w:pPr>
              <w:jc w:val="right"/>
              <w:rPr>
                <w:rFonts w:eastAsia="Calibri"/>
                <w:sz w:val="20"/>
                <w:szCs w:val="20"/>
              </w:rPr>
            </w:pPr>
            <w:r w:rsidRPr="00FE3EAF">
              <w:rPr>
                <w:rFonts w:eastAsia="Calibri"/>
                <w:sz w:val="20"/>
                <w:szCs w:val="20"/>
              </w:rPr>
              <w:t>-1.77</w:t>
            </w:r>
          </w:p>
        </w:tc>
        <w:tc>
          <w:tcPr>
            <w:tcW w:w="810" w:type="dxa"/>
            <w:tcBorders>
              <w:top w:val="nil"/>
              <w:left w:val="double" w:sz="4" w:space="0" w:color="auto"/>
              <w:bottom w:val="nil"/>
              <w:right w:val="single" w:sz="4" w:space="0" w:color="auto"/>
            </w:tcBorders>
            <w:shd w:val="clear" w:color="auto" w:fill="FFFFFF"/>
            <w:vAlign w:val="center"/>
          </w:tcPr>
          <w:p w14:paraId="78D2FF14" w14:textId="77777777" w:rsidR="00FE3EAF" w:rsidRPr="00FE3EAF" w:rsidRDefault="00FE3EAF" w:rsidP="00FE3EAF">
            <w:pPr>
              <w:jc w:val="right"/>
              <w:rPr>
                <w:rFonts w:eastAsia="Calibri"/>
                <w:sz w:val="20"/>
                <w:szCs w:val="20"/>
              </w:rPr>
            </w:pPr>
            <w:r w:rsidRPr="00FE3EAF">
              <w:rPr>
                <w:rFonts w:eastAsia="Calibri"/>
                <w:sz w:val="20"/>
                <w:szCs w:val="20"/>
              </w:rPr>
              <w:t>--</w:t>
            </w:r>
          </w:p>
        </w:tc>
        <w:tc>
          <w:tcPr>
            <w:tcW w:w="810" w:type="dxa"/>
            <w:tcBorders>
              <w:top w:val="nil"/>
              <w:left w:val="single" w:sz="4" w:space="0" w:color="auto"/>
              <w:bottom w:val="nil"/>
              <w:right w:val="double" w:sz="4" w:space="0" w:color="auto"/>
            </w:tcBorders>
            <w:shd w:val="clear" w:color="auto" w:fill="FFFFFF"/>
            <w:vAlign w:val="center"/>
          </w:tcPr>
          <w:p w14:paraId="519095CE" w14:textId="77777777" w:rsidR="00FE3EAF" w:rsidRPr="00FE3EAF" w:rsidRDefault="00FE3EAF" w:rsidP="00FE3EAF">
            <w:pPr>
              <w:jc w:val="right"/>
              <w:rPr>
                <w:rFonts w:eastAsia="Calibri"/>
                <w:sz w:val="20"/>
                <w:szCs w:val="20"/>
              </w:rPr>
            </w:pPr>
          </w:p>
        </w:tc>
      </w:tr>
      <w:tr w:rsidR="00FE3EAF" w:rsidRPr="00FE3EAF" w14:paraId="1483C76C" w14:textId="77777777" w:rsidTr="00810642">
        <w:tc>
          <w:tcPr>
            <w:tcW w:w="3330" w:type="dxa"/>
            <w:tcBorders>
              <w:top w:val="nil"/>
              <w:left w:val="double" w:sz="4" w:space="0" w:color="auto"/>
              <w:bottom w:val="nil"/>
              <w:right w:val="double" w:sz="4" w:space="0" w:color="auto"/>
            </w:tcBorders>
          </w:tcPr>
          <w:p w14:paraId="6B688D4F" w14:textId="77777777" w:rsidR="00FE3EAF" w:rsidRPr="00FE3EAF" w:rsidRDefault="00FE3EAF" w:rsidP="00FE3EAF">
            <w:pPr>
              <w:jc w:val="left"/>
              <w:rPr>
                <w:rFonts w:eastAsia="Calibri"/>
                <w:sz w:val="18"/>
                <w:szCs w:val="18"/>
              </w:rPr>
            </w:pPr>
            <w:r w:rsidRPr="00FE3EAF">
              <w:rPr>
                <w:rFonts w:eastAsia="Calibri"/>
                <w:bCs/>
                <w:sz w:val="18"/>
                <w:szCs w:val="18"/>
              </w:rPr>
              <w:t xml:space="preserve"> 50</w:t>
            </w:r>
            <w:r w:rsidRPr="00FE3EAF">
              <w:rPr>
                <w:rFonts w:eastAsia="Calibri"/>
                <w:sz w:val="18"/>
                <w:szCs w:val="18"/>
              </w:rPr>
              <w:t xml:space="preserve"> years or older</w:t>
            </w:r>
          </w:p>
        </w:tc>
        <w:tc>
          <w:tcPr>
            <w:tcW w:w="765" w:type="dxa"/>
            <w:tcBorders>
              <w:top w:val="nil"/>
              <w:left w:val="double" w:sz="4" w:space="0" w:color="auto"/>
              <w:bottom w:val="nil"/>
            </w:tcBorders>
            <w:vAlign w:val="bottom"/>
          </w:tcPr>
          <w:p w14:paraId="25020976" w14:textId="77777777" w:rsidR="00FE3EAF" w:rsidRPr="00FE3EAF" w:rsidRDefault="00FE3EAF" w:rsidP="00FE3EAF">
            <w:pPr>
              <w:jc w:val="right"/>
              <w:rPr>
                <w:rFonts w:eastAsia="Calibri"/>
                <w:sz w:val="20"/>
                <w:szCs w:val="20"/>
              </w:rPr>
            </w:pPr>
            <w:r w:rsidRPr="00FE3EAF">
              <w:rPr>
                <w:rFonts w:eastAsia="Calibri"/>
                <w:sz w:val="20"/>
                <w:szCs w:val="20"/>
              </w:rPr>
              <w:t>-0.173</w:t>
            </w:r>
          </w:p>
        </w:tc>
        <w:tc>
          <w:tcPr>
            <w:tcW w:w="765" w:type="dxa"/>
            <w:tcBorders>
              <w:top w:val="nil"/>
              <w:bottom w:val="nil"/>
              <w:right w:val="single" w:sz="12" w:space="0" w:color="auto"/>
            </w:tcBorders>
            <w:vAlign w:val="bottom"/>
          </w:tcPr>
          <w:p w14:paraId="5A31ADC9" w14:textId="77777777" w:rsidR="00FE3EAF" w:rsidRPr="00FE3EAF" w:rsidRDefault="00FE3EAF" w:rsidP="00FE3EAF">
            <w:pPr>
              <w:jc w:val="right"/>
              <w:rPr>
                <w:rFonts w:eastAsia="Calibri"/>
                <w:sz w:val="20"/>
                <w:szCs w:val="20"/>
              </w:rPr>
            </w:pPr>
            <w:r w:rsidRPr="00FE3EAF">
              <w:rPr>
                <w:rFonts w:eastAsia="Calibri"/>
                <w:sz w:val="20"/>
                <w:szCs w:val="20"/>
              </w:rPr>
              <w:t>-1.85</w:t>
            </w:r>
          </w:p>
        </w:tc>
        <w:tc>
          <w:tcPr>
            <w:tcW w:w="765" w:type="dxa"/>
            <w:gridSpan w:val="2"/>
            <w:tcBorders>
              <w:top w:val="nil"/>
              <w:left w:val="single" w:sz="12" w:space="0" w:color="auto"/>
              <w:bottom w:val="nil"/>
              <w:right w:val="single" w:sz="4" w:space="0" w:color="auto"/>
            </w:tcBorders>
            <w:shd w:val="clear" w:color="auto" w:fill="FFFFFF"/>
            <w:vAlign w:val="center"/>
          </w:tcPr>
          <w:p w14:paraId="3EE4E185" w14:textId="77777777" w:rsidR="00FE3EAF" w:rsidRPr="00FE3EAF" w:rsidRDefault="00FE3EAF" w:rsidP="00FE3EAF">
            <w:pPr>
              <w:jc w:val="right"/>
              <w:rPr>
                <w:rFonts w:eastAsia="Calibri"/>
                <w:sz w:val="20"/>
                <w:szCs w:val="20"/>
              </w:rPr>
            </w:pPr>
            <w:r w:rsidRPr="00FE3EAF">
              <w:rPr>
                <w:rFonts w:eastAsia="Calibri"/>
                <w:sz w:val="20"/>
                <w:szCs w:val="20"/>
              </w:rPr>
              <w:t>--</w:t>
            </w:r>
          </w:p>
        </w:tc>
        <w:tc>
          <w:tcPr>
            <w:tcW w:w="765" w:type="dxa"/>
            <w:tcBorders>
              <w:top w:val="nil"/>
              <w:left w:val="single" w:sz="4" w:space="0" w:color="auto"/>
              <w:bottom w:val="nil"/>
              <w:right w:val="single" w:sz="12" w:space="0" w:color="auto"/>
            </w:tcBorders>
            <w:shd w:val="clear" w:color="auto" w:fill="FFFFFF"/>
            <w:vAlign w:val="center"/>
          </w:tcPr>
          <w:p w14:paraId="6DAC7B90" w14:textId="77777777" w:rsidR="00FE3EAF" w:rsidRPr="00FE3EAF" w:rsidRDefault="00FE3EAF" w:rsidP="00FE3EAF">
            <w:pPr>
              <w:jc w:val="right"/>
              <w:rPr>
                <w:rFonts w:eastAsia="Calibri"/>
                <w:sz w:val="20"/>
                <w:szCs w:val="20"/>
              </w:rPr>
            </w:pPr>
          </w:p>
        </w:tc>
        <w:tc>
          <w:tcPr>
            <w:tcW w:w="765" w:type="dxa"/>
            <w:tcBorders>
              <w:top w:val="nil"/>
              <w:left w:val="single" w:sz="12" w:space="0" w:color="auto"/>
              <w:bottom w:val="nil"/>
            </w:tcBorders>
            <w:shd w:val="clear" w:color="auto" w:fill="FFFFFF"/>
            <w:vAlign w:val="bottom"/>
          </w:tcPr>
          <w:p w14:paraId="0D0D31C3" w14:textId="77777777" w:rsidR="00FE3EAF" w:rsidRPr="00FE3EAF" w:rsidRDefault="00FE3EAF" w:rsidP="00FE3EAF">
            <w:pPr>
              <w:jc w:val="right"/>
              <w:rPr>
                <w:rFonts w:eastAsia="Calibri"/>
                <w:sz w:val="20"/>
                <w:szCs w:val="20"/>
              </w:rPr>
            </w:pPr>
            <w:r w:rsidRPr="00FE3EAF">
              <w:rPr>
                <w:rFonts w:eastAsia="Calibri"/>
                <w:sz w:val="20"/>
                <w:szCs w:val="20"/>
              </w:rPr>
              <w:t>-0.365</w:t>
            </w:r>
          </w:p>
        </w:tc>
        <w:tc>
          <w:tcPr>
            <w:tcW w:w="765" w:type="dxa"/>
            <w:gridSpan w:val="2"/>
            <w:tcBorders>
              <w:top w:val="nil"/>
              <w:bottom w:val="nil"/>
              <w:right w:val="double" w:sz="4" w:space="0" w:color="auto"/>
            </w:tcBorders>
            <w:shd w:val="clear" w:color="auto" w:fill="FFFFFF"/>
            <w:vAlign w:val="bottom"/>
          </w:tcPr>
          <w:p w14:paraId="4E3AAF6D" w14:textId="77777777" w:rsidR="00FE3EAF" w:rsidRPr="00FE3EAF" w:rsidRDefault="00FE3EAF" w:rsidP="00FE3EAF">
            <w:pPr>
              <w:jc w:val="right"/>
              <w:rPr>
                <w:rFonts w:eastAsia="Calibri"/>
                <w:sz w:val="20"/>
                <w:szCs w:val="20"/>
              </w:rPr>
            </w:pPr>
            <w:r w:rsidRPr="00FE3EAF">
              <w:rPr>
                <w:rFonts w:eastAsia="Calibri"/>
                <w:sz w:val="20"/>
                <w:szCs w:val="20"/>
              </w:rPr>
              <w:t>-1.77</w:t>
            </w:r>
          </w:p>
        </w:tc>
        <w:tc>
          <w:tcPr>
            <w:tcW w:w="810" w:type="dxa"/>
            <w:tcBorders>
              <w:top w:val="nil"/>
              <w:left w:val="double" w:sz="4" w:space="0" w:color="auto"/>
              <w:bottom w:val="nil"/>
              <w:right w:val="single" w:sz="4" w:space="0" w:color="auto"/>
            </w:tcBorders>
            <w:shd w:val="clear" w:color="auto" w:fill="FFFFFF"/>
            <w:vAlign w:val="bottom"/>
          </w:tcPr>
          <w:p w14:paraId="3C68BB2B" w14:textId="77777777" w:rsidR="00FE3EAF" w:rsidRPr="00FE3EAF" w:rsidRDefault="00FE3EAF" w:rsidP="00FE3EAF">
            <w:pPr>
              <w:jc w:val="right"/>
              <w:rPr>
                <w:rFonts w:eastAsia="Calibri"/>
                <w:sz w:val="20"/>
                <w:szCs w:val="20"/>
              </w:rPr>
            </w:pPr>
            <w:r w:rsidRPr="00FE3EAF">
              <w:rPr>
                <w:rFonts w:eastAsia="Calibri"/>
                <w:sz w:val="20"/>
                <w:szCs w:val="20"/>
              </w:rPr>
              <w:t>0.083</w:t>
            </w:r>
          </w:p>
        </w:tc>
        <w:tc>
          <w:tcPr>
            <w:tcW w:w="810" w:type="dxa"/>
            <w:tcBorders>
              <w:top w:val="nil"/>
              <w:left w:val="single" w:sz="4" w:space="0" w:color="auto"/>
              <w:bottom w:val="nil"/>
              <w:right w:val="double" w:sz="4" w:space="0" w:color="auto"/>
            </w:tcBorders>
            <w:shd w:val="clear" w:color="auto" w:fill="FFFFFF"/>
            <w:vAlign w:val="bottom"/>
          </w:tcPr>
          <w:p w14:paraId="18E140E8" w14:textId="77777777" w:rsidR="00FE3EAF" w:rsidRPr="00FE3EAF" w:rsidRDefault="00FE3EAF" w:rsidP="00FE3EAF">
            <w:pPr>
              <w:jc w:val="right"/>
              <w:rPr>
                <w:rFonts w:eastAsia="Calibri"/>
                <w:sz w:val="20"/>
                <w:szCs w:val="20"/>
              </w:rPr>
            </w:pPr>
            <w:r w:rsidRPr="00FE3EAF">
              <w:rPr>
                <w:rFonts w:eastAsia="Calibri"/>
                <w:sz w:val="20"/>
                <w:szCs w:val="20"/>
              </w:rPr>
              <w:t>1.26</w:t>
            </w:r>
          </w:p>
        </w:tc>
      </w:tr>
      <w:tr w:rsidR="00FE3EAF" w:rsidRPr="00FE3EAF" w14:paraId="183279B1" w14:textId="77777777" w:rsidTr="00810642">
        <w:tc>
          <w:tcPr>
            <w:tcW w:w="3330" w:type="dxa"/>
            <w:tcBorders>
              <w:top w:val="nil"/>
              <w:left w:val="double" w:sz="4" w:space="0" w:color="auto"/>
              <w:bottom w:val="nil"/>
              <w:right w:val="double" w:sz="4" w:space="0" w:color="auto"/>
            </w:tcBorders>
          </w:tcPr>
          <w:p w14:paraId="1E86241F" w14:textId="77777777" w:rsidR="00FE3EAF" w:rsidRPr="00FE3EAF" w:rsidRDefault="00FE3EAF" w:rsidP="00FE3EAF">
            <w:pPr>
              <w:jc w:val="left"/>
              <w:rPr>
                <w:rFonts w:eastAsia="Calibri"/>
                <w:bCs/>
                <w:sz w:val="18"/>
                <w:szCs w:val="18"/>
              </w:rPr>
            </w:pPr>
            <w:r w:rsidRPr="00FE3EAF">
              <w:rPr>
                <w:rFonts w:eastAsia="Calibri"/>
                <w:bCs/>
                <w:sz w:val="18"/>
                <w:szCs w:val="18"/>
              </w:rPr>
              <w:t xml:space="preserve"> 30 to 39 years </w:t>
            </w:r>
            <w:r w:rsidRPr="00FE3EAF">
              <w:rPr>
                <w:rFonts w:eastAsia="Calibri"/>
                <w:bCs/>
                <w:i/>
                <w:iCs/>
                <w:sz w:val="18"/>
                <w:szCs w:val="18"/>
              </w:rPr>
              <w:t>(satiation)</w:t>
            </w:r>
            <w:r w:rsidRPr="00FE3EAF">
              <w:rPr>
                <w:rFonts w:eastAsia="Calibri"/>
                <w:bCs/>
                <w:sz w:val="18"/>
                <w:szCs w:val="18"/>
              </w:rPr>
              <w:t xml:space="preserve"> </w:t>
            </w:r>
          </w:p>
        </w:tc>
        <w:tc>
          <w:tcPr>
            <w:tcW w:w="765" w:type="dxa"/>
            <w:tcBorders>
              <w:top w:val="nil"/>
              <w:left w:val="double" w:sz="4" w:space="0" w:color="auto"/>
              <w:bottom w:val="nil"/>
            </w:tcBorders>
            <w:vAlign w:val="bottom"/>
          </w:tcPr>
          <w:p w14:paraId="1B248158" w14:textId="77777777" w:rsidR="00FE3EAF" w:rsidRPr="00FE3EAF" w:rsidRDefault="00FE3EAF" w:rsidP="00FE3EAF">
            <w:pPr>
              <w:jc w:val="right"/>
              <w:rPr>
                <w:rFonts w:eastAsia="Calibri"/>
                <w:sz w:val="20"/>
                <w:szCs w:val="20"/>
              </w:rPr>
            </w:pPr>
            <w:r w:rsidRPr="00FE3EAF">
              <w:rPr>
                <w:rFonts w:eastAsia="Calibri"/>
                <w:sz w:val="20"/>
                <w:szCs w:val="20"/>
              </w:rPr>
              <w:t>--</w:t>
            </w:r>
          </w:p>
        </w:tc>
        <w:tc>
          <w:tcPr>
            <w:tcW w:w="765" w:type="dxa"/>
            <w:tcBorders>
              <w:top w:val="nil"/>
              <w:bottom w:val="nil"/>
              <w:right w:val="single" w:sz="12" w:space="0" w:color="auto"/>
            </w:tcBorders>
            <w:vAlign w:val="bottom"/>
          </w:tcPr>
          <w:p w14:paraId="6282DCC4" w14:textId="77777777" w:rsidR="00FE3EAF" w:rsidRPr="00FE3EAF" w:rsidRDefault="00FE3EAF" w:rsidP="00FE3EAF">
            <w:pPr>
              <w:jc w:val="right"/>
              <w:rPr>
                <w:rFonts w:eastAsia="Calibri"/>
                <w:sz w:val="20"/>
                <w:szCs w:val="20"/>
              </w:rPr>
            </w:pPr>
            <w:r w:rsidRPr="00FE3EAF">
              <w:rPr>
                <w:rFonts w:eastAsia="Calibri"/>
                <w:sz w:val="20"/>
                <w:szCs w:val="20"/>
              </w:rPr>
              <w:t>--</w:t>
            </w:r>
          </w:p>
        </w:tc>
        <w:tc>
          <w:tcPr>
            <w:tcW w:w="765" w:type="dxa"/>
            <w:gridSpan w:val="2"/>
            <w:tcBorders>
              <w:top w:val="nil"/>
              <w:left w:val="single" w:sz="12" w:space="0" w:color="auto"/>
              <w:bottom w:val="nil"/>
              <w:right w:val="single" w:sz="4" w:space="0" w:color="auto"/>
            </w:tcBorders>
            <w:shd w:val="clear" w:color="auto" w:fill="FFFFFF"/>
            <w:vAlign w:val="center"/>
          </w:tcPr>
          <w:p w14:paraId="515C3633" w14:textId="77777777" w:rsidR="00FE3EAF" w:rsidRPr="00FE3EAF" w:rsidRDefault="00FE3EAF" w:rsidP="00FE3EAF">
            <w:pPr>
              <w:jc w:val="right"/>
              <w:rPr>
                <w:rFonts w:eastAsia="Calibri"/>
                <w:sz w:val="20"/>
                <w:szCs w:val="20"/>
              </w:rPr>
            </w:pPr>
            <w:r w:rsidRPr="00FE3EAF">
              <w:rPr>
                <w:rFonts w:eastAsia="Calibri"/>
                <w:sz w:val="20"/>
                <w:szCs w:val="20"/>
              </w:rPr>
              <w:t>--</w:t>
            </w:r>
          </w:p>
        </w:tc>
        <w:tc>
          <w:tcPr>
            <w:tcW w:w="765" w:type="dxa"/>
            <w:tcBorders>
              <w:top w:val="nil"/>
              <w:left w:val="single" w:sz="4" w:space="0" w:color="auto"/>
              <w:bottom w:val="nil"/>
              <w:right w:val="single" w:sz="12" w:space="0" w:color="auto"/>
            </w:tcBorders>
            <w:shd w:val="clear" w:color="auto" w:fill="FFFFFF"/>
            <w:vAlign w:val="center"/>
          </w:tcPr>
          <w:p w14:paraId="59982B0D" w14:textId="77777777" w:rsidR="00FE3EAF" w:rsidRPr="00FE3EAF" w:rsidRDefault="00FE3EAF" w:rsidP="00FE3EAF">
            <w:pPr>
              <w:jc w:val="right"/>
              <w:rPr>
                <w:rFonts w:eastAsia="Calibri"/>
                <w:sz w:val="20"/>
                <w:szCs w:val="20"/>
              </w:rPr>
            </w:pPr>
          </w:p>
        </w:tc>
        <w:tc>
          <w:tcPr>
            <w:tcW w:w="765" w:type="dxa"/>
            <w:tcBorders>
              <w:top w:val="nil"/>
              <w:left w:val="single" w:sz="12" w:space="0" w:color="auto"/>
              <w:bottom w:val="nil"/>
            </w:tcBorders>
            <w:shd w:val="clear" w:color="auto" w:fill="FFFFFF"/>
            <w:vAlign w:val="bottom"/>
          </w:tcPr>
          <w:p w14:paraId="3DB87A79" w14:textId="77777777" w:rsidR="00FE3EAF" w:rsidRPr="00FE3EAF" w:rsidRDefault="00FE3EAF" w:rsidP="00FE3EAF">
            <w:pPr>
              <w:jc w:val="right"/>
              <w:rPr>
                <w:rFonts w:eastAsia="Calibri"/>
                <w:sz w:val="20"/>
                <w:szCs w:val="20"/>
              </w:rPr>
            </w:pPr>
            <w:r w:rsidRPr="00FE3EAF">
              <w:rPr>
                <w:rFonts w:eastAsia="Calibri"/>
                <w:sz w:val="20"/>
                <w:szCs w:val="20"/>
              </w:rPr>
              <w:t>--</w:t>
            </w:r>
          </w:p>
        </w:tc>
        <w:tc>
          <w:tcPr>
            <w:tcW w:w="765" w:type="dxa"/>
            <w:gridSpan w:val="2"/>
            <w:tcBorders>
              <w:top w:val="nil"/>
              <w:bottom w:val="nil"/>
              <w:right w:val="double" w:sz="4" w:space="0" w:color="auto"/>
            </w:tcBorders>
            <w:shd w:val="clear" w:color="auto" w:fill="FFFFFF"/>
            <w:vAlign w:val="bottom"/>
          </w:tcPr>
          <w:p w14:paraId="693F4B3F" w14:textId="77777777" w:rsidR="00FE3EAF" w:rsidRPr="00FE3EAF" w:rsidRDefault="00FE3EAF" w:rsidP="00FE3EAF">
            <w:pPr>
              <w:jc w:val="right"/>
              <w:rPr>
                <w:rFonts w:eastAsia="Calibri"/>
                <w:sz w:val="20"/>
                <w:szCs w:val="20"/>
              </w:rPr>
            </w:pPr>
          </w:p>
        </w:tc>
        <w:tc>
          <w:tcPr>
            <w:tcW w:w="810" w:type="dxa"/>
            <w:tcBorders>
              <w:top w:val="nil"/>
              <w:left w:val="double" w:sz="4" w:space="0" w:color="auto"/>
              <w:bottom w:val="nil"/>
              <w:right w:val="single" w:sz="4" w:space="0" w:color="auto"/>
            </w:tcBorders>
            <w:shd w:val="clear" w:color="auto" w:fill="FFFFFF"/>
            <w:vAlign w:val="bottom"/>
          </w:tcPr>
          <w:p w14:paraId="3C36A12E" w14:textId="77777777" w:rsidR="00FE3EAF" w:rsidRPr="00FE3EAF" w:rsidRDefault="00FE3EAF" w:rsidP="00FE3EAF">
            <w:pPr>
              <w:jc w:val="right"/>
              <w:rPr>
                <w:rFonts w:eastAsia="Calibri"/>
                <w:sz w:val="20"/>
                <w:szCs w:val="20"/>
              </w:rPr>
            </w:pPr>
            <w:r w:rsidRPr="00FE3EAF">
              <w:rPr>
                <w:rFonts w:eastAsia="Calibri"/>
                <w:sz w:val="20"/>
                <w:szCs w:val="20"/>
              </w:rPr>
              <w:t>NA</w:t>
            </w:r>
          </w:p>
        </w:tc>
        <w:tc>
          <w:tcPr>
            <w:tcW w:w="810" w:type="dxa"/>
            <w:tcBorders>
              <w:top w:val="nil"/>
              <w:left w:val="single" w:sz="4" w:space="0" w:color="auto"/>
              <w:bottom w:val="nil"/>
              <w:right w:val="double" w:sz="4" w:space="0" w:color="auto"/>
            </w:tcBorders>
            <w:shd w:val="clear" w:color="auto" w:fill="FFFFFF"/>
            <w:vAlign w:val="bottom"/>
          </w:tcPr>
          <w:p w14:paraId="16D22DC4" w14:textId="77777777" w:rsidR="00FE3EAF" w:rsidRPr="00FE3EAF" w:rsidRDefault="00FE3EAF" w:rsidP="00FE3EAF">
            <w:pPr>
              <w:jc w:val="right"/>
              <w:rPr>
                <w:rFonts w:eastAsia="Calibri"/>
                <w:sz w:val="20"/>
                <w:szCs w:val="20"/>
              </w:rPr>
            </w:pPr>
          </w:p>
        </w:tc>
      </w:tr>
      <w:tr w:rsidR="00FE3EAF" w:rsidRPr="00FE3EAF" w14:paraId="1CCEFB99" w14:textId="77777777" w:rsidTr="00810642">
        <w:tc>
          <w:tcPr>
            <w:tcW w:w="3330" w:type="dxa"/>
            <w:tcBorders>
              <w:top w:val="nil"/>
              <w:left w:val="double" w:sz="4" w:space="0" w:color="auto"/>
              <w:bottom w:val="nil"/>
              <w:right w:val="double" w:sz="4" w:space="0" w:color="auto"/>
            </w:tcBorders>
          </w:tcPr>
          <w:p w14:paraId="63734BB2" w14:textId="77777777" w:rsidR="00FE3EAF" w:rsidRPr="00FE3EAF" w:rsidRDefault="00FE3EAF" w:rsidP="00FE3EAF">
            <w:pPr>
              <w:jc w:val="left"/>
              <w:rPr>
                <w:rFonts w:eastAsia="Calibri"/>
                <w:bCs/>
                <w:sz w:val="18"/>
                <w:szCs w:val="18"/>
              </w:rPr>
            </w:pPr>
            <w:r w:rsidRPr="00FE3EAF">
              <w:rPr>
                <w:rFonts w:eastAsia="Calibri"/>
                <w:bCs/>
                <w:sz w:val="18"/>
                <w:szCs w:val="18"/>
              </w:rPr>
              <w:t xml:space="preserve"> 40 years or older </w:t>
            </w:r>
            <w:r w:rsidRPr="00FE3EAF">
              <w:rPr>
                <w:rFonts w:eastAsia="Calibri"/>
                <w:bCs/>
                <w:i/>
                <w:iCs/>
                <w:sz w:val="18"/>
                <w:szCs w:val="18"/>
              </w:rPr>
              <w:t>(satiation)</w:t>
            </w:r>
          </w:p>
        </w:tc>
        <w:tc>
          <w:tcPr>
            <w:tcW w:w="765" w:type="dxa"/>
            <w:tcBorders>
              <w:top w:val="nil"/>
              <w:left w:val="double" w:sz="4" w:space="0" w:color="auto"/>
              <w:bottom w:val="nil"/>
            </w:tcBorders>
            <w:vAlign w:val="bottom"/>
          </w:tcPr>
          <w:p w14:paraId="592BE80B" w14:textId="77777777" w:rsidR="00FE3EAF" w:rsidRPr="00FE3EAF" w:rsidRDefault="00FE3EAF" w:rsidP="00FE3EAF">
            <w:pPr>
              <w:jc w:val="right"/>
              <w:rPr>
                <w:rFonts w:eastAsia="Calibri"/>
                <w:sz w:val="20"/>
                <w:szCs w:val="20"/>
                <w:highlight w:val="yellow"/>
              </w:rPr>
            </w:pPr>
            <w:r w:rsidRPr="00FE3EAF">
              <w:rPr>
                <w:rFonts w:eastAsia="Calibri"/>
                <w:sz w:val="20"/>
                <w:szCs w:val="20"/>
              </w:rPr>
              <w:t>-0.642</w:t>
            </w:r>
          </w:p>
        </w:tc>
        <w:tc>
          <w:tcPr>
            <w:tcW w:w="765" w:type="dxa"/>
            <w:tcBorders>
              <w:top w:val="nil"/>
              <w:bottom w:val="nil"/>
              <w:right w:val="single" w:sz="12" w:space="0" w:color="auto"/>
            </w:tcBorders>
            <w:vAlign w:val="bottom"/>
          </w:tcPr>
          <w:p w14:paraId="0471DBEB" w14:textId="77777777" w:rsidR="00FE3EAF" w:rsidRPr="00FE3EAF" w:rsidRDefault="00FE3EAF" w:rsidP="00FE3EAF">
            <w:pPr>
              <w:jc w:val="right"/>
              <w:rPr>
                <w:rFonts w:eastAsia="Calibri"/>
                <w:sz w:val="20"/>
                <w:szCs w:val="20"/>
                <w:highlight w:val="yellow"/>
              </w:rPr>
            </w:pPr>
            <w:r w:rsidRPr="00FE3EAF">
              <w:rPr>
                <w:rFonts w:eastAsia="Calibri"/>
                <w:sz w:val="20"/>
                <w:szCs w:val="20"/>
              </w:rPr>
              <w:t>-2.32</w:t>
            </w:r>
          </w:p>
        </w:tc>
        <w:tc>
          <w:tcPr>
            <w:tcW w:w="765" w:type="dxa"/>
            <w:gridSpan w:val="2"/>
            <w:tcBorders>
              <w:top w:val="nil"/>
              <w:left w:val="single" w:sz="12" w:space="0" w:color="auto"/>
              <w:bottom w:val="nil"/>
              <w:right w:val="single" w:sz="4" w:space="0" w:color="auto"/>
            </w:tcBorders>
            <w:shd w:val="clear" w:color="auto" w:fill="FFFFFF"/>
            <w:vAlign w:val="center"/>
          </w:tcPr>
          <w:p w14:paraId="1F0E8BC2" w14:textId="77777777" w:rsidR="00FE3EAF" w:rsidRPr="00FE3EAF" w:rsidRDefault="00FE3EAF" w:rsidP="00FE3EAF">
            <w:pPr>
              <w:jc w:val="right"/>
              <w:rPr>
                <w:rFonts w:eastAsia="Calibri"/>
                <w:sz w:val="20"/>
                <w:szCs w:val="20"/>
              </w:rPr>
            </w:pPr>
            <w:r w:rsidRPr="00FE3EAF">
              <w:rPr>
                <w:rFonts w:eastAsia="Calibri"/>
                <w:sz w:val="20"/>
                <w:szCs w:val="20"/>
              </w:rPr>
              <w:t>--</w:t>
            </w:r>
          </w:p>
        </w:tc>
        <w:tc>
          <w:tcPr>
            <w:tcW w:w="765" w:type="dxa"/>
            <w:tcBorders>
              <w:top w:val="nil"/>
              <w:left w:val="single" w:sz="4" w:space="0" w:color="auto"/>
              <w:bottom w:val="nil"/>
              <w:right w:val="single" w:sz="12" w:space="0" w:color="auto"/>
            </w:tcBorders>
            <w:shd w:val="clear" w:color="auto" w:fill="FFFFFF"/>
            <w:vAlign w:val="center"/>
          </w:tcPr>
          <w:p w14:paraId="0C144C99" w14:textId="77777777" w:rsidR="00FE3EAF" w:rsidRPr="00FE3EAF" w:rsidRDefault="00FE3EAF" w:rsidP="00FE3EAF">
            <w:pPr>
              <w:jc w:val="right"/>
              <w:rPr>
                <w:rFonts w:eastAsia="Calibri"/>
                <w:sz w:val="20"/>
                <w:szCs w:val="20"/>
              </w:rPr>
            </w:pPr>
          </w:p>
        </w:tc>
        <w:tc>
          <w:tcPr>
            <w:tcW w:w="765" w:type="dxa"/>
            <w:tcBorders>
              <w:top w:val="nil"/>
              <w:left w:val="single" w:sz="12" w:space="0" w:color="auto"/>
              <w:bottom w:val="nil"/>
            </w:tcBorders>
            <w:shd w:val="clear" w:color="auto" w:fill="FFFFFF"/>
            <w:vAlign w:val="bottom"/>
          </w:tcPr>
          <w:p w14:paraId="01CB4920" w14:textId="77777777" w:rsidR="00FE3EAF" w:rsidRPr="00FE3EAF" w:rsidRDefault="00FE3EAF" w:rsidP="00FE3EAF">
            <w:pPr>
              <w:jc w:val="right"/>
              <w:rPr>
                <w:rFonts w:eastAsia="Calibri"/>
                <w:sz w:val="20"/>
                <w:szCs w:val="20"/>
              </w:rPr>
            </w:pPr>
            <w:r w:rsidRPr="00FE3EAF">
              <w:rPr>
                <w:rFonts w:eastAsia="Calibri"/>
                <w:sz w:val="20"/>
                <w:szCs w:val="20"/>
              </w:rPr>
              <w:t>--</w:t>
            </w:r>
          </w:p>
        </w:tc>
        <w:tc>
          <w:tcPr>
            <w:tcW w:w="765" w:type="dxa"/>
            <w:gridSpan w:val="2"/>
            <w:tcBorders>
              <w:top w:val="nil"/>
              <w:bottom w:val="nil"/>
              <w:right w:val="double" w:sz="4" w:space="0" w:color="auto"/>
            </w:tcBorders>
            <w:shd w:val="clear" w:color="auto" w:fill="FFFFFF"/>
            <w:vAlign w:val="bottom"/>
          </w:tcPr>
          <w:p w14:paraId="6EC1054C" w14:textId="77777777" w:rsidR="00FE3EAF" w:rsidRPr="00FE3EAF" w:rsidRDefault="00FE3EAF" w:rsidP="00FE3EAF">
            <w:pPr>
              <w:jc w:val="right"/>
              <w:rPr>
                <w:rFonts w:eastAsia="Calibri"/>
                <w:sz w:val="20"/>
                <w:szCs w:val="20"/>
              </w:rPr>
            </w:pPr>
          </w:p>
        </w:tc>
        <w:tc>
          <w:tcPr>
            <w:tcW w:w="810" w:type="dxa"/>
            <w:tcBorders>
              <w:top w:val="nil"/>
              <w:left w:val="double" w:sz="4" w:space="0" w:color="auto"/>
              <w:bottom w:val="nil"/>
              <w:right w:val="single" w:sz="4" w:space="0" w:color="auto"/>
            </w:tcBorders>
            <w:shd w:val="clear" w:color="auto" w:fill="FFFFFF"/>
            <w:vAlign w:val="bottom"/>
          </w:tcPr>
          <w:p w14:paraId="7DF5290C" w14:textId="77777777" w:rsidR="00FE3EAF" w:rsidRPr="00FE3EAF" w:rsidRDefault="00FE3EAF" w:rsidP="00FE3EAF">
            <w:pPr>
              <w:jc w:val="right"/>
              <w:rPr>
                <w:rFonts w:eastAsia="Calibri"/>
                <w:sz w:val="20"/>
                <w:szCs w:val="20"/>
              </w:rPr>
            </w:pPr>
            <w:r w:rsidRPr="00FE3EAF">
              <w:rPr>
                <w:rFonts w:eastAsia="Calibri"/>
                <w:sz w:val="20"/>
                <w:szCs w:val="20"/>
              </w:rPr>
              <w:t>NA</w:t>
            </w:r>
          </w:p>
        </w:tc>
        <w:tc>
          <w:tcPr>
            <w:tcW w:w="810" w:type="dxa"/>
            <w:tcBorders>
              <w:top w:val="nil"/>
              <w:left w:val="single" w:sz="4" w:space="0" w:color="auto"/>
              <w:bottom w:val="nil"/>
              <w:right w:val="double" w:sz="4" w:space="0" w:color="auto"/>
            </w:tcBorders>
            <w:shd w:val="clear" w:color="auto" w:fill="FFFFFF"/>
            <w:vAlign w:val="bottom"/>
          </w:tcPr>
          <w:p w14:paraId="4134AC9E" w14:textId="77777777" w:rsidR="00FE3EAF" w:rsidRPr="00FE3EAF" w:rsidRDefault="00FE3EAF" w:rsidP="00FE3EAF">
            <w:pPr>
              <w:jc w:val="right"/>
              <w:rPr>
                <w:rFonts w:eastAsia="Calibri"/>
                <w:sz w:val="20"/>
                <w:szCs w:val="20"/>
              </w:rPr>
            </w:pPr>
          </w:p>
        </w:tc>
      </w:tr>
      <w:tr w:rsidR="00FE3EAF" w:rsidRPr="00FE3EAF" w14:paraId="0C8A8F8B" w14:textId="77777777" w:rsidTr="00810642">
        <w:tc>
          <w:tcPr>
            <w:tcW w:w="3330" w:type="dxa"/>
            <w:tcBorders>
              <w:top w:val="nil"/>
              <w:left w:val="double" w:sz="4" w:space="0" w:color="auto"/>
              <w:bottom w:val="nil"/>
              <w:right w:val="double" w:sz="4" w:space="0" w:color="auto"/>
            </w:tcBorders>
          </w:tcPr>
          <w:p w14:paraId="4B96DA06" w14:textId="77777777" w:rsidR="00FE3EAF" w:rsidRPr="00FE3EAF" w:rsidRDefault="00FE3EAF" w:rsidP="00FE3EAF">
            <w:pPr>
              <w:jc w:val="left"/>
              <w:rPr>
                <w:rFonts w:eastAsia="Calibri"/>
                <w:b/>
                <w:sz w:val="18"/>
                <w:szCs w:val="18"/>
              </w:rPr>
            </w:pPr>
            <w:r w:rsidRPr="00FE3EAF">
              <w:rPr>
                <w:rFonts w:eastAsia="Calibri"/>
                <w:b/>
                <w:sz w:val="18"/>
                <w:szCs w:val="18"/>
              </w:rPr>
              <w:t>Formal Education Level (less than a Bachelor’s degree)</w:t>
            </w:r>
          </w:p>
        </w:tc>
        <w:tc>
          <w:tcPr>
            <w:tcW w:w="765" w:type="dxa"/>
            <w:tcBorders>
              <w:top w:val="nil"/>
              <w:left w:val="double" w:sz="4" w:space="0" w:color="auto"/>
              <w:bottom w:val="nil"/>
            </w:tcBorders>
            <w:vAlign w:val="center"/>
          </w:tcPr>
          <w:p w14:paraId="7536EFEB" w14:textId="77777777" w:rsidR="00FE3EAF" w:rsidRPr="00FE3EAF" w:rsidRDefault="00FE3EAF" w:rsidP="00FE3EAF">
            <w:pPr>
              <w:jc w:val="right"/>
              <w:rPr>
                <w:rFonts w:eastAsia="Calibri"/>
                <w:sz w:val="20"/>
                <w:szCs w:val="20"/>
              </w:rPr>
            </w:pPr>
          </w:p>
        </w:tc>
        <w:tc>
          <w:tcPr>
            <w:tcW w:w="765" w:type="dxa"/>
            <w:tcBorders>
              <w:top w:val="nil"/>
              <w:bottom w:val="nil"/>
              <w:right w:val="single" w:sz="12" w:space="0" w:color="auto"/>
            </w:tcBorders>
            <w:vAlign w:val="center"/>
          </w:tcPr>
          <w:p w14:paraId="579EFF1C" w14:textId="77777777" w:rsidR="00FE3EAF" w:rsidRPr="00FE3EAF" w:rsidRDefault="00FE3EAF" w:rsidP="00FE3EAF">
            <w:pPr>
              <w:jc w:val="right"/>
              <w:rPr>
                <w:rFonts w:eastAsia="Calibri"/>
                <w:sz w:val="20"/>
                <w:szCs w:val="20"/>
              </w:rPr>
            </w:pPr>
          </w:p>
        </w:tc>
        <w:tc>
          <w:tcPr>
            <w:tcW w:w="765" w:type="dxa"/>
            <w:gridSpan w:val="2"/>
            <w:tcBorders>
              <w:top w:val="nil"/>
              <w:left w:val="single" w:sz="12" w:space="0" w:color="auto"/>
              <w:bottom w:val="nil"/>
              <w:right w:val="single" w:sz="4" w:space="0" w:color="auto"/>
            </w:tcBorders>
            <w:shd w:val="clear" w:color="auto" w:fill="FFFFFF"/>
            <w:vAlign w:val="center"/>
          </w:tcPr>
          <w:p w14:paraId="09ADAF04" w14:textId="77777777" w:rsidR="00FE3EAF" w:rsidRPr="00FE3EAF" w:rsidRDefault="00FE3EAF" w:rsidP="00FE3EAF">
            <w:pPr>
              <w:jc w:val="right"/>
              <w:rPr>
                <w:rFonts w:eastAsia="Calibri"/>
                <w:sz w:val="20"/>
                <w:szCs w:val="20"/>
              </w:rPr>
            </w:pPr>
          </w:p>
        </w:tc>
        <w:tc>
          <w:tcPr>
            <w:tcW w:w="765" w:type="dxa"/>
            <w:tcBorders>
              <w:top w:val="nil"/>
              <w:left w:val="single" w:sz="4" w:space="0" w:color="auto"/>
              <w:bottom w:val="nil"/>
              <w:right w:val="single" w:sz="12" w:space="0" w:color="auto"/>
            </w:tcBorders>
            <w:shd w:val="clear" w:color="auto" w:fill="FFFFFF"/>
            <w:vAlign w:val="center"/>
          </w:tcPr>
          <w:p w14:paraId="671FD7C2" w14:textId="77777777" w:rsidR="00FE3EAF" w:rsidRPr="00FE3EAF" w:rsidRDefault="00FE3EAF" w:rsidP="00FE3EAF">
            <w:pPr>
              <w:jc w:val="right"/>
              <w:rPr>
                <w:rFonts w:eastAsia="Calibri"/>
                <w:sz w:val="20"/>
                <w:szCs w:val="20"/>
              </w:rPr>
            </w:pPr>
          </w:p>
        </w:tc>
        <w:tc>
          <w:tcPr>
            <w:tcW w:w="765" w:type="dxa"/>
            <w:tcBorders>
              <w:top w:val="nil"/>
              <w:left w:val="single" w:sz="12" w:space="0" w:color="auto"/>
              <w:bottom w:val="nil"/>
            </w:tcBorders>
            <w:shd w:val="clear" w:color="auto" w:fill="FFFFFF"/>
            <w:vAlign w:val="center"/>
          </w:tcPr>
          <w:p w14:paraId="4BA52D3B" w14:textId="77777777" w:rsidR="00FE3EAF" w:rsidRPr="00FE3EAF" w:rsidRDefault="00FE3EAF" w:rsidP="00FE3EAF">
            <w:pPr>
              <w:jc w:val="right"/>
              <w:rPr>
                <w:rFonts w:eastAsia="Calibri"/>
                <w:sz w:val="20"/>
                <w:szCs w:val="20"/>
              </w:rPr>
            </w:pPr>
          </w:p>
        </w:tc>
        <w:tc>
          <w:tcPr>
            <w:tcW w:w="765" w:type="dxa"/>
            <w:gridSpan w:val="2"/>
            <w:tcBorders>
              <w:top w:val="nil"/>
              <w:bottom w:val="nil"/>
              <w:right w:val="double" w:sz="4" w:space="0" w:color="auto"/>
            </w:tcBorders>
            <w:shd w:val="clear" w:color="auto" w:fill="FFFFFF"/>
            <w:vAlign w:val="center"/>
          </w:tcPr>
          <w:p w14:paraId="1AC4FEA9" w14:textId="77777777" w:rsidR="00FE3EAF" w:rsidRPr="00FE3EAF" w:rsidRDefault="00FE3EAF" w:rsidP="00FE3EAF">
            <w:pPr>
              <w:jc w:val="right"/>
              <w:rPr>
                <w:rFonts w:eastAsia="Calibri"/>
                <w:sz w:val="20"/>
                <w:szCs w:val="20"/>
              </w:rPr>
            </w:pPr>
          </w:p>
        </w:tc>
        <w:tc>
          <w:tcPr>
            <w:tcW w:w="810" w:type="dxa"/>
            <w:tcBorders>
              <w:top w:val="nil"/>
              <w:left w:val="double" w:sz="4" w:space="0" w:color="auto"/>
              <w:bottom w:val="nil"/>
              <w:right w:val="single" w:sz="4" w:space="0" w:color="auto"/>
            </w:tcBorders>
            <w:shd w:val="clear" w:color="auto" w:fill="FFFFFF"/>
            <w:vAlign w:val="center"/>
          </w:tcPr>
          <w:p w14:paraId="126A6526" w14:textId="77777777" w:rsidR="00FE3EAF" w:rsidRPr="00FE3EAF" w:rsidRDefault="00FE3EAF" w:rsidP="00FE3EAF">
            <w:pPr>
              <w:jc w:val="right"/>
              <w:rPr>
                <w:rFonts w:eastAsia="Calibri"/>
                <w:sz w:val="20"/>
                <w:szCs w:val="20"/>
              </w:rPr>
            </w:pPr>
          </w:p>
        </w:tc>
        <w:tc>
          <w:tcPr>
            <w:tcW w:w="810" w:type="dxa"/>
            <w:tcBorders>
              <w:top w:val="nil"/>
              <w:left w:val="single" w:sz="4" w:space="0" w:color="auto"/>
              <w:bottom w:val="nil"/>
              <w:right w:val="double" w:sz="4" w:space="0" w:color="auto"/>
            </w:tcBorders>
            <w:shd w:val="clear" w:color="auto" w:fill="FFFFFF"/>
            <w:vAlign w:val="center"/>
          </w:tcPr>
          <w:p w14:paraId="16B72EC9" w14:textId="77777777" w:rsidR="00FE3EAF" w:rsidRPr="00FE3EAF" w:rsidRDefault="00FE3EAF" w:rsidP="00FE3EAF">
            <w:pPr>
              <w:jc w:val="right"/>
              <w:rPr>
                <w:rFonts w:eastAsia="Calibri"/>
                <w:sz w:val="20"/>
                <w:szCs w:val="20"/>
              </w:rPr>
            </w:pPr>
          </w:p>
        </w:tc>
      </w:tr>
      <w:tr w:rsidR="00FE3EAF" w:rsidRPr="00FE3EAF" w14:paraId="02AEC57D" w14:textId="77777777" w:rsidTr="00810642">
        <w:tc>
          <w:tcPr>
            <w:tcW w:w="3330" w:type="dxa"/>
            <w:tcBorders>
              <w:top w:val="nil"/>
              <w:left w:val="double" w:sz="4" w:space="0" w:color="auto"/>
              <w:bottom w:val="nil"/>
              <w:right w:val="double" w:sz="4" w:space="0" w:color="auto"/>
            </w:tcBorders>
          </w:tcPr>
          <w:p w14:paraId="3AB175A7" w14:textId="77777777" w:rsidR="00FE3EAF" w:rsidRPr="00FE3EAF" w:rsidRDefault="00FE3EAF" w:rsidP="00FE3EAF">
            <w:pPr>
              <w:jc w:val="left"/>
              <w:rPr>
                <w:rFonts w:eastAsia="Calibri"/>
                <w:bCs/>
                <w:sz w:val="18"/>
                <w:szCs w:val="18"/>
              </w:rPr>
            </w:pPr>
            <w:r w:rsidRPr="00FE3EAF">
              <w:rPr>
                <w:rFonts w:eastAsia="Calibri"/>
                <w:bCs/>
                <w:sz w:val="18"/>
                <w:szCs w:val="18"/>
              </w:rPr>
              <w:t xml:space="preserve"> Bachelor’s degree or higher</w:t>
            </w:r>
          </w:p>
        </w:tc>
        <w:tc>
          <w:tcPr>
            <w:tcW w:w="765" w:type="dxa"/>
            <w:tcBorders>
              <w:top w:val="nil"/>
              <w:left w:val="double" w:sz="4" w:space="0" w:color="auto"/>
              <w:bottom w:val="nil"/>
            </w:tcBorders>
            <w:vAlign w:val="bottom"/>
          </w:tcPr>
          <w:p w14:paraId="44FB5D50" w14:textId="77777777" w:rsidR="00FE3EAF" w:rsidRPr="00FE3EAF" w:rsidRDefault="00FE3EAF" w:rsidP="00FE3EAF">
            <w:pPr>
              <w:jc w:val="right"/>
              <w:rPr>
                <w:rFonts w:eastAsia="Calibri"/>
                <w:sz w:val="20"/>
                <w:szCs w:val="20"/>
              </w:rPr>
            </w:pPr>
            <w:r w:rsidRPr="00FE3EAF">
              <w:rPr>
                <w:rFonts w:eastAsia="Calibri"/>
                <w:sz w:val="20"/>
                <w:szCs w:val="20"/>
              </w:rPr>
              <w:t>0.216</w:t>
            </w:r>
          </w:p>
        </w:tc>
        <w:tc>
          <w:tcPr>
            <w:tcW w:w="765" w:type="dxa"/>
            <w:tcBorders>
              <w:top w:val="nil"/>
              <w:bottom w:val="nil"/>
              <w:right w:val="single" w:sz="12" w:space="0" w:color="auto"/>
            </w:tcBorders>
            <w:vAlign w:val="bottom"/>
          </w:tcPr>
          <w:p w14:paraId="7A379123" w14:textId="77777777" w:rsidR="00FE3EAF" w:rsidRPr="00FE3EAF" w:rsidRDefault="00FE3EAF" w:rsidP="00FE3EAF">
            <w:pPr>
              <w:jc w:val="right"/>
              <w:rPr>
                <w:rFonts w:eastAsia="Calibri"/>
                <w:sz w:val="20"/>
                <w:szCs w:val="20"/>
              </w:rPr>
            </w:pPr>
            <w:r w:rsidRPr="00FE3EAF">
              <w:rPr>
                <w:rFonts w:eastAsia="Calibri"/>
                <w:sz w:val="20"/>
                <w:szCs w:val="20"/>
              </w:rPr>
              <w:t>1.82</w:t>
            </w:r>
          </w:p>
        </w:tc>
        <w:tc>
          <w:tcPr>
            <w:tcW w:w="765" w:type="dxa"/>
            <w:gridSpan w:val="2"/>
            <w:tcBorders>
              <w:top w:val="nil"/>
              <w:left w:val="single" w:sz="12" w:space="0" w:color="auto"/>
              <w:bottom w:val="nil"/>
              <w:right w:val="single" w:sz="4" w:space="0" w:color="auto"/>
            </w:tcBorders>
            <w:shd w:val="clear" w:color="auto" w:fill="FFFFFF"/>
            <w:vAlign w:val="center"/>
          </w:tcPr>
          <w:p w14:paraId="40C7EC11" w14:textId="77777777" w:rsidR="00FE3EAF" w:rsidRPr="00FE3EAF" w:rsidRDefault="00FE3EAF" w:rsidP="00FE3EAF">
            <w:pPr>
              <w:jc w:val="right"/>
              <w:rPr>
                <w:rFonts w:eastAsia="Calibri"/>
                <w:sz w:val="20"/>
                <w:szCs w:val="20"/>
              </w:rPr>
            </w:pPr>
            <w:r w:rsidRPr="00FE3EAF">
              <w:rPr>
                <w:rFonts w:eastAsia="Calibri"/>
                <w:sz w:val="20"/>
                <w:szCs w:val="20"/>
              </w:rPr>
              <w:t>--</w:t>
            </w:r>
          </w:p>
        </w:tc>
        <w:tc>
          <w:tcPr>
            <w:tcW w:w="765" w:type="dxa"/>
            <w:tcBorders>
              <w:top w:val="nil"/>
              <w:left w:val="single" w:sz="4" w:space="0" w:color="auto"/>
              <w:bottom w:val="nil"/>
              <w:right w:val="single" w:sz="12" w:space="0" w:color="auto"/>
            </w:tcBorders>
            <w:shd w:val="clear" w:color="auto" w:fill="FFFFFF"/>
            <w:vAlign w:val="center"/>
          </w:tcPr>
          <w:p w14:paraId="50B827DC" w14:textId="77777777" w:rsidR="00FE3EAF" w:rsidRPr="00FE3EAF" w:rsidRDefault="00FE3EAF" w:rsidP="00FE3EAF">
            <w:pPr>
              <w:jc w:val="right"/>
              <w:rPr>
                <w:rFonts w:eastAsia="Calibri"/>
                <w:sz w:val="20"/>
                <w:szCs w:val="20"/>
              </w:rPr>
            </w:pPr>
          </w:p>
        </w:tc>
        <w:tc>
          <w:tcPr>
            <w:tcW w:w="765" w:type="dxa"/>
            <w:tcBorders>
              <w:top w:val="nil"/>
              <w:left w:val="single" w:sz="12" w:space="0" w:color="auto"/>
              <w:bottom w:val="nil"/>
            </w:tcBorders>
            <w:shd w:val="clear" w:color="auto" w:fill="FFFFFF"/>
            <w:vAlign w:val="center"/>
          </w:tcPr>
          <w:p w14:paraId="43DDFB0A" w14:textId="77777777" w:rsidR="00FE3EAF" w:rsidRPr="00FE3EAF" w:rsidRDefault="00FE3EAF" w:rsidP="00FE3EAF">
            <w:pPr>
              <w:jc w:val="right"/>
              <w:rPr>
                <w:rFonts w:eastAsia="Calibri"/>
                <w:sz w:val="20"/>
                <w:szCs w:val="20"/>
              </w:rPr>
            </w:pPr>
            <w:r w:rsidRPr="00FE3EAF">
              <w:rPr>
                <w:rFonts w:eastAsia="Calibri"/>
                <w:sz w:val="20"/>
                <w:szCs w:val="20"/>
              </w:rPr>
              <w:t>--</w:t>
            </w:r>
          </w:p>
        </w:tc>
        <w:tc>
          <w:tcPr>
            <w:tcW w:w="765" w:type="dxa"/>
            <w:gridSpan w:val="2"/>
            <w:tcBorders>
              <w:top w:val="nil"/>
              <w:bottom w:val="nil"/>
              <w:right w:val="double" w:sz="4" w:space="0" w:color="auto"/>
            </w:tcBorders>
            <w:shd w:val="clear" w:color="auto" w:fill="FFFFFF"/>
            <w:vAlign w:val="center"/>
          </w:tcPr>
          <w:p w14:paraId="35F4797D" w14:textId="77777777" w:rsidR="00FE3EAF" w:rsidRPr="00FE3EAF" w:rsidRDefault="00FE3EAF" w:rsidP="00FE3EAF">
            <w:pPr>
              <w:jc w:val="right"/>
              <w:rPr>
                <w:rFonts w:eastAsia="Calibri"/>
                <w:sz w:val="20"/>
                <w:szCs w:val="20"/>
              </w:rPr>
            </w:pPr>
          </w:p>
        </w:tc>
        <w:tc>
          <w:tcPr>
            <w:tcW w:w="810" w:type="dxa"/>
            <w:tcBorders>
              <w:top w:val="nil"/>
              <w:left w:val="double" w:sz="4" w:space="0" w:color="auto"/>
              <w:bottom w:val="nil"/>
              <w:right w:val="single" w:sz="4" w:space="0" w:color="auto"/>
            </w:tcBorders>
            <w:shd w:val="clear" w:color="auto" w:fill="FFFFFF"/>
            <w:vAlign w:val="bottom"/>
          </w:tcPr>
          <w:p w14:paraId="7EE5757E" w14:textId="77777777" w:rsidR="00FE3EAF" w:rsidRPr="00FE3EAF" w:rsidRDefault="00FE3EAF" w:rsidP="00FE3EAF">
            <w:pPr>
              <w:jc w:val="right"/>
              <w:rPr>
                <w:rFonts w:eastAsia="Calibri"/>
                <w:sz w:val="20"/>
                <w:szCs w:val="20"/>
              </w:rPr>
            </w:pPr>
            <w:r w:rsidRPr="00FE3EAF">
              <w:rPr>
                <w:rFonts w:eastAsia="Calibri"/>
                <w:sz w:val="20"/>
                <w:szCs w:val="20"/>
              </w:rPr>
              <w:t>-0.283</w:t>
            </w:r>
          </w:p>
        </w:tc>
        <w:tc>
          <w:tcPr>
            <w:tcW w:w="810" w:type="dxa"/>
            <w:tcBorders>
              <w:top w:val="nil"/>
              <w:left w:val="single" w:sz="4" w:space="0" w:color="auto"/>
              <w:bottom w:val="nil"/>
              <w:right w:val="double" w:sz="4" w:space="0" w:color="auto"/>
            </w:tcBorders>
            <w:shd w:val="clear" w:color="auto" w:fill="FFFFFF"/>
            <w:vAlign w:val="bottom"/>
          </w:tcPr>
          <w:p w14:paraId="43D94EBF" w14:textId="77777777" w:rsidR="00FE3EAF" w:rsidRPr="00FE3EAF" w:rsidRDefault="00FE3EAF" w:rsidP="00FE3EAF">
            <w:pPr>
              <w:jc w:val="right"/>
              <w:rPr>
                <w:rFonts w:eastAsia="Calibri"/>
                <w:sz w:val="20"/>
                <w:szCs w:val="20"/>
              </w:rPr>
            </w:pPr>
            <w:r w:rsidRPr="00FE3EAF">
              <w:rPr>
                <w:rFonts w:eastAsia="Calibri"/>
                <w:sz w:val="20"/>
                <w:szCs w:val="20"/>
              </w:rPr>
              <w:t>-3.49</w:t>
            </w:r>
          </w:p>
        </w:tc>
      </w:tr>
      <w:tr w:rsidR="00FE3EAF" w:rsidRPr="00FE3EAF" w14:paraId="19A9C68D" w14:textId="77777777" w:rsidTr="00810642">
        <w:tc>
          <w:tcPr>
            <w:tcW w:w="3330" w:type="dxa"/>
            <w:tcBorders>
              <w:top w:val="nil"/>
              <w:left w:val="double" w:sz="4" w:space="0" w:color="auto"/>
              <w:bottom w:val="nil"/>
              <w:right w:val="double" w:sz="4" w:space="0" w:color="auto"/>
            </w:tcBorders>
          </w:tcPr>
          <w:p w14:paraId="05DB068F" w14:textId="77777777" w:rsidR="00FE3EAF" w:rsidRPr="00FE3EAF" w:rsidRDefault="00FE3EAF" w:rsidP="00FE3EAF">
            <w:pPr>
              <w:jc w:val="left"/>
              <w:rPr>
                <w:rFonts w:eastAsia="Calibri"/>
                <w:b/>
                <w:sz w:val="18"/>
                <w:szCs w:val="18"/>
              </w:rPr>
            </w:pPr>
            <w:r w:rsidRPr="00FE3EAF">
              <w:rPr>
                <w:rFonts w:eastAsia="Calibri"/>
                <w:b/>
                <w:sz w:val="18"/>
                <w:szCs w:val="18"/>
              </w:rPr>
              <w:t>Income (less than $100,000)</w:t>
            </w:r>
          </w:p>
        </w:tc>
        <w:tc>
          <w:tcPr>
            <w:tcW w:w="765" w:type="dxa"/>
            <w:tcBorders>
              <w:top w:val="nil"/>
              <w:left w:val="double" w:sz="4" w:space="0" w:color="auto"/>
              <w:bottom w:val="nil"/>
            </w:tcBorders>
            <w:vAlign w:val="center"/>
          </w:tcPr>
          <w:p w14:paraId="3E974DA1" w14:textId="77777777" w:rsidR="00FE3EAF" w:rsidRPr="00FE3EAF" w:rsidRDefault="00FE3EAF" w:rsidP="00FE3EAF">
            <w:pPr>
              <w:jc w:val="right"/>
              <w:rPr>
                <w:rFonts w:eastAsia="Calibri"/>
                <w:sz w:val="20"/>
                <w:szCs w:val="20"/>
              </w:rPr>
            </w:pPr>
          </w:p>
        </w:tc>
        <w:tc>
          <w:tcPr>
            <w:tcW w:w="765" w:type="dxa"/>
            <w:tcBorders>
              <w:top w:val="nil"/>
              <w:bottom w:val="nil"/>
              <w:right w:val="single" w:sz="12" w:space="0" w:color="auto"/>
            </w:tcBorders>
            <w:vAlign w:val="center"/>
          </w:tcPr>
          <w:p w14:paraId="4D89F45E" w14:textId="77777777" w:rsidR="00FE3EAF" w:rsidRPr="00FE3EAF" w:rsidRDefault="00FE3EAF" w:rsidP="00FE3EAF">
            <w:pPr>
              <w:jc w:val="right"/>
              <w:rPr>
                <w:rFonts w:eastAsia="Calibri"/>
                <w:sz w:val="20"/>
                <w:szCs w:val="20"/>
              </w:rPr>
            </w:pPr>
          </w:p>
        </w:tc>
        <w:tc>
          <w:tcPr>
            <w:tcW w:w="765" w:type="dxa"/>
            <w:gridSpan w:val="2"/>
            <w:tcBorders>
              <w:top w:val="nil"/>
              <w:left w:val="single" w:sz="12" w:space="0" w:color="auto"/>
              <w:bottom w:val="nil"/>
              <w:right w:val="single" w:sz="4" w:space="0" w:color="auto"/>
            </w:tcBorders>
            <w:shd w:val="clear" w:color="auto" w:fill="FFFFFF"/>
            <w:vAlign w:val="center"/>
          </w:tcPr>
          <w:p w14:paraId="4070915E" w14:textId="77777777" w:rsidR="00FE3EAF" w:rsidRPr="00FE3EAF" w:rsidRDefault="00FE3EAF" w:rsidP="00FE3EAF">
            <w:pPr>
              <w:jc w:val="right"/>
              <w:rPr>
                <w:rFonts w:eastAsia="Calibri"/>
                <w:sz w:val="20"/>
                <w:szCs w:val="20"/>
              </w:rPr>
            </w:pPr>
          </w:p>
        </w:tc>
        <w:tc>
          <w:tcPr>
            <w:tcW w:w="765" w:type="dxa"/>
            <w:tcBorders>
              <w:top w:val="nil"/>
              <w:left w:val="single" w:sz="4" w:space="0" w:color="auto"/>
              <w:bottom w:val="nil"/>
              <w:right w:val="single" w:sz="12" w:space="0" w:color="auto"/>
            </w:tcBorders>
            <w:shd w:val="clear" w:color="auto" w:fill="FFFFFF"/>
            <w:vAlign w:val="center"/>
          </w:tcPr>
          <w:p w14:paraId="3985871C" w14:textId="77777777" w:rsidR="00FE3EAF" w:rsidRPr="00FE3EAF" w:rsidRDefault="00FE3EAF" w:rsidP="00FE3EAF">
            <w:pPr>
              <w:jc w:val="right"/>
              <w:rPr>
                <w:rFonts w:eastAsia="Calibri"/>
                <w:sz w:val="20"/>
                <w:szCs w:val="20"/>
              </w:rPr>
            </w:pPr>
          </w:p>
        </w:tc>
        <w:tc>
          <w:tcPr>
            <w:tcW w:w="765" w:type="dxa"/>
            <w:tcBorders>
              <w:top w:val="nil"/>
              <w:left w:val="single" w:sz="12" w:space="0" w:color="auto"/>
              <w:bottom w:val="nil"/>
            </w:tcBorders>
            <w:shd w:val="clear" w:color="auto" w:fill="FFFFFF"/>
            <w:vAlign w:val="center"/>
          </w:tcPr>
          <w:p w14:paraId="529D0D58" w14:textId="77777777" w:rsidR="00FE3EAF" w:rsidRPr="00FE3EAF" w:rsidRDefault="00FE3EAF" w:rsidP="00FE3EAF">
            <w:pPr>
              <w:jc w:val="right"/>
              <w:rPr>
                <w:rFonts w:eastAsia="Calibri"/>
                <w:sz w:val="20"/>
                <w:szCs w:val="20"/>
              </w:rPr>
            </w:pPr>
          </w:p>
        </w:tc>
        <w:tc>
          <w:tcPr>
            <w:tcW w:w="765" w:type="dxa"/>
            <w:gridSpan w:val="2"/>
            <w:tcBorders>
              <w:top w:val="nil"/>
              <w:bottom w:val="nil"/>
              <w:right w:val="double" w:sz="4" w:space="0" w:color="auto"/>
            </w:tcBorders>
            <w:shd w:val="clear" w:color="auto" w:fill="FFFFFF"/>
            <w:vAlign w:val="center"/>
          </w:tcPr>
          <w:p w14:paraId="6E15D071" w14:textId="77777777" w:rsidR="00FE3EAF" w:rsidRPr="00FE3EAF" w:rsidRDefault="00FE3EAF" w:rsidP="00FE3EAF">
            <w:pPr>
              <w:jc w:val="right"/>
              <w:rPr>
                <w:rFonts w:eastAsia="Calibri"/>
                <w:sz w:val="20"/>
                <w:szCs w:val="20"/>
              </w:rPr>
            </w:pPr>
          </w:p>
        </w:tc>
        <w:tc>
          <w:tcPr>
            <w:tcW w:w="810" w:type="dxa"/>
            <w:tcBorders>
              <w:top w:val="nil"/>
              <w:left w:val="double" w:sz="4" w:space="0" w:color="auto"/>
              <w:bottom w:val="nil"/>
              <w:right w:val="single" w:sz="4" w:space="0" w:color="auto"/>
            </w:tcBorders>
            <w:shd w:val="clear" w:color="auto" w:fill="FFFFFF"/>
            <w:vAlign w:val="center"/>
          </w:tcPr>
          <w:p w14:paraId="55EA7955" w14:textId="77777777" w:rsidR="00FE3EAF" w:rsidRPr="00FE3EAF" w:rsidRDefault="00FE3EAF" w:rsidP="00FE3EAF">
            <w:pPr>
              <w:jc w:val="right"/>
              <w:rPr>
                <w:rFonts w:eastAsia="Calibri"/>
                <w:sz w:val="20"/>
                <w:szCs w:val="20"/>
              </w:rPr>
            </w:pPr>
          </w:p>
        </w:tc>
        <w:tc>
          <w:tcPr>
            <w:tcW w:w="810" w:type="dxa"/>
            <w:tcBorders>
              <w:top w:val="nil"/>
              <w:left w:val="single" w:sz="4" w:space="0" w:color="auto"/>
              <w:bottom w:val="nil"/>
              <w:right w:val="double" w:sz="4" w:space="0" w:color="auto"/>
            </w:tcBorders>
            <w:shd w:val="clear" w:color="auto" w:fill="FFFFFF"/>
            <w:vAlign w:val="center"/>
          </w:tcPr>
          <w:p w14:paraId="1F3D9C81" w14:textId="77777777" w:rsidR="00FE3EAF" w:rsidRPr="00FE3EAF" w:rsidRDefault="00FE3EAF" w:rsidP="00FE3EAF">
            <w:pPr>
              <w:jc w:val="right"/>
              <w:rPr>
                <w:rFonts w:eastAsia="Calibri"/>
                <w:sz w:val="20"/>
                <w:szCs w:val="20"/>
              </w:rPr>
            </w:pPr>
          </w:p>
        </w:tc>
      </w:tr>
      <w:tr w:rsidR="00FE3EAF" w:rsidRPr="00FE3EAF" w14:paraId="73D25402" w14:textId="77777777" w:rsidTr="00810642">
        <w:tc>
          <w:tcPr>
            <w:tcW w:w="3330" w:type="dxa"/>
            <w:tcBorders>
              <w:top w:val="nil"/>
              <w:left w:val="double" w:sz="4" w:space="0" w:color="auto"/>
              <w:bottom w:val="nil"/>
              <w:right w:val="double" w:sz="4" w:space="0" w:color="auto"/>
            </w:tcBorders>
          </w:tcPr>
          <w:p w14:paraId="2132BFDA" w14:textId="77777777" w:rsidR="00FE3EAF" w:rsidRPr="00FE3EAF" w:rsidRDefault="00FE3EAF" w:rsidP="00FE3EAF">
            <w:pPr>
              <w:jc w:val="left"/>
              <w:rPr>
                <w:rFonts w:eastAsia="Calibri"/>
                <w:sz w:val="18"/>
                <w:szCs w:val="18"/>
              </w:rPr>
            </w:pPr>
            <w:r w:rsidRPr="00FE3EAF">
              <w:rPr>
                <w:rFonts w:eastAsia="Calibri"/>
                <w:sz w:val="18"/>
                <w:szCs w:val="18"/>
              </w:rPr>
              <w:t xml:space="preserve"> $100,000 or more</w:t>
            </w:r>
          </w:p>
        </w:tc>
        <w:tc>
          <w:tcPr>
            <w:tcW w:w="765" w:type="dxa"/>
            <w:tcBorders>
              <w:top w:val="nil"/>
              <w:left w:val="double" w:sz="4" w:space="0" w:color="auto"/>
              <w:bottom w:val="nil"/>
            </w:tcBorders>
            <w:vAlign w:val="bottom"/>
          </w:tcPr>
          <w:p w14:paraId="32F6E39D" w14:textId="77777777" w:rsidR="00FE3EAF" w:rsidRPr="00FE3EAF" w:rsidRDefault="00FE3EAF" w:rsidP="00FE3EAF">
            <w:pPr>
              <w:jc w:val="right"/>
              <w:rPr>
                <w:rFonts w:eastAsia="Calibri"/>
                <w:sz w:val="20"/>
                <w:szCs w:val="20"/>
              </w:rPr>
            </w:pPr>
            <w:r w:rsidRPr="00FE3EAF">
              <w:rPr>
                <w:rFonts w:eastAsia="Calibri"/>
                <w:sz w:val="20"/>
                <w:szCs w:val="20"/>
              </w:rPr>
              <w:t>0.281</w:t>
            </w:r>
          </w:p>
        </w:tc>
        <w:tc>
          <w:tcPr>
            <w:tcW w:w="765" w:type="dxa"/>
            <w:tcBorders>
              <w:top w:val="nil"/>
              <w:bottom w:val="nil"/>
              <w:right w:val="single" w:sz="12" w:space="0" w:color="auto"/>
            </w:tcBorders>
            <w:vAlign w:val="bottom"/>
          </w:tcPr>
          <w:p w14:paraId="4486DA92" w14:textId="77777777" w:rsidR="00FE3EAF" w:rsidRPr="00FE3EAF" w:rsidRDefault="00FE3EAF" w:rsidP="00FE3EAF">
            <w:pPr>
              <w:jc w:val="right"/>
              <w:rPr>
                <w:rFonts w:eastAsia="Calibri"/>
                <w:sz w:val="20"/>
                <w:szCs w:val="20"/>
              </w:rPr>
            </w:pPr>
            <w:r w:rsidRPr="00FE3EAF">
              <w:rPr>
                <w:rFonts w:eastAsia="Calibri"/>
                <w:sz w:val="20"/>
                <w:szCs w:val="20"/>
              </w:rPr>
              <w:t>3.01</w:t>
            </w:r>
          </w:p>
        </w:tc>
        <w:tc>
          <w:tcPr>
            <w:tcW w:w="765" w:type="dxa"/>
            <w:gridSpan w:val="2"/>
            <w:tcBorders>
              <w:top w:val="nil"/>
              <w:left w:val="single" w:sz="12" w:space="0" w:color="auto"/>
              <w:bottom w:val="nil"/>
              <w:right w:val="single" w:sz="4" w:space="0" w:color="auto"/>
            </w:tcBorders>
            <w:shd w:val="clear" w:color="auto" w:fill="FFFFFF"/>
            <w:vAlign w:val="center"/>
          </w:tcPr>
          <w:p w14:paraId="047BF965" w14:textId="77777777" w:rsidR="00FE3EAF" w:rsidRPr="00FE3EAF" w:rsidRDefault="00FE3EAF" w:rsidP="00FE3EAF">
            <w:pPr>
              <w:jc w:val="right"/>
              <w:rPr>
                <w:rFonts w:eastAsia="Calibri"/>
                <w:sz w:val="20"/>
                <w:szCs w:val="20"/>
              </w:rPr>
            </w:pPr>
            <w:r w:rsidRPr="00FE3EAF">
              <w:rPr>
                <w:rFonts w:eastAsia="Calibri"/>
                <w:sz w:val="20"/>
                <w:szCs w:val="20"/>
              </w:rPr>
              <w:t>--</w:t>
            </w:r>
          </w:p>
        </w:tc>
        <w:tc>
          <w:tcPr>
            <w:tcW w:w="765" w:type="dxa"/>
            <w:tcBorders>
              <w:top w:val="nil"/>
              <w:left w:val="single" w:sz="4" w:space="0" w:color="auto"/>
              <w:bottom w:val="nil"/>
              <w:right w:val="single" w:sz="12" w:space="0" w:color="auto"/>
            </w:tcBorders>
            <w:shd w:val="clear" w:color="auto" w:fill="FFFFFF"/>
            <w:vAlign w:val="center"/>
          </w:tcPr>
          <w:p w14:paraId="231B4FD1" w14:textId="77777777" w:rsidR="00FE3EAF" w:rsidRPr="00FE3EAF" w:rsidRDefault="00FE3EAF" w:rsidP="00FE3EAF">
            <w:pPr>
              <w:jc w:val="right"/>
              <w:rPr>
                <w:rFonts w:eastAsia="Calibri"/>
                <w:sz w:val="20"/>
                <w:szCs w:val="20"/>
              </w:rPr>
            </w:pPr>
          </w:p>
        </w:tc>
        <w:tc>
          <w:tcPr>
            <w:tcW w:w="765" w:type="dxa"/>
            <w:tcBorders>
              <w:top w:val="nil"/>
              <w:left w:val="single" w:sz="12" w:space="0" w:color="auto"/>
              <w:bottom w:val="nil"/>
            </w:tcBorders>
            <w:shd w:val="clear" w:color="auto" w:fill="FFFFFF"/>
            <w:vAlign w:val="bottom"/>
          </w:tcPr>
          <w:p w14:paraId="69D1BA46" w14:textId="77777777" w:rsidR="00FE3EAF" w:rsidRPr="00FE3EAF" w:rsidRDefault="00FE3EAF" w:rsidP="00FE3EAF">
            <w:pPr>
              <w:jc w:val="right"/>
              <w:rPr>
                <w:rFonts w:eastAsia="Calibri"/>
                <w:sz w:val="20"/>
                <w:szCs w:val="20"/>
              </w:rPr>
            </w:pPr>
            <w:r w:rsidRPr="00FE3EAF">
              <w:rPr>
                <w:rFonts w:eastAsia="Calibri"/>
                <w:sz w:val="20"/>
                <w:szCs w:val="20"/>
              </w:rPr>
              <w:t>0.303</w:t>
            </w:r>
          </w:p>
        </w:tc>
        <w:tc>
          <w:tcPr>
            <w:tcW w:w="765" w:type="dxa"/>
            <w:gridSpan w:val="2"/>
            <w:tcBorders>
              <w:top w:val="nil"/>
              <w:bottom w:val="nil"/>
              <w:right w:val="double" w:sz="4" w:space="0" w:color="auto"/>
            </w:tcBorders>
            <w:shd w:val="clear" w:color="auto" w:fill="FFFFFF"/>
            <w:vAlign w:val="bottom"/>
          </w:tcPr>
          <w:p w14:paraId="2DE3F5DC" w14:textId="77777777" w:rsidR="00FE3EAF" w:rsidRPr="00FE3EAF" w:rsidRDefault="00FE3EAF" w:rsidP="00FE3EAF">
            <w:pPr>
              <w:jc w:val="right"/>
              <w:rPr>
                <w:rFonts w:eastAsia="Calibri"/>
                <w:sz w:val="20"/>
                <w:szCs w:val="20"/>
              </w:rPr>
            </w:pPr>
            <w:r w:rsidRPr="00FE3EAF">
              <w:rPr>
                <w:rFonts w:eastAsia="Calibri"/>
                <w:sz w:val="20"/>
                <w:szCs w:val="20"/>
              </w:rPr>
              <w:t>1.63</w:t>
            </w:r>
          </w:p>
        </w:tc>
        <w:tc>
          <w:tcPr>
            <w:tcW w:w="810" w:type="dxa"/>
            <w:tcBorders>
              <w:top w:val="nil"/>
              <w:left w:val="double" w:sz="4" w:space="0" w:color="auto"/>
              <w:bottom w:val="nil"/>
              <w:right w:val="single" w:sz="4" w:space="0" w:color="auto"/>
            </w:tcBorders>
            <w:shd w:val="clear" w:color="auto" w:fill="FFFFFF"/>
            <w:vAlign w:val="center"/>
          </w:tcPr>
          <w:p w14:paraId="1D5BB804" w14:textId="77777777" w:rsidR="00FE3EAF" w:rsidRPr="00FE3EAF" w:rsidRDefault="00FE3EAF" w:rsidP="00FE3EAF">
            <w:pPr>
              <w:jc w:val="right"/>
              <w:rPr>
                <w:rFonts w:eastAsia="Calibri"/>
                <w:sz w:val="20"/>
                <w:szCs w:val="20"/>
              </w:rPr>
            </w:pPr>
            <w:r w:rsidRPr="00FE3EAF">
              <w:rPr>
                <w:rFonts w:eastAsia="Calibri"/>
                <w:sz w:val="20"/>
                <w:szCs w:val="20"/>
              </w:rPr>
              <w:t>--</w:t>
            </w:r>
          </w:p>
        </w:tc>
        <w:tc>
          <w:tcPr>
            <w:tcW w:w="810" w:type="dxa"/>
            <w:tcBorders>
              <w:top w:val="nil"/>
              <w:left w:val="single" w:sz="4" w:space="0" w:color="auto"/>
              <w:bottom w:val="nil"/>
              <w:right w:val="double" w:sz="4" w:space="0" w:color="auto"/>
            </w:tcBorders>
            <w:shd w:val="clear" w:color="auto" w:fill="FFFFFF"/>
            <w:vAlign w:val="center"/>
          </w:tcPr>
          <w:p w14:paraId="62AF22AE" w14:textId="77777777" w:rsidR="00FE3EAF" w:rsidRPr="00FE3EAF" w:rsidRDefault="00FE3EAF" w:rsidP="00FE3EAF">
            <w:pPr>
              <w:jc w:val="right"/>
              <w:rPr>
                <w:rFonts w:eastAsia="Calibri"/>
                <w:sz w:val="20"/>
                <w:szCs w:val="20"/>
              </w:rPr>
            </w:pPr>
          </w:p>
        </w:tc>
      </w:tr>
      <w:tr w:rsidR="00FE3EAF" w:rsidRPr="00FE3EAF" w14:paraId="081BD208" w14:textId="77777777" w:rsidTr="00810642">
        <w:tc>
          <w:tcPr>
            <w:tcW w:w="3330" w:type="dxa"/>
            <w:tcBorders>
              <w:top w:val="nil"/>
              <w:left w:val="double" w:sz="4" w:space="0" w:color="auto"/>
              <w:bottom w:val="nil"/>
              <w:right w:val="double" w:sz="4" w:space="0" w:color="auto"/>
            </w:tcBorders>
          </w:tcPr>
          <w:p w14:paraId="66EDD905" w14:textId="77777777" w:rsidR="00FE3EAF" w:rsidRPr="00FE3EAF" w:rsidRDefault="00FE3EAF" w:rsidP="00FE3EAF">
            <w:pPr>
              <w:jc w:val="left"/>
              <w:rPr>
                <w:rFonts w:eastAsia="Calibri"/>
                <w:b/>
                <w:i/>
                <w:sz w:val="18"/>
                <w:szCs w:val="18"/>
                <w:u w:val="single"/>
              </w:rPr>
            </w:pPr>
            <w:r w:rsidRPr="00FE3EAF">
              <w:rPr>
                <w:rFonts w:eastAsia="Calibri"/>
                <w:b/>
                <w:i/>
                <w:sz w:val="18"/>
                <w:szCs w:val="18"/>
                <w:u w:val="single"/>
              </w:rPr>
              <w:t>Residential Attributes</w:t>
            </w:r>
          </w:p>
        </w:tc>
        <w:tc>
          <w:tcPr>
            <w:tcW w:w="765" w:type="dxa"/>
            <w:tcBorders>
              <w:top w:val="nil"/>
              <w:left w:val="double" w:sz="4" w:space="0" w:color="auto"/>
              <w:bottom w:val="nil"/>
            </w:tcBorders>
            <w:vAlign w:val="center"/>
          </w:tcPr>
          <w:p w14:paraId="4DAB7E3D" w14:textId="77777777" w:rsidR="00FE3EAF" w:rsidRPr="00FE3EAF" w:rsidRDefault="00FE3EAF" w:rsidP="00FE3EAF">
            <w:pPr>
              <w:jc w:val="right"/>
              <w:rPr>
                <w:rFonts w:eastAsia="Calibri"/>
                <w:sz w:val="20"/>
                <w:szCs w:val="20"/>
              </w:rPr>
            </w:pPr>
          </w:p>
        </w:tc>
        <w:tc>
          <w:tcPr>
            <w:tcW w:w="765" w:type="dxa"/>
            <w:tcBorders>
              <w:top w:val="nil"/>
              <w:bottom w:val="nil"/>
              <w:right w:val="single" w:sz="12" w:space="0" w:color="auto"/>
            </w:tcBorders>
            <w:vAlign w:val="center"/>
          </w:tcPr>
          <w:p w14:paraId="4716D9CE" w14:textId="77777777" w:rsidR="00FE3EAF" w:rsidRPr="00FE3EAF" w:rsidRDefault="00FE3EAF" w:rsidP="00FE3EAF">
            <w:pPr>
              <w:jc w:val="right"/>
              <w:rPr>
                <w:rFonts w:eastAsia="Calibri"/>
                <w:sz w:val="20"/>
                <w:szCs w:val="20"/>
              </w:rPr>
            </w:pPr>
          </w:p>
        </w:tc>
        <w:tc>
          <w:tcPr>
            <w:tcW w:w="765" w:type="dxa"/>
            <w:gridSpan w:val="2"/>
            <w:tcBorders>
              <w:top w:val="nil"/>
              <w:left w:val="single" w:sz="12" w:space="0" w:color="auto"/>
              <w:bottom w:val="nil"/>
              <w:right w:val="single" w:sz="4" w:space="0" w:color="auto"/>
            </w:tcBorders>
            <w:shd w:val="clear" w:color="auto" w:fill="FFFFFF"/>
            <w:vAlign w:val="center"/>
          </w:tcPr>
          <w:p w14:paraId="52AE800A" w14:textId="77777777" w:rsidR="00FE3EAF" w:rsidRPr="00FE3EAF" w:rsidRDefault="00FE3EAF" w:rsidP="00FE3EAF">
            <w:pPr>
              <w:jc w:val="right"/>
              <w:rPr>
                <w:rFonts w:eastAsia="Calibri"/>
                <w:sz w:val="20"/>
                <w:szCs w:val="20"/>
              </w:rPr>
            </w:pPr>
          </w:p>
        </w:tc>
        <w:tc>
          <w:tcPr>
            <w:tcW w:w="765" w:type="dxa"/>
            <w:tcBorders>
              <w:top w:val="nil"/>
              <w:left w:val="single" w:sz="4" w:space="0" w:color="auto"/>
              <w:bottom w:val="nil"/>
              <w:right w:val="single" w:sz="12" w:space="0" w:color="auto"/>
            </w:tcBorders>
            <w:shd w:val="clear" w:color="auto" w:fill="FFFFFF"/>
            <w:vAlign w:val="center"/>
          </w:tcPr>
          <w:p w14:paraId="0B72CF0F" w14:textId="77777777" w:rsidR="00FE3EAF" w:rsidRPr="00FE3EAF" w:rsidRDefault="00FE3EAF" w:rsidP="00FE3EAF">
            <w:pPr>
              <w:jc w:val="right"/>
              <w:rPr>
                <w:rFonts w:eastAsia="Calibri"/>
                <w:sz w:val="20"/>
                <w:szCs w:val="20"/>
              </w:rPr>
            </w:pPr>
          </w:p>
        </w:tc>
        <w:tc>
          <w:tcPr>
            <w:tcW w:w="765" w:type="dxa"/>
            <w:tcBorders>
              <w:top w:val="nil"/>
              <w:left w:val="single" w:sz="12" w:space="0" w:color="auto"/>
              <w:bottom w:val="nil"/>
            </w:tcBorders>
            <w:shd w:val="clear" w:color="auto" w:fill="FFFFFF"/>
            <w:vAlign w:val="center"/>
          </w:tcPr>
          <w:p w14:paraId="4E7E3A9B" w14:textId="77777777" w:rsidR="00FE3EAF" w:rsidRPr="00FE3EAF" w:rsidRDefault="00FE3EAF" w:rsidP="00FE3EAF">
            <w:pPr>
              <w:jc w:val="right"/>
              <w:rPr>
                <w:rFonts w:eastAsia="Calibri"/>
                <w:sz w:val="20"/>
                <w:szCs w:val="20"/>
              </w:rPr>
            </w:pPr>
          </w:p>
        </w:tc>
        <w:tc>
          <w:tcPr>
            <w:tcW w:w="765" w:type="dxa"/>
            <w:gridSpan w:val="2"/>
            <w:tcBorders>
              <w:top w:val="nil"/>
              <w:bottom w:val="nil"/>
              <w:right w:val="double" w:sz="4" w:space="0" w:color="auto"/>
            </w:tcBorders>
            <w:shd w:val="clear" w:color="auto" w:fill="FFFFFF"/>
            <w:vAlign w:val="center"/>
          </w:tcPr>
          <w:p w14:paraId="5B9B2313" w14:textId="77777777" w:rsidR="00FE3EAF" w:rsidRPr="00FE3EAF" w:rsidRDefault="00FE3EAF" w:rsidP="00FE3EAF">
            <w:pPr>
              <w:jc w:val="right"/>
              <w:rPr>
                <w:rFonts w:eastAsia="Calibri"/>
                <w:sz w:val="20"/>
                <w:szCs w:val="20"/>
              </w:rPr>
            </w:pPr>
          </w:p>
        </w:tc>
        <w:tc>
          <w:tcPr>
            <w:tcW w:w="810" w:type="dxa"/>
            <w:tcBorders>
              <w:top w:val="nil"/>
              <w:left w:val="double" w:sz="4" w:space="0" w:color="auto"/>
              <w:bottom w:val="nil"/>
              <w:right w:val="single" w:sz="4" w:space="0" w:color="auto"/>
            </w:tcBorders>
            <w:shd w:val="clear" w:color="auto" w:fill="FFFFFF"/>
            <w:vAlign w:val="center"/>
          </w:tcPr>
          <w:p w14:paraId="699D76C7" w14:textId="77777777" w:rsidR="00FE3EAF" w:rsidRPr="00FE3EAF" w:rsidRDefault="00FE3EAF" w:rsidP="00FE3EAF">
            <w:pPr>
              <w:jc w:val="right"/>
              <w:rPr>
                <w:rFonts w:eastAsia="Calibri"/>
                <w:sz w:val="20"/>
                <w:szCs w:val="20"/>
              </w:rPr>
            </w:pPr>
          </w:p>
        </w:tc>
        <w:tc>
          <w:tcPr>
            <w:tcW w:w="810" w:type="dxa"/>
            <w:tcBorders>
              <w:top w:val="nil"/>
              <w:left w:val="single" w:sz="4" w:space="0" w:color="auto"/>
              <w:bottom w:val="nil"/>
              <w:right w:val="double" w:sz="4" w:space="0" w:color="auto"/>
            </w:tcBorders>
            <w:shd w:val="clear" w:color="auto" w:fill="FFFFFF"/>
            <w:vAlign w:val="center"/>
          </w:tcPr>
          <w:p w14:paraId="58E29931" w14:textId="77777777" w:rsidR="00FE3EAF" w:rsidRPr="00FE3EAF" w:rsidRDefault="00FE3EAF" w:rsidP="00FE3EAF">
            <w:pPr>
              <w:jc w:val="right"/>
              <w:rPr>
                <w:rFonts w:eastAsia="Calibri"/>
                <w:sz w:val="20"/>
                <w:szCs w:val="20"/>
              </w:rPr>
            </w:pPr>
          </w:p>
        </w:tc>
      </w:tr>
      <w:tr w:rsidR="00FE3EAF" w:rsidRPr="00FE3EAF" w14:paraId="0172490A" w14:textId="77777777" w:rsidTr="00810642">
        <w:tc>
          <w:tcPr>
            <w:tcW w:w="3330" w:type="dxa"/>
            <w:tcBorders>
              <w:top w:val="nil"/>
              <w:left w:val="double" w:sz="4" w:space="0" w:color="auto"/>
              <w:bottom w:val="nil"/>
              <w:right w:val="double" w:sz="4" w:space="0" w:color="auto"/>
            </w:tcBorders>
          </w:tcPr>
          <w:p w14:paraId="2E553F98" w14:textId="77777777" w:rsidR="00FE3EAF" w:rsidRPr="00FE3EAF" w:rsidRDefault="00FE3EAF" w:rsidP="00FE3EAF">
            <w:pPr>
              <w:jc w:val="left"/>
              <w:rPr>
                <w:rFonts w:eastAsia="Calibri"/>
                <w:b/>
                <w:sz w:val="18"/>
                <w:szCs w:val="18"/>
              </w:rPr>
            </w:pPr>
            <w:r w:rsidRPr="00FE3EAF">
              <w:rPr>
                <w:rFonts w:eastAsia="Calibri"/>
                <w:b/>
                <w:sz w:val="18"/>
                <w:szCs w:val="18"/>
              </w:rPr>
              <w:t>Population Density (Urban)</w:t>
            </w:r>
          </w:p>
        </w:tc>
        <w:tc>
          <w:tcPr>
            <w:tcW w:w="765" w:type="dxa"/>
            <w:tcBorders>
              <w:top w:val="nil"/>
              <w:left w:val="double" w:sz="4" w:space="0" w:color="auto"/>
              <w:bottom w:val="nil"/>
            </w:tcBorders>
            <w:vAlign w:val="center"/>
          </w:tcPr>
          <w:p w14:paraId="17757706" w14:textId="77777777" w:rsidR="00FE3EAF" w:rsidRPr="00FE3EAF" w:rsidRDefault="00FE3EAF" w:rsidP="00FE3EAF">
            <w:pPr>
              <w:jc w:val="right"/>
              <w:rPr>
                <w:rFonts w:eastAsia="Calibri"/>
                <w:sz w:val="20"/>
                <w:szCs w:val="20"/>
              </w:rPr>
            </w:pPr>
          </w:p>
        </w:tc>
        <w:tc>
          <w:tcPr>
            <w:tcW w:w="765" w:type="dxa"/>
            <w:tcBorders>
              <w:top w:val="nil"/>
              <w:bottom w:val="nil"/>
              <w:right w:val="single" w:sz="12" w:space="0" w:color="auto"/>
            </w:tcBorders>
            <w:vAlign w:val="center"/>
          </w:tcPr>
          <w:p w14:paraId="1063DBA1" w14:textId="77777777" w:rsidR="00FE3EAF" w:rsidRPr="00FE3EAF" w:rsidRDefault="00FE3EAF" w:rsidP="00FE3EAF">
            <w:pPr>
              <w:jc w:val="right"/>
              <w:rPr>
                <w:rFonts w:eastAsia="Calibri"/>
                <w:sz w:val="20"/>
                <w:szCs w:val="20"/>
              </w:rPr>
            </w:pPr>
          </w:p>
        </w:tc>
        <w:tc>
          <w:tcPr>
            <w:tcW w:w="765" w:type="dxa"/>
            <w:gridSpan w:val="2"/>
            <w:tcBorders>
              <w:top w:val="nil"/>
              <w:left w:val="single" w:sz="12" w:space="0" w:color="auto"/>
              <w:bottom w:val="nil"/>
              <w:right w:val="single" w:sz="4" w:space="0" w:color="auto"/>
            </w:tcBorders>
            <w:shd w:val="clear" w:color="auto" w:fill="FFFFFF"/>
            <w:vAlign w:val="center"/>
          </w:tcPr>
          <w:p w14:paraId="61ED56AD" w14:textId="77777777" w:rsidR="00FE3EAF" w:rsidRPr="00FE3EAF" w:rsidRDefault="00FE3EAF" w:rsidP="00FE3EAF">
            <w:pPr>
              <w:jc w:val="right"/>
              <w:rPr>
                <w:rFonts w:eastAsia="Calibri"/>
                <w:sz w:val="20"/>
                <w:szCs w:val="20"/>
              </w:rPr>
            </w:pPr>
          </w:p>
        </w:tc>
        <w:tc>
          <w:tcPr>
            <w:tcW w:w="765" w:type="dxa"/>
            <w:tcBorders>
              <w:top w:val="nil"/>
              <w:left w:val="single" w:sz="4" w:space="0" w:color="auto"/>
              <w:bottom w:val="nil"/>
              <w:right w:val="single" w:sz="12" w:space="0" w:color="auto"/>
            </w:tcBorders>
            <w:shd w:val="clear" w:color="auto" w:fill="FFFFFF"/>
            <w:vAlign w:val="center"/>
          </w:tcPr>
          <w:p w14:paraId="6923049C" w14:textId="77777777" w:rsidR="00FE3EAF" w:rsidRPr="00FE3EAF" w:rsidRDefault="00FE3EAF" w:rsidP="00FE3EAF">
            <w:pPr>
              <w:jc w:val="right"/>
              <w:rPr>
                <w:rFonts w:eastAsia="Calibri"/>
                <w:sz w:val="20"/>
                <w:szCs w:val="20"/>
              </w:rPr>
            </w:pPr>
          </w:p>
        </w:tc>
        <w:tc>
          <w:tcPr>
            <w:tcW w:w="765" w:type="dxa"/>
            <w:tcBorders>
              <w:top w:val="nil"/>
              <w:left w:val="single" w:sz="12" w:space="0" w:color="auto"/>
              <w:bottom w:val="nil"/>
            </w:tcBorders>
            <w:shd w:val="clear" w:color="auto" w:fill="FFFFFF"/>
            <w:vAlign w:val="center"/>
          </w:tcPr>
          <w:p w14:paraId="7F74C5BC" w14:textId="77777777" w:rsidR="00FE3EAF" w:rsidRPr="00FE3EAF" w:rsidRDefault="00FE3EAF" w:rsidP="00FE3EAF">
            <w:pPr>
              <w:jc w:val="right"/>
              <w:rPr>
                <w:rFonts w:eastAsia="Calibri"/>
                <w:sz w:val="20"/>
                <w:szCs w:val="20"/>
              </w:rPr>
            </w:pPr>
          </w:p>
        </w:tc>
        <w:tc>
          <w:tcPr>
            <w:tcW w:w="765" w:type="dxa"/>
            <w:gridSpan w:val="2"/>
            <w:tcBorders>
              <w:top w:val="nil"/>
              <w:bottom w:val="nil"/>
              <w:right w:val="double" w:sz="4" w:space="0" w:color="auto"/>
            </w:tcBorders>
            <w:shd w:val="clear" w:color="auto" w:fill="FFFFFF"/>
            <w:vAlign w:val="center"/>
          </w:tcPr>
          <w:p w14:paraId="3DD2C12C" w14:textId="77777777" w:rsidR="00FE3EAF" w:rsidRPr="00FE3EAF" w:rsidRDefault="00FE3EAF" w:rsidP="00FE3EAF">
            <w:pPr>
              <w:jc w:val="right"/>
              <w:rPr>
                <w:rFonts w:eastAsia="Calibri"/>
                <w:sz w:val="20"/>
                <w:szCs w:val="20"/>
              </w:rPr>
            </w:pPr>
          </w:p>
        </w:tc>
        <w:tc>
          <w:tcPr>
            <w:tcW w:w="810" w:type="dxa"/>
            <w:tcBorders>
              <w:top w:val="nil"/>
              <w:left w:val="double" w:sz="4" w:space="0" w:color="auto"/>
              <w:bottom w:val="nil"/>
              <w:right w:val="single" w:sz="4" w:space="0" w:color="auto"/>
            </w:tcBorders>
            <w:shd w:val="clear" w:color="auto" w:fill="FFFFFF"/>
            <w:vAlign w:val="center"/>
          </w:tcPr>
          <w:p w14:paraId="594982D5" w14:textId="77777777" w:rsidR="00FE3EAF" w:rsidRPr="00FE3EAF" w:rsidRDefault="00FE3EAF" w:rsidP="00FE3EAF">
            <w:pPr>
              <w:jc w:val="right"/>
              <w:rPr>
                <w:rFonts w:eastAsia="Calibri"/>
                <w:sz w:val="20"/>
                <w:szCs w:val="20"/>
              </w:rPr>
            </w:pPr>
          </w:p>
        </w:tc>
        <w:tc>
          <w:tcPr>
            <w:tcW w:w="810" w:type="dxa"/>
            <w:tcBorders>
              <w:top w:val="nil"/>
              <w:left w:val="single" w:sz="4" w:space="0" w:color="auto"/>
              <w:bottom w:val="nil"/>
              <w:right w:val="double" w:sz="4" w:space="0" w:color="auto"/>
            </w:tcBorders>
            <w:shd w:val="clear" w:color="auto" w:fill="FFFFFF"/>
            <w:vAlign w:val="center"/>
          </w:tcPr>
          <w:p w14:paraId="742D1B03" w14:textId="77777777" w:rsidR="00FE3EAF" w:rsidRPr="00FE3EAF" w:rsidRDefault="00FE3EAF" w:rsidP="00FE3EAF">
            <w:pPr>
              <w:jc w:val="right"/>
              <w:rPr>
                <w:rFonts w:eastAsia="Calibri"/>
                <w:sz w:val="20"/>
                <w:szCs w:val="20"/>
              </w:rPr>
            </w:pPr>
          </w:p>
        </w:tc>
      </w:tr>
      <w:tr w:rsidR="00FE3EAF" w:rsidRPr="00FE3EAF" w14:paraId="6C91D1DE" w14:textId="77777777" w:rsidTr="00810642">
        <w:tc>
          <w:tcPr>
            <w:tcW w:w="3330" w:type="dxa"/>
            <w:tcBorders>
              <w:top w:val="nil"/>
              <w:left w:val="double" w:sz="4" w:space="0" w:color="auto"/>
              <w:bottom w:val="nil"/>
              <w:right w:val="double" w:sz="4" w:space="0" w:color="auto"/>
            </w:tcBorders>
          </w:tcPr>
          <w:p w14:paraId="1868BD5B" w14:textId="77777777" w:rsidR="00FE3EAF" w:rsidRPr="00FE3EAF" w:rsidRDefault="00FE3EAF" w:rsidP="00FE3EAF">
            <w:pPr>
              <w:jc w:val="left"/>
              <w:rPr>
                <w:rFonts w:eastAsia="Calibri"/>
                <w:bCs/>
                <w:sz w:val="18"/>
                <w:szCs w:val="18"/>
              </w:rPr>
            </w:pPr>
            <w:r w:rsidRPr="00FE3EAF">
              <w:rPr>
                <w:rFonts w:eastAsia="Calibri"/>
                <w:b/>
                <w:sz w:val="18"/>
                <w:szCs w:val="18"/>
              </w:rPr>
              <w:t xml:space="preserve"> </w:t>
            </w:r>
            <w:r w:rsidRPr="00FE3EAF">
              <w:rPr>
                <w:rFonts w:eastAsia="Calibri"/>
                <w:bCs/>
                <w:sz w:val="18"/>
                <w:szCs w:val="18"/>
              </w:rPr>
              <w:t>Suburban</w:t>
            </w:r>
          </w:p>
        </w:tc>
        <w:tc>
          <w:tcPr>
            <w:tcW w:w="765" w:type="dxa"/>
            <w:tcBorders>
              <w:top w:val="nil"/>
              <w:left w:val="double" w:sz="4" w:space="0" w:color="auto"/>
              <w:bottom w:val="nil"/>
            </w:tcBorders>
            <w:vAlign w:val="center"/>
          </w:tcPr>
          <w:p w14:paraId="053512CC" w14:textId="77777777" w:rsidR="00FE3EAF" w:rsidRPr="00FE3EAF" w:rsidRDefault="00FE3EAF" w:rsidP="00FE3EAF">
            <w:pPr>
              <w:jc w:val="right"/>
              <w:rPr>
                <w:rFonts w:eastAsia="Calibri"/>
                <w:sz w:val="20"/>
                <w:szCs w:val="20"/>
              </w:rPr>
            </w:pPr>
            <w:r w:rsidRPr="00FE3EAF">
              <w:rPr>
                <w:rFonts w:eastAsia="Calibri"/>
                <w:sz w:val="20"/>
                <w:szCs w:val="20"/>
              </w:rPr>
              <w:t>--</w:t>
            </w:r>
          </w:p>
        </w:tc>
        <w:tc>
          <w:tcPr>
            <w:tcW w:w="765" w:type="dxa"/>
            <w:tcBorders>
              <w:top w:val="nil"/>
              <w:bottom w:val="nil"/>
              <w:right w:val="single" w:sz="12" w:space="0" w:color="auto"/>
            </w:tcBorders>
            <w:vAlign w:val="center"/>
          </w:tcPr>
          <w:p w14:paraId="601EC6B4" w14:textId="77777777" w:rsidR="00FE3EAF" w:rsidRPr="00FE3EAF" w:rsidRDefault="00FE3EAF" w:rsidP="00FE3EAF">
            <w:pPr>
              <w:jc w:val="right"/>
              <w:rPr>
                <w:rFonts w:eastAsia="Calibri"/>
                <w:sz w:val="20"/>
                <w:szCs w:val="20"/>
              </w:rPr>
            </w:pPr>
          </w:p>
        </w:tc>
        <w:tc>
          <w:tcPr>
            <w:tcW w:w="765" w:type="dxa"/>
            <w:gridSpan w:val="2"/>
            <w:tcBorders>
              <w:top w:val="nil"/>
              <w:left w:val="single" w:sz="12" w:space="0" w:color="auto"/>
              <w:bottom w:val="nil"/>
              <w:right w:val="single" w:sz="4" w:space="0" w:color="auto"/>
            </w:tcBorders>
            <w:shd w:val="clear" w:color="auto" w:fill="FFFFFF"/>
            <w:vAlign w:val="center"/>
          </w:tcPr>
          <w:p w14:paraId="17B9DE7E" w14:textId="77777777" w:rsidR="00FE3EAF" w:rsidRPr="00FE3EAF" w:rsidRDefault="00FE3EAF" w:rsidP="00FE3EAF">
            <w:pPr>
              <w:jc w:val="right"/>
              <w:rPr>
                <w:rFonts w:eastAsia="Calibri"/>
                <w:sz w:val="20"/>
                <w:szCs w:val="20"/>
              </w:rPr>
            </w:pPr>
            <w:r w:rsidRPr="00FE3EAF">
              <w:rPr>
                <w:rFonts w:eastAsia="Calibri"/>
                <w:sz w:val="20"/>
                <w:szCs w:val="20"/>
              </w:rPr>
              <w:t>--</w:t>
            </w:r>
          </w:p>
        </w:tc>
        <w:tc>
          <w:tcPr>
            <w:tcW w:w="765" w:type="dxa"/>
            <w:tcBorders>
              <w:top w:val="nil"/>
              <w:left w:val="single" w:sz="4" w:space="0" w:color="auto"/>
              <w:bottom w:val="nil"/>
              <w:right w:val="single" w:sz="12" w:space="0" w:color="auto"/>
            </w:tcBorders>
            <w:shd w:val="clear" w:color="auto" w:fill="FFFFFF"/>
            <w:vAlign w:val="center"/>
          </w:tcPr>
          <w:p w14:paraId="50994391" w14:textId="77777777" w:rsidR="00FE3EAF" w:rsidRPr="00FE3EAF" w:rsidRDefault="00FE3EAF" w:rsidP="00FE3EAF">
            <w:pPr>
              <w:jc w:val="right"/>
              <w:rPr>
                <w:rFonts w:eastAsia="Calibri"/>
                <w:sz w:val="20"/>
                <w:szCs w:val="20"/>
              </w:rPr>
            </w:pPr>
          </w:p>
        </w:tc>
        <w:tc>
          <w:tcPr>
            <w:tcW w:w="765" w:type="dxa"/>
            <w:tcBorders>
              <w:top w:val="nil"/>
              <w:left w:val="single" w:sz="12" w:space="0" w:color="auto"/>
              <w:bottom w:val="nil"/>
            </w:tcBorders>
            <w:shd w:val="clear" w:color="auto" w:fill="FFFFFF"/>
            <w:vAlign w:val="center"/>
          </w:tcPr>
          <w:p w14:paraId="22C1E992" w14:textId="77777777" w:rsidR="00FE3EAF" w:rsidRPr="00FE3EAF" w:rsidRDefault="00FE3EAF" w:rsidP="00FE3EAF">
            <w:pPr>
              <w:jc w:val="right"/>
              <w:rPr>
                <w:rFonts w:eastAsia="Calibri"/>
                <w:sz w:val="20"/>
                <w:szCs w:val="20"/>
              </w:rPr>
            </w:pPr>
            <w:r w:rsidRPr="00FE3EAF">
              <w:rPr>
                <w:rFonts w:eastAsia="Calibri"/>
                <w:sz w:val="20"/>
                <w:szCs w:val="20"/>
              </w:rPr>
              <w:t>--</w:t>
            </w:r>
          </w:p>
        </w:tc>
        <w:tc>
          <w:tcPr>
            <w:tcW w:w="765" w:type="dxa"/>
            <w:gridSpan w:val="2"/>
            <w:tcBorders>
              <w:top w:val="nil"/>
              <w:bottom w:val="nil"/>
              <w:right w:val="double" w:sz="4" w:space="0" w:color="auto"/>
            </w:tcBorders>
            <w:shd w:val="clear" w:color="auto" w:fill="FFFFFF"/>
            <w:vAlign w:val="center"/>
          </w:tcPr>
          <w:p w14:paraId="042A3BFE" w14:textId="77777777" w:rsidR="00FE3EAF" w:rsidRPr="00FE3EAF" w:rsidRDefault="00FE3EAF" w:rsidP="00FE3EAF">
            <w:pPr>
              <w:jc w:val="right"/>
              <w:rPr>
                <w:rFonts w:eastAsia="Calibri"/>
                <w:sz w:val="20"/>
                <w:szCs w:val="20"/>
              </w:rPr>
            </w:pPr>
          </w:p>
        </w:tc>
        <w:tc>
          <w:tcPr>
            <w:tcW w:w="810" w:type="dxa"/>
            <w:tcBorders>
              <w:top w:val="nil"/>
              <w:left w:val="double" w:sz="4" w:space="0" w:color="auto"/>
              <w:bottom w:val="nil"/>
              <w:right w:val="single" w:sz="4" w:space="0" w:color="auto"/>
            </w:tcBorders>
            <w:shd w:val="clear" w:color="auto" w:fill="FFFFFF"/>
            <w:vAlign w:val="center"/>
          </w:tcPr>
          <w:p w14:paraId="634C2A5B" w14:textId="77777777" w:rsidR="00FE3EAF" w:rsidRPr="00FE3EAF" w:rsidRDefault="00FE3EAF" w:rsidP="00FE3EAF">
            <w:pPr>
              <w:jc w:val="right"/>
              <w:rPr>
                <w:rFonts w:eastAsia="Calibri"/>
                <w:sz w:val="20"/>
                <w:szCs w:val="20"/>
              </w:rPr>
            </w:pPr>
          </w:p>
        </w:tc>
        <w:tc>
          <w:tcPr>
            <w:tcW w:w="810" w:type="dxa"/>
            <w:tcBorders>
              <w:top w:val="nil"/>
              <w:left w:val="single" w:sz="4" w:space="0" w:color="auto"/>
              <w:bottom w:val="nil"/>
              <w:right w:val="double" w:sz="4" w:space="0" w:color="auto"/>
            </w:tcBorders>
            <w:shd w:val="clear" w:color="auto" w:fill="FFFFFF"/>
            <w:vAlign w:val="center"/>
          </w:tcPr>
          <w:p w14:paraId="7C01CFE7" w14:textId="77777777" w:rsidR="00FE3EAF" w:rsidRPr="00FE3EAF" w:rsidRDefault="00FE3EAF" w:rsidP="00FE3EAF">
            <w:pPr>
              <w:jc w:val="right"/>
              <w:rPr>
                <w:rFonts w:eastAsia="Calibri"/>
                <w:sz w:val="20"/>
                <w:szCs w:val="20"/>
              </w:rPr>
            </w:pPr>
          </w:p>
        </w:tc>
      </w:tr>
      <w:tr w:rsidR="00FE3EAF" w:rsidRPr="00FE3EAF" w14:paraId="659789D4" w14:textId="77777777" w:rsidTr="00810642">
        <w:tc>
          <w:tcPr>
            <w:tcW w:w="3330" w:type="dxa"/>
            <w:tcBorders>
              <w:top w:val="nil"/>
              <w:left w:val="double" w:sz="4" w:space="0" w:color="auto"/>
              <w:bottom w:val="nil"/>
              <w:right w:val="double" w:sz="4" w:space="0" w:color="auto"/>
            </w:tcBorders>
          </w:tcPr>
          <w:p w14:paraId="312D22B7" w14:textId="77777777" w:rsidR="00FE3EAF" w:rsidRPr="00FE3EAF" w:rsidRDefault="00FE3EAF" w:rsidP="00FE3EAF">
            <w:pPr>
              <w:jc w:val="left"/>
              <w:rPr>
                <w:rFonts w:eastAsia="Calibri"/>
                <w:sz w:val="18"/>
                <w:szCs w:val="18"/>
              </w:rPr>
            </w:pPr>
            <w:r w:rsidRPr="00FE3EAF">
              <w:rPr>
                <w:rFonts w:eastAsia="Calibri"/>
                <w:sz w:val="18"/>
                <w:szCs w:val="18"/>
              </w:rPr>
              <w:t xml:space="preserve"> Rural</w:t>
            </w:r>
          </w:p>
        </w:tc>
        <w:tc>
          <w:tcPr>
            <w:tcW w:w="765" w:type="dxa"/>
            <w:tcBorders>
              <w:top w:val="nil"/>
              <w:left w:val="double" w:sz="4" w:space="0" w:color="auto"/>
              <w:bottom w:val="nil"/>
            </w:tcBorders>
            <w:vAlign w:val="center"/>
          </w:tcPr>
          <w:p w14:paraId="2B99A411" w14:textId="77777777" w:rsidR="00FE3EAF" w:rsidRPr="00FE3EAF" w:rsidRDefault="00FE3EAF" w:rsidP="00FE3EAF">
            <w:pPr>
              <w:jc w:val="right"/>
              <w:rPr>
                <w:rFonts w:eastAsia="Calibri"/>
                <w:sz w:val="20"/>
                <w:szCs w:val="20"/>
              </w:rPr>
            </w:pPr>
            <w:r w:rsidRPr="00FE3EAF">
              <w:rPr>
                <w:rFonts w:eastAsia="Calibri"/>
                <w:sz w:val="20"/>
                <w:szCs w:val="20"/>
              </w:rPr>
              <w:t>--</w:t>
            </w:r>
          </w:p>
        </w:tc>
        <w:tc>
          <w:tcPr>
            <w:tcW w:w="765" w:type="dxa"/>
            <w:tcBorders>
              <w:top w:val="nil"/>
              <w:bottom w:val="nil"/>
              <w:right w:val="single" w:sz="12" w:space="0" w:color="auto"/>
            </w:tcBorders>
            <w:vAlign w:val="center"/>
          </w:tcPr>
          <w:p w14:paraId="4037F4FF" w14:textId="77777777" w:rsidR="00FE3EAF" w:rsidRPr="00FE3EAF" w:rsidRDefault="00FE3EAF" w:rsidP="00FE3EAF">
            <w:pPr>
              <w:jc w:val="right"/>
              <w:rPr>
                <w:rFonts w:eastAsia="Calibri"/>
                <w:sz w:val="20"/>
                <w:szCs w:val="20"/>
              </w:rPr>
            </w:pPr>
          </w:p>
        </w:tc>
        <w:tc>
          <w:tcPr>
            <w:tcW w:w="765" w:type="dxa"/>
            <w:gridSpan w:val="2"/>
            <w:tcBorders>
              <w:top w:val="nil"/>
              <w:left w:val="single" w:sz="12" w:space="0" w:color="auto"/>
              <w:bottom w:val="nil"/>
              <w:right w:val="single" w:sz="4" w:space="0" w:color="auto"/>
            </w:tcBorders>
            <w:shd w:val="clear" w:color="auto" w:fill="FFFFFF"/>
            <w:vAlign w:val="bottom"/>
          </w:tcPr>
          <w:p w14:paraId="3DBEA5CA" w14:textId="77777777" w:rsidR="00FE3EAF" w:rsidRPr="00FE3EAF" w:rsidRDefault="00FE3EAF" w:rsidP="00FE3EAF">
            <w:pPr>
              <w:jc w:val="right"/>
              <w:rPr>
                <w:rFonts w:eastAsia="Calibri"/>
                <w:sz w:val="20"/>
                <w:szCs w:val="20"/>
              </w:rPr>
            </w:pPr>
            <w:r w:rsidRPr="00FE3EAF">
              <w:rPr>
                <w:rFonts w:eastAsia="Calibri"/>
                <w:sz w:val="20"/>
                <w:szCs w:val="20"/>
              </w:rPr>
              <w:t>0.788</w:t>
            </w:r>
          </w:p>
        </w:tc>
        <w:tc>
          <w:tcPr>
            <w:tcW w:w="765" w:type="dxa"/>
            <w:tcBorders>
              <w:top w:val="nil"/>
              <w:left w:val="single" w:sz="4" w:space="0" w:color="auto"/>
              <w:bottom w:val="nil"/>
              <w:right w:val="single" w:sz="12" w:space="0" w:color="auto"/>
            </w:tcBorders>
            <w:shd w:val="clear" w:color="auto" w:fill="FFFFFF"/>
            <w:vAlign w:val="bottom"/>
          </w:tcPr>
          <w:p w14:paraId="55EB1757" w14:textId="77777777" w:rsidR="00FE3EAF" w:rsidRPr="00FE3EAF" w:rsidRDefault="00FE3EAF" w:rsidP="00FE3EAF">
            <w:pPr>
              <w:jc w:val="right"/>
              <w:rPr>
                <w:rFonts w:eastAsia="Calibri"/>
                <w:sz w:val="20"/>
                <w:szCs w:val="20"/>
              </w:rPr>
            </w:pPr>
            <w:r w:rsidRPr="00FE3EAF">
              <w:rPr>
                <w:rFonts w:eastAsia="Calibri"/>
                <w:sz w:val="20"/>
                <w:szCs w:val="20"/>
              </w:rPr>
              <w:t>6.54</w:t>
            </w:r>
          </w:p>
        </w:tc>
        <w:tc>
          <w:tcPr>
            <w:tcW w:w="765" w:type="dxa"/>
            <w:tcBorders>
              <w:top w:val="nil"/>
              <w:left w:val="single" w:sz="12" w:space="0" w:color="auto"/>
              <w:bottom w:val="nil"/>
            </w:tcBorders>
            <w:shd w:val="clear" w:color="auto" w:fill="FFFFFF"/>
            <w:vAlign w:val="center"/>
          </w:tcPr>
          <w:p w14:paraId="36EB4018" w14:textId="77777777" w:rsidR="00FE3EAF" w:rsidRPr="00FE3EAF" w:rsidRDefault="00FE3EAF" w:rsidP="00FE3EAF">
            <w:pPr>
              <w:jc w:val="right"/>
              <w:rPr>
                <w:rFonts w:eastAsia="Calibri"/>
                <w:sz w:val="20"/>
                <w:szCs w:val="20"/>
              </w:rPr>
            </w:pPr>
            <w:r w:rsidRPr="00FE3EAF">
              <w:rPr>
                <w:rFonts w:eastAsia="Calibri"/>
                <w:sz w:val="20"/>
                <w:szCs w:val="20"/>
              </w:rPr>
              <w:t>--</w:t>
            </w:r>
          </w:p>
        </w:tc>
        <w:tc>
          <w:tcPr>
            <w:tcW w:w="765" w:type="dxa"/>
            <w:gridSpan w:val="2"/>
            <w:tcBorders>
              <w:top w:val="nil"/>
              <w:bottom w:val="nil"/>
              <w:right w:val="double" w:sz="4" w:space="0" w:color="auto"/>
            </w:tcBorders>
            <w:shd w:val="clear" w:color="auto" w:fill="FFFFFF"/>
            <w:vAlign w:val="center"/>
          </w:tcPr>
          <w:p w14:paraId="7A06AA3D" w14:textId="77777777" w:rsidR="00FE3EAF" w:rsidRPr="00FE3EAF" w:rsidRDefault="00FE3EAF" w:rsidP="00FE3EAF">
            <w:pPr>
              <w:jc w:val="right"/>
              <w:rPr>
                <w:rFonts w:eastAsia="Calibri"/>
                <w:sz w:val="20"/>
                <w:szCs w:val="20"/>
              </w:rPr>
            </w:pPr>
          </w:p>
        </w:tc>
        <w:tc>
          <w:tcPr>
            <w:tcW w:w="810" w:type="dxa"/>
            <w:tcBorders>
              <w:top w:val="nil"/>
              <w:left w:val="double" w:sz="4" w:space="0" w:color="auto"/>
              <w:bottom w:val="nil"/>
              <w:right w:val="single" w:sz="4" w:space="0" w:color="auto"/>
            </w:tcBorders>
            <w:shd w:val="clear" w:color="auto" w:fill="FFFFFF"/>
            <w:vAlign w:val="center"/>
          </w:tcPr>
          <w:p w14:paraId="6CBDD7F9" w14:textId="77777777" w:rsidR="00FE3EAF" w:rsidRPr="00FE3EAF" w:rsidRDefault="00FE3EAF" w:rsidP="00FE3EAF">
            <w:pPr>
              <w:jc w:val="right"/>
              <w:rPr>
                <w:rFonts w:eastAsia="Calibri"/>
                <w:sz w:val="20"/>
                <w:szCs w:val="20"/>
              </w:rPr>
            </w:pPr>
            <w:r w:rsidRPr="00FE3EAF">
              <w:rPr>
                <w:rFonts w:eastAsia="Calibri"/>
                <w:sz w:val="20"/>
                <w:szCs w:val="20"/>
              </w:rPr>
              <w:t>--</w:t>
            </w:r>
          </w:p>
        </w:tc>
        <w:tc>
          <w:tcPr>
            <w:tcW w:w="810" w:type="dxa"/>
            <w:tcBorders>
              <w:top w:val="nil"/>
              <w:left w:val="single" w:sz="4" w:space="0" w:color="auto"/>
              <w:bottom w:val="nil"/>
              <w:right w:val="double" w:sz="4" w:space="0" w:color="auto"/>
            </w:tcBorders>
            <w:shd w:val="clear" w:color="auto" w:fill="FFFFFF"/>
            <w:vAlign w:val="center"/>
          </w:tcPr>
          <w:p w14:paraId="4A13685D" w14:textId="77777777" w:rsidR="00FE3EAF" w:rsidRPr="00FE3EAF" w:rsidRDefault="00FE3EAF" w:rsidP="00FE3EAF">
            <w:pPr>
              <w:jc w:val="right"/>
              <w:rPr>
                <w:rFonts w:eastAsia="Calibri"/>
                <w:sz w:val="20"/>
                <w:szCs w:val="20"/>
              </w:rPr>
            </w:pPr>
          </w:p>
        </w:tc>
      </w:tr>
      <w:tr w:rsidR="00FE3EAF" w:rsidRPr="00FE3EAF" w14:paraId="240E9785" w14:textId="77777777" w:rsidTr="00810642">
        <w:tc>
          <w:tcPr>
            <w:tcW w:w="3330" w:type="dxa"/>
            <w:tcBorders>
              <w:top w:val="nil"/>
              <w:left w:val="double" w:sz="4" w:space="0" w:color="auto"/>
              <w:bottom w:val="nil"/>
              <w:right w:val="double" w:sz="4" w:space="0" w:color="auto"/>
            </w:tcBorders>
          </w:tcPr>
          <w:p w14:paraId="018F8640" w14:textId="77777777" w:rsidR="00FE3EAF" w:rsidRPr="00FE3EAF" w:rsidRDefault="00FE3EAF" w:rsidP="00FE3EAF">
            <w:pPr>
              <w:jc w:val="left"/>
              <w:rPr>
                <w:rFonts w:eastAsia="Calibri"/>
                <w:sz w:val="18"/>
                <w:szCs w:val="18"/>
              </w:rPr>
            </w:pPr>
            <w:r w:rsidRPr="00FE3EAF">
              <w:rPr>
                <w:rFonts w:eastAsia="Calibri"/>
                <w:sz w:val="18"/>
                <w:szCs w:val="18"/>
              </w:rPr>
              <w:t xml:space="preserve"> Suburban (satiation)</w:t>
            </w:r>
          </w:p>
        </w:tc>
        <w:tc>
          <w:tcPr>
            <w:tcW w:w="765" w:type="dxa"/>
            <w:tcBorders>
              <w:top w:val="nil"/>
              <w:left w:val="double" w:sz="4" w:space="0" w:color="auto"/>
              <w:bottom w:val="nil"/>
            </w:tcBorders>
            <w:vAlign w:val="bottom"/>
          </w:tcPr>
          <w:p w14:paraId="7A1DFEDE" w14:textId="77777777" w:rsidR="00FE3EAF" w:rsidRPr="00FE3EAF" w:rsidRDefault="00FE3EAF" w:rsidP="00FE3EAF">
            <w:pPr>
              <w:jc w:val="right"/>
              <w:rPr>
                <w:rFonts w:eastAsia="Calibri"/>
                <w:sz w:val="20"/>
                <w:szCs w:val="20"/>
                <w:highlight w:val="yellow"/>
              </w:rPr>
            </w:pPr>
            <w:r w:rsidRPr="00FE3EAF">
              <w:rPr>
                <w:rFonts w:eastAsia="Calibri"/>
                <w:sz w:val="20"/>
                <w:szCs w:val="20"/>
              </w:rPr>
              <w:t>0.342</w:t>
            </w:r>
          </w:p>
        </w:tc>
        <w:tc>
          <w:tcPr>
            <w:tcW w:w="765" w:type="dxa"/>
            <w:tcBorders>
              <w:top w:val="nil"/>
              <w:bottom w:val="nil"/>
              <w:right w:val="single" w:sz="12" w:space="0" w:color="auto"/>
            </w:tcBorders>
            <w:vAlign w:val="bottom"/>
          </w:tcPr>
          <w:p w14:paraId="6BC77EA3" w14:textId="77777777" w:rsidR="00FE3EAF" w:rsidRPr="00FE3EAF" w:rsidRDefault="00FE3EAF" w:rsidP="00FE3EAF">
            <w:pPr>
              <w:jc w:val="right"/>
              <w:rPr>
                <w:rFonts w:eastAsia="Calibri"/>
                <w:sz w:val="20"/>
                <w:szCs w:val="20"/>
                <w:highlight w:val="yellow"/>
              </w:rPr>
            </w:pPr>
            <w:r w:rsidRPr="00FE3EAF">
              <w:rPr>
                <w:rFonts w:eastAsia="Calibri"/>
                <w:sz w:val="20"/>
                <w:szCs w:val="20"/>
              </w:rPr>
              <w:t>1.69</w:t>
            </w:r>
          </w:p>
        </w:tc>
        <w:tc>
          <w:tcPr>
            <w:tcW w:w="765" w:type="dxa"/>
            <w:gridSpan w:val="2"/>
            <w:tcBorders>
              <w:top w:val="nil"/>
              <w:left w:val="single" w:sz="12" w:space="0" w:color="auto"/>
              <w:bottom w:val="nil"/>
              <w:right w:val="single" w:sz="4" w:space="0" w:color="auto"/>
            </w:tcBorders>
            <w:shd w:val="clear" w:color="auto" w:fill="FFFFFF"/>
            <w:vAlign w:val="bottom"/>
          </w:tcPr>
          <w:p w14:paraId="5F521F7C" w14:textId="77777777" w:rsidR="00FE3EAF" w:rsidRPr="00FE3EAF" w:rsidRDefault="00FE3EAF" w:rsidP="00FE3EAF">
            <w:pPr>
              <w:jc w:val="right"/>
              <w:rPr>
                <w:rFonts w:eastAsia="Calibri"/>
                <w:sz w:val="20"/>
                <w:szCs w:val="20"/>
              </w:rPr>
            </w:pPr>
            <w:r w:rsidRPr="00FE3EAF">
              <w:rPr>
                <w:rFonts w:eastAsia="Calibri"/>
                <w:sz w:val="20"/>
                <w:szCs w:val="20"/>
              </w:rPr>
              <w:t>--</w:t>
            </w:r>
          </w:p>
        </w:tc>
        <w:tc>
          <w:tcPr>
            <w:tcW w:w="765" w:type="dxa"/>
            <w:tcBorders>
              <w:top w:val="nil"/>
              <w:left w:val="single" w:sz="4" w:space="0" w:color="auto"/>
              <w:bottom w:val="nil"/>
              <w:right w:val="single" w:sz="12" w:space="0" w:color="auto"/>
            </w:tcBorders>
            <w:shd w:val="clear" w:color="auto" w:fill="FFFFFF"/>
            <w:vAlign w:val="bottom"/>
          </w:tcPr>
          <w:p w14:paraId="6C8EC404" w14:textId="77777777" w:rsidR="00FE3EAF" w:rsidRPr="00FE3EAF" w:rsidRDefault="00FE3EAF" w:rsidP="00FE3EAF">
            <w:pPr>
              <w:jc w:val="right"/>
              <w:rPr>
                <w:rFonts w:eastAsia="Calibri"/>
                <w:sz w:val="20"/>
                <w:szCs w:val="20"/>
              </w:rPr>
            </w:pPr>
          </w:p>
        </w:tc>
        <w:tc>
          <w:tcPr>
            <w:tcW w:w="765" w:type="dxa"/>
            <w:tcBorders>
              <w:top w:val="nil"/>
              <w:left w:val="single" w:sz="12" w:space="0" w:color="auto"/>
              <w:bottom w:val="nil"/>
            </w:tcBorders>
            <w:shd w:val="clear" w:color="auto" w:fill="FFFFFF"/>
            <w:vAlign w:val="center"/>
          </w:tcPr>
          <w:p w14:paraId="3C02C3D7" w14:textId="77777777" w:rsidR="00FE3EAF" w:rsidRPr="00FE3EAF" w:rsidRDefault="00FE3EAF" w:rsidP="00FE3EAF">
            <w:pPr>
              <w:jc w:val="right"/>
              <w:rPr>
                <w:rFonts w:eastAsia="Calibri"/>
                <w:sz w:val="20"/>
                <w:szCs w:val="20"/>
              </w:rPr>
            </w:pPr>
            <w:r w:rsidRPr="00FE3EAF">
              <w:rPr>
                <w:rFonts w:eastAsia="Calibri"/>
                <w:sz w:val="20"/>
                <w:szCs w:val="20"/>
              </w:rPr>
              <w:t>--</w:t>
            </w:r>
          </w:p>
        </w:tc>
        <w:tc>
          <w:tcPr>
            <w:tcW w:w="765" w:type="dxa"/>
            <w:gridSpan w:val="2"/>
            <w:tcBorders>
              <w:top w:val="nil"/>
              <w:bottom w:val="nil"/>
              <w:right w:val="double" w:sz="4" w:space="0" w:color="auto"/>
            </w:tcBorders>
            <w:shd w:val="clear" w:color="auto" w:fill="FFFFFF"/>
            <w:vAlign w:val="center"/>
          </w:tcPr>
          <w:p w14:paraId="511FE8A5" w14:textId="77777777" w:rsidR="00FE3EAF" w:rsidRPr="00FE3EAF" w:rsidRDefault="00FE3EAF" w:rsidP="00FE3EAF">
            <w:pPr>
              <w:jc w:val="right"/>
              <w:rPr>
                <w:rFonts w:eastAsia="Calibri"/>
                <w:sz w:val="20"/>
                <w:szCs w:val="20"/>
              </w:rPr>
            </w:pPr>
          </w:p>
        </w:tc>
        <w:tc>
          <w:tcPr>
            <w:tcW w:w="810" w:type="dxa"/>
            <w:tcBorders>
              <w:top w:val="nil"/>
              <w:left w:val="double" w:sz="4" w:space="0" w:color="auto"/>
              <w:bottom w:val="nil"/>
              <w:right w:val="single" w:sz="4" w:space="0" w:color="auto"/>
            </w:tcBorders>
            <w:shd w:val="clear" w:color="auto" w:fill="FFFFFF"/>
            <w:vAlign w:val="center"/>
          </w:tcPr>
          <w:p w14:paraId="502CDE1A" w14:textId="77777777" w:rsidR="00FE3EAF" w:rsidRPr="00FE3EAF" w:rsidRDefault="00FE3EAF" w:rsidP="00FE3EAF">
            <w:pPr>
              <w:jc w:val="right"/>
              <w:rPr>
                <w:rFonts w:eastAsia="Calibri"/>
                <w:sz w:val="20"/>
                <w:szCs w:val="20"/>
              </w:rPr>
            </w:pPr>
            <w:r w:rsidRPr="00FE3EAF">
              <w:rPr>
                <w:rFonts w:eastAsia="Calibri"/>
                <w:sz w:val="20"/>
                <w:szCs w:val="20"/>
              </w:rPr>
              <w:t>NA</w:t>
            </w:r>
          </w:p>
        </w:tc>
        <w:tc>
          <w:tcPr>
            <w:tcW w:w="810" w:type="dxa"/>
            <w:tcBorders>
              <w:top w:val="nil"/>
              <w:left w:val="single" w:sz="4" w:space="0" w:color="auto"/>
              <w:bottom w:val="nil"/>
              <w:right w:val="double" w:sz="4" w:space="0" w:color="auto"/>
            </w:tcBorders>
            <w:shd w:val="clear" w:color="auto" w:fill="FFFFFF"/>
            <w:vAlign w:val="center"/>
          </w:tcPr>
          <w:p w14:paraId="64517551" w14:textId="77777777" w:rsidR="00FE3EAF" w:rsidRPr="00FE3EAF" w:rsidRDefault="00FE3EAF" w:rsidP="00FE3EAF">
            <w:pPr>
              <w:jc w:val="right"/>
              <w:rPr>
                <w:rFonts w:eastAsia="Calibri"/>
                <w:sz w:val="20"/>
                <w:szCs w:val="20"/>
              </w:rPr>
            </w:pPr>
          </w:p>
        </w:tc>
      </w:tr>
      <w:tr w:rsidR="00FE3EAF" w:rsidRPr="00FE3EAF" w14:paraId="1767CBCD" w14:textId="77777777" w:rsidTr="00810642">
        <w:tc>
          <w:tcPr>
            <w:tcW w:w="3330" w:type="dxa"/>
            <w:tcBorders>
              <w:top w:val="nil"/>
              <w:left w:val="double" w:sz="4" w:space="0" w:color="auto"/>
              <w:bottom w:val="nil"/>
              <w:right w:val="double" w:sz="4" w:space="0" w:color="auto"/>
            </w:tcBorders>
          </w:tcPr>
          <w:p w14:paraId="5ED77CCA" w14:textId="77777777" w:rsidR="00FE3EAF" w:rsidRPr="00FE3EAF" w:rsidRDefault="00FE3EAF" w:rsidP="00FE3EAF">
            <w:pPr>
              <w:jc w:val="left"/>
              <w:rPr>
                <w:rFonts w:eastAsia="Calibri"/>
                <w:b/>
                <w:bCs/>
                <w:sz w:val="18"/>
                <w:szCs w:val="18"/>
              </w:rPr>
            </w:pPr>
            <w:r w:rsidRPr="00FE3EAF">
              <w:rPr>
                <w:rFonts w:eastAsia="Calibri"/>
                <w:b/>
                <w:bCs/>
                <w:sz w:val="18"/>
                <w:szCs w:val="18"/>
              </w:rPr>
              <w:t>Private Study (no)</w:t>
            </w:r>
          </w:p>
        </w:tc>
        <w:tc>
          <w:tcPr>
            <w:tcW w:w="765" w:type="dxa"/>
            <w:tcBorders>
              <w:top w:val="nil"/>
              <w:left w:val="double" w:sz="4" w:space="0" w:color="auto"/>
              <w:bottom w:val="nil"/>
            </w:tcBorders>
            <w:vAlign w:val="center"/>
          </w:tcPr>
          <w:p w14:paraId="0BDB496C" w14:textId="77777777" w:rsidR="00FE3EAF" w:rsidRPr="00FE3EAF" w:rsidRDefault="00FE3EAF" w:rsidP="00FE3EAF">
            <w:pPr>
              <w:jc w:val="right"/>
              <w:rPr>
                <w:rFonts w:eastAsia="Calibri"/>
                <w:sz w:val="20"/>
                <w:szCs w:val="20"/>
              </w:rPr>
            </w:pPr>
          </w:p>
        </w:tc>
        <w:tc>
          <w:tcPr>
            <w:tcW w:w="765" w:type="dxa"/>
            <w:tcBorders>
              <w:top w:val="nil"/>
              <w:bottom w:val="nil"/>
              <w:right w:val="single" w:sz="12" w:space="0" w:color="auto"/>
            </w:tcBorders>
            <w:vAlign w:val="center"/>
          </w:tcPr>
          <w:p w14:paraId="769C6742" w14:textId="77777777" w:rsidR="00FE3EAF" w:rsidRPr="00FE3EAF" w:rsidRDefault="00FE3EAF" w:rsidP="00FE3EAF">
            <w:pPr>
              <w:jc w:val="right"/>
              <w:rPr>
                <w:rFonts w:eastAsia="Calibri"/>
                <w:sz w:val="20"/>
                <w:szCs w:val="20"/>
              </w:rPr>
            </w:pPr>
          </w:p>
        </w:tc>
        <w:tc>
          <w:tcPr>
            <w:tcW w:w="765" w:type="dxa"/>
            <w:gridSpan w:val="2"/>
            <w:tcBorders>
              <w:top w:val="nil"/>
              <w:left w:val="single" w:sz="12" w:space="0" w:color="auto"/>
              <w:bottom w:val="nil"/>
              <w:right w:val="single" w:sz="4" w:space="0" w:color="auto"/>
            </w:tcBorders>
            <w:shd w:val="clear" w:color="auto" w:fill="FFFFFF"/>
            <w:vAlign w:val="center"/>
          </w:tcPr>
          <w:p w14:paraId="69324390" w14:textId="77777777" w:rsidR="00FE3EAF" w:rsidRPr="00FE3EAF" w:rsidRDefault="00FE3EAF" w:rsidP="00FE3EAF">
            <w:pPr>
              <w:jc w:val="right"/>
              <w:rPr>
                <w:rFonts w:eastAsia="Calibri"/>
                <w:sz w:val="20"/>
                <w:szCs w:val="20"/>
              </w:rPr>
            </w:pPr>
          </w:p>
        </w:tc>
        <w:tc>
          <w:tcPr>
            <w:tcW w:w="765" w:type="dxa"/>
            <w:tcBorders>
              <w:top w:val="nil"/>
              <w:left w:val="single" w:sz="4" w:space="0" w:color="auto"/>
              <w:bottom w:val="nil"/>
              <w:right w:val="single" w:sz="12" w:space="0" w:color="auto"/>
            </w:tcBorders>
            <w:shd w:val="clear" w:color="auto" w:fill="FFFFFF"/>
            <w:vAlign w:val="center"/>
          </w:tcPr>
          <w:p w14:paraId="4856DD6E" w14:textId="77777777" w:rsidR="00FE3EAF" w:rsidRPr="00FE3EAF" w:rsidRDefault="00FE3EAF" w:rsidP="00FE3EAF">
            <w:pPr>
              <w:jc w:val="right"/>
              <w:rPr>
                <w:rFonts w:eastAsia="Calibri"/>
                <w:sz w:val="20"/>
                <w:szCs w:val="20"/>
              </w:rPr>
            </w:pPr>
          </w:p>
        </w:tc>
        <w:tc>
          <w:tcPr>
            <w:tcW w:w="765" w:type="dxa"/>
            <w:tcBorders>
              <w:top w:val="nil"/>
              <w:left w:val="single" w:sz="12" w:space="0" w:color="auto"/>
              <w:bottom w:val="nil"/>
            </w:tcBorders>
            <w:shd w:val="clear" w:color="auto" w:fill="FFFFFF"/>
            <w:vAlign w:val="center"/>
          </w:tcPr>
          <w:p w14:paraId="477990F0" w14:textId="77777777" w:rsidR="00FE3EAF" w:rsidRPr="00FE3EAF" w:rsidRDefault="00FE3EAF" w:rsidP="00FE3EAF">
            <w:pPr>
              <w:jc w:val="right"/>
              <w:rPr>
                <w:rFonts w:eastAsia="Calibri"/>
                <w:sz w:val="20"/>
                <w:szCs w:val="20"/>
              </w:rPr>
            </w:pPr>
          </w:p>
        </w:tc>
        <w:tc>
          <w:tcPr>
            <w:tcW w:w="765" w:type="dxa"/>
            <w:gridSpan w:val="2"/>
            <w:tcBorders>
              <w:top w:val="nil"/>
              <w:bottom w:val="nil"/>
              <w:right w:val="double" w:sz="4" w:space="0" w:color="auto"/>
            </w:tcBorders>
            <w:shd w:val="clear" w:color="auto" w:fill="FFFFFF"/>
            <w:vAlign w:val="center"/>
          </w:tcPr>
          <w:p w14:paraId="1DBA2812" w14:textId="77777777" w:rsidR="00FE3EAF" w:rsidRPr="00FE3EAF" w:rsidRDefault="00FE3EAF" w:rsidP="00FE3EAF">
            <w:pPr>
              <w:jc w:val="right"/>
              <w:rPr>
                <w:rFonts w:eastAsia="Calibri"/>
                <w:sz w:val="20"/>
                <w:szCs w:val="20"/>
              </w:rPr>
            </w:pPr>
          </w:p>
        </w:tc>
        <w:tc>
          <w:tcPr>
            <w:tcW w:w="810" w:type="dxa"/>
            <w:tcBorders>
              <w:top w:val="nil"/>
              <w:left w:val="double" w:sz="4" w:space="0" w:color="auto"/>
              <w:bottom w:val="nil"/>
              <w:right w:val="single" w:sz="4" w:space="0" w:color="auto"/>
            </w:tcBorders>
            <w:shd w:val="clear" w:color="auto" w:fill="FFFFFF"/>
            <w:vAlign w:val="center"/>
          </w:tcPr>
          <w:p w14:paraId="09A00F10" w14:textId="77777777" w:rsidR="00FE3EAF" w:rsidRPr="00FE3EAF" w:rsidRDefault="00FE3EAF" w:rsidP="00FE3EAF">
            <w:pPr>
              <w:jc w:val="right"/>
              <w:rPr>
                <w:rFonts w:eastAsia="Calibri"/>
                <w:sz w:val="20"/>
                <w:szCs w:val="20"/>
              </w:rPr>
            </w:pPr>
          </w:p>
        </w:tc>
        <w:tc>
          <w:tcPr>
            <w:tcW w:w="810" w:type="dxa"/>
            <w:tcBorders>
              <w:top w:val="nil"/>
              <w:left w:val="single" w:sz="4" w:space="0" w:color="auto"/>
              <w:bottom w:val="nil"/>
              <w:right w:val="double" w:sz="4" w:space="0" w:color="auto"/>
            </w:tcBorders>
            <w:shd w:val="clear" w:color="auto" w:fill="FFFFFF"/>
            <w:vAlign w:val="center"/>
          </w:tcPr>
          <w:p w14:paraId="5C6E8817" w14:textId="77777777" w:rsidR="00FE3EAF" w:rsidRPr="00FE3EAF" w:rsidRDefault="00FE3EAF" w:rsidP="00FE3EAF">
            <w:pPr>
              <w:jc w:val="right"/>
              <w:rPr>
                <w:rFonts w:eastAsia="Calibri"/>
                <w:sz w:val="20"/>
                <w:szCs w:val="20"/>
              </w:rPr>
            </w:pPr>
          </w:p>
        </w:tc>
      </w:tr>
      <w:tr w:rsidR="00FE3EAF" w:rsidRPr="00FE3EAF" w14:paraId="680355D9" w14:textId="77777777" w:rsidTr="00810642">
        <w:tc>
          <w:tcPr>
            <w:tcW w:w="3330" w:type="dxa"/>
            <w:tcBorders>
              <w:top w:val="nil"/>
              <w:left w:val="double" w:sz="4" w:space="0" w:color="auto"/>
              <w:bottom w:val="nil"/>
              <w:right w:val="double" w:sz="4" w:space="0" w:color="auto"/>
            </w:tcBorders>
          </w:tcPr>
          <w:p w14:paraId="04022B1A" w14:textId="77777777" w:rsidR="00FE3EAF" w:rsidRPr="00FE3EAF" w:rsidRDefault="00FE3EAF" w:rsidP="00FE3EAF">
            <w:pPr>
              <w:jc w:val="left"/>
              <w:rPr>
                <w:rFonts w:eastAsia="Calibri"/>
                <w:sz w:val="18"/>
                <w:szCs w:val="18"/>
              </w:rPr>
            </w:pPr>
            <w:r w:rsidRPr="00FE3EAF">
              <w:rPr>
                <w:rFonts w:eastAsia="Calibri"/>
                <w:sz w:val="18"/>
                <w:szCs w:val="18"/>
              </w:rPr>
              <w:t xml:space="preserve"> Yes</w:t>
            </w:r>
          </w:p>
        </w:tc>
        <w:tc>
          <w:tcPr>
            <w:tcW w:w="765" w:type="dxa"/>
            <w:tcBorders>
              <w:top w:val="nil"/>
              <w:left w:val="double" w:sz="4" w:space="0" w:color="auto"/>
              <w:bottom w:val="nil"/>
            </w:tcBorders>
            <w:vAlign w:val="bottom"/>
          </w:tcPr>
          <w:p w14:paraId="623C3DB0" w14:textId="77777777" w:rsidR="00FE3EAF" w:rsidRPr="00FE3EAF" w:rsidRDefault="00FE3EAF" w:rsidP="00FE3EAF">
            <w:pPr>
              <w:jc w:val="right"/>
              <w:rPr>
                <w:rFonts w:eastAsia="Calibri"/>
                <w:sz w:val="20"/>
                <w:szCs w:val="20"/>
              </w:rPr>
            </w:pPr>
            <w:r w:rsidRPr="00FE3EAF">
              <w:rPr>
                <w:rFonts w:eastAsia="Calibri"/>
                <w:sz w:val="20"/>
                <w:szCs w:val="20"/>
              </w:rPr>
              <w:t>0.310</w:t>
            </w:r>
          </w:p>
        </w:tc>
        <w:tc>
          <w:tcPr>
            <w:tcW w:w="765" w:type="dxa"/>
            <w:tcBorders>
              <w:top w:val="nil"/>
              <w:bottom w:val="nil"/>
              <w:right w:val="single" w:sz="12" w:space="0" w:color="auto"/>
            </w:tcBorders>
            <w:vAlign w:val="bottom"/>
          </w:tcPr>
          <w:p w14:paraId="3C178073" w14:textId="77777777" w:rsidR="00FE3EAF" w:rsidRPr="00FE3EAF" w:rsidRDefault="00FE3EAF" w:rsidP="00FE3EAF">
            <w:pPr>
              <w:jc w:val="right"/>
              <w:rPr>
                <w:rFonts w:eastAsia="Calibri"/>
                <w:sz w:val="20"/>
                <w:szCs w:val="20"/>
              </w:rPr>
            </w:pPr>
            <w:r w:rsidRPr="00FE3EAF">
              <w:rPr>
                <w:rFonts w:eastAsia="Calibri"/>
                <w:sz w:val="20"/>
                <w:szCs w:val="20"/>
              </w:rPr>
              <w:t>3.11</w:t>
            </w:r>
          </w:p>
        </w:tc>
        <w:tc>
          <w:tcPr>
            <w:tcW w:w="765" w:type="dxa"/>
            <w:gridSpan w:val="2"/>
            <w:tcBorders>
              <w:top w:val="nil"/>
              <w:left w:val="single" w:sz="12" w:space="0" w:color="auto"/>
              <w:bottom w:val="nil"/>
              <w:right w:val="single" w:sz="4" w:space="0" w:color="auto"/>
            </w:tcBorders>
            <w:shd w:val="clear" w:color="auto" w:fill="FFFFFF"/>
            <w:vAlign w:val="center"/>
          </w:tcPr>
          <w:p w14:paraId="6CA78AC0" w14:textId="77777777" w:rsidR="00FE3EAF" w:rsidRPr="00FE3EAF" w:rsidRDefault="00FE3EAF" w:rsidP="00FE3EAF">
            <w:pPr>
              <w:jc w:val="right"/>
              <w:rPr>
                <w:rFonts w:eastAsia="Calibri"/>
                <w:sz w:val="20"/>
                <w:szCs w:val="20"/>
              </w:rPr>
            </w:pPr>
            <w:r w:rsidRPr="00FE3EAF">
              <w:rPr>
                <w:rFonts w:eastAsia="Calibri"/>
                <w:sz w:val="20"/>
                <w:szCs w:val="20"/>
              </w:rPr>
              <w:t>--</w:t>
            </w:r>
          </w:p>
        </w:tc>
        <w:tc>
          <w:tcPr>
            <w:tcW w:w="765" w:type="dxa"/>
            <w:tcBorders>
              <w:top w:val="nil"/>
              <w:left w:val="single" w:sz="4" w:space="0" w:color="auto"/>
              <w:bottom w:val="nil"/>
              <w:right w:val="single" w:sz="12" w:space="0" w:color="auto"/>
            </w:tcBorders>
            <w:shd w:val="clear" w:color="auto" w:fill="FFFFFF"/>
            <w:vAlign w:val="center"/>
          </w:tcPr>
          <w:p w14:paraId="7282D2D2" w14:textId="77777777" w:rsidR="00FE3EAF" w:rsidRPr="00FE3EAF" w:rsidRDefault="00FE3EAF" w:rsidP="00FE3EAF">
            <w:pPr>
              <w:jc w:val="right"/>
              <w:rPr>
                <w:rFonts w:eastAsia="Calibri"/>
                <w:sz w:val="20"/>
                <w:szCs w:val="20"/>
              </w:rPr>
            </w:pPr>
          </w:p>
        </w:tc>
        <w:tc>
          <w:tcPr>
            <w:tcW w:w="765" w:type="dxa"/>
            <w:tcBorders>
              <w:top w:val="nil"/>
              <w:left w:val="single" w:sz="12" w:space="0" w:color="auto"/>
              <w:bottom w:val="nil"/>
            </w:tcBorders>
            <w:shd w:val="clear" w:color="auto" w:fill="FFFFFF"/>
            <w:vAlign w:val="center"/>
          </w:tcPr>
          <w:p w14:paraId="1FDEB1DC" w14:textId="77777777" w:rsidR="00FE3EAF" w:rsidRPr="00FE3EAF" w:rsidRDefault="00FE3EAF" w:rsidP="00FE3EAF">
            <w:pPr>
              <w:jc w:val="right"/>
              <w:rPr>
                <w:rFonts w:eastAsia="Calibri"/>
                <w:sz w:val="20"/>
                <w:szCs w:val="20"/>
              </w:rPr>
            </w:pPr>
            <w:r w:rsidRPr="00FE3EAF">
              <w:rPr>
                <w:rFonts w:eastAsia="Calibri"/>
                <w:sz w:val="20"/>
                <w:szCs w:val="20"/>
              </w:rPr>
              <w:t>--</w:t>
            </w:r>
          </w:p>
        </w:tc>
        <w:tc>
          <w:tcPr>
            <w:tcW w:w="765" w:type="dxa"/>
            <w:gridSpan w:val="2"/>
            <w:tcBorders>
              <w:top w:val="nil"/>
              <w:bottom w:val="nil"/>
              <w:right w:val="double" w:sz="4" w:space="0" w:color="auto"/>
            </w:tcBorders>
            <w:shd w:val="clear" w:color="auto" w:fill="FFFFFF"/>
            <w:vAlign w:val="center"/>
          </w:tcPr>
          <w:p w14:paraId="3D5A0A3B" w14:textId="77777777" w:rsidR="00FE3EAF" w:rsidRPr="00FE3EAF" w:rsidRDefault="00FE3EAF" w:rsidP="00FE3EAF">
            <w:pPr>
              <w:jc w:val="right"/>
              <w:rPr>
                <w:rFonts w:eastAsia="Calibri"/>
                <w:sz w:val="20"/>
                <w:szCs w:val="20"/>
              </w:rPr>
            </w:pPr>
          </w:p>
        </w:tc>
        <w:tc>
          <w:tcPr>
            <w:tcW w:w="810" w:type="dxa"/>
            <w:tcBorders>
              <w:top w:val="nil"/>
              <w:left w:val="double" w:sz="4" w:space="0" w:color="auto"/>
              <w:bottom w:val="nil"/>
              <w:right w:val="single" w:sz="4" w:space="0" w:color="auto"/>
            </w:tcBorders>
            <w:shd w:val="clear" w:color="auto" w:fill="FFFFFF"/>
            <w:vAlign w:val="center"/>
          </w:tcPr>
          <w:p w14:paraId="424753F2" w14:textId="77777777" w:rsidR="00FE3EAF" w:rsidRPr="00FE3EAF" w:rsidRDefault="00FE3EAF" w:rsidP="00FE3EAF">
            <w:pPr>
              <w:jc w:val="right"/>
              <w:rPr>
                <w:rFonts w:eastAsia="Calibri"/>
                <w:sz w:val="20"/>
                <w:szCs w:val="20"/>
              </w:rPr>
            </w:pPr>
            <w:r w:rsidRPr="00FE3EAF">
              <w:rPr>
                <w:rFonts w:eastAsia="Calibri"/>
                <w:sz w:val="20"/>
                <w:szCs w:val="20"/>
              </w:rPr>
              <w:t>--</w:t>
            </w:r>
          </w:p>
        </w:tc>
        <w:tc>
          <w:tcPr>
            <w:tcW w:w="810" w:type="dxa"/>
            <w:tcBorders>
              <w:top w:val="nil"/>
              <w:left w:val="single" w:sz="4" w:space="0" w:color="auto"/>
              <w:bottom w:val="nil"/>
              <w:right w:val="double" w:sz="4" w:space="0" w:color="auto"/>
            </w:tcBorders>
            <w:shd w:val="clear" w:color="auto" w:fill="FFFFFF"/>
            <w:vAlign w:val="center"/>
          </w:tcPr>
          <w:p w14:paraId="456C54F0" w14:textId="77777777" w:rsidR="00FE3EAF" w:rsidRPr="00FE3EAF" w:rsidRDefault="00FE3EAF" w:rsidP="00FE3EAF">
            <w:pPr>
              <w:jc w:val="right"/>
              <w:rPr>
                <w:rFonts w:eastAsia="Calibri"/>
                <w:sz w:val="20"/>
                <w:szCs w:val="20"/>
              </w:rPr>
            </w:pPr>
          </w:p>
        </w:tc>
      </w:tr>
      <w:tr w:rsidR="00FE3EAF" w:rsidRPr="00FE3EAF" w14:paraId="62B47A24" w14:textId="77777777" w:rsidTr="00810642">
        <w:tc>
          <w:tcPr>
            <w:tcW w:w="3330" w:type="dxa"/>
            <w:tcBorders>
              <w:top w:val="nil"/>
              <w:left w:val="double" w:sz="4" w:space="0" w:color="auto"/>
              <w:bottom w:val="nil"/>
              <w:right w:val="double" w:sz="4" w:space="0" w:color="auto"/>
            </w:tcBorders>
          </w:tcPr>
          <w:p w14:paraId="63015DCA" w14:textId="3196CBF8" w:rsidR="00FE3EAF" w:rsidRPr="00FE3EAF" w:rsidRDefault="00FE3EAF" w:rsidP="00FE3EAF">
            <w:pPr>
              <w:jc w:val="left"/>
              <w:rPr>
                <w:rFonts w:eastAsia="Calibri"/>
                <w:b/>
                <w:i/>
                <w:sz w:val="18"/>
                <w:szCs w:val="18"/>
                <w:u w:val="single"/>
              </w:rPr>
            </w:pPr>
            <w:bookmarkStart w:id="64" w:name="_Hlk128383027"/>
            <w:r w:rsidRPr="00FE3EAF">
              <w:rPr>
                <w:rFonts w:eastAsia="Calibri"/>
                <w:b/>
                <w:i/>
                <w:sz w:val="18"/>
                <w:szCs w:val="18"/>
                <w:u w:val="single"/>
              </w:rPr>
              <w:t>Employment  Characteristics</w:t>
            </w:r>
            <w:bookmarkEnd w:id="64"/>
          </w:p>
        </w:tc>
        <w:tc>
          <w:tcPr>
            <w:tcW w:w="765" w:type="dxa"/>
            <w:tcBorders>
              <w:top w:val="nil"/>
              <w:left w:val="double" w:sz="4" w:space="0" w:color="auto"/>
              <w:bottom w:val="nil"/>
            </w:tcBorders>
            <w:vAlign w:val="center"/>
          </w:tcPr>
          <w:p w14:paraId="4678072B" w14:textId="77777777" w:rsidR="00FE3EAF" w:rsidRPr="00FE3EAF" w:rsidRDefault="00FE3EAF" w:rsidP="00FE3EAF">
            <w:pPr>
              <w:jc w:val="right"/>
              <w:rPr>
                <w:rFonts w:eastAsia="Calibri"/>
                <w:sz w:val="20"/>
                <w:szCs w:val="20"/>
              </w:rPr>
            </w:pPr>
          </w:p>
        </w:tc>
        <w:tc>
          <w:tcPr>
            <w:tcW w:w="765" w:type="dxa"/>
            <w:tcBorders>
              <w:top w:val="nil"/>
              <w:bottom w:val="nil"/>
              <w:right w:val="single" w:sz="12" w:space="0" w:color="auto"/>
            </w:tcBorders>
            <w:vAlign w:val="center"/>
          </w:tcPr>
          <w:p w14:paraId="05B7CEF9" w14:textId="77777777" w:rsidR="00FE3EAF" w:rsidRPr="00FE3EAF" w:rsidRDefault="00FE3EAF" w:rsidP="00FE3EAF">
            <w:pPr>
              <w:jc w:val="right"/>
              <w:rPr>
                <w:rFonts w:eastAsia="Calibri"/>
                <w:sz w:val="20"/>
                <w:szCs w:val="20"/>
              </w:rPr>
            </w:pPr>
          </w:p>
        </w:tc>
        <w:tc>
          <w:tcPr>
            <w:tcW w:w="765" w:type="dxa"/>
            <w:gridSpan w:val="2"/>
            <w:tcBorders>
              <w:top w:val="nil"/>
              <w:left w:val="single" w:sz="12" w:space="0" w:color="auto"/>
              <w:bottom w:val="nil"/>
              <w:right w:val="single" w:sz="4" w:space="0" w:color="auto"/>
            </w:tcBorders>
            <w:shd w:val="clear" w:color="auto" w:fill="FFFFFF"/>
            <w:vAlign w:val="center"/>
          </w:tcPr>
          <w:p w14:paraId="778BCB78" w14:textId="77777777" w:rsidR="00FE3EAF" w:rsidRPr="00FE3EAF" w:rsidRDefault="00FE3EAF" w:rsidP="00FE3EAF">
            <w:pPr>
              <w:jc w:val="right"/>
              <w:rPr>
                <w:rFonts w:eastAsia="Calibri"/>
                <w:sz w:val="20"/>
                <w:szCs w:val="20"/>
              </w:rPr>
            </w:pPr>
          </w:p>
        </w:tc>
        <w:tc>
          <w:tcPr>
            <w:tcW w:w="765" w:type="dxa"/>
            <w:tcBorders>
              <w:top w:val="nil"/>
              <w:left w:val="single" w:sz="4" w:space="0" w:color="auto"/>
              <w:bottom w:val="nil"/>
              <w:right w:val="single" w:sz="12" w:space="0" w:color="auto"/>
            </w:tcBorders>
            <w:shd w:val="clear" w:color="auto" w:fill="FFFFFF"/>
            <w:vAlign w:val="center"/>
          </w:tcPr>
          <w:p w14:paraId="4909B075" w14:textId="77777777" w:rsidR="00FE3EAF" w:rsidRPr="00FE3EAF" w:rsidRDefault="00FE3EAF" w:rsidP="00FE3EAF">
            <w:pPr>
              <w:jc w:val="right"/>
              <w:rPr>
                <w:rFonts w:eastAsia="Calibri"/>
                <w:sz w:val="20"/>
                <w:szCs w:val="20"/>
              </w:rPr>
            </w:pPr>
          </w:p>
        </w:tc>
        <w:tc>
          <w:tcPr>
            <w:tcW w:w="765" w:type="dxa"/>
            <w:tcBorders>
              <w:top w:val="nil"/>
              <w:left w:val="single" w:sz="12" w:space="0" w:color="auto"/>
              <w:bottom w:val="nil"/>
            </w:tcBorders>
            <w:shd w:val="clear" w:color="auto" w:fill="FFFFFF"/>
            <w:vAlign w:val="center"/>
          </w:tcPr>
          <w:p w14:paraId="13C347B5" w14:textId="77777777" w:rsidR="00FE3EAF" w:rsidRPr="00FE3EAF" w:rsidRDefault="00FE3EAF" w:rsidP="00FE3EAF">
            <w:pPr>
              <w:jc w:val="right"/>
              <w:rPr>
                <w:rFonts w:eastAsia="Calibri"/>
                <w:sz w:val="20"/>
                <w:szCs w:val="20"/>
              </w:rPr>
            </w:pPr>
          </w:p>
        </w:tc>
        <w:tc>
          <w:tcPr>
            <w:tcW w:w="765" w:type="dxa"/>
            <w:gridSpan w:val="2"/>
            <w:tcBorders>
              <w:top w:val="nil"/>
              <w:bottom w:val="nil"/>
              <w:right w:val="double" w:sz="4" w:space="0" w:color="auto"/>
            </w:tcBorders>
            <w:shd w:val="clear" w:color="auto" w:fill="FFFFFF"/>
            <w:vAlign w:val="center"/>
          </w:tcPr>
          <w:p w14:paraId="45A29E01" w14:textId="77777777" w:rsidR="00FE3EAF" w:rsidRPr="00FE3EAF" w:rsidRDefault="00FE3EAF" w:rsidP="00FE3EAF">
            <w:pPr>
              <w:jc w:val="right"/>
              <w:rPr>
                <w:rFonts w:eastAsia="Calibri"/>
                <w:sz w:val="20"/>
                <w:szCs w:val="20"/>
              </w:rPr>
            </w:pPr>
          </w:p>
        </w:tc>
        <w:tc>
          <w:tcPr>
            <w:tcW w:w="810" w:type="dxa"/>
            <w:tcBorders>
              <w:top w:val="nil"/>
              <w:left w:val="double" w:sz="4" w:space="0" w:color="auto"/>
              <w:bottom w:val="nil"/>
              <w:right w:val="single" w:sz="4" w:space="0" w:color="auto"/>
            </w:tcBorders>
            <w:shd w:val="clear" w:color="auto" w:fill="FFFFFF"/>
            <w:vAlign w:val="center"/>
          </w:tcPr>
          <w:p w14:paraId="0A946F7F" w14:textId="77777777" w:rsidR="00FE3EAF" w:rsidRPr="00FE3EAF" w:rsidRDefault="00FE3EAF" w:rsidP="00FE3EAF">
            <w:pPr>
              <w:jc w:val="right"/>
              <w:rPr>
                <w:rFonts w:eastAsia="Calibri"/>
                <w:sz w:val="20"/>
                <w:szCs w:val="20"/>
              </w:rPr>
            </w:pPr>
          </w:p>
        </w:tc>
        <w:tc>
          <w:tcPr>
            <w:tcW w:w="810" w:type="dxa"/>
            <w:tcBorders>
              <w:top w:val="nil"/>
              <w:left w:val="single" w:sz="4" w:space="0" w:color="auto"/>
              <w:bottom w:val="nil"/>
              <w:right w:val="double" w:sz="4" w:space="0" w:color="auto"/>
            </w:tcBorders>
            <w:shd w:val="clear" w:color="auto" w:fill="FFFFFF"/>
            <w:vAlign w:val="center"/>
          </w:tcPr>
          <w:p w14:paraId="7B861A86" w14:textId="77777777" w:rsidR="00FE3EAF" w:rsidRPr="00FE3EAF" w:rsidRDefault="00FE3EAF" w:rsidP="00FE3EAF">
            <w:pPr>
              <w:jc w:val="right"/>
              <w:rPr>
                <w:rFonts w:eastAsia="Calibri"/>
                <w:sz w:val="20"/>
                <w:szCs w:val="20"/>
              </w:rPr>
            </w:pPr>
          </w:p>
        </w:tc>
      </w:tr>
      <w:tr w:rsidR="00FE3EAF" w:rsidRPr="00FE3EAF" w14:paraId="7D0323B9" w14:textId="77777777" w:rsidTr="00810642">
        <w:tc>
          <w:tcPr>
            <w:tcW w:w="3330" w:type="dxa"/>
            <w:tcBorders>
              <w:top w:val="nil"/>
              <w:left w:val="double" w:sz="4" w:space="0" w:color="auto"/>
              <w:bottom w:val="nil"/>
              <w:right w:val="double" w:sz="4" w:space="0" w:color="auto"/>
            </w:tcBorders>
          </w:tcPr>
          <w:p w14:paraId="40BEB3D6" w14:textId="77777777" w:rsidR="00FE3EAF" w:rsidRPr="00FE3EAF" w:rsidRDefault="00FE3EAF" w:rsidP="00FE3EAF">
            <w:pPr>
              <w:jc w:val="left"/>
              <w:rPr>
                <w:rFonts w:eastAsia="Calibri"/>
                <w:b/>
                <w:sz w:val="18"/>
                <w:szCs w:val="18"/>
              </w:rPr>
            </w:pPr>
            <w:r w:rsidRPr="00FE3EAF">
              <w:rPr>
                <w:rFonts w:eastAsia="Calibri"/>
                <w:b/>
                <w:sz w:val="18"/>
                <w:szCs w:val="18"/>
              </w:rPr>
              <w:t>Employment density (medium-to-low)</w:t>
            </w:r>
          </w:p>
        </w:tc>
        <w:tc>
          <w:tcPr>
            <w:tcW w:w="765" w:type="dxa"/>
            <w:tcBorders>
              <w:top w:val="nil"/>
              <w:left w:val="double" w:sz="4" w:space="0" w:color="auto"/>
              <w:bottom w:val="nil"/>
            </w:tcBorders>
            <w:vAlign w:val="center"/>
          </w:tcPr>
          <w:p w14:paraId="6F05DCC6" w14:textId="77777777" w:rsidR="00FE3EAF" w:rsidRPr="00FE3EAF" w:rsidRDefault="00FE3EAF" w:rsidP="00FE3EAF">
            <w:pPr>
              <w:jc w:val="right"/>
              <w:rPr>
                <w:rFonts w:eastAsia="Calibri"/>
                <w:sz w:val="20"/>
                <w:szCs w:val="20"/>
              </w:rPr>
            </w:pPr>
          </w:p>
        </w:tc>
        <w:tc>
          <w:tcPr>
            <w:tcW w:w="765" w:type="dxa"/>
            <w:tcBorders>
              <w:top w:val="nil"/>
              <w:bottom w:val="nil"/>
              <w:right w:val="single" w:sz="12" w:space="0" w:color="auto"/>
            </w:tcBorders>
            <w:vAlign w:val="center"/>
          </w:tcPr>
          <w:p w14:paraId="4EF3956F" w14:textId="77777777" w:rsidR="00FE3EAF" w:rsidRPr="00FE3EAF" w:rsidRDefault="00FE3EAF" w:rsidP="00FE3EAF">
            <w:pPr>
              <w:jc w:val="right"/>
              <w:rPr>
                <w:rFonts w:eastAsia="Calibri"/>
                <w:sz w:val="20"/>
                <w:szCs w:val="20"/>
              </w:rPr>
            </w:pPr>
          </w:p>
        </w:tc>
        <w:tc>
          <w:tcPr>
            <w:tcW w:w="765" w:type="dxa"/>
            <w:gridSpan w:val="2"/>
            <w:tcBorders>
              <w:top w:val="nil"/>
              <w:left w:val="single" w:sz="12" w:space="0" w:color="auto"/>
              <w:bottom w:val="nil"/>
              <w:right w:val="single" w:sz="4" w:space="0" w:color="auto"/>
            </w:tcBorders>
            <w:shd w:val="clear" w:color="auto" w:fill="FFFFFF"/>
            <w:vAlign w:val="center"/>
          </w:tcPr>
          <w:p w14:paraId="71B8A6C0" w14:textId="77777777" w:rsidR="00FE3EAF" w:rsidRPr="00FE3EAF" w:rsidRDefault="00FE3EAF" w:rsidP="00FE3EAF">
            <w:pPr>
              <w:jc w:val="right"/>
              <w:rPr>
                <w:rFonts w:eastAsia="Calibri"/>
                <w:sz w:val="20"/>
                <w:szCs w:val="20"/>
              </w:rPr>
            </w:pPr>
          </w:p>
        </w:tc>
        <w:tc>
          <w:tcPr>
            <w:tcW w:w="765" w:type="dxa"/>
            <w:tcBorders>
              <w:top w:val="nil"/>
              <w:left w:val="single" w:sz="4" w:space="0" w:color="auto"/>
              <w:bottom w:val="nil"/>
              <w:right w:val="single" w:sz="12" w:space="0" w:color="auto"/>
            </w:tcBorders>
            <w:shd w:val="clear" w:color="auto" w:fill="FFFFFF"/>
            <w:vAlign w:val="center"/>
          </w:tcPr>
          <w:p w14:paraId="53E21560" w14:textId="77777777" w:rsidR="00FE3EAF" w:rsidRPr="00FE3EAF" w:rsidRDefault="00FE3EAF" w:rsidP="00FE3EAF">
            <w:pPr>
              <w:jc w:val="right"/>
              <w:rPr>
                <w:rFonts w:eastAsia="Calibri"/>
                <w:sz w:val="20"/>
                <w:szCs w:val="20"/>
              </w:rPr>
            </w:pPr>
          </w:p>
        </w:tc>
        <w:tc>
          <w:tcPr>
            <w:tcW w:w="765" w:type="dxa"/>
            <w:tcBorders>
              <w:top w:val="nil"/>
              <w:left w:val="single" w:sz="12" w:space="0" w:color="auto"/>
              <w:bottom w:val="nil"/>
            </w:tcBorders>
            <w:shd w:val="clear" w:color="auto" w:fill="FFFFFF"/>
            <w:vAlign w:val="center"/>
          </w:tcPr>
          <w:p w14:paraId="235AE702" w14:textId="77777777" w:rsidR="00FE3EAF" w:rsidRPr="00FE3EAF" w:rsidRDefault="00FE3EAF" w:rsidP="00FE3EAF">
            <w:pPr>
              <w:jc w:val="right"/>
              <w:rPr>
                <w:rFonts w:eastAsia="Calibri"/>
                <w:sz w:val="20"/>
                <w:szCs w:val="20"/>
              </w:rPr>
            </w:pPr>
          </w:p>
        </w:tc>
        <w:tc>
          <w:tcPr>
            <w:tcW w:w="765" w:type="dxa"/>
            <w:gridSpan w:val="2"/>
            <w:tcBorders>
              <w:top w:val="nil"/>
              <w:bottom w:val="nil"/>
              <w:right w:val="double" w:sz="4" w:space="0" w:color="auto"/>
            </w:tcBorders>
            <w:shd w:val="clear" w:color="auto" w:fill="FFFFFF"/>
            <w:vAlign w:val="center"/>
          </w:tcPr>
          <w:p w14:paraId="715CF71D" w14:textId="77777777" w:rsidR="00FE3EAF" w:rsidRPr="00FE3EAF" w:rsidRDefault="00FE3EAF" w:rsidP="00FE3EAF">
            <w:pPr>
              <w:jc w:val="right"/>
              <w:rPr>
                <w:rFonts w:eastAsia="Calibri"/>
                <w:sz w:val="20"/>
                <w:szCs w:val="20"/>
              </w:rPr>
            </w:pPr>
          </w:p>
        </w:tc>
        <w:tc>
          <w:tcPr>
            <w:tcW w:w="810" w:type="dxa"/>
            <w:tcBorders>
              <w:top w:val="nil"/>
              <w:left w:val="double" w:sz="4" w:space="0" w:color="auto"/>
              <w:bottom w:val="nil"/>
              <w:right w:val="single" w:sz="4" w:space="0" w:color="auto"/>
            </w:tcBorders>
            <w:shd w:val="clear" w:color="auto" w:fill="FFFFFF"/>
            <w:vAlign w:val="center"/>
          </w:tcPr>
          <w:p w14:paraId="16810701" w14:textId="77777777" w:rsidR="00FE3EAF" w:rsidRPr="00FE3EAF" w:rsidRDefault="00FE3EAF" w:rsidP="00FE3EAF">
            <w:pPr>
              <w:jc w:val="right"/>
              <w:rPr>
                <w:rFonts w:eastAsia="Calibri"/>
                <w:sz w:val="20"/>
                <w:szCs w:val="20"/>
              </w:rPr>
            </w:pPr>
          </w:p>
        </w:tc>
        <w:tc>
          <w:tcPr>
            <w:tcW w:w="810" w:type="dxa"/>
            <w:tcBorders>
              <w:top w:val="nil"/>
              <w:left w:val="single" w:sz="4" w:space="0" w:color="auto"/>
              <w:bottom w:val="nil"/>
              <w:right w:val="double" w:sz="4" w:space="0" w:color="auto"/>
            </w:tcBorders>
            <w:shd w:val="clear" w:color="auto" w:fill="FFFFFF"/>
            <w:vAlign w:val="center"/>
          </w:tcPr>
          <w:p w14:paraId="6EF66164" w14:textId="77777777" w:rsidR="00FE3EAF" w:rsidRPr="00FE3EAF" w:rsidRDefault="00FE3EAF" w:rsidP="00FE3EAF">
            <w:pPr>
              <w:jc w:val="right"/>
              <w:rPr>
                <w:rFonts w:eastAsia="Calibri"/>
                <w:sz w:val="20"/>
                <w:szCs w:val="20"/>
              </w:rPr>
            </w:pPr>
          </w:p>
        </w:tc>
      </w:tr>
      <w:tr w:rsidR="00FE3EAF" w:rsidRPr="00FE3EAF" w14:paraId="6760618D" w14:textId="77777777" w:rsidTr="00810642">
        <w:tc>
          <w:tcPr>
            <w:tcW w:w="3330" w:type="dxa"/>
            <w:tcBorders>
              <w:top w:val="nil"/>
              <w:left w:val="double" w:sz="4" w:space="0" w:color="auto"/>
              <w:bottom w:val="nil"/>
              <w:right w:val="double" w:sz="4" w:space="0" w:color="auto"/>
            </w:tcBorders>
          </w:tcPr>
          <w:p w14:paraId="7C7E6DB5" w14:textId="77777777" w:rsidR="00FE3EAF" w:rsidRPr="00FE3EAF" w:rsidRDefault="00FE3EAF" w:rsidP="00FE3EAF">
            <w:pPr>
              <w:jc w:val="left"/>
              <w:rPr>
                <w:rFonts w:eastAsia="Calibri"/>
                <w:sz w:val="18"/>
                <w:szCs w:val="18"/>
              </w:rPr>
            </w:pPr>
            <w:r w:rsidRPr="00FE3EAF">
              <w:rPr>
                <w:rFonts w:eastAsia="Calibri"/>
                <w:b/>
                <w:sz w:val="18"/>
                <w:szCs w:val="18"/>
              </w:rPr>
              <w:t xml:space="preserve"> </w:t>
            </w:r>
            <w:r w:rsidRPr="00FE3EAF">
              <w:rPr>
                <w:rFonts w:eastAsia="Calibri"/>
                <w:sz w:val="18"/>
                <w:szCs w:val="18"/>
              </w:rPr>
              <w:t>High</w:t>
            </w:r>
          </w:p>
        </w:tc>
        <w:tc>
          <w:tcPr>
            <w:tcW w:w="765" w:type="dxa"/>
            <w:tcBorders>
              <w:top w:val="nil"/>
              <w:left w:val="double" w:sz="4" w:space="0" w:color="auto"/>
              <w:bottom w:val="nil"/>
            </w:tcBorders>
            <w:vAlign w:val="bottom"/>
          </w:tcPr>
          <w:p w14:paraId="1943C28D" w14:textId="77777777" w:rsidR="00FE3EAF" w:rsidRPr="00FE3EAF" w:rsidRDefault="00FE3EAF" w:rsidP="00FE3EAF">
            <w:pPr>
              <w:jc w:val="right"/>
              <w:rPr>
                <w:rFonts w:eastAsia="Calibri"/>
                <w:sz w:val="20"/>
                <w:szCs w:val="20"/>
              </w:rPr>
            </w:pPr>
            <w:r w:rsidRPr="00FE3EAF">
              <w:rPr>
                <w:rFonts w:eastAsia="Calibri"/>
                <w:sz w:val="20"/>
                <w:szCs w:val="20"/>
              </w:rPr>
              <w:t>--</w:t>
            </w:r>
          </w:p>
        </w:tc>
        <w:tc>
          <w:tcPr>
            <w:tcW w:w="765" w:type="dxa"/>
            <w:tcBorders>
              <w:top w:val="nil"/>
              <w:bottom w:val="nil"/>
              <w:right w:val="single" w:sz="12" w:space="0" w:color="auto"/>
            </w:tcBorders>
            <w:vAlign w:val="bottom"/>
          </w:tcPr>
          <w:p w14:paraId="578B5032" w14:textId="77777777" w:rsidR="00FE3EAF" w:rsidRPr="00FE3EAF" w:rsidRDefault="00FE3EAF" w:rsidP="00FE3EAF">
            <w:pPr>
              <w:jc w:val="right"/>
              <w:rPr>
                <w:rFonts w:eastAsia="Calibri"/>
                <w:sz w:val="20"/>
                <w:szCs w:val="20"/>
              </w:rPr>
            </w:pPr>
          </w:p>
        </w:tc>
        <w:tc>
          <w:tcPr>
            <w:tcW w:w="765" w:type="dxa"/>
            <w:gridSpan w:val="2"/>
            <w:tcBorders>
              <w:top w:val="nil"/>
              <w:left w:val="single" w:sz="12" w:space="0" w:color="auto"/>
              <w:bottom w:val="nil"/>
              <w:right w:val="single" w:sz="4" w:space="0" w:color="auto"/>
            </w:tcBorders>
            <w:shd w:val="clear" w:color="auto" w:fill="FFFFFF"/>
            <w:vAlign w:val="bottom"/>
          </w:tcPr>
          <w:p w14:paraId="1690781E" w14:textId="77777777" w:rsidR="00FE3EAF" w:rsidRPr="00FE3EAF" w:rsidRDefault="00FE3EAF" w:rsidP="00FE3EAF">
            <w:pPr>
              <w:jc w:val="right"/>
              <w:rPr>
                <w:rFonts w:eastAsia="Calibri"/>
                <w:sz w:val="20"/>
                <w:szCs w:val="20"/>
              </w:rPr>
            </w:pPr>
            <w:r w:rsidRPr="00FE3EAF">
              <w:rPr>
                <w:rFonts w:eastAsia="Calibri"/>
                <w:sz w:val="20"/>
                <w:szCs w:val="20"/>
              </w:rPr>
              <w:t>-0.188</w:t>
            </w:r>
          </w:p>
        </w:tc>
        <w:tc>
          <w:tcPr>
            <w:tcW w:w="765" w:type="dxa"/>
            <w:tcBorders>
              <w:top w:val="nil"/>
              <w:left w:val="single" w:sz="4" w:space="0" w:color="auto"/>
              <w:bottom w:val="nil"/>
              <w:right w:val="single" w:sz="12" w:space="0" w:color="auto"/>
            </w:tcBorders>
            <w:shd w:val="clear" w:color="auto" w:fill="FFFFFF"/>
            <w:vAlign w:val="bottom"/>
          </w:tcPr>
          <w:p w14:paraId="3F5CC43B" w14:textId="77777777" w:rsidR="00FE3EAF" w:rsidRPr="00FE3EAF" w:rsidRDefault="00FE3EAF" w:rsidP="00FE3EAF">
            <w:pPr>
              <w:jc w:val="right"/>
              <w:rPr>
                <w:rFonts w:eastAsia="Calibri"/>
                <w:sz w:val="20"/>
                <w:szCs w:val="20"/>
              </w:rPr>
            </w:pPr>
            <w:r w:rsidRPr="00FE3EAF">
              <w:rPr>
                <w:rFonts w:eastAsia="Calibri"/>
                <w:sz w:val="20"/>
                <w:szCs w:val="20"/>
              </w:rPr>
              <w:t>-1.80</w:t>
            </w:r>
          </w:p>
        </w:tc>
        <w:tc>
          <w:tcPr>
            <w:tcW w:w="765" w:type="dxa"/>
            <w:tcBorders>
              <w:top w:val="nil"/>
              <w:left w:val="single" w:sz="12" w:space="0" w:color="auto"/>
              <w:bottom w:val="nil"/>
            </w:tcBorders>
            <w:shd w:val="clear" w:color="auto" w:fill="FFFFFF"/>
            <w:vAlign w:val="bottom"/>
          </w:tcPr>
          <w:p w14:paraId="64E0E126" w14:textId="77777777" w:rsidR="00FE3EAF" w:rsidRPr="00FE3EAF" w:rsidRDefault="00FE3EAF" w:rsidP="00FE3EAF">
            <w:pPr>
              <w:jc w:val="right"/>
              <w:rPr>
                <w:rFonts w:eastAsia="Calibri"/>
                <w:sz w:val="20"/>
                <w:szCs w:val="20"/>
              </w:rPr>
            </w:pPr>
            <w:r w:rsidRPr="00FE3EAF">
              <w:rPr>
                <w:rFonts w:eastAsia="Calibri"/>
                <w:sz w:val="20"/>
                <w:szCs w:val="20"/>
              </w:rPr>
              <w:t>-0.262</w:t>
            </w:r>
          </w:p>
        </w:tc>
        <w:tc>
          <w:tcPr>
            <w:tcW w:w="765" w:type="dxa"/>
            <w:gridSpan w:val="2"/>
            <w:tcBorders>
              <w:top w:val="nil"/>
              <w:bottom w:val="nil"/>
              <w:right w:val="double" w:sz="4" w:space="0" w:color="auto"/>
            </w:tcBorders>
            <w:shd w:val="clear" w:color="auto" w:fill="FFFFFF"/>
            <w:vAlign w:val="bottom"/>
          </w:tcPr>
          <w:p w14:paraId="222A6737" w14:textId="77777777" w:rsidR="00FE3EAF" w:rsidRPr="00FE3EAF" w:rsidRDefault="00FE3EAF" w:rsidP="00FE3EAF">
            <w:pPr>
              <w:jc w:val="right"/>
              <w:rPr>
                <w:rFonts w:eastAsia="Calibri"/>
                <w:sz w:val="20"/>
                <w:szCs w:val="20"/>
              </w:rPr>
            </w:pPr>
            <w:r w:rsidRPr="00FE3EAF">
              <w:rPr>
                <w:rFonts w:eastAsia="Calibri"/>
                <w:sz w:val="20"/>
                <w:szCs w:val="20"/>
              </w:rPr>
              <w:t>-1.68</w:t>
            </w:r>
          </w:p>
        </w:tc>
        <w:tc>
          <w:tcPr>
            <w:tcW w:w="810" w:type="dxa"/>
            <w:tcBorders>
              <w:top w:val="nil"/>
              <w:left w:val="double" w:sz="4" w:space="0" w:color="auto"/>
              <w:bottom w:val="nil"/>
              <w:right w:val="single" w:sz="4" w:space="0" w:color="auto"/>
            </w:tcBorders>
            <w:shd w:val="clear" w:color="auto" w:fill="FFFFFF"/>
            <w:vAlign w:val="bottom"/>
          </w:tcPr>
          <w:p w14:paraId="4FC67ED9" w14:textId="77777777" w:rsidR="00FE3EAF" w:rsidRPr="00FE3EAF" w:rsidRDefault="00FE3EAF" w:rsidP="00FE3EAF">
            <w:pPr>
              <w:jc w:val="right"/>
              <w:rPr>
                <w:rFonts w:eastAsia="Calibri"/>
                <w:sz w:val="20"/>
                <w:szCs w:val="20"/>
              </w:rPr>
            </w:pPr>
            <w:r w:rsidRPr="00FE3EAF">
              <w:rPr>
                <w:rFonts w:eastAsia="Calibri"/>
                <w:sz w:val="20"/>
                <w:szCs w:val="20"/>
              </w:rPr>
              <w:t>-0.113</w:t>
            </w:r>
          </w:p>
        </w:tc>
        <w:tc>
          <w:tcPr>
            <w:tcW w:w="810" w:type="dxa"/>
            <w:tcBorders>
              <w:top w:val="nil"/>
              <w:left w:val="single" w:sz="4" w:space="0" w:color="auto"/>
              <w:bottom w:val="nil"/>
              <w:right w:val="double" w:sz="4" w:space="0" w:color="auto"/>
            </w:tcBorders>
            <w:shd w:val="clear" w:color="auto" w:fill="FFFFFF"/>
            <w:vAlign w:val="bottom"/>
          </w:tcPr>
          <w:p w14:paraId="0CFD2AD2" w14:textId="77777777" w:rsidR="00FE3EAF" w:rsidRPr="00FE3EAF" w:rsidRDefault="00FE3EAF" w:rsidP="00FE3EAF">
            <w:pPr>
              <w:jc w:val="right"/>
              <w:rPr>
                <w:rFonts w:eastAsia="Calibri"/>
                <w:sz w:val="20"/>
                <w:szCs w:val="20"/>
              </w:rPr>
            </w:pPr>
            <w:r w:rsidRPr="00FE3EAF">
              <w:rPr>
                <w:rFonts w:eastAsia="Calibri"/>
                <w:sz w:val="20"/>
                <w:szCs w:val="20"/>
              </w:rPr>
              <w:t>-1.69</w:t>
            </w:r>
          </w:p>
        </w:tc>
      </w:tr>
      <w:tr w:rsidR="00FE3EAF" w:rsidRPr="00FE3EAF" w14:paraId="227573F7" w14:textId="77777777" w:rsidTr="00810642">
        <w:tc>
          <w:tcPr>
            <w:tcW w:w="3330" w:type="dxa"/>
            <w:tcBorders>
              <w:top w:val="nil"/>
              <w:left w:val="double" w:sz="4" w:space="0" w:color="auto"/>
              <w:bottom w:val="nil"/>
              <w:right w:val="double" w:sz="4" w:space="0" w:color="auto"/>
            </w:tcBorders>
          </w:tcPr>
          <w:p w14:paraId="778B3EF4" w14:textId="0A7B9053" w:rsidR="00FE3EAF" w:rsidRPr="00FE3EAF" w:rsidRDefault="00FE3EAF" w:rsidP="00FE3EAF">
            <w:pPr>
              <w:jc w:val="left"/>
              <w:rPr>
                <w:rFonts w:eastAsia="Calibri"/>
                <w:b/>
                <w:sz w:val="18"/>
                <w:szCs w:val="18"/>
              </w:rPr>
            </w:pPr>
            <w:r w:rsidRPr="00FE3EAF">
              <w:rPr>
                <w:rFonts w:eastAsia="Calibri"/>
                <w:b/>
                <w:sz w:val="18"/>
                <w:szCs w:val="18"/>
              </w:rPr>
              <w:t>Employment Status (employed full-time</w:t>
            </w:r>
            <w:r w:rsidR="00331488">
              <w:rPr>
                <w:rFonts w:eastAsia="Calibri"/>
                <w:b/>
                <w:sz w:val="18"/>
                <w:szCs w:val="18"/>
              </w:rPr>
              <w:t xml:space="preserve"> - ≥ 30 hours per </w:t>
            </w:r>
            <w:proofErr w:type="spellStart"/>
            <w:r w:rsidR="00331488">
              <w:rPr>
                <w:rFonts w:eastAsia="Calibri"/>
                <w:b/>
                <w:sz w:val="18"/>
                <w:szCs w:val="18"/>
              </w:rPr>
              <w:t>wk</w:t>
            </w:r>
            <w:proofErr w:type="spellEnd"/>
            <w:r w:rsidRPr="00FE3EAF">
              <w:rPr>
                <w:rFonts w:eastAsia="Calibri"/>
                <w:b/>
                <w:sz w:val="18"/>
                <w:szCs w:val="18"/>
              </w:rPr>
              <w:t>)</w:t>
            </w:r>
          </w:p>
        </w:tc>
        <w:tc>
          <w:tcPr>
            <w:tcW w:w="765" w:type="dxa"/>
            <w:tcBorders>
              <w:top w:val="nil"/>
              <w:left w:val="double" w:sz="4" w:space="0" w:color="auto"/>
              <w:bottom w:val="nil"/>
            </w:tcBorders>
            <w:vAlign w:val="center"/>
          </w:tcPr>
          <w:p w14:paraId="33FB0396" w14:textId="77777777" w:rsidR="00FE3EAF" w:rsidRPr="00FE3EAF" w:rsidRDefault="00FE3EAF" w:rsidP="00FE3EAF">
            <w:pPr>
              <w:jc w:val="right"/>
              <w:rPr>
                <w:rFonts w:eastAsia="Calibri"/>
                <w:sz w:val="20"/>
                <w:szCs w:val="20"/>
              </w:rPr>
            </w:pPr>
          </w:p>
        </w:tc>
        <w:tc>
          <w:tcPr>
            <w:tcW w:w="765" w:type="dxa"/>
            <w:tcBorders>
              <w:top w:val="nil"/>
              <w:bottom w:val="nil"/>
              <w:right w:val="single" w:sz="12" w:space="0" w:color="auto"/>
            </w:tcBorders>
            <w:vAlign w:val="center"/>
          </w:tcPr>
          <w:p w14:paraId="3FC56F87" w14:textId="77777777" w:rsidR="00FE3EAF" w:rsidRPr="00FE3EAF" w:rsidRDefault="00FE3EAF" w:rsidP="00FE3EAF">
            <w:pPr>
              <w:jc w:val="right"/>
              <w:rPr>
                <w:rFonts w:eastAsia="Calibri"/>
                <w:sz w:val="20"/>
                <w:szCs w:val="20"/>
              </w:rPr>
            </w:pPr>
          </w:p>
        </w:tc>
        <w:tc>
          <w:tcPr>
            <w:tcW w:w="765" w:type="dxa"/>
            <w:gridSpan w:val="2"/>
            <w:tcBorders>
              <w:top w:val="nil"/>
              <w:left w:val="single" w:sz="12" w:space="0" w:color="auto"/>
              <w:bottom w:val="nil"/>
              <w:right w:val="single" w:sz="4" w:space="0" w:color="auto"/>
            </w:tcBorders>
            <w:shd w:val="clear" w:color="auto" w:fill="FFFFFF"/>
            <w:vAlign w:val="center"/>
          </w:tcPr>
          <w:p w14:paraId="14546650" w14:textId="77777777" w:rsidR="00FE3EAF" w:rsidRPr="00FE3EAF" w:rsidRDefault="00FE3EAF" w:rsidP="00FE3EAF">
            <w:pPr>
              <w:jc w:val="right"/>
              <w:rPr>
                <w:rFonts w:eastAsia="Calibri"/>
                <w:sz w:val="20"/>
                <w:szCs w:val="20"/>
              </w:rPr>
            </w:pPr>
          </w:p>
        </w:tc>
        <w:tc>
          <w:tcPr>
            <w:tcW w:w="765" w:type="dxa"/>
            <w:tcBorders>
              <w:top w:val="nil"/>
              <w:left w:val="single" w:sz="4" w:space="0" w:color="auto"/>
              <w:bottom w:val="nil"/>
              <w:right w:val="single" w:sz="12" w:space="0" w:color="auto"/>
            </w:tcBorders>
            <w:shd w:val="clear" w:color="auto" w:fill="FFFFFF"/>
            <w:vAlign w:val="center"/>
          </w:tcPr>
          <w:p w14:paraId="04E5BD7E" w14:textId="77777777" w:rsidR="00FE3EAF" w:rsidRPr="00FE3EAF" w:rsidRDefault="00FE3EAF" w:rsidP="00FE3EAF">
            <w:pPr>
              <w:jc w:val="right"/>
              <w:rPr>
                <w:rFonts w:eastAsia="Calibri"/>
                <w:sz w:val="20"/>
                <w:szCs w:val="20"/>
              </w:rPr>
            </w:pPr>
          </w:p>
        </w:tc>
        <w:tc>
          <w:tcPr>
            <w:tcW w:w="765" w:type="dxa"/>
            <w:tcBorders>
              <w:top w:val="nil"/>
              <w:left w:val="single" w:sz="12" w:space="0" w:color="auto"/>
              <w:bottom w:val="nil"/>
            </w:tcBorders>
            <w:shd w:val="clear" w:color="auto" w:fill="FFFFFF"/>
            <w:vAlign w:val="center"/>
          </w:tcPr>
          <w:p w14:paraId="7CA3479D" w14:textId="77777777" w:rsidR="00FE3EAF" w:rsidRPr="00FE3EAF" w:rsidRDefault="00FE3EAF" w:rsidP="00FE3EAF">
            <w:pPr>
              <w:jc w:val="right"/>
              <w:rPr>
                <w:rFonts w:eastAsia="Calibri"/>
                <w:sz w:val="20"/>
                <w:szCs w:val="20"/>
              </w:rPr>
            </w:pPr>
          </w:p>
        </w:tc>
        <w:tc>
          <w:tcPr>
            <w:tcW w:w="765" w:type="dxa"/>
            <w:gridSpan w:val="2"/>
            <w:tcBorders>
              <w:top w:val="nil"/>
              <w:bottom w:val="nil"/>
              <w:right w:val="double" w:sz="4" w:space="0" w:color="auto"/>
            </w:tcBorders>
            <w:shd w:val="clear" w:color="auto" w:fill="FFFFFF"/>
            <w:vAlign w:val="center"/>
          </w:tcPr>
          <w:p w14:paraId="1EFF3EC2" w14:textId="77777777" w:rsidR="00FE3EAF" w:rsidRPr="00FE3EAF" w:rsidRDefault="00FE3EAF" w:rsidP="00FE3EAF">
            <w:pPr>
              <w:jc w:val="right"/>
              <w:rPr>
                <w:rFonts w:eastAsia="Calibri"/>
                <w:sz w:val="20"/>
                <w:szCs w:val="20"/>
              </w:rPr>
            </w:pPr>
          </w:p>
        </w:tc>
        <w:tc>
          <w:tcPr>
            <w:tcW w:w="810" w:type="dxa"/>
            <w:tcBorders>
              <w:top w:val="nil"/>
              <w:left w:val="double" w:sz="4" w:space="0" w:color="auto"/>
              <w:bottom w:val="nil"/>
              <w:right w:val="single" w:sz="4" w:space="0" w:color="auto"/>
            </w:tcBorders>
            <w:shd w:val="clear" w:color="auto" w:fill="FFFFFF"/>
            <w:vAlign w:val="center"/>
          </w:tcPr>
          <w:p w14:paraId="41176188" w14:textId="77777777" w:rsidR="00FE3EAF" w:rsidRPr="00FE3EAF" w:rsidRDefault="00FE3EAF" w:rsidP="00FE3EAF">
            <w:pPr>
              <w:jc w:val="right"/>
              <w:rPr>
                <w:rFonts w:eastAsia="Calibri"/>
                <w:sz w:val="20"/>
                <w:szCs w:val="20"/>
              </w:rPr>
            </w:pPr>
          </w:p>
        </w:tc>
        <w:tc>
          <w:tcPr>
            <w:tcW w:w="810" w:type="dxa"/>
            <w:tcBorders>
              <w:top w:val="nil"/>
              <w:left w:val="single" w:sz="4" w:space="0" w:color="auto"/>
              <w:bottom w:val="nil"/>
              <w:right w:val="double" w:sz="4" w:space="0" w:color="auto"/>
            </w:tcBorders>
            <w:shd w:val="clear" w:color="auto" w:fill="FFFFFF"/>
            <w:vAlign w:val="center"/>
          </w:tcPr>
          <w:p w14:paraId="39057C11" w14:textId="77777777" w:rsidR="00FE3EAF" w:rsidRPr="00FE3EAF" w:rsidRDefault="00FE3EAF" w:rsidP="00FE3EAF">
            <w:pPr>
              <w:jc w:val="right"/>
              <w:rPr>
                <w:rFonts w:eastAsia="Calibri"/>
                <w:sz w:val="20"/>
                <w:szCs w:val="20"/>
              </w:rPr>
            </w:pPr>
          </w:p>
        </w:tc>
      </w:tr>
      <w:tr w:rsidR="00FE3EAF" w:rsidRPr="00FE3EAF" w14:paraId="79C964F1" w14:textId="77777777" w:rsidTr="00810642">
        <w:tc>
          <w:tcPr>
            <w:tcW w:w="3330" w:type="dxa"/>
            <w:tcBorders>
              <w:top w:val="nil"/>
              <w:left w:val="double" w:sz="4" w:space="0" w:color="auto"/>
              <w:bottom w:val="nil"/>
              <w:right w:val="double" w:sz="4" w:space="0" w:color="auto"/>
            </w:tcBorders>
          </w:tcPr>
          <w:p w14:paraId="0EEE91C4" w14:textId="0AB0EB97" w:rsidR="00FE3EAF" w:rsidRPr="00FE3EAF" w:rsidRDefault="00FE3EAF" w:rsidP="00FE3EAF">
            <w:pPr>
              <w:jc w:val="left"/>
              <w:rPr>
                <w:rFonts w:eastAsia="Calibri"/>
                <w:sz w:val="18"/>
                <w:szCs w:val="18"/>
              </w:rPr>
            </w:pPr>
            <w:r w:rsidRPr="00FE3EAF">
              <w:rPr>
                <w:rFonts w:eastAsia="Calibri"/>
                <w:b/>
                <w:i/>
                <w:sz w:val="18"/>
                <w:szCs w:val="18"/>
              </w:rPr>
              <w:t xml:space="preserve"> </w:t>
            </w:r>
            <w:r w:rsidRPr="00FE3EAF">
              <w:rPr>
                <w:rFonts w:eastAsia="Calibri"/>
                <w:sz w:val="18"/>
                <w:szCs w:val="18"/>
              </w:rPr>
              <w:t>Employed part-time</w:t>
            </w:r>
            <w:r w:rsidR="00331488">
              <w:rPr>
                <w:rFonts w:eastAsia="Calibri"/>
                <w:sz w:val="18"/>
                <w:szCs w:val="18"/>
              </w:rPr>
              <w:t xml:space="preserve"> (&lt;30 hours/</w:t>
            </w:r>
            <w:proofErr w:type="spellStart"/>
            <w:r w:rsidR="00331488">
              <w:rPr>
                <w:rFonts w:eastAsia="Calibri"/>
                <w:sz w:val="18"/>
                <w:szCs w:val="18"/>
              </w:rPr>
              <w:t>wk</w:t>
            </w:r>
            <w:proofErr w:type="spellEnd"/>
            <w:r w:rsidR="00331488">
              <w:rPr>
                <w:rFonts w:eastAsia="Calibri"/>
                <w:sz w:val="18"/>
                <w:szCs w:val="18"/>
              </w:rPr>
              <w:t>)</w:t>
            </w:r>
          </w:p>
        </w:tc>
        <w:tc>
          <w:tcPr>
            <w:tcW w:w="765" w:type="dxa"/>
            <w:tcBorders>
              <w:top w:val="nil"/>
              <w:left w:val="double" w:sz="4" w:space="0" w:color="auto"/>
              <w:bottom w:val="nil"/>
            </w:tcBorders>
            <w:vAlign w:val="center"/>
          </w:tcPr>
          <w:p w14:paraId="715AC72B" w14:textId="77777777" w:rsidR="00FE3EAF" w:rsidRPr="00FE3EAF" w:rsidRDefault="00FE3EAF" w:rsidP="00FE3EAF">
            <w:pPr>
              <w:jc w:val="right"/>
              <w:rPr>
                <w:rFonts w:eastAsia="Calibri"/>
                <w:sz w:val="20"/>
                <w:szCs w:val="20"/>
              </w:rPr>
            </w:pPr>
            <w:r w:rsidRPr="00FE3EAF">
              <w:rPr>
                <w:rFonts w:eastAsia="Calibri"/>
                <w:sz w:val="20"/>
                <w:szCs w:val="20"/>
              </w:rPr>
              <w:t>--</w:t>
            </w:r>
          </w:p>
        </w:tc>
        <w:tc>
          <w:tcPr>
            <w:tcW w:w="765" w:type="dxa"/>
            <w:tcBorders>
              <w:top w:val="nil"/>
              <w:bottom w:val="nil"/>
              <w:right w:val="single" w:sz="12" w:space="0" w:color="auto"/>
            </w:tcBorders>
            <w:vAlign w:val="center"/>
          </w:tcPr>
          <w:p w14:paraId="4297BAF3" w14:textId="77777777" w:rsidR="00FE3EAF" w:rsidRPr="00FE3EAF" w:rsidRDefault="00FE3EAF" w:rsidP="00FE3EAF">
            <w:pPr>
              <w:jc w:val="right"/>
              <w:rPr>
                <w:rFonts w:eastAsia="Calibri"/>
                <w:sz w:val="20"/>
                <w:szCs w:val="20"/>
              </w:rPr>
            </w:pPr>
          </w:p>
        </w:tc>
        <w:tc>
          <w:tcPr>
            <w:tcW w:w="765" w:type="dxa"/>
            <w:gridSpan w:val="2"/>
            <w:tcBorders>
              <w:top w:val="nil"/>
              <w:left w:val="single" w:sz="12" w:space="0" w:color="auto"/>
              <w:bottom w:val="nil"/>
              <w:right w:val="single" w:sz="4" w:space="0" w:color="auto"/>
            </w:tcBorders>
            <w:shd w:val="clear" w:color="auto" w:fill="FFFFFF"/>
            <w:vAlign w:val="center"/>
          </w:tcPr>
          <w:p w14:paraId="51EBDFB5" w14:textId="77777777" w:rsidR="00FE3EAF" w:rsidRPr="00FE3EAF" w:rsidRDefault="00FE3EAF" w:rsidP="00FE3EAF">
            <w:pPr>
              <w:jc w:val="right"/>
              <w:rPr>
                <w:rFonts w:eastAsia="Calibri"/>
                <w:sz w:val="20"/>
                <w:szCs w:val="20"/>
              </w:rPr>
            </w:pPr>
            <w:r w:rsidRPr="00FE3EAF">
              <w:rPr>
                <w:rFonts w:eastAsia="Calibri"/>
                <w:sz w:val="20"/>
                <w:szCs w:val="20"/>
              </w:rPr>
              <w:t>--</w:t>
            </w:r>
          </w:p>
        </w:tc>
        <w:tc>
          <w:tcPr>
            <w:tcW w:w="765" w:type="dxa"/>
            <w:tcBorders>
              <w:top w:val="nil"/>
              <w:left w:val="single" w:sz="4" w:space="0" w:color="auto"/>
              <w:bottom w:val="nil"/>
              <w:right w:val="single" w:sz="12" w:space="0" w:color="auto"/>
            </w:tcBorders>
            <w:shd w:val="clear" w:color="auto" w:fill="FFFFFF"/>
            <w:vAlign w:val="center"/>
          </w:tcPr>
          <w:p w14:paraId="60F1FE04" w14:textId="77777777" w:rsidR="00FE3EAF" w:rsidRPr="00FE3EAF" w:rsidRDefault="00FE3EAF" w:rsidP="00FE3EAF">
            <w:pPr>
              <w:jc w:val="right"/>
              <w:rPr>
                <w:rFonts w:eastAsia="Calibri"/>
                <w:sz w:val="20"/>
                <w:szCs w:val="20"/>
              </w:rPr>
            </w:pPr>
          </w:p>
        </w:tc>
        <w:tc>
          <w:tcPr>
            <w:tcW w:w="765" w:type="dxa"/>
            <w:tcBorders>
              <w:top w:val="nil"/>
              <w:left w:val="single" w:sz="12" w:space="0" w:color="auto"/>
              <w:bottom w:val="nil"/>
            </w:tcBorders>
            <w:shd w:val="clear" w:color="auto" w:fill="FFFFFF"/>
            <w:vAlign w:val="center"/>
          </w:tcPr>
          <w:p w14:paraId="3EAAC26F" w14:textId="77777777" w:rsidR="00FE3EAF" w:rsidRPr="00FE3EAF" w:rsidRDefault="00FE3EAF" w:rsidP="00FE3EAF">
            <w:pPr>
              <w:jc w:val="right"/>
              <w:rPr>
                <w:rFonts w:eastAsia="Calibri"/>
                <w:sz w:val="20"/>
                <w:szCs w:val="20"/>
              </w:rPr>
            </w:pPr>
            <w:r w:rsidRPr="00FE3EAF">
              <w:rPr>
                <w:rFonts w:eastAsia="Calibri"/>
                <w:sz w:val="20"/>
                <w:szCs w:val="20"/>
              </w:rPr>
              <w:t>--</w:t>
            </w:r>
          </w:p>
        </w:tc>
        <w:tc>
          <w:tcPr>
            <w:tcW w:w="765" w:type="dxa"/>
            <w:gridSpan w:val="2"/>
            <w:tcBorders>
              <w:top w:val="nil"/>
              <w:bottom w:val="nil"/>
              <w:right w:val="double" w:sz="4" w:space="0" w:color="auto"/>
            </w:tcBorders>
            <w:shd w:val="clear" w:color="auto" w:fill="FFFFFF"/>
            <w:vAlign w:val="center"/>
          </w:tcPr>
          <w:p w14:paraId="37F1F424" w14:textId="77777777" w:rsidR="00FE3EAF" w:rsidRPr="00FE3EAF" w:rsidRDefault="00FE3EAF" w:rsidP="00FE3EAF">
            <w:pPr>
              <w:jc w:val="right"/>
              <w:rPr>
                <w:rFonts w:eastAsia="Calibri"/>
                <w:sz w:val="20"/>
                <w:szCs w:val="20"/>
              </w:rPr>
            </w:pPr>
          </w:p>
        </w:tc>
        <w:tc>
          <w:tcPr>
            <w:tcW w:w="810" w:type="dxa"/>
            <w:tcBorders>
              <w:top w:val="nil"/>
              <w:left w:val="double" w:sz="4" w:space="0" w:color="auto"/>
              <w:bottom w:val="nil"/>
              <w:right w:val="single" w:sz="4" w:space="0" w:color="auto"/>
            </w:tcBorders>
            <w:shd w:val="clear" w:color="auto" w:fill="FFFFFF"/>
            <w:vAlign w:val="bottom"/>
          </w:tcPr>
          <w:p w14:paraId="582FDE6C" w14:textId="77777777" w:rsidR="00FE3EAF" w:rsidRPr="00FE3EAF" w:rsidRDefault="00FE3EAF" w:rsidP="00FE3EAF">
            <w:pPr>
              <w:jc w:val="right"/>
              <w:rPr>
                <w:rFonts w:eastAsia="Calibri"/>
                <w:sz w:val="20"/>
                <w:szCs w:val="20"/>
              </w:rPr>
            </w:pPr>
            <w:r w:rsidRPr="00FE3EAF">
              <w:rPr>
                <w:rFonts w:eastAsia="Calibri"/>
                <w:sz w:val="20"/>
                <w:szCs w:val="20"/>
              </w:rPr>
              <w:t>-0.504</w:t>
            </w:r>
          </w:p>
        </w:tc>
        <w:tc>
          <w:tcPr>
            <w:tcW w:w="810" w:type="dxa"/>
            <w:tcBorders>
              <w:top w:val="nil"/>
              <w:left w:val="single" w:sz="4" w:space="0" w:color="auto"/>
              <w:bottom w:val="nil"/>
              <w:right w:val="double" w:sz="4" w:space="0" w:color="auto"/>
            </w:tcBorders>
            <w:shd w:val="clear" w:color="auto" w:fill="FFFFFF"/>
            <w:vAlign w:val="bottom"/>
          </w:tcPr>
          <w:p w14:paraId="3F74AACE" w14:textId="77777777" w:rsidR="00FE3EAF" w:rsidRPr="00FE3EAF" w:rsidRDefault="00FE3EAF" w:rsidP="00FE3EAF">
            <w:pPr>
              <w:jc w:val="right"/>
              <w:rPr>
                <w:rFonts w:eastAsia="Calibri"/>
                <w:sz w:val="20"/>
                <w:szCs w:val="20"/>
              </w:rPr>
            </w:pPr>
            <w:r w:rsidRPr="00FE3EAF">
              <w:rPr>
                <w:rFonts w:eastAsia="Calibri"/>
                <w:sz w:val="20"/>
                <w:szCs w:val="20"/>
              </w:rPr>
              <w:t>-2.70</w:t>
            </w:r>
          </w:p>
        </w:tc>
      </w:tr>
      <w:tr w:rsidR="00FE3EAF" w:rsidRPr="00FE3EAF" w14:paraId="018703EC" w14:textId="77777777" w:rsidTr="00810642">
        <w:tc>
          <w:tcPr>
            <w:tcW w:w="3330" w:type="dxa"/>
            <w:tcBorders>
              <w:top w:val="nil"/>
              <w:left w:val="double" w:sz="4" w:space="0" w:color="auto"/>
              <w:bottom w:val="nil"/>
              <w:right w:val="double" w:sz="4" w:space="0" w:color="auto"/>
            </w:tcBorders>
          </w:tcPr>
          <w:p w14:paraId="3E327606" w14:textId="77777777" w:rsidR="00FE3EAF" w:rsidRPr="00FE3EAF" w:rsidRDefault="00FE3EAF" w:rsidP="00FE3EAF">
            <w:pPr>
              <w:jc w:val="left"/>
              <w:rPr>
                <w:rFonts w:eastAsia="Calibri"/>
                <w:b/>
                <w:bCs/>
                <w:i/>
                <w:sz w:val="18"/>
                <w:szCs w:val="18"/>
              </w:rPr>
            </w:pPr>
            <w:r w:rsidRPr="00FE3EAF">
              <w:rPr>
                <w:rFonts w:eastAsia="Calibri"/>
                <w:b/>
                <w:bCs/>
                <w:sz w:val="18"/>
                <w:szCs w:val="16"/>
              </w:rPr>
              <w:t xml:space="preserve"># Days Worked per Month (6 to 24 days </w:t>
            </w:r>
          </w:p>
        </w:tc>
        <w:tc>
          <w:tcPr>
            <w:tcW w:w="765" w:type="dxa"/>
            <w:tcBorders>
              <w:top w:val="nil"/>
              <w:left w:val="double" w:sz="4" w:space="0" w:color="auto"/>
              <w:bottom w:val="nil"/>
            </w:tcBorders>
            <w:vAlign w:val="center"/>
          </w:tcPr>
          <w:p w14:paraId="30E6A36A" w14:textId="77777777" w:rsidR="00FE3EAF" w:rsidRPr="00FE3EAF" w:rsidRDefault="00FE3EAF" w:rsidP="00FE3EAF">
            <w:pPr>
              <w:jc w:val="right"/>
              <w:rPr>
                <w:rFonts w:eastAsia="Calibri"/>
                <w:sz w:val="20"/>
                <w:szCs w:val="20"/>
              </w:rPr>
            </w:pPr>
          </w:p>
        </w:tc>
        <w:tc>
          <w:tcPr>
            <w:tcW w:w="765" w:type="dxa"/>
            <w:tcBorders>
              <w:top w:val="nil"/>
              <w:bottom w:val="nil"/>
              <w:right w:val="single" w:sz="12" w:space="0" w:color="auto"/>
            </w:tcBorders>
            <w:vAlign w:val="center"/>
          </w:tcPr>
          <w:p w14:paraId="1B17EE2E" w14:textId="77777777" w:rsidR="00FE3EAF" w:rsidRPr="00FE3EAF" w:rsidRDefault="00FE3EAF" w:rsidP="00FE3EAF">
            <w:pPr>
              <w:jc w:val="right"/>
              <w:rPr>
                <w:rFonts w:eastAsia="Calibri"/>
                <w:sz w:val="20"/>
                <w:szCs w:val="20"/>
              </w:rPr>
            </w:pPr>
          </w:p>
        </w:tc>
        <w:tc>
          <w:tcPr>
            <w:tcW w:w="765" w:type="dxa"/>
            <w:gridSpan w:val="2"/>
            <w:tcBorders>
              <w:top w:val="nil"/>
              <w:left w:val="single" w:sz="12" w:space="0" w:color="auto"/>
              <w:bottom w:val="nil"/>
              <w:right w:val="single" w:sz="4" w:space="0" w:color="auto"/>
            </w:tcBorders>
            <w:shd w:val="clear" w:color="auto" w:fill="FFFFFF"/>
            <w:vAlign w:val="center"/>
          </w:tcPr>
          <w:p w14:paraId="001917EE" w14:textId="77777777" w:rsidR="00FE3EAF" w:rsidRPr="00FE3EAF" w:rsidRDefault="00FE3EAF" w:rsidP="00FE3EAF">
            <w:pPr>
              <w:jc w:val="right"/>
              <w:rPr>
                <w:rFonts w:eastAsia="Calibri"/>
                <w:sz w:val="20"/>
                <w:szCs w:val="20"/>
              </w:rPr>
            </w:pPr>
          </w:p>
        </w:tc>
        <w:tc>
          <w:tcPr>
            <w:tcW w:w="765" w:type="dxa"/>
            <w:tcBorders>
              <w:top w:val="nil"/>
              <w:left w:val="single" w:sz="4" w:space="0" w:color="auto"/>
              <w:bottom w:val="nil"/>
              <w:right w:val="single" w:sz="12" w:space="0" w:color="auto"/>
            </w:tcBorders>
            <w:shd w:val="clear" w:color="auto" w:fill="FFFFFF"/>
            <w:vAlign w:val="center"/>
          </w:tcPr>
          <w:p w14:paraId="5DB7C84C" w14:textId="77777777" w:rsidR="00FE3EAF" w:rsidRPr="00FE3EAF" w:rsidRDefault="00FE3EAF" w:rsidP="00FE3EAF">
            <w:pPr>
              <w:jc w:val="right"/>
              <w:rPr>
                <w:rFonts w:eastAsia="Calibri"/>
                <w:sz w:val="20"/>
                <w:szCs w:val="20"/>
              </w:rPr>
            </w:pPr>
          </w:p>
        </w:tc>
        <w:tc>
          <w:tcPr>
            <w:tcW w:w="765" w:type="dxa"/>
            <w:tcBorders>
              <w:top w:val="nil"/>
              <w:left w:val="single" w:sz="12" w:space="0" w:color="auto"/>
              <w:bottom w:val="nil"/>
            </w:tcBorders>
            <w:shd w:val="clear" w:color="auto" w:fill="FFFFFF"/>
            <w:vAlign w:val="center"/>
          </w:tcPr>
          <w:p w14:paraId="6E8BE659" w14:textId="77777777" w:rsidR="00FE3EAF" w:rsidRPr="00FE3EAF" w:rsidRDefault="00FE3EAF" w:rsidP="00FE3EAF">
            <w:pPr>
              <w:jc w:val="right"/>
              <w:rPr>
                <w:rFonts w:eastAsia="Calibri"/>
                <w:sz w:val="20"/>
                <w:szCs w:val="20"/>
              </w:rPr>
            </w:pPr>
          </w:p>
        </w:tc>
        <w:tc>
          <w:tcPr>
            <w:tcW w:w="765" w:type="dxa"/>
            <w:gridSpan w:val="2"/>
            <w:tcBorders>
              <w:top w:val="nil"/>
              <w:bottom w:val="nil"/>
              <w:right w:val="double" w:sz="4" w:space="0" w:color="auto"/>
            </w:tcBorders>
            <w:shd w:val="clear" w:color="auto" w:fill="FFFFFF"/>
            <w:vAlign w:val="center"/>
          </w:tcPr>
          <w:p w14:paraId="0810CA8A" w14:textId="77777777" w:rsidR="00FE3EAF" w:rsidRPr="00FE3EAF" w:rsidRDefault="00FE3EAF" w:rsidP="00FE3EAF">
            <w:pPr>
              <w:jc w:val="right"/>
              <w:rPr>
                <w:rFonts w:eastAsia="Calibri"/>
                <w:sz w:val="20"/>
                <w:szCs w:val="20"/>
              </w:rPr>
            </w:pPr>
          </w:p>
        </w:tc>
        <w:tc>
          <w:tcPr>
            <w:tcW w:w="810" w:type="dxa"/>
            <w:tcBorders>
              <w:top w:val="nil"/>
              <w:left w:val="double" w:sz="4" w:space="0" w:color="auto"/>
              <w:bottom w:val="nil"/>
              <w:right w:val="single" w:sz="4" w:space="0" w:color="auto"/>
            </w:tcBorders>
            <w:shd w:val="clear" w:color="auto" w:fill="FFFFFF"/>
            <w:vAlign w:val="center"/>
          </w:tcPr>
          <w:p w14:paraId="0736BA52" w14:textId="77777777" w:rsidR="00FE3EAF" w:rsidRPr="00FE3EAF" w:rsidRDefault="00FE3EAF" w:rsidP="00FE3EAF">
            <w:pPr>
              <w:jc w:val="right"/>
              <w:rPr>
                <w:rFonts w:eastAsia="Calibri"/>
                <w:sz w:val="20"/>
                <w:szCs w:val="20"/>
              </w:rPr>
            </w:pPr>
          </w:p>
        </w:tc>
        <w:tc>
          <w:tcPr>
            <w:tcW w:w="810" w:type="dxa"/>
            <w:tcBorders>
              <w:top w:val="nil"/>
              <w:left w:val="single" w:sz="4" w:space="0" w:color="auto"/>
              <w:bottom w:val="nil"/>
              <w:right w:val="double" w:sz="4" w:space="0" w:color="auto"/>
            </w:tcBorders>
            <w:shd w:val="clear" w:color="auto" w:fill="FFFFFF"/>
            <w:vAlign w:val="center"/>
          </w:tcPr>
          <w:p w14:paraId="59969961" w14:textId="77777777" w:rsidR="00FE3EAF" w:rsidRPr="00FE3EAF" w:rsidRDefault="00FE3EAF" w:rsidP="00FE3EAF">
            <w:pPr>
              <w:jc w:val="right"/>
              <w:rPr>
                <w:rFonts w:eastAsia="Calibri"/>
                <w:sz w:val="20"/>
                <w:szCs w:val="20"/>
              </w:rPr>
            </w:pPr>
          </w:p>
        </w:tc>
      </w:tr>
      <w:tr w:rsidR="00FE3EAF" w:rsidRPr="00FE3EAF" w14:paraId="6866C5A1" w14:textId="77777777" w:rsidTr="00810642">
        <w:tc>
          <w:tcPr>
            <w:tcW w:w="3330" w:type="dxa"/>
            <w:tcBorders>
              <w:top w:val="nil"/>
              <w:left w:val="double" w:sz="4" w:space="0" w:color="auto"/>
              <w:bottom w:val="nil"/>
              <w:right w:val="double" w:sz="4" w:space="0" w:color="auto"/>
            </w:tcBorders>
          </w:tcPr>
          <w:p w14:paraId="33AE1481" w14:textId="77777777" w:rsidR="00FE3EAF" w:rsidRPr="00FE3EAF" w:rsidRDefault="00FE3EAF" w:rsidP="00FE3EAF">
            <w:pPr>
              <w:jc w:val="left"/>
              <w:rPr>
                <w:rFonts w:eastAsia="Calibri"/>
                <w:bCs/>
                <w:iCs/>
                <w:sz w:val="18"/>
                <w:szCs w:val="18"/>
              </w:rPr>
            </w:pPr>
            <w:r w:rsidRPr="00FE3EAF">
              <w:rPr>
                <w:rFonts w:eastAsia="Calibri"/>
                <w:bCs/>
                <w:iCs/>
                <w:sz w:val="18"/>
                <w:szCs w:val="18"/>
              </w:rPr>
              <w:t xml:space="preserve"> 1 to 5 days</w:t>
            </w:r>
          </w:p>
        </w:tc>
        <w:tc>
          <w:tcPr>
            <w:tcW w:w="765" w:type="dxa"/>
            <w:tcBorders>
              <w:top w:val="nil"/>
              <w:left w:val="double" w:sz="4" w:space="0" w:color="auto"/>
              <w:bottom w:val="nil"/>
            </w:tcBorders>
            <w:vAlign w:val="center"/>
          </w:tcPr>
          <w:p w14:paraId="3855734E" w14:textId="77777777" w:rsidR="00FE3EAF" w:rsidRPr="00FE3EAF" w:rsidRDefault="00FE3EAF" w:rsidP="00FE3EAF">
            <w:pPr>
              <w:jc w:val="right"/>
              <w:rPr>
                <w:rFonts w:eastAsia="Calibri"/>
                <w:sz w:val="20"/>
                <w:szCs w:val="20"/>
              </w:rPr>
            </w:pPr>
            <w:r w:rsidRPr="00FE3EAF">
              <w:rPr>
                <w:rFonts w:eastAsia="Calibri"/>
                <w:sz w:val="20"/>
                <w:szCs w:val="20"/>
              </w:rPr>
              <w:t>--</w:t>
            </w:r>
          </w:p>
        </w:tc>
        <w:tc>
          <w:tcPr>
            <w:tcW w:w="765" w:type="dxa"/>
            <w:tcBorders>
              <w:top w:val="nil"/>
              <w:bottom w:val="nil"/>
              <w:right w:val="single" w:sz="12" w:space="0" w:color="auto"/>
            </w:tcBorders>
            <w:vAlign w:val="center"/>
          </w:tcPr>
          <w:p w14:paraId="41353F88" w14:textId="77777777" w:rsidR="00FE3EAF" w:rsidRPr="00FE3EAF" w:rsidRDefault="00FE3EAF" w:rsidP="00FE3EAF">
            <w:pPr>
              <w:jc w:val="right"/>
              <w:rPr>
                <w:rFonts w:eastAsia="Calibri"/>
                <w:sz w:val="20"/>
                <w:szCs w:val="20"/>
              </w:rPr>
            </w:pPr>
          </w:p>
        </w:tc>
        <w:tc>
          <w:tcPr>
            <w:tcW w:w="765" w:type="dxa"/>
            <w:gridSpan w:val="2"/>
            <w:tcBorders>
              <w:top w:val="nil"/>
              <w:left w:val="single" w:sz="12" w:space="0" w:color="auto"/>
              <w:bottom w:val="nil"/>
              <w:right w:val="single" w:sz="4" w:space="0" w:color="auto"/>
            </w:tcBorders>
            <w:shd w:val="clear" w:color="auto" w:fill="FFFFFF"/>
            <w:vAlign w:val="bottom"/>
          </w:tcPr>
          <w:p w14:paraId="32D30B70" w14:textId="77777777" w:rsidR="00FE3EAF" w:rsidRPr="00FE3EAF" w:rsidRDefault="00FE3EAF" w:rsidP="00FE3EAF">
            <w:pPr>
              <w:jc w:val="right"/>
              <w:rPr>
                <w:rFonts w:eastAsia="Calibri"/>
                <w:sz w:val="20"/>
                <w:szCs w:val="20"/>
              </w:rPr>
            </w:pPr>
            <w:r w:rsidRPr="00FE3EAF">
              <w:rPr>
                <w:rFonts w:eastAsia="Calibri"/>
                <w:sz w:val="20"/>
                <w:szCs w:val="20"/>
              </w:rPr>
              <w:t>-0.528</w:t>
            </w:r>
          </w:p>
        </w:tc>
        <w:tc>
          <w:tcPr>
            <w:tcW w:w="765" w:type="dxa"/>
            <w:tcBorders>
              <w:top w:val="nil"/>
              <w:left w:val="single" w:sz="4" w:space="0" w:color="auto"/>
              <w:bottom w:val="nil"/>
              <w:right w:val="single" w:sz="12" w:space="0" w:color="auto"/>
            </w:tcBorders>
            <w:shd w:val="clear" w:color="auto" w:fill="FFFFFF"/>
            <w:vAlign w:val="bottom"/>
          </w:tcPr>
          <w:p w14:paraId="656AA904" w14:textId="77777777" w:rsidR="00FE3EAF" w:rsidRPr="00FE3EAF" w:rsidRDefault="00FE3EAF" w:rsidP="00FE3EAF">
            <w:pPr>
              <w:jc w:val="right"/>
              <w:rPr>
                <w:rFonts w:eastAsia="Calibri"/>
                <w:sz w:val="20"/>
                <w:szCs w:val="20"/>
              </w:rPr>
            </w:pPr>
            <w:r w:rsidRPr="00FE3EAF">
              <w:rPr>
                <w:rFonts w:eastAsia="Calibri"/>
                <w:sz w:val="20"/>
                <w:szCs w:val="20"/>
              </w:rPr>
              <w:t>-2.28</w:t>
            </w:r>
          </w:p>
        </w:tc>
        <w:tc>
          <w:tcPr>
            <w:tcW w:w="765" w:type="dxa"/>
            <w:tcBorders>
              <w:top w:val="nil"/>
              <w:left w:val="single" w:sz="12" w:space="0" w:color="auto"/>
              <w:bottom w:val="nil"/>
            </w:tcBorders>
            <w:shd w:val="clear" w:color="auto" w:fill="FFFFFF"/>
            <w:vAlign w:val="center"/>
          </w:tcPr>
          <w:p w14:paraId="47E2FCC8" w14:textId="77777777" w:rsidR="00FE3EAF" w:rsidRPr="00FE3EAF" w:rsidRDefault="00FE3EAF" w:rsidP="00FE3EAF">
            <w:pPr>
              <w:jc w:val="right"/>
              <w:rPr>
                <w:rFonts w:eastAsia="Calibri"/>
                <w:sz w:val="20"/>
                <w:szCs w:val="20"/>
              </w:rPr>
            </w:pPr>
            <w:r w:rsidRPr="00FE3EAF">
              <w:rPr>
                <w:rFonts w:eastAsia="Calibri"/>
                <w:sz w:val="20"/>
                <w:szCs w:val="20"/>
              </w:rPr>
              <w:t>--</w:t>
            </w:r>
          </w:p>
        </w:tc>
        <w:tc>
          <w:tcPr>
            <w:tcW w:w="765" w:type="dxa"/>
            <w:gridSpan w:val="2"/>
            <w:tcBorders>
              <w:top w:val="nil"/>
              <w:bottom w:val="nil"/>
              <w:right w:val="double" w:sz="4" w:space="0" w:color="auto"/>
            </w:tcBorders>
            <w:shd w:val="clear" w:color="auto" w:fill="FFFFFF"/>
            <w:vAlign w:val="center"/>
          </w:tcPr>
          <w:p w14:paraId="6A0867EF" w14:textId="77777777" w:rsidR="00FE3EAF" w:rsidRPr="00FE3EAF" w:rsidRDefault="00FE3EAF" w:rsidP="00FE3EAF">
            <w:pPr>
              <w:jc w:val="right"/>
              <w:rPr>
                <w:rFonts w:eastAsia="Calibri"/>
                <w:sz w:val="20"/>
                <w:szCs w:val="20"/>
              </w:rPr>
            </w:pPr>
          </w:p>
        </w:tc>
        <w:tc>
          <w:tcPr>
            <w:tcW w:w="810" w:type="dxa"/>
            <w:tcBorders>
              <w:top w:val="nil"/>
              <w:left w:val="double" w:sz="4" w:space="0" w:color="auto"/>
              <w:bottom w:val="nil"/>
              <w:right w:val="single" w:sz="4" w:space="0" w:color="auto"/>
            </w:tcBorders>
            <w:shd w:val="clear" w:color="auto" w:fill="FFFFFF"/>
            <w:vAlign w:val="center"/>
          </w:tcPr>
          <w:p w14:paraId="5F882F83" w14:textId="77777777" w:rsidR="00FE3EAF" w:rsidRPr="00FE3EAF" w:rsidRDefault="00FE3EAF" w:rsidP="00FE3EAF">
            <w:pPr>
              <w:jc w:val="right"/>
              <w:rPr>
                <w:rFonts w:eastAsia="Calibri"/>
                <w:sz w:val="20"/>
                <w:szCs w:val="20"/>
              </w:rPr>
            </w:pPr>
            <w:r w:rsidRPr="00FE3EAF">
              <w:rPr>
                <w:rFonts w:eastAsia="Calibri"/>
                <w:sz w:val="20"/>
                <w:szCs w:val="20"/>
              </w:rPr>
              <w:t>--</w:t>
            </w:r>
          </w:p>
        </w:tc>
        <w:tc>
          <w:tcPr>
            <w:tcW w:w="810" w:type="dxa"/>
            <w:tcBorders>
              <w:top w:val="nil"/>
              <w:left w:val="single" w:sz="4" w:space="0" w:color="auto"/>
              <w:bottom w:val="nil"/>
              <w:right w:val="double" w:sz="4" w:space="0" w:color="auto"/>
            </w:tcBorders>
            <w:shd w:val="clear" w:color="auto" w:fill="FFFFFF"/>
            <w:vAlign w:val="center"/>
          </w:tcPr>
          <w:p w14:paraId="06939FD1" w14:textId="77777777" w:rsidR="00FE3EAF" w:rsidRPr="00FE3EAF" w:rsidRDefault="00FE3EAF" w:rsidP="00FE3EAF">
            <w:pPr>
              <w:jc w:val="right"/>
              <w:rPr>
                <w:rFonts w:eastAsia="Calibri"/>
                <w:sz w:val="20"/>
                <w:szCs w:val="20"/>
              </w:rPr>
            </w:pPr>
          </w:p>
        </w:tc>
      </w:tr>
      <w:tr w:rsidR="00FE3EAF" w:rsidRPr="00FE3EAF" w14:paraId="32C724AC" w14:textId="77777777" w:rsidTr="00810642">
        <w:tc>
          <w:tcPr>
            <w:tcW w:w="3330" w:type="dxa"/>
            <w:tcBorders>
              <w:top w:val="nil"/>
              <w:left w:val="double" w:sz="4" w:space="0" w:color="auto"/>
              <w:bottom w:val="nil"/>
              <w:right w:val="double" w:sz="4" w:space="0" w:color="auto"/>
            </w:tcBorders>
          </w:tcPr>
          <w:p w14:paraId="49B88DE0" w14:textId="77777777" w:rsidR="00FE3EAF" w:rsidRPr="00FE3EAF" w:rsidRDefault="00FE3EAF" w:rsidP="00FE3EAF">
            <w:pPr>
              <w:jc w:val="left"/>
              <w:rPr>
                <w:rFonts w:eastAsia="Calibri"/>
                <w:bCs/>
                <w:iCs/>
                <w:sz w:val="18"/>
                <w:szCs w:val="18"/>
              </w:rPr>
            </w:pPr>
            <w:r w:rsidRPr="00FE3EAF">
              <w:rPr>
                <w:rFonts w:eastAsia="Calibri"/>
                <w:bCs/>
                <w:iCs/>
                <w:sz w:val="18"/>
                <w:szCs w:val="18"/>
              </w:rPr>
              <w:t xml:space="preserve"> 25 days or more (over time)</w:t>
            </w:r>
          </w:p>
        </w:tc>
        <w:tc>
          <w:tcPr>
            <w:tcW w:w="765" w:type="dxa"/>
            <w:tcBorders>
              <w:top w:val="nil"/>
              <w:left w:val="double" w:sz="4" w:space="0" w:color="auto"/>
              <w:bottom w:val="nil"/>
            </w:tcBorders>
            <w:vAlign w:val="center"/>
          </w:tcPr>
          <w:p w14:paraId="4827A2CA" w14:textId="77777777" w:rsidR="00FE3EAF" w:rsidRPr="00FE3EAF" w:rsidRDefault="00FE3EAF" w:rsidP="00FE3EAF">
            <w:pPr>
              <w:jc w:val="right"/>
              <w:rPr>
                <w:rFonts w:eastAsia="Calibri"/>
                <w:sz w:val="20"/>
                <w:szCs w:val="20"/>
              </w:rPr>
            </w:pPr>
            <w:r w:rsidRPr="00FE3EAF">
              <w:rPr>
                <w:rFonts w:eastAsia="Calibri"/>
                <w:sz w:val="20"/>
                <w:szCs w:val="20"/>
              </w:rPr>
              <w:t>--</w:t>
            </w:r>
          </w:p>
        </w:tc>
        <w:tc>
          <w:tcPr>
            <w:tcW w:w="765" w:type="dxa"/>
            <w:tcBorders>
              <w:top w:val="nil"/>
              <w:bottom w:val="nil"/>
              <w:right w:val="single" w:sz="12" w:space="0" w:color="auto"/>
            </w:tcBorders>
            <w:vAlign w:val="center"/>
          </w:tcPr>
          <w:p w14:paraId="339D061C" w14:textId="77777777" w:rsidR="00FE3EAF" w:rsidRPr="00FE3EAF" w:rsidRDefault="00FE3EAF" w:rsidP="00FE3EAF">
            <w:pPr>
              <w:jc w:val="right"/>
              <w:rPr>
                <w:rFonts w:eastAsia="Calibri"/>
                <w:sz w:val="20"/>
                <w:szCs w:val="20"/>
              </w:rPr>
            </w:pPr>
          </w:p>
        </w:tc>
        <w:tc>
          <w:tcPr>
            <w:tcW w:w="765" w:type="dxa"/>
            <w:gridSpan w:val="2"/>
            <w:tcBorders>
              <w:top w:val="nil"/>
              <w:left w:val="single" w:sz="12" w:space="0" w:color="auto"/>
              <w:bottom w:val="nil"/>
              <w:right w:val="single" w:sz="4" w:space="0" w:color="auto"/>
            </w:tcBorders>
            <w:shd w:val="clear" w:color="auto" w:fill="FFFFFF"/>
            <w:vAlign w:val="center"/>
          </w:tcPr>
          <w:p w14:paraId="2A003B23" w14:textId="77777777" w:rsidR="00FE3EAF" w:rsidRPr="00FE3EAF" w:rsidRDefault="00FE3EAF" w:rsidP="00FE3EAF">
            <w:pPr>
              <w:jc w:val="right"/>
              <w:rPr>
                <w:rFonts w:eastAsia="Calibri"/>
                <w:sz w:val="20"/>
                <w:szCs w:val="20"/>
              </w:rPr>
            </w:pPr>
            <w:r w:rsidRPr="00FE3EAF">
              <w:rPr>
                <w:rFonts w:eastAsia="Calibri"/>
                <w:sz w:val="20"/>
                <w:szCs w:val="20"/>
              </w:rPr>
              <w:t>--</w:t>
            </w:r>
          </w:p>
        </w:tc>
        <w:tc>
          <w:tcPr>
            <w:tcW w:w="765" w:type="dxa"/>
            <w:tcBorders>
              <w:top w:val="nil"/>
              <w:left w:val="single" w:sz="4" w:space="0" w:color="auto"/>
              <w:bottom w:val="nil"/>
              <w:right w:val="single" w:sz="12" w:space="0" w:color="auto"/>
            </w:tcBorders>
            <w:shd w:val="clear" w:color="auto" w:fill="FFFFFF"/>
            <w:vAlign w:val="center"/>
          </w:tcPr>
          <w:p w14:paraId="65E974D2" w14:textId="77777777" w:rsidR="00FE3EAF" w:rsidRPr="00FE3EAF" w:rsidRDefault="00FE3EAF" w:rsidP="00FE3EAF">
            <w:pPr>
              <w:jc w:val="right"/>
              <w:rPr>
                <w:rFonts w:eastAsia="Calibri"/>
                <w:sz w:val="20"/>
                <w:szCs w:val="20"/>
              </w:rPr>
            </w:pPr>
          </w:p>
        </w:tc>
        <w:tc>
          <w:tcPr>
            <w:tcW w:w="765" w:type="dxa"/>
            <w:tcBorders>
              <w:top w:val="nil"/>
              <w:left w:val="single" w:sz="12" w:space="0" w:color="auto"/>
              <w:bottom w:val="nil"/>
            </w:tcBorders>
            <w:shd w:val="clear" w:color="auto" w:fill="FFFFFF"/>
            <w:vAlign w:val="bottom"/>
          </w:tcPr>
          <w:p w14:paraId="48338497" w14:textId="77777777" w:rsidR="00FE3EAF" w:rsidRPr="00FE3EAF" w:rsidRDefault="00FE3EAF" w:rsidP="00FE3EAF">
            <w:pPr>
              <w:jc w:val="right"/>
              <w:rPr>
                <w:rFonts w:eastAsia="Calibri"/>
                <w:sz w:val="20"/>
                <w:szCs w:val="20"/>
              </w:rPr>
            </w:pPr>
            <w:r w:rsidRPr="00FE3EAF">
              <w:rPr>
                <w:rFonts w:eastAsia="Calibri"/>
                <w:sz w:val="20"/>
                <w:szCs w:val="20"/>
              </w:rPr>
              <w:t>0.198</w:t>
            </w:r>
          </w:p>
        </w:tc>
        <w:tc>
          <w:tcPr>
            <w:tcW w:w="765" w:type="dxa"/>
            <w:gridSpan w:val="2"/>
            <w:tcBorders>
              <w:top w:val="nil"/>
              <w:bottom w:val="nil"/>
              <w:right w:val="double" w:sz="4" w:space="0" w:color="auto"/>
            </w:tcBorders>
            <w:shd w:val="clear" w:color="auto" w:fill="FFFFFF"/>
            <w:vAlign w:val="bottom"/>
          </w:tcPr>
          <w:p w14:paraId="7B7268B2" w14:textId="77777777" w:rsidR="00FE3EAF" w:rsidRPr="00FE3EAF" w:rsidRDefault="00FE3EAF" w:rsidP="00FE3EAF">
            <w:pPr>
              <w:jc w:val="right"/>
              <w:rPr>
                <w:rFonts w:eastAsia="Calibri"/>
                <w:sz w:val="20"/>
                <w:szCs w:val="20"/>
              </w:rPr>
            </w:pPr>
            <w:r w:rsidRPr="00FE3EAF">
              <w:rPr>
                <w:rFonts w:eastAsia="Calibri"/>
                <w:sz w:val="20"/>
                <w:szCs w:val="20"/>
              </w:rPr>
              <w:t>1.44</w:t>
            </w:r>
          </w:p>
        </w:tc>
        <w:tc>
          <w:tcPr>
            <w:tcW w:w="810" w:type="dxa"/>
            <w:tcBorders>
              <w:top w:val="nil"/>
              <w:left w:val="double" w:sz="4" w:space="0" w:color="auto"/>
              <w:bottom w:val="nil"/>
              <w:right w:val="single" w:sz="4" w:space="0" w:color="auto"/>
            </w:tcBorders>
            <w:shd w:val="clear" w:color="auto" w:fill="FFFFFF"/>
            <w:vAlign w:val="center"/>
          </w:tcPr>
          <w:p w14:paraId="6F277EAE" w14:textId="77777777" w:rsidR="00FE3EAF" w:rsidRPr="00FE3EAF" w:rsidRDefault="00FE3EAF" w:rsidP="00FE3EAF">
            <w:pPr>
              <w:jc w:val="right"/>
              <w:rPr>
                <w:rFonts w:eastAsia="Calibri"/>
                <w:sz w:val="20"/>
                <w:szCs w:val="20"/>
              </w:rPr>
            </w:pPr>
            <w:r w:rsidRPr="00FE3EAF">
              <w:rPr>
                <w:rFonts w:eastAsia="Calibri"/>
                <w:sz w:val="20"/>
                <w:szCs w:val="20"/>
              </w:rPr>
              <w:t>--</w:t>
            </w:r>
          </w:p>
        </w:tc>
        <w:tc>
          <w:tcPr>
            <w:tcW w:w="810" w:type="dxa"/>
            <w:tcBorders>
              <w:top w:val="nil"/>
              <w:left w:val="single" w:sz="4" w:space="0" w:color="auto"/>
              <w:bottom w:val="nil"/>
              <w:right w:val="double" w:sz="4" w:space="0" w:color="auto"/>
            </w:tcBorders>
            <w:shd w:val="clear" w:color="auto" w:fill="FFFFFF"/>
            <w:vAlign w:val="center"/>
          </w:tcPr>
          <w:p w14:paraId="5933C987" w14:textId="77777777" w:rsidR="00FE3EAF" w:rsidRPr="00FE3EAF" w:rsidRDefault="00FE3EAF" w:rsidP="00FE3EAF">
            <w:pPr>
              <w:jc w:val="right"/>
              <w:rPr>
                <w:rFonts w:eastAsia="Calibri"/>
                <w:sz w:val="20"/>
                <w:szCs w:val="20"/>
              </w:rPr>
            </w:pPr>
          </w:p>
        </w:tc>
      </w:tr>
      <w:tr w:rsidR="00FE3EAF" w:rsidRPr="00FE3EAF" w14:paraId="26F07F91" w14:textId="77777777" w:rsidTr="00810642">
        <w:tc>
          <w:tcPr>
            <w:tcW w:w="3330" w:type="dxa"/>
            <w:tcBorders>
              <w:top w:val="nil"/>
              <w:left w:val="double" w:sz="4" w:space="0" w:color="auto"/>
              <w:bottom w:val="nil"/>
              <w:right w:val="double" w:sz="4" w:space="0" w:color="auto"/>
            </w:tcBorders>
          </w:tcPr>
          <w:p w14:paraId="1CD6B227" w14:textId="77777777" w:rsidR="00FE3EAF" w:rsidRPr="00FE3EAF" w:rsidRDefault="00FE3EAF" w:rsidP="00FE3EAF">
            <w:pPr>
              <w:jc w:val="left"/>
              <w:rPr>
                <w:rFonts w:eastAsia="Calibri"/>
                <w:b/>
                <w:sz w:val="18"/>
                <w:szCs w:val="18"/>
              </w:rPr>
            </w:pPr>
            <w:r w:rsidRPr="00FE3EAF">
              <w:rPr>
                <w:rFonts w:eastAsia="Calibri"/>
                <w:b/>
                <w:sz w:val="18"/>
                <w:szCs w:val="18"/>
              </w:rPr>
              <w:t>Occupation (managerial, technical, service job)</w:t>
            </w:r>
          </w:p>
        </w:tc>
        <w:tc>
          <w:tcPr>
            <w:tcW w:w="765" w:type="dxa"/>
            <w:tcBorders>
              <w:top w:val="nil"/>
              <w:left w:val="double" w:sz="4" w:space="0" w:color="auto"/>
              <w:bottom w:val="nil"/>
            </w:tcBorders>
            <w:vAlign w:val="center"/>
          </w:tcPr>
          <w:p w14:paraId="737D4992" w14:textId="77777777" w:rsidR="00FE3EAF" w:rsidRPr="00FE3EAF" w:rsidRDefault="00FE3EAF" w:rsidP="00FE3EAF">
            <w:pPr>
              <w:jc w:val="right"/>
              <w:rPr>
                <w:rFonts w:eastAsia="Calibri"/>
                <w:sz w:val="20"/>
                <w:szCs w:val="20"/>
              </w:rPr>
            </w:pPr>
          </w:p>
        </w:tc>
        <w:tc>
          <w:tcPr>
            <w:tcW w:w="765" w:type="dxa"/>
            <w:tcBorders>
              <w:top w:val="nil"/>
              <w:bottom w:val="nil"/>
              <w:right w:val="single" w:sz="12" w:space="0" w:color="auto"/>
            </w:tcBorders>
            <w:vAlign w:val="center"/>
          </w:tcPr>
          <w:p w14:paraId="287C6A37" w14:textId="77777777" w:rsidR="00FE3EAF" w:rsidRPr="00FE3EAF" w:rsidRDefault="00FE3EAF" w:rsidP="00FE3EAF">
            <w:pPr>
              <w:jc w:val="right"/>
              <w:rPr>
                <w:rFonts w:eastAsia="Calibri"/>
                <w:sz w:val="20"/>
                <w:szCs w:val="20"/>
              </w:rPr>
            </w:pPr>
          </w:p>
        </w:tc>
        <w:tc>
          <w:tcPr>
            <w:tcW w:w="765" w:type="dxa"/>
            <w:gridSpan w:val="2"/>
            <w:tcBorders>
              <w:top w:val="nil"/>
              <w:left w:val="single" w:sz="12" w:space="0" w:color="auto"/>
              <w:bottom w:val="nil"/>
              <w:right w:val="single" w:sz="4" w:space="0" w:color="auto"/>
            </w:tcBorders>
            <w:shd w:val="clear" w:color="auto" w:fill="FFFFFF"/>
            <w:vAlign w:val="center"/>
          </w:tcPr>
          <w:p w14:paraId="48038357" w14:textId="77777777" w:rsidR="00FE3EAF" w:rsidRPr="00FE3EAF" w:rsidRDefault="00FE3EAF" w:rsidP="00FE3EAF">
            <w:pPr>
              <w:jc w:val="right"/>
              <w:rPr>
                <w:rFonts w:eastAsia="Calibri"/>
                <w:sz w:val="20"/>
                <w:szCs w:val="20"/>
              </w:rPr>
            </w:pPr>
          </w:p>
        </w:tc>
        <w:tc>
          <w:tcPr>
            <w:tcW w:w="765" w:type="dxa"/>
            <w:tcBorders>
              <w:top w:val="nil"/>
              <w:left w:val="single" w:sz="4" w:space="0" w:color="auto"/>
              <w:bottom w:val="nil"/>
              <w:right w:val="single" w:sz="12" w:space="0" w:color="auto"/>
            </w:tcBorders>
            <w:shd w:val="clear" w:color="auto" w:fill="FFFFFF"/>
            <w:vAlign w:val="center"/>
          </w:tcPr>
          <w:p w14:paraId="49D285C2" w14:textId="77777777" w:rsidR="00FE3EAF" w:rsidRPr="00FE3EAF" w:rsidRDefault="00FE3EAF" w:rsidP="00FE3EAF">
            <w:pPr>
              <w:jc w:val="right"/>
              <w:rPr>
                <w:rFonts w:eastAsia="Calibri"/>
                <w:sz w:val="20"/>
                <w:szCs w:val="20"/>
              </w:rPr>
            </w:pPr>
          </w:p>
        </w:tc>
        <w:tc>
          <w:tcPr>
            <w:tcW w:w="765" w:type="dxa"/>
            <w:tcBorders>
              <w:top w:val="nil"/>
              <w:left w:val="single" w:sz="12" w:space="0" w:color="auto"/>
              <w:bottom w:val="nil"/>
            </w:tcBorders>
            <w:shd w:val="clear" w:color="auto" w:fill="FFFFFF"/>
            <w:vAlign w:val="center"/>
          </w:tcPr>
          <w:p w14:paraId="2C62458F" w14:textId="77777777" w:rsidR="00FE3EAF" w:rsidRPr="00FE3EAF" w:rsidRDefault="00FE3EAF" w:rsidP="00FE3EAF">
            <w:pPr>
              <w:jc w:val="right"/>
              <w:rPr>
                <w:rFonts w:eastAsia="Calibri"/>
                <w:sz w:val="20"/>
                <w:szCs w:val="20"/>
              </w:rPr>
            </w:pPr>
          </w:p>
        </w:tc>
        <w:tc>
          <w:tcPr>
            <w:tcW w:w="765" w:type="dxa"/>
            <w:gridSpan w:val="2"/>
            <w:tcBorders>
              <w:top w:val="nil"/>
              <w:bottom w:val="nil"/>
              <w:right w:val="double" w:sz="4" w:space="0" w:color="auto"/>
            </w:tcBorders>
            <w:shd w:val="clear" w:color="auto" w:fill="FFFFFF"/>
            <w:vAlign w:val="center"/>
          </w:tcPr>
          <w:p w14:paraId="51134FDF" w14:textId="77777777" w:rsidR="00FE3EAF" w:rsidRPr="00FE3EAF" w:rsidRDefault="00FE3EAF" w:rsidP="00FE3EAF">
            <w:pPr>
              <w:jc w:val="right"/>
              <w:rPr>
                <w:rFonts w:eastAsia="Calibri"/>
                <w:sz w:val="20"/>
                <w:szCs w:val="20"/>
              </w:rPr>
            </w:pPr>
          </w:p>
        </w:tc>
        <w:tc>
          <w:tcPr>
            <w:tcW w:w="810" w:type="dxa"/>
            <w:tcBorders>
              <w:top w:val="nil"/>
              <w:left w:val="double" w:sz="4" w:space="0" w:color="auto"/>
              <w:bottom w:val="nil"/>
              <w:right w:val="single" w:sz="4" w:space="0" w:color="auto"/>
            </w:tcBorders>
            <w:shd w:val="clear" w:color="auto" w:fill="FFFFFF"/>
            <w:vAlign w:val="center"/>
          </w:tcPr>
          <w:p w14:paraId="6CEBFE71" w14:textId="77777777" w:rsidR="00FE3EAF" w:rsidRPr="00FE3EAF" w:rsidRDefault="00FE3EAF" w:rsidP="00FE3EAF">
            <w:pPr>
              <w:jc w:val="right"/>
              <w:rPr>
                <w:rFonts w:eastAsia="Calibri"/>
                <w:sz w:val="20"/>
                <w:szCs w:val="20"/>
              </w:rPr>
            </w:pPr>
          </w:p>
        </w:tc>
        <w:tc>
          <w:tcPr>
            <w:tcW w:w="810" w:type="dxa"/>
            <w:tcBorders>
              <w:top w:val="nil"/>
              <w:left w:val="single" w:sz="4" w:space="0" w:color="auto"/>
              <w:bottom w:val="nil"/>
              <w:right w:val="double" w:sz="4" w:space="0" w:color="auto"/>
            </w:tcBorders>
            <w:shd w:val="clear" w:color="auto" w:fill="FFFFFF"/>
            <w:vAlign w:val="center"/>
          </w:tcPr>
          <w:p w14:paraId="348D2C7D" w14:textId="77777777" w:rsidR="00FE3EAF" w:rsidRPr="00FE3EAF" w:rsidRDefault="00FE3EAF" w:rsidP="00FE3EAF">
            <w:pPr>
              <w:jc w:val="right"/>
              <w:rPr>
                <w:rFonts w:eastAsia="Calibri"/>
                <w:sz w:val="20"/>
                <w:szCs w:val="20"/>
              </w:rPr>
            </w:pPr>
          </w:p>
        </w:tc>
      </w:tr>
      <w:tr w:rsidR="00FE3EAF" w:rsidRPr="00FE3EAF" w14:paraId="4FFFDDA9" w14:textId="77777777" w:rsidTr="00810642">
        <w:tc>
          <w:tcPr>
            <w:tcW w:w="3330" w:type="dxa"/>
            <w:tcBorders>
              <w:top w:val="nil"/>
              <w:left w:val="double" w:sz="4" w:space="0" w:color="auto"/>
              <w:bottom w:val="nil"/>
              <w:right w:val="double" w:sz="4" w:space="0" w:color="auto"/>
            </w:tcBorders>
          </w:tcPr>
          <w:p w14:paraId="735AB471" w14:textId="77777777" w:rsidR="00FE3EAF" w:rsidRPr="00FE3EAF" w:rsidRDefault="00FE3EAF" w:rsidP="00FE3EAF">
            <w:pPr>
              <w:jc w:val="left"/>
              <w:rPr>
                <w:rFonts w:eastAsia="Calibri"/>
                <w:sz w:val="18"/>
                <w:szCs w:val="18"/>
              </w:rPr>
            </w:pPr>
            <w:r w:rsidRPr="00FE3EAF">
              <w:rPr>
                <w:rFonts w:eastAsia="Calibri"/>
                <w:sz w:val="18"/>
                <w:szCs w:val="18"/>
              </w:rPr>
              <w:t xml:space="preserve"> Healthcare</w:t>
            </w:r>
          </w:p>
        </w:tc>
        <w:tc>
          <w:tcPr>
            <w:tcW w:w="765" w:type="dxa"/>
            <w:tcBorders>
              <w:top w:val="nil"/>
              <w:left w:val="double" w:sz="4" w:space="0" w:color="auto"/>
              <w:bottom w:val="nil"/>
            </w:tcBorders>
            <w:vAlign w:val="center"/>
          </w:tcPr>
          <w:p w14:paraId="79C939ED" w14:textId="77777777" w:rsidR="00FE3EAF" w:rsidRPr="00FE3EAF" w:rsidRDefault="00FE3EAF" w:rsidP="00FE3EAF">
            <w:pPr>
              <w:jc w:val="right"/>
              <w:rPr>
                <w:rFonts w:eastAsia="Calibri"/>
                <w:sz w:val="20"/>
                <w:szCs w:val="20"/>
              </w:rPr>
            </w:pPr>
            <w:r w:rsidRPr="00FE3EAF">
              <w:rPr>
                <w:rFonts w:eastAsia="Calibri"/>
                <w:sz w:val="20"/>
                <w:szCs w:val="20"/>
              </w:rPr>
              <w:t>--</w:t>
            </w:r>
          </w:p>
        </w:tc>
        <w:tc>
          <w:tcPr>
            <w:tcW w:w="765" w:type="dxa"/>
            <w:tcBorders>
              <w:top w:val="nil"/>
              <w:bottom w:val="nil"/>
              <w:right w:val="single" w:sz="12" w:space="0" w:color="auto"/>
            </w:tcBorders>
            <w:vAlign w:val="center"/>
          </w:tcPr>
          <w:p w14:paraId="37C02213" w14:textId="77777777" w:rsidR="00FE3EAF" w:rsidRPr="00FE3EAF" w:rsidRDefault="00FE3EAF" w:rsidP="00FE3EAF">
            <w:pPr>
              <w:jc w:val="right"/>
              <w:rPr>
                <w:rFonts w:eastAsia="Calibri"/>
                <w:sz w:val="20"/>
                <w:szCs w:val="20"/>
              </w:rPr>
            </w:pPr>
          </w:p>
        </w:tc>
        <w:tc>
          <w:tcPr>
            <w:tcW w:w="765" w:type="dxa"/>
            <w:gridSpan w:val="2"/>
            <w:tcBorders>
              <w:top w:val="nil"/>
              <w:left w:val="single" w:sz="12" w:space="0" w:color="auto"/>
              <w:bottom w:val="nil"/>
              <w:right w:val="single" w:sz="4" w:space="0" w:color="auto"/>
            </w:tcBorders>
            <w:shd w:val="clear" w:color="auto" w:fill="FFFFFF"/>
            <w:vAlign w:val="bottom"/>
          </w:tcPr>
          <w:p w14:paraId="60E7F8CF" w14:textId="77777777" w:rsidR="00FE3EAF" w:rsidRPr="00FE3EAF" w:rsidRDefault="00FE3EAF" w:rsidP="00FE3EAF">
            <w:pPr>
              <w:jc w:val="right"/>
              <w:rPr>
                <w:rFonts w:eastAsia="Calibri"/>
                <w:sz w:val="20"/>
                <w:szCs w:val="20"/>
              </w:rPr>
            </w:pPr>
            <w:r w:rsidRPr="00FE3EAF">
              <w:rPr>
                <w:rFonts w:eastAsia="Calibri"/>
                <w:sz w:val="20"/>
                <w:szCs w:val="20"/>
              </w:rPr>
              <w:t>0.299</w:t>
            </w:r>
          </w:p>
        </w:tc>
        <w:tc>
          <w:tcPr>
            <w:tcW w:w="765" w:type="dxa"/>
            <w:tcBorders>
              <w:top w:val="nil"/>
              <w:left w:val="single" w:sz="4" w:space="0" w:color="auto"/>
              <w:bottom w:val="nil"/>
              <w:right w:val="single" w:sz="12" w:space="0" w:color="auto"/>
            </w:tcBorders>
            <w:shd w:val="clear" w:color="auto" w:fill="FFFFFF"/>
            <w:vAlign w:val="bottom"/>
          </w:tcPr>
          <w:p w14:paraId="3E410919" w14:textId="77777777" w:rsidR="00FE3EAF" w:rsidRPr="00FE3EAF" w:rsidRDefault="00FE3EAF" w:rsidP="00FE3EAF">
            <w:pPr>
              <w:jc w:val="right"/>
              <w:rPr>
                <w:rFonts w:eastAsia="Calibri"/>
                <w:sz w:val="20"/>
                <w:szCs w:val="20"/>
              </w:rPr>
            </w:pPr>
            <w:r w:rsidRPr="00FE3EAF">
              <w:rPr>
                <w:rFonts w:eastAsia="Calibri"/>
                <w:sz w:val="20"/>
                <w:szCs w:val="20"/>
              </w:rPr>
              <w:t>1.60</w:t>
            </w:r>
          </w:p>
        </w:tc>
        <w:tc>
          <w:tcPr>
            <w:tcW w:w="765" w:type="dxa"/>
            <w:tcBorders>
              <w:top w:val="nil"/>
              <w:left w:val="single" w:sz="12" w:space="0" w:color="auto"/>
              <w:bottom w:val="nil"/>
            </w:tcBorders>
            <w:shd w:val="clear" w:color="auto" w:fill="FFFFFF"/>
            <w:vAlign w:val="center"/>
          </w:tcPr>
          <w:p w14:paraId="6006CD23" w14:textId="77777777" w:rsidR="00FE3EAF" w:rsidRPr="00FE3EAF" w:rsidRDefault="00FE3EAF" w:rsidP="00FE3EAF">
            <w:pPr>
              <w:jc w:val="right"/>
              <w:rPr>
                <w:rFonts w:eastAsia="Calibri"/>
                <w:sz w:val="20"/>
                <w:szCs w:val="20"/>
              </w:rPr>
            </w:pPr>
            <w:r w:rsidRPr="00FE3EAF">
              <w:rPr>
                <w:rFonts w:eastAsia="Calibri"/>
                <w:sz w:val="20"/>
                <w:szCs w:val="20"/>
              </w:rPr>
              <w:t>--</w:t>
            </w:r>
          </w:p>
        </w:tc>
        <w:tc>
          <w:tcPr>
            <w:tcW w:w="765" w:type="dxa"/>
            <w:gridSpan w:val="2"/>
            <w:tcBorders>
              <w:top w:val="nil"/>
              <w:bottom w:val="nil"/>
              <w:right w:val="double" w:sz="4" w:space="0" w:color="auto"/>
            </w:tcBorders>
            <w:shd w:val="clear" w:color="auto" w:fill="FFFFFF"/>
            <w:vAlign w:val="center"/>
          </w:tcPr>
          <w:p w14:paraId="7FF8955F" w14:textId="77777777" w:rsidR="00FE3EAF" w:rsidRPr="00FE3EAF" w:rsidRDefault="00FE3EAF" w:rsidP="00FE3EAF">
            <w:pPr>
              <w:jc w:val="right"/>
              <w:rPr>
                <w:rFonts w:eastAsia="Calibri"/>
                <w:sz w:val="20"/>
                <w:szCs w:val="20"/>
              </w:rPr>
            </w:pPr>
          </w:p>
        </w:tc>
        <w:tc>
          <w:tcPr>
            <w:tcW w:w="810" w:type="dxa"/>
            <w:tcBorders>
              <w:top w:val="nil"/>
              <w:left w:val="double" w:sz="4" w:space="0" w:color="auto"/>
              <w:bottom w:val="nil"/>
              <w:right w:val="single" w:sz="4" w:space="0" w:color="auto"/>
            </w:tcBorders>
            <w:shd w:val="clear" w:color="auto" w:fill="FFFFFF"/>
            <w:vAlign w:val="center"/>
          </w:tcPr>
          <w:p w14:paraId="7E875FA9" w14:textId="77777777" w:rsidR="00FE3EAF" w:rsidRPr="00FE3EAF" w:rsidRDefault="00FE3EAF" w:rsidP="00FE3EAF">
            <w:pPr>
              <w:jc w:val="right"/>
              <w:rPr>
                <w:rFonts w:eastAsia="Calibri"/>
                <w:sz w:val="20"/>
                <w:szCs w:val="20"/>
              </w:rPr>
            </w:pPr>
            <w:r w:rsidRPr="00FE3EAF">
              <w:rPr>
                <w:rFonts w:eastAsia="Calibri"/>
                <w:sz w:val="20"/>
                <w:szCs w:val="20"/>
              </w:rPr>
              <w:t>--</w:t>
            </w:r>
          </w:p>
        </w:tc>
        <w:tc>
          <w:tcPr>
            <w:tcW w:w="810" w:type="dxa"/>
            <w:tcBorders>
              <w:top w:val="nil"/>
              <w:left w:val="single" w:sz="4" w:space="0" w:color="auto"/>
              <w:bottom w:val="nil"/>
              <w:right w:val="double" w:sz="4" w:space="0" w:color="auto"/>
            </w:tcBorders>
            <w:shd w:val="clear" w:color="auto" w:fill="FFFFFF"/>
            <w:vAlign w:val="center"/>
          </w:tcPr>
          <w:p w14:paraId="2A6DC3DE" w14:textId="77777777" w:rsidR="00FE3EAF" w:rsidRPr="00FE3EAF" w:rsidRDefault="00FE3EAF" w:rsidP="00FE3EAF">
            <w:pPr>
              <w:jc w:val="right"/>
              <w:rPr>
                <w:rFonts w:eastAsia="Calibri"/>
                <w:sz w:val="20"/>
                <w:szCs w:val="20"/>
              </w:rPr>
            </w:pPr>
          </w:p>
        </w:tc>
      </w:tr>
      <w:tr w:rsidR="00FE3EAF" w:rsidRPr="00FE3EAF" w14:paraId="567A5522" w14:textId="77777777" w:rsidTr="00810642">
        <w:tc>
          <w:tcPr>
            <w:tcW w:w="3330" w:type="dxa"/>
            <w:tcBorders>
              <w:top w:val="nil"/>
              <w:left w:val="double" w:sz="4" w:space="0" w:color="auto"/>
              <w:bottom w:val="nil"/>
              <w:right w:val="double" w:sz="4" w:space="0" w:color="auto"/>
            </w:tcBorders>
          </w:tcPr>
          <w:p w14:paraId="25E77736" w14:textId="77777777" w:rsidR="00FE3EAF" w:rsidRPr="00FE3EAF" w:rsidRDefault="00FE3EAF" w:rsidP="00FE3EAF">
            <w:pPr>
              <w:jc w:val="left"/>
              <w:rPr>
                <w:rFonts w:eastAsia="Calibri"/>
                <w:sz w:val="18"/>
                <w:szCs w:val="18"/>
              </w:rPr>
            </w:pPr>
            <w:r w:rsidRPr="00FE3EAF">
              <w:rPr>
                <w:rFonts w:eastAsia="Calibri"/>
                <w:sz w:val="18"/>
                <w:szCs w:val="18"/>
              </w:rPr>
              <w:t xml:space="preserve"> Professional Services</w:t>
            </w:r>
          </w:p>
        </w:tc>
        <w:tc>
          <w:tcPr>
            <w:tcW w:w="765" w:type="dxa"/>
            <w:tcBorders>
              <w:top w:val="nil"/>
              <w:left w:val="double" w:sz="4" w:space="0" w:color="auto"/>
              <w:bottom w:val="nil"/>
            </w:tcBorders>
            <w:vAlign w:val="center"/>
          </w:tcPr>
          <w:p w14:paraId="3BD50BCA" w14:textId="77777777" w:rsidR="00FE3EAF" w:rsidRPr="00FE3EAF" w:rsidRDefault="00FE3EAF" w:rsidP="00FE3EAF">
            <w:pPr>
              <w:jc w:val="right"/>
              <w:rPr>
                <w:rFonts w:eastAsia="Calibri"/>
                <w:sz w:val="20"/>
                <w:szCs w:val="20"/>
              </w:rPr>
            </w:pPr>
            <w:r w:rsidRPr="00FE3EAF">
              <w:rPr>
                <w:rFonts w:eastAsia="Calibri"/>
                <w:sz w:val="20"/>
                <w:szCs w:val="20"/>
              </w:rPr>
              <w:t>--</w:t>
            </w:r>
          </w:p>
        </w:tc>
        <w:tc>
          <w:tcPr>
            <w:tcW w:w="765" w:type="dxa"/>
            <w:tcBorders>
              <w:top w:val="nil"/>
              <w:bottom w:val="nil"/>
              <w:right w:val="single" w:sz="12" w:space="0" w:color="auto"/>
            </w:tcBorders>
            <w:vAlign w:val="center"/>
          </w:tcPr>
          <w:p w14:paraId="77320E8F" w14:textId="77777777" w:rsidR="00FE3EAF" w:rsidRPr="00FE3EAF" w:rsidRDefault="00FE3EAF" w:rsidP="00FE3EAF">
            <w:pPr>
              <w:jc w:val="right"/>
              <w:rPr>
                <w:rFonts w:eastAsia="Calibri"/>
                <w:sz w:val="20"/>
                <w:szCs w:val="20"/>
              </w:rPr>
            </w:pPr>
          </w:p>
        </w:tc>
        <w:tc>
          <w:tcPr>
            <w:tcW w:w="765" w:type="dxa"/>
            <w:gridSpan w:val="2"/>
            <w:tcBorders>
              <w:top w:val="nil"/>
              <w:left w:val="single" w:sz="12" w:space="0" w:color="auto"/>
              <w:bottom w:val="nil"/>
              <w:right w:val="single" w:sz="4" w:space="0" w:color="auto"/>
            </w:tcBorders>
            <w:shd w:val="clear" w:color="auto" w:fill="FFFFFF"/>
            <w:vAlign w:val="bottom"/>
          </w:tcPr>
          <w:p w14:paraId="56657D68" w14:textId="77777777" w:rsidR="00FE3EAF" w:rsidRPr="00FE3EAF" w:rsidRDefault="00FE3EAF" w:rsidP="00FE3EAF">
            <w:pPr>
              <w:jc w:val="right"/>
              <w:rPr>
                <w:rFonts w:eastAsia="Calibri"/>
                <w:sz w:val="20"/>
                <w:szCs w:val="20"/>
              </w:rPr>
            </w:pPr>
            <w:r w:rsidRPr="00FE3EAF">
              <w:rPr>
                <w:rFonts w:eastAsia="Calibri"/>
                <w:sz w:val="20"/>
                <w:szCs w:val="20"/>
              </w:rPr>
              <w:t>-0.480</w:t>
            </w:r>
          </w:p>
        </w:tc>
        <w:tc>
          <w:tcPr>
            <w:tcW w:w="765" w:type="dxa"/>
            <w:tcBorders>
              <w:top w:val="nil"/>
              <w:left w:val="single" w:sz="4" w:space="0" w:color="auto"/>
              <w:bottom w:val="nil"/>
              <w:right w:val="single" w:sz="12" w:space="0" w:color="auto"/>
            </w:tcBorders>
            <w:shd w:val="clear" w:color="auto" w:fill="FFFFFF"/>
            <w:vAlign w:val="bottom"/>
          </w:tcPr>
          <w:p w14:paraId="0E88E98F" w14:textId="77777777" w:rsidR="00FE3EAF" w:rsidRPr="00FE3EAF" w:rsidRDefault="00FE3EAF" w:rsidP="00FE3EAF">
            <w:pPr>
              <w:jc w:val="right"/>
              <w:rPr>
                <w:rFonts w:eastAsia="Calibri"/>
                <w:sz w:val="20"/>
                <w:szCs w:val="20"/>
              </w:rPr>
            </w:pPr>
            <w:r w:rsidRPr="00FE3EAF">
              <w:rPr>
                <w:rFonts w:eastAsia="Calibri"/>
                <w:sz w:val="20"/>
                <w:szCs w:val="20"/>
              </w:rPr>
              <w:t>-4.06</w:t>
            </w:r>
          </w:p>
        </w:tc>
        <w:tc>
          <w:tcPr>
            <w:tcW w:w="765" w:type="dxa"/>
            <w:tcBorders>
              <w:top w:val="nil"/>
              <w:left w:val="single" w:sz="12" w:space="0" w:color="auto"/>
              <w:bottom w:val="nil"/>
            </w:tcBorders>
            <w:shd w:val="clear" w:color="auto" w:fill="FFFFFF"/>
            <w:vAlign w:val="center"/>
          </w:tcPr>
          <w:p w14:paraId="3574C035" w14:textId="77777777" w:rsidR="00FE3EAF" w:rsidRPr="00FE3EAF" w:rsidRDefault="00FE3EAF" w:rsidP="00FE3EAF">
            <w:pPr>
              <w:jc w:val="right"/>
              <w:rPr>
                <w:rFonts w:eastAsia="Calibri"/>
                <w:sz w:val="20"/>
                <w:szCs w:val="20"/>
              </w:rPr>
            </w:pPr>
            <w:r w:rsidRPr="00FE3EAF">
              <w:rPr>
                <w:rFonts w:eastAsia="Calibri"/>
                <w:sz w:val="20"/>
                <w:szCs w:val="20"/>
              </w:rPr>
              <w:t>--</w:t>
            </w:r>
          </w:p>
        </w:tc>
        <w:tc>
          <w:tcPr>
            <w:tcW w:w="765" w:type="dxa"/>
            <w:gridSpan w:val="2"/>
            <w:tcBorders>
              <w:top w:val="nil"/>
              <w:bottom w:val="nil"/>
              <w:right w:val="double" w:sz="4" w:space="0" w:color="auto"/>
            </w:tcBorders>
            <w:shd w:val="clear" w:color="auto" w:fill="FFFFFF"/>
            <w:vAlign w:val="center"/>
          </w:tcPr>
          <w:p w14:paraId="5AFE8001" w14:textId="77777777" w:rsidR="00FE3EAF" w:rsidRPr="00FE3EAF" w:rsidRDefault="00FE3EAF" w:rsidP="00FE3EAF">
            <w:pPr>
              <w:jc w:val="right"/>
              <w:rPr>
                <w:rFonts w:eastAsia="Calibri"/>
                <w:sz w:val="20"/>
                <w:szCs w:val="20"/>
              </w:rPr>
            </w:pPr>
          </w:p>
        </w:tc>
        <w:tc>
          <w:tcPr>
            <w:tcW w:w="810" w:type="dxa"/>
            <w:tcBorders>
              <w:top w:val="nil"/>
              <w:left w:val="double" w:sz="4" w:space="0" w:color="auto"/>
              <w:bottom w:val="nil"/>
              <w:right w:val="single" w:sz="4" w:space="0" w:color="auto"/>
            </w:tcBorders>
            <w:shd w:val="clear" w:color="auto" w:fill="FFFFFF"/>
            <w:vAlign w:val="center"/>
          </w:tcPr>
          <w:p w14:paraId="70817C87" w14:textId="77777777" w:rsidR="00FE3EAF" w:rsidRPr="00FE3EAF" w:rsidRDefault="00FE3EAF" w:rsidP="00FE3EAF">
            <w:pPr>
              <w:jc w:val="right"/>
              <w:rPr>
                <w:rFonts w:eastAsia="Calibri"/>
                <w:sz w:val="20"/>
                <w:szCs w:val="20"/>
              </w:rPr>
            </w:pPr>
            <w:r w:rsidRPr="00FE3EAF">
              <w:rPr>
                <w:rFonts w:eastAsia="Calibri"/>
                <w:sz w:val="20"/>
                <w:szCs w:val="20"/>
              </w:rPr>
              <w:t>--</w:t>
            </w:r>
          </w:p>
        </w:tc>
        <w:tc>
          <w:tcPr>
            <w:tcW w:w="810" w:type="dxa"/>
            <w:tcBorders>
              <w:top w:val="nil"/>
              <w:left w:val="single" w:sz="4" w:space="0" w:color="auto"/>
              <w:bottom w:val="nil"/>
              <w:right w:val="double" w:sz="4" w:space="0" w:color="auto"/>
            </w:tcBorders>
            <w:shd w:val="clear" w:color="auto" w:fill="FFFFFF"/>
            <w:vAlign w:val="center"/>
          </w:tcPr>
          <w:p w14:paraId="329342E7" w14:textId="77777777" w:rsidR="00FE3EAF" w:rsidRPr="00FE3EAF" w:rsidRDefault="00FE3EAF" w:rsidP="00FE3EAF">
            <w:pPr>
              <w:jc w:val="right"/>
              <w:rPr>
                <w:rFonts w:eastAsia="Calibri"/>
                <w:sz w:val="20"/>
                <w:szCs w:val="20"/>
              </w:rPr>
            </w:pPr>
          </w:p>
        </w:tc>
      </w:tr>
      <w:tr w:rsidR="00FE3EAF" w:rsidRPr="00FE3EAF" w14:paraId="4968490F" w14:textId="77777777" w:rsidTr="00810642">
        <w:tc>
          <w:tcPr>
            <w:tcW w:w="3330" w:type="dxa"/>
            <w:tcBorders>
              <w:top w:val="nil"/>
              <w:left w:val="double" w:sz="4" w:space="0" w:color="auto"/>
              <w:bottom w:val="nil"/>
              <w:right w:val="double" w:sz="4" w:space="0" w:color="auto"/>
            </w:tcBorders>
          </w:tcPr>
          <w:p w14:paraId="2E20E28D" w14:textId="77777777" w:rsidR="00FE3EAF" w:rsidRPr="00FE3EAF" w:rsidRDefault="00FE3EAF" w:rsidP="00FE3EAF">
            <w:pPr>
              <w:jc w:val="left"/>
              <w:rPr>
                <w:rFonts w:eastAsia="Calibri"/>
                <w:sz w:val="18"/>
                <w:szCs w:val="18"/>
              </w:rPr>
            </w:pPr>
            <w:r w:rsidRPr="00FE3EAF">
              <w:rPr>
                <w:rFonts w:eastAsia="Calibri"/>
                <w:sz w:val="18"/>
                <w:szCs w:val="18"/>
              </w:rPr>
              <w:t xml:space="preserve"> Public Administration</w:t>
            </w:r>
          </w:p>
        </w:tc>
        <w:tc>
          <w:tcPr>
            <w:tcW w:w="765" w:type="dxa"/>
            <w:tcBorders>
              <w:top w:val="nil"/>
              <w:left w:val="double" w:sz="4" w:space="0" w:color="auto"/>
              <w:bottom w:val="nil"/>
            </w:tcBorders>
            <w:vAlign w:val="center"/>
          </w:tcPr>
          <w:p w14:paraId="3EA015F6" w14:textId="77777777" w:rsidR="00FE3EAF" w:rsidRPr="00FE3EAF" w:rsidRDefault="00FE3EAF" w:rsidP="00FE3EAF">
            <w:pPr>
              <w:jc w:val="right"/>
              <w:rPr>
                <w:rFonts w:eastAsia="Calibri"/>
                <w:sz w:val="20"/>
                <w:szCs w:val="20"/>
              </w:rPr>
            </w:pPr>
            <w:r w:rsidRPr="00FE3EAF">
              <w:rPr>
                <w:rFonts w:eastAsia="Calibri"/>
                <w:sz w:val="20"/>
                <w:szCs w:val="20"/>
              </w:rPr>
              <w:t>--</w:t>
            </w:r>
          </w:p>
        </w:tc>
        <w:tc>
          <w:tcPr>
            <w:tcW w:w="765" w:type="dxa"/>
            <w:tcBorders>
              <w:top w:val="nil"/>
              <w:bottom w:val="nil"/>
              <w:right w:val="single" w:sz="12" w:space="0" w:color="auto"/>
            </w:tcBorders>
            <w:vAlign w:val="center"/>
          </w:tcPr>
          <w:p w14:paraId="1E7756EF" w14:textId="77777777" w:rsidR="00FE3EAF" w:rsidRPr="00FE3EAF" w:rsidRDefault="00FE3EAF" w:rsidP="00FE3EAF">
            <w:pPr>
              <w:jc w:val="right"/>
              <w:rPr>
                <w:rFonts w:eastAsia="Calibri"/>
                <w:sz w:val="20"/>
                <w:szCs w:val="20"/>
              </w:rPr>
            </w:pPr>
          </w:p>
        </w:tc>
        <w:tc>
          <w:tcPr>
            <w:tcW w:w="765" w:type="dxa"/>
            <w:gridSpan w:val="2"/>
            <w:tcBorders>
              <w:top w:val="nil"/>
              <w:left w:val="single" w:sz="12" w:space="0" w:color="auto"/>
              <w:bottom w:val="nil"/>
              <w:right w:val="single" w:sz="4" w:space="0" w:color="auto"/>
            </w:tcBorders>
            <w:shd w:val="clear" w:color="auto" w:fill="FFFFFF"/>
            <w:vAlign w:val="bottom"/>
          </w:tcPr>
          <w:p w14:paraId="634EDD1F" w14:textId="77777777" w:rsidR="00FE3EAF" w:rsidRPr="00FE3EAF" w:rsidRDefault="00FE3EAF" w:rsidP="00FE3EAF">
            <w:pPr>
              <w:jc w:val="right"/>
              <w:rPr>
                <w:rFonts w:eastAsia="Calibri"/>
                <w:sz w:val="20"/>
                <w:szCs w:val="20"/>
              </w:rPr>
            </w:pPr>
            <w:r w:rsidRPr="00FE3EAF">
              <w:rPr>
                <w:rFonts w:eastAsia="Calibri"/>
                <w:sz w:val="20"/>
                <w:szCs w:val="20"/>
              </w:rPr>
              <w:t>-0.667</w:t>
            </w:r>
          </w:p>
        </w:tc>
        <w:tc>
          <w:tcPr>
            <w:tcW w:w="765" w:type="dxa"/>
            <w:tcBorders>
              <w:top w:val="nil"/>
              <w:left w:val="single" w:sz="4" w:space="0" w:color="auto"/>
              <w:bottom w:val="nil"/>
              <w:right w:val="single" w:sz="12" w:space="0" w:color="auto"/>
            </w:tcBorders>
            <w:shd w:val="clear" w:color="auto" w:fill="FFFFFF"/>
            <w:vAlign w:val="bottom"/>
          </w:tcPr>
          <w:p w14:paraId="6385E758" w14:textId="77777777" w:rsidR="00FE3EAF" w:rsidRPr="00FE3EAF" w:rsidRDefault="00FE3EAF" w:rsidP="00FE3EAF">
            <w:pPr>
              <w:jc w:val="right"/>
              <w:rPr>
                <w:rFonts w:eastAsia="Calibri"/>
                <w:sz w:val="20"/>
                <w:szCs w:val="20"/>
              </w:rPr>
            </w:pPr>
            <w:r w:rsidRPr="00FE3EAF">
              <w:rPr>
                <w:rFonts w:eastAsia="Calibri"/>
                <w:sz w:val="20"/>
                <w:szCs w:val="20"/>
              </w:rPr>
              <w:t>-3.37</w:t>
            </w:r>
          </w:p>
        </w:tc>
        <w:tc>
          <w:tcPr>
            <w:tcW w:w="765" w:type="dxa"/>
            <w:tcBorders>
              <w:top w:val="nil"/>
              <w:left w:val="single" w:sz="12" w:space="0" w:color="auto"/>
              <w:bottom w:val="nil"/>
            </w:tcBorders>
            <w:shd w:val="clear" w:color="auto" w:fill="FFFFFF"/>
            <w:vAlign w:val="center"/>
          </w:tcPr>
          <w:p w14:paraId="23090931" w14:textId="77777777" w:rsidR="00FE3EAF" w:rsidRPr="00FE3EAF" w:rsidRDefault="00FE3EAF" w:rsidP="00FE3EAF">
            <w:pPr>
              <w:jc w:val="right"/>
              <w:rPr>
                <w:rFonts w:eastAsia="Calibri"/>
                <w:sz w:val="20"/>
                <w:szCs w:val="20"/>
              </w:rPr>
            </w:pPr>
            <w:r w:rsidRPr="00FE3EAF">
              <w:rPr>
                <w:rFonts w:eastAsia="Calibri"/>
                <w:sz w:val="20"/>
                <w:szCs w:val="20"/>
              </w:rPr>
              <w:t>--</w:t>
            </w:r>
          </w:p>
        </w:tc>
        <w:tc>
          <w:tcPr>
            <w:tcW w:w="765" w:type="dxa"/>
            <w:gridSpan w:val="2"/>
            <w:tcBorders>
              <w:top w:val="nil"/>
              <w:bottom w:val="nil"/>
              <w:right w:val="double" w:sz="4" w:space="0" w:color="auto"/>
            </w:tcBorders>
            <w:shd w:val="clear" w:color="auto" w:fill="FFFFFF"/>
            <w:vAlign w:val="center"/>
          </w:tcPr>
          <w:p w14:paraId="2CB257B2" w14:textId="77777777" w:rsidR="00FE3EAF" w:rsidRPr="00FE3EAF" w:rsidRDefault="00FE3EAF" w:rsidP="00FE3EAF">
            <w:pPr>
              <w:jc w:val="right"/>
              <w:rPr>
                <w:rFonts w:eastAsia="Calibri"/>
                <w:sz w:val="20"/>
                <w:szCs w:val="20"/>
              </w:rPr>
            </w:pPr>
          </w:p>
        </w:tc>
        <w:tc>
          <w:tcPr>
            <w:tcW w:w="810" w:type="dxa"/>
            <w:tcBorders>
              <w:top w:val="nil"/>
              <w:left w:val="double" w:sz="4" w:space="0" w:color="auto"/>
              <w:bottom w:val="nil"/>
              <w:right w:val="single" w:sz="4" w:space="0" w:color="auto"/>
            </w:tcBorders>
            <w:shd w:val="clear" w:color="auto" w:fill="FFFFFF"/>
            <w:vAlign w:val="center"/>
          </w:tcPr>
          <w:p w14:paraId="50DB18A9" w14:textId="77777777" w:rsidR="00FE3EAF" w:rsidRPr="00FE3EAF" w:rsidRDefault="00FE3EAF" w:rsidP="00FE3EAF">
            <w:pPr>
              <w:jc w:val="right"/>
              <w:rPr>
                <w:rFonts w:eastAsia="Calibri"/>
                <w:sz w:val="20"/>
                <w:szCs w:val="20"/>
              </w:rPr>
            </w:pPr>
            <w:r w:rsidRPr="00FE3EAF">
              <w:rPr>
                <w:rFonts w:eastAsia="Calibri"/>
                <w:sz w:val="20"/>
                <w:szCs w:val="20"/>
              </w:rPr>
              <w:t>--</w:t>
            </w:r>
          </w:p>
        </w:tc>
        <w:tc>
          <w:tcPr>
            <w:tcW w:w="810" w:type="dxa"/>
            <w:tcBorders>
              <w:top w:val="nil"/>
              <w:left w:val="single" w:sz="4" w:space="0" w:color="auto"/>
              <w:bottom w:val="nil"/>
              <w:right w:val="double" w:sz="4" w:space="0" w:color="auto"/>
            </w:tcBorders>
            <w:shd w:val="clear" w:color="auto" w:fill="FFFFFF"/>
            <w:vAlign w:val="center"/>
          </w:tcPr>
          <w:p w14:paraId="004DF2CD" w14:textId="77777777" w:rsidR="00FE3EAF" w:rsidRPr="00FE3EAF" w:rsidRDefault="00FE3EAF" w:rsidP="00FE3EAF">
            <w:pPr>
              <w:jc w:val="right"/>
              <w:rPr>
                <w:rFonts w:eastAsia="Calibri"/>
                <w:sz w:val="20"/>
                <w:szCs w:val="20"/>
              </w:rPr>
            </w:pPr>
          </w:p>
        </w:tc>
      </w:tr>
      <w:tr w:rsidR="00FE3EAF" w:rsidRPr="00FE3EAF" w14:paraId="2E78C0A2" w14:textId="77777777" w:rsidTr="00810642">
        <w:tc>
          <w:tcPr>
            <w:tcW w:w="3330" w:type="dxa"/>
            <w:tcBorders>
              <w:top w:val="nil"/>
              <w:left w:val="double" w:sz="4" w:space="0" w:color="auto"/>
              <w:bottom w:val="nil"/>
              <w:right w:val="double" w:sz="4" w:space="0" w:color="auto"/>
            </w:tcBorders>
          </w:tcPr>
          <w:p w14:paraId="40C7B332" w14:textId="77777777" w:rsidR="00FE3EAF" w:rsidRPr="00FE3EAF" w:rsidRDefault="00FE3EAF" w:rsidP="00FE3EAF">
            <w:pPr>
              <w:jc w:val="left"/>
              <w:rPr>
                <w:rFonts w:eastAsia="Calibri"/>
                <w:b/>
                <w:i/>
                <w:sz w:val="18"/>
                <w:szCs w:val="18"/>
                <w:u w:val="single"/>
              </w:rPr>
            </w:pPr>
            <w:r w:rsidRPr="00FE3EAF">
              <w:rPr>
                <w:rFonts w:eastAsia="Calibri"/>
                <w:b/>
                <w:i/>
                <w:sz w:val="18"/>
                <w:szCs w:val="18"/>
                <w:u w:val="single"/>
              </w:rPr>
              <w:t>Endogenous Effects</w:t>
            </w:r>
          </w:p>
        </w:tc>
        <w:tc>
          <w:tcPr>
            <w:tcW w:w="765" w:type="dxa"/>
            <w:tcBorders>
              <w:top w:val="nil"/>
              <w:left w:val="double" w:sz="4" w:space="0" w:color="auto"/>
              <w:bottom w:val="nil"/>
            </w:tcBorders>
            <w:vAlign w:val="center"/>
          </w:tcPr>
          <w:p w14:paraId="483258DC" w14:textId="77777777" w:rsidR="00FE3EAF" w:rsidRPr="00FE3EAF" w:rsidRDefault="00FE3EAF" w:rsidP="00FE3EAF">
            <w:pPr>
              <w:jc w:val="right"/>
              <w:rPr>
                <w:rFonts w:eastAsia="Calibri"/>
                <w:sz w:val="20"/>
                <w:szCs w:val="20"/>
              </w:rPr>
            </w:pPr>
          </w:p>
        </w:tc>
        <w:tc>
          <w:tcPr>
            <w:tcW w:w="765" w:type="dxa"/>
            <w:tcBorders>
              <w:top w:val="nil"/>
              <w:bottom w:val="nil"/>
              <w:right w:val="single" w:sz="12" w:space="0" w:color="auto"/>
            </w:tcBorders>
            <w:vAlign w:val="center"/>
          </w:tcPr>
          <w:p w14:paraId="4E87C5A4" w14:textId="77777777" w:rsidR="00FE3EAF" w:rsidRPr="00FE3EAF" w:rsidRDefault="00FE3EAF" w:rsidP="00FE3EAF">
            <w:pPr>
              <w:jc w:val="right"/>
              <w:rPr>
                <w:rFonts w:eastAsia="Calibri"/>
                <w:sz w:val="20"/>
                <w:szCs w:val="20"/>
              </w:rPr>
            </w:pPr>
          </w:p>
        </w:tc>
        <w:tc>
          <w:tcPr>
            <w:tcW w:w="765" w:type="dxa"/>
            <w:gridSpan w:val="2"/>
            <w:tcBorders>
              <w:top w:val="nil"/>
              <w:left w:val="single" w:sz="12" w:space="0" w:color="auto"/>
              <w:bottom w:val="nil"/>
              <w:right w:val="single" w:sz="4" w:space="0" w:color="auto"/>
            </w:tcBorders>
            <w:shd w:val="clear" w:color="auto" w:fill="FFFFFF"/>
            <w:vAlign w:val="center"/>
          </w:tcPr>
          <w:p w14:paraId="49B5F6A0" w14:textId="77777777" w:rsidR="00FE3EAF" w:rsidRPr="00FE3EAF" w:rsidRDefault="00FE3EAF" w:rsidP="00FE3EAF">
            <w:pPr>
              <w:jc w:val="right"/>
              <w:rPr>
                <w:rFonts w:eastAsia="Calibri"/>
                <w:sz w:val="20"/>
                <w:szCs w:val="20"/>
              </w:rPr>
            </w:pPr>
          </w:p>
        </w:tc>
        <w:tc>
          <w:tcPr>
            <w:tcW w:w="765" w:type="dxa"/>
            <w:tcBorders>
              <w:top w:val="nil"/>
              <w:left w:val="single" w:sz="4" w:space="0" w:color="auto"/>
              <w:bottom w:val="nil"/>
              <w:right w:val="single" w:sz="12" w:space="0" w:color="auto"/>
            </w:tcBorders>
            <w:shd w:val="clear" w:color="auto" w:fill="FFFFFF"/>
            <w:vAlign w:val="center"/>
          </w:tcPr>
          <w:p w14:paraId="64C32DFE" w14:textId="77777777" w:rsidR="00FE3EAF" w:rsidRPr="00FE3EAF" w:rsidRDefault="00FE3EAF" w:rsidP="00FE3EAF">
            <w:pPr>
              <w:jc w:val="right"/>
              <w:rPr>
                <w:rFonts w:eastAsia="Calibri"/>
                <w:sz w:val="20"/>
                <w:szCs w:val="20"/>
              </w:rPr>
            </w:pPr>
          </w:p>
        </w:tc>
        <w:tc>
          <w:tcPr>
            <w:tcW w:w="765" w:type="dxa"/>
            <w:tcBorders>
              <w:top w:val="nil"/>
              <w:left w:val="single" w:sz="12" w:space="0" w:color="auto"/>
              <w:bottom w:val="nil"/>
            </w:tcBorders>
            <w:shd w:val="clear" w:color="auto" w:fill="FFFFFF"/>
            <w:vAlign w:val="center"/>
          </w:tcPr>
          <w:p w14:paraId="2EC84942" w14:textId="77777777" w:rsidR="00FE3EAF" w:rsidRPr="00FE3EAF" w:rsidRDefault="00FE3EAF" w:rsidP="00FE3EAF">
            <w:pPr>
              <w:jc w:val="right"/>
              <w:rPr>
                <w:rFonts w:eastAsia="Calibri"/>
                <w:sz w:val="20"/>
                <w:szCs w:val="20"/>
              </w:rPr>
            </w:pPr>
          </w:p>
        </w:tc>
        <w:tc>
          <w:tcPr>
            <w:tcW w:w="765" w:type="dxa"/>
            <w:gridSpan w:val="2"/>
            <w:tcBorders>
              <w:top w:val="nil"/>
              <w:bottom w:val="nil"/>
              <w:right w:val="double" w:sz="4" w:space="0" w:color="auto"/>
            </w:tcBorders>
            <w:shd w:val="clear" w:color="auto" w:fill="FFFFFF"/>
            <w:vAlign w:val="center"/>
          </w:tcPr>
          <w:p w14:paraId="54AF369A" w14:textId="77777777" w:rsidR="00FE3EAF" w:rsidRPr="00FE3EAF" w:rsidRDefault="00FE3EAF" w:rsidP="00FE3EAF">
            <w:pPr>
              <w:jc w:val="right"/>
              <w:rPr>
                <w:rFonts w:eastAsia="Calibri"/>
                <w:sz w:val="20"/>
                <w:szCs w:val="20"/>
              </w:rPr>
            </w:pPr>
          </w:p>
        </w:tc>
        <w:tc>
          <w:tcPr>
            <w:tcW w:w="810" w:type="dxa"/>
            <w:tcBorders>
              <w:top w:val="nil"/>
              <w:left w:val="double" w:sz="4" w:space="0" w:color="auto"/>
              <w:bottom w:val="nil"/>
              <w:right w:val="single" w:sz="4" w:space="0" w:color="auto"/>
            </w:tcBorders>
            <w:shd w:val="clear" w:color="auto" w:fill="FFFFFF"/>
            <w:vAlign w:val="center"/>
          </w:tcPr>
          <w:p w14:paraId="60CE92AD" w14:textId="77777777" w:rsidR="00FE3EAF" w:rsidRPr="00FE3EAF" w:rsidRDefault="00FE3EAF" w:rsidP="00FE3EAF">
            <w:pPr>
              <w:jc w:val="right"/>
              <w:rPr>
                <w:rFonts w:eastAsia="Calibri"/>
                <w:sz w:val="20"/>
                <w:szCs w:val="20"/>
              </w:rPr>
            </w:pPr>
          </w:p>
        </w:tc>
        <w:tc>
          <w:tcPr>
            <w:tcW w:w="810" w:type="dxa"/>
            <w:tcBorders>
              <w:top w:val="nil"/>
              <w:left w:val="single" w:sz="4" w:space="0" w:color="auto"/>
              <w:bottom w:val="nil"/>
              <w:right w:val="double" w:sz="4" w:space="0" w:color="auto"/>
            </w:tcBorders>
            <w:shd w:val="clear" w:color="auto" w:fill="FFFFFF"/>
            <w:vAlign w:val="center"/>
          </w:tcPr>
          <w:p w14:paraId="6FDDE3CA" w14:textId="77777777" w:rsidR="00FE3EAF" w:rsidRPr="00FE3EAF" w:rsidRDefault="00FE3EAF" w:rsidP="00FE3EAF">
            <w:pPr>
              <w:jc w:val="right"/>
              <w:rPr>
                <w:rFonts w:eastAsia="Calibri"/>
                <w:sz w:val="20"/>
                <w:szCs w:val="20"/>
              </w:rPr>
            </w:pPr>
          </w:p>
        </w:tc>
      </w:tr>
      <w:tr w:rsidR="00FE3EAF" w:rsidRPr="00FE3EAF" w14:paraId="298C708A" w14:textId="77777777" w:rsidTr="00810642">
        <w:tc>
          <w:tcPr>
            <w:tcW w:w="3330" w:type="dxa"/>
            <w:tcBorders>
              <w:top w:val="nil"/>
              <w:left w:val="double" w:sz="4" w:space="0" w:color="auto"/>
              <w:bottom w:val="nil"/>
              <w:right w:val="double" w:sz="4" w:space="0" w:color="auto"/>
            </w:tcBorders>
          </w:tcPr>
          <w:p w14:paraId="6982D141" w14:textId="77777777" w:rsidR="00FE3EAF" w:rsidRPr="00FE3EAF" w:rsidRDefault="00FE3EAF" w:rsidP="00FE3EAF">
            <w:pPr>
              <w:jc w:val="left"/>
              <w:rPr>
                <w:rFonts w:eastAsia="Calibri"/>
                <w:b/>
                <w:sz w:val="18"/>
                <w:szCs w:val="18"/>
              </w:rPr>
            </w:pPr>
            <w:r w:rsidRPr="00FE3EAF">
              <w:rPr>
                <w:rFonts w:eastAsia="Calibri"/>
                <w:b/>
                <w:sz w:val="18"/>
                <w:szCs w:val="18"/>
              </w:rPr>
              <w:t>Home-based remote work % (≤50%)</w:t>
            </w:r>
          </w:p>
        </w:tc>
        <w:tc>
          <w:tcPr>
            <w:tcW w:w="765" w:type="dxa"/>
            <w:tcBorders>
              <w:top w:val="nil"/>
              <w:left w:val="double" w:sz="4" w:space="0" w:color="auto"/>
              <w:bottom w:val="nil"/>
            </w:tcBorders>
            <w:vAlign w:val="center"/>
          </w:tcPr>
          <w:p w14:paraId="5AA2929D" w14:textId="77777777" w:rsidR="00FE3EAF" w:rsidRPr="00FE3EAF" w:rsidRDefault="00FE3EAF" w:rsidP="00FE3EAF">
            <w:pPr>
              <w:jc w:val="right"/>
              <w:rPr>
                <w:rFonts w:eastAsia="Calibri"/>
                <w:sz w:val="20"/>
                <w:szCs w:val="20"/>
              </w:rPr>
            </w:pPr>
          </w:p>
        </w:tc>
        <w:tc>
          <w:tcPr>
            <w:tcW w:w="765" w:type="dxa"/>
            <w:tcBorders>
              <w:top w:val="nil"/>
              <w:bottom w:val="nil"/>
              <w:right w:val="single" w:sz="12" w:space="0" w:color="auto"/>
            </w:tcBorders>
            <w:vAlign w:val="center"/>
          </w:tcPr>
          <w:p w14:paraId="29DF6F5F" w14:textId="77777777" w:rsidR="00FE3EAF" w:rsidRPr="00FE3EAF" w:rsidRDefault="00FE3EAF" w:rsidP="00FE3EAF">
            <w:pPr>
              <w:jc w:val="right"/>
              <w:rPr>
                <w:rFonts w:eastAsia="Calibri"/>
                <w:sz w:val="20"/>
                <w:szCs w:val="20"/>
              </w:rPr>
            </w:pPr>
          </w:p>
        </w:tc>
        <w:tc>
          <w:tcPr>
            <w:tcW w:w="765" w:type="dxa"/>
            <w:gridSpan w:val="2"/>
            <w:tcBorders>
              <w:top w:val="nil"/>
              <w:left w:val="single" w:sz="12" w:space="0" w:color="auto"/>
              <w:bottom w:val="nil"/>
              <w:right w:val="single" w:sz="4" w:space="0" w:color="auto"/>
            </w:tcBorders>
            <w:shd w:val="clear" w:color="auto" w:fill="FFFFFF"/>
            <w:vAlign w:val="center"/>
          </w:tcPr>
          <w:p w14:paraId="7BC05D49" w14:textId="77777777" w:rsidR="00FE3EAF" w:rsidRPr="00FE3EAF" w:rsidRDefault="00FE3EAF" w:rsidP="00FE3EAF">
            <w:pPr>
              <w:jc w:val="right"/>
              <w:rPr>
                <w:rFonts w:eastAsia="Calibri"/>
                <w:sz w:val="20"/>
                <w:szCs w:val="20"/>
              </w:rPr>
            </w:pPr>
          </w:p>
        </w:tc>
        <w:tc>
          <w:tcPr>
            <w:tcW w:w="765" w:type="dxa"/>
            <w:tcBorders>
              <w:top w:val="nil"/>
              <w:left w:val="single" w:sz="4" w:space="0" w:color="auto"/>
              <w:bottom w:val="nil"/>
              <w:right w:val="single" w:sz="12" w:space="0" w:color="auto"/>
            </w:tcBorders>
            <w:shd w:val="clear" w:color="auto" w:fill="FFFFFF"/>
            <w:vAlign w:val="center"/>
          </w:tcPr>
          <w:p w14:paraId="1DC7A831" w14:textId="77777777" w:rsidR="00FE3EAF" w:rsidRPr="00FE3EAF" w:rsidRDefault="00FE3EAF" w:rsidP="00FE3EAF">
            <w:pPr>
              <w:jc w:val="right"/>
              <w:rPr>
                <w:rFonts w:eastAsia="Calibri"/>
                <w:sz w:val="20"/>
                <w:szCs w:val="20"/>
              </w:rPr>
            </w:pPr>
          </w:p>
        </w:tc>
        <w:tc>
          <w:tcPr>
            <w:tcW w:w="765" w:type="dxa"/>
            <w:tcBorders>
              <w:top w:val="nil"/>
              <w:left w:val="single" w:sz="12" w:space="0" w:color="auto"/>
              <w:bottom w:val="nil"/>
            </w:tcBorders>
            <w:shd w:val="clear" w:color="auto" w:fill="FFFFFF"/>
            <w:vAlign w:val="center"/>
          </w:tcPr>
          <w:p w14:paraId="0F8C1E38" w14:textId="77777777" w:rsidR="00FE3EAF" w:rsidRPr="00FE3EAF" w:rsidRDefault="00FE3EAF" w:rsidP="00FE3EAF">
            <w:pPr>
              <w:jc w:val="right"/>
              <w:rPr>
                <w:rFonts w:eastAsia="Calibri"/>
                <w:sz w:val="20"/>
                <w:szCs w:val="20"/>
              </w:rPr>
            </w:pPr>
          </w:p>
        </w:tc>
        <w:tc>
          <w:tcPr>
            <w:tcW w:w="765" w:type="dxa"/>
            <w:gridSpan w:val="2"/>
            <w:tcBorders>
              <w:top w:val="nil"/>
              <w:bottom w:val="nil"/>
              <w:right w:val="double" w:sz="4" w:space="0" w:color="auto"/>
            </w:tcBorders>
            <w:shd w:val="clear" w:color="auto" w:fill="FFFFFF"/>
            <w:vAlign w:val="center"/>
          </w:tcPr>
          <w:p w14:paraId="0D700996" w14:textId="77777777" w:rsidR="00FE3EAF" w:rsidRPr="00FE3EAF" w:rsidRDefault="00FE3EAF" w:rsidP="00FE3EAF">
            <w:pPr>
              <w:jc w:val="right"/>
              <w:rPr>
                <w:rFonts w:eastAsia="Calibri"/>
                <w:sz w:val="20"/>
                <w:szCs w:val="20"/>
              </w:rPr>
            </w:pPr>
          </w:p>
        </w:tc>
        <w:tc>
          <w:tcPr>
            <w:tcW w:w="810" w:type="dxa"/>
            <w:tcBorders>
              <w:top w:val="nil"/>
              <w:left w:val="double" w:sz="4" w:space="0" w:color="auto"/>
              <w:bottom w:val="nil"/>
              <w:right w:val="single" w:sz="4" w:space="0" w:color="auto"/>
            </w:tcBorders>
            <w:shd w:val="clear" w:color="auto" w:fill="FFFFFF"/>
            <w:vAlign w:val="center"/>
          </w:tcPr>
          <w:p w14:paraId="1E2C7EA9" w14:textId="77777777" w:rsidR="00FE3EAF" w:rsidRPr="00FE3EAF" w:rsidRDefault="00FE3EAF" w:rsidP="00FE3EAF">
            <w:pPr>
              <w:jc w:val="right"/>
              <w:rPr>
                <w:rFonts w:eastAsia="Calibri"/>
                <w:sz w:val="20"/>
                <w:szCs w:val="20"/>
              </w:rPr>
            </w:pPr>
          </w:p>
        </w:tc>
        <w:tc>
          <w:tcPr>
            <w:tcW w:w="810" w:type="dxa"/>
            <w:tcBorders>
              <w:top w:val="nil"/>
              <w:left w:val="single" w:sz="4" w:space="0" w:color="auto"/>
              <w:bottom w:val="nil"/>
              <w:right w:val="double" w:sz="4" w:space="0" w:color="auto"/>
            </w:tcBorders>
            <w:shd w:val="clear" w:color="auto" w:fill="FFFFFF"/>
            <w:vAlign w:val="center"/>
          </w:tcPr>
          <w:p w14:paraId="2C03D198" w14:textId="77777777" w:rsidR="00FE3EAF" w:rsidRPr="00FE3EAF" w:rsidRDefault="00FE3EAF" w:rsidP="00FE3EAF">
            <w:pPr>
              <w:jc w:val="right"/>
              <w:rPr>
                <w:rFonts w:eastAsia="Calibri"/>
                <w:sz w:val="20"/>
                <w:szCs w:val="20"/>
              </w:rPr>
            </w:pPr>
          </w:p>
        </w:tc>
      </w:tr>
      <w:tr w:rsidR="00FE3EAF" w:rsidRPr="00FE3EAF" w14:paraId="124F1FC6" w14:textId="77777777" w:rsidTr="00810642">
        <w:tc>
          <w:tcPr>
            <w:tcW w:w="3330" w:type="dxa"/>
            <w:tcBorders>
              <w:top w:val="nil"/>
              <w:left w:val="double" w:sz="4" w:space="0" w:color="auto"/>
              <w:bottom w:val="nil"/>
              <w:right w:val="double" w:sz="4" w:space="0" w:color="auto"/>
            </w:tcBorders>
          </w:tcPr>
          <w:p w14:paraId="0BC61A14" w14:textId="77777777" w:rsidR="00FE3EAF" w:rsidRPr="00FE3EAF" w:rsidRDefault="00FE3EAF" w:rsidP="00FE3EAF">
            <w:pPr>
              <w:jc w:val="left"/>
              <w:rPr>
                <w:rFonts w:eastAsia="Calibri"/>
                <w:sz w:val="18"/>
                <w:szCs w:val="18"/>
              </w:rPr>
            </w:pPr>
            <w:r w:rsidRPr="00FE3EAF">
              <w:rPr>
                <w:rFonts w:eastAsia="Calibri"/>
                <w:sz w:val="18"/>
                <w:szCs w:val="18"/>
              </w:rPr>
              <w:t xml:space="preserve"> &gt;50%  of the month</w:t>
            </w:r>
          </w:p>
        </w:tc>
        <w:tc>
          <w:tcPr>
            <w:tcW w:w="765" w:type="dxa"/>
            <w:tcBorders>
              <w:top w:val="nil"/>
              <w:left w:val="double" w:sz="4" w:space="0" w:color="auto"/>
              <w:bottom w:val="nil"/>
            </w:tcBorders>
            <w:vAlign w:val="center"/>
          </w:tcPr>
          <w:p w14:paraId="49E330BB" w14:textId="77777777" w:rsidR="00FE3EAF" w:rsidRPr="00FE3EAF" w:rsidRDefault="00FE3EAF" w:rsidP="00FE3EAF">
            <w:pPr>
              <w:jc w:val="right"/>
              <w:rPr>
                <w:rFonts w:eastAsia="Calibri"/>
                <w:sz w:val="20"/>
                <w:szCs w:val="20"/>
              </w:rPr>
            </w:pPr>
            <w:r w:rsidRPr="00FE3EAF">
              <w:rPr>
                <w:rFonts w:eastAsia="Calibri"/>
                <w:sz w:val="20"/>
                <w:szCs w:val="20"/>
              </w:rPr>
              <w:t>NA</w:t>
            </w:r>
          </w:p>
        </w:tc>
        <w:tc>
          <w:tcPr>
            <w:tcW w:w="765" w:type="dxa"/>
            <w:tcBorders>
              <w:top w:val="nil"/>
              <w:bottom w:val="nil"/>
              <w:right w:val="single" w:sz="12" w:space="0" w:color="auto"/>
            </w:tcBorders>
            <w:vAlign w:val="center"/>
          </w:tcPr>
          <w:p w14:paraId="2BD14A01" w14:textId="77777777" w:rsidR="00FE3EAF" w:rsidRPr="00FE3EAF" w:rsidRDefault="00FE3EAF" w:rsidP="00FE3EAF">
            <w:pPr>
              <w:jc w:val="right"/>
              <w:rPr>
                <w:rFonts w:eastAsia="Calibri"/>
                <w:sz w:val="20"/>
                <w:szCs w:val="20"/>
              </w:rPr>
            </w:pPr>
          </w:p>
        </w:tc>
        <w:tc>
          <w:tcPr>
            <w:tcW w:w="765" w:type="dxa"/>
            <w:gridSpan w:val="2"/>
            <w:tcBorders>
              <w:top w:val="nil"/>
              <w:left w:val="single" w:sz="12" w:space="0" w:color="auto"/>
              <w:bottom w:val="nil"/>
              <w:right w:val="single" w:sz="4" w:space="0" w:color="auto"/>
            </w:tcBorders>
            <w:shd w:val="clear" w:color="auto" w:fill="FFFFFF"/>
            <w:vAlign w:val="center"/>
          </w:tcPr>
          <w:p w14:paraId="1710DA90" w14:textId="77777777" w:rsidR="00FE3EAF" w:rsidRPr="00FE3EAF" w:rsidRDefault="00FE3EAF" w:rsidP="00FE3EAF">
            <w:pPr>
              <w:jc w:val="right"/>
              <w:rPr>
                <w:rFonts w:eastAsia="Calibri"/>
                <w:sz w:val="20"/>
                <w:szCs w:val="20"/>
              </w:rPr>
            </w:pPr>
            <w:r w:rsidRPr="00FE3EAF">
              <w:rPr>
                <w:rFonts w:eastAsia="Calibri"/>
                <w:sz w:val="20"/>
                <w:szCs w:val="20"/>
              </w:rPr>
              <w:t>NA</w:t>
            </w:r>
          </w:p>
        </w:tc>
        <w:tc>
          <w:tcPr>
            <w:tcW w:w="765" w:type="dxa"/>
            <w:tcBorders>
              <w:top w:val="nil"/>
              <w:left w:val="single" w:sz="4" w:space="0" w:color="auto"/>
              <w:bottom w:val="nil"/>
              <w:right w:val="single" w:sz="12" w:space="0" w:color="auto"/>
            </w:tcBorders>
            <w:shd w:val="clear" w:color="auto" w:fill="FFFFFF"/>
            <w:vAlign w:val="center"/>
          </w:tcPr>
          <w:p w14:paraId="7C9D83C0" w14:textId="77777777" w:rsidR="00FE3EAF" w:rsidRPr="00FE3EAF" w:rsidRDefault="00FE3EAF" w:rsidP="00FE3EAF">
            <w:pPr>
              <w:jc w:val="right"/>
              <w:rPr>
                <w:rFonts w:eastAsia="Calibri"/>
                <w:sz w:val="20"/>
                <w:szCs w:val="20"/>
              </w:rPr>
            </w:pPr>
          </w:p>
        </w:tc>
        <w:tc>
          <w:tcPr>
            <w:tcW w:w="765" w:type="dxa"/>
            <w:tcBorders>
              <w:top w:val="nil"/>
              <w:left w:val="single" w:sz="12" w:space="0" w:color="auto"/>
              <w:bottom w:val="nil"/>
            </w:tcBorders>
            <w:shd w:val="clear" w:color="auto" w:fill="FFFFFF"/>
            <w:vAlign w:val="center"/>
          </w:tcPr>
          <w:p w14:paraId="41D45ADB" w14:textId="77777777" w:rsidR="00FE3EAF" w:rsidRPr="00FE3EAF" w:rsidRDefault="00FE3EAF" w:rsidP="00FE3EAF">
            <w:pPr>
              <w:jc w:val="right"/>
              <w:rPr>
                <w:rFonts w:eastAsia="Calibri"/>
                <w:sz w:val="20"/>
                <w:szCs w:val="20"/>
              </w:rPr>
            </w:pPr>
            <w:r w:rsidRPr="00FE3EAF">
              <w:rPr>
                <w:rFonts w:eastAsia="Calibri"/>
                <w:sz w:val="20"/>
                <w:szCs w:val="20"/>
              </w:rPr>
              <w:t>NA</w:t>
            </w:r>
          </w:p>
        </w:tc>
        <w:tc>
          <w:tcPr>
            <w:tcW w:w="765" w:type="dxa"/>
            <w:gridSpan w:val="2"/>
            <w:tcBorders>
              <w:top w:val="nil"/>
              <w:bottom w:val="nil"/>
              <w:right w:val="double" w:sz="4" w:space="0" w:color="auto"/>
            </w:tcBorders>
            <w:shd w:val="clear" w:color="auto" w:fill="FFFFFF"/>
            <w:vAlign w:val="center"/>
          </w:tcPr>
          <w:p w14:paraId="0AAE5203" w14:textId="77777777" w:rsidR="00FE3EAF" w:rsidRPr="00FE3EAF" w:rsidRDefault="00FE3EAF" w:rsidP="00FE3EAF">
            <w:pPr>
              <w:jc w:val="right"/>
              <w:rPr>
                <w:rFonts w:eastAsia="Calibri"/>
                <w:sz w:val="20"/>
                <w:szCs w:val="20"/>
              </w:rPr>
            </w:pPr>
          </w:p>
        </w:tc>
        <w:tc>
          <w:tcPr>
            <w:tcW w:w="810" w:type="dxa"/>
            <w:tcBorders>
              <w:top w:val="nil"/>
              <w:left w:val="double" w:sz="4" w:space="0" w:color="auto"/>
              <w:bottom w:val="nil"/>
              <w:right w:val="single" w:sz="4" w:space="0" w:color="auto"/>
            </w:tcBorders>
            <w:shd w:val="clear" w:color="auto" w:fill="FFFFFF"/>
            <w:vAlign w:val="bottom"/>
          </w:tcPr>
          <w:p w14:paraId="5C8CF762" w14:textId="77777777" w:rsidR="00FE3EAF" w:rsidRPr="00FE3EAF" w:rsidRDefault="00FE3EAF" w:rsidP="00FE3EAF">
            <w:pPr>
              <w:jc w:val="right"/>
              <w:rPr>
                <w:rFonts w:eastAsia="Calibri"/>
                <w:sz w:val="20"/>
                <w:szCs w:val="20"/>
              </w:rPr>
            </w:pPr>
            <w:r w:rsidRPr="00FE3EAF">
              <w:rPr>
                <w:rFonts w:eastAsia="Calibri"/>
                <w:sz w:val="20"/>
                <w:szCs w:val="20"/>
              </w:rPr>
              <w:t>0.671</w:t>
            </w:r>
          </w:p>
        </w:tc>
        <w:tc>
          <w:tcPr>
            <w:tcW w:w="810" w:type="dxa"/>
            <w:tcBorders>
              <w:top w:val="nil"/>
              <w:left w:val="single" w:sz="4" w:space="0" w:color="auto"/>
              <w:bottom w:val="nil"/>
              <w:right w:val="double" w:sz="4" w:space="0" w:color="auto"/>
            </w:tcBorders>
            <w:shd w:val="clear" w:color="auto" w:fill="FFFFFF"/>
            <w:vAlign w:val="bottom"/>
          </w:tcPr>
          <w:p w14:paraId="26FB5095" w14:textId="77777777" w:rsidR="00FE3EAF" w:rsidRPr="00FE3EAF" w:rsidRDefault="00FE3EAF" w:rsidP="00FE3EAF">
            <w:pPr>
              <w:jc w:val="right"/>
              <w:rPr>
                <w:rFonts w:eastAsia="Calibri"/>
                <w:sz w:val="20"/>
                <w:szCs w:val="20"/>
              </w:rPr>
            </w:pPr>
            <w:r w:rsidRPr="00FE3EAF">
              <w:rPr>
                <w:rFonts w:eastAsia="Calibri"/>
                <w:sz w:val="20"/>
                <w:szCs w:val="20"/>
              </w:rPr>
              <w:t>3.44</w:t>
            </w:r>
          </w:p>
        </w:tc>
      </w:tr>
      <w:tr w:rsidR="00FE3EAF" w:rsidRPr="00FE3EAF" w14:paraId="7B944EEA" w14:textId="77777777" w:rsidTr="00810642">
        <w:tc>
          <w:tcPr>
            <w:tcW w:w="3330" w:type="dxa"/>
            <w:tcBorders>
              <w:top w:val="nil"/>
              <w:left w:val="double" w:sz="4" w:space="0" w:color="auto"/>
              <w:bottom w:val="nil"/>
              <w:right w:val="double" w:sz="4" w:space="0" w:color="auto"/>
            </w:tcBorders>
          </w:tcPr>
          <w:p w14:paraId="0082B8E3" w14:textId="77777777" w:rsidR="00FE3EAF" w:rsidRPr="00FE3EAF" w:rsidRDefault="00FE3EAF" w:rsidP="00FE3EAF">
            <w:pPr>
              <w:jc w:val="left"/>
              <w:rPr>
                <w:rFonts w:eastAsia="Calibri"/>
                <w:sz w:val="18"/>
                <w:szCs w:val="18"/>
              </w:rPr>
            </w:pPr>
            <w:r w:rsidRPr="00FE3EAF">
              <w:rPr>
                <w:rFonts w:eastAsia="Calibri"/>
                <w:b/>
                <w:bCs/>
                <w:sz w:val="18"/>
                <w:szCs w:val="18"/>
              </w:rPr>
              <w:t>Third WPL-based remote work (none)</w:t>
            </w:r>
          </w:p>
        </w:tc>
        <w:tc>
          <w:tcPr>
            <w:tcW w:w="765" w:type="dxa"/>
            <w:tcBorders>
              <w:top w:val="nil"/>
              <w:left w:val="double" w:sz="4" w:space="0" w:color="auto"/>
              <w:bottom w:val="nil"/>
            </w:tcBorders>
            <w:vAlign w:val="center"/>
          </w:tcPr>
          <w:p w14:paraId="31FB9AA8" w14:textId="77777777" w:rsidR="00FE3EAF" w:rsidRPr="00FE3EAF" w:rsidRDefault="00FE3EAF" w:rsidP="00FE3EAF">
            <w:pPr>
              <w:jc w:val="right"/>
              <w:rPr>
                <w:rFonts w:eastAsia="Calibri"/>
                <w:sz w:val="20"/>
                <w:szCs w:val="20"/>
              </w:rPr>
            </w:pPr>
          </w:p>
        </w:tc>
        <w:tc>
          <w:tcPr>
            <w:tcW w:w="765" w:type="dxa"/>
            <w:tcBorders>
              <w:top w:val="nil"/>
              <w:bottom w:val="nil"/>
              <w:right w:val="single" w:sz="12" w:space="0" w:color="auto"/>
            </w:tcBorders>
            <w:vAlign w:val="center"/>
          </w:tcPr>
          <w:p w14:paraId="1C68EFBC" w14:textId="77777777" w:rsidR="00FE3EAF" w:rsidRPr="00FE3EAF" w:rsidRDefault="00FE3EAF" w:rsidP="00FE3EAF">
            <w:pPr>
              <w:jc w:val="right"/>
              <w:rPr>
                <w:rFonts w:eastAsia="Calibri"/>
                <w:sz w:val="20"/>
                <w:szCs w:val="20"/>
              </w:rPr>
            </w:pPr>
          </w:p>
        </w:tc>
        <w:tc>
          <w:tcPr>
            <w:tcW w:w="765" w:type="dxa"/>
            <w:gridSpan w:val="2"/>
            <w:tcBorders>
              <w:top w:val="nil"/>
              <w:left w:val="single" w:sz="12" w:space="0" w:color="auto"/>
              <w:bottom w:val="nil"/>
              <w:right w:val="single" w:sz="4" w:space="0" w:color="auto"/>
            </w:tcBorders>
            <w:shd w:val="clear" w:color="auto" w:fill="FFFFFF"/>
            <w:vAlign w:val="center"/>
          </w:tcPr>
          <w:p w14:paraId="00C1AFF8" w14:textId="77777777" w:rsidR="00FE3EAF" w:rsidRPr="00FE3EAF" w:rsidRDefault="00FE3EAF" w:rsidP="00FE3EAF">
            <w:pPr>
              <w:jc w:val="right"/>
              <w:rPr>
                <w:rFonts w:eastAsia="Calibri"/>
                <w:sz w:val="20"/>
                <w:szCs w:val="20"/>
              </w:rPr>
            </w:pPr>
          </w:p>
        </w:tc>
        <w:tc>
          <w:tcPr>
            <w:tcW w:w="765" w:type="dxa"/>
            <w:tcBorders>
              <w:top w:val="nil"/>
              <w:left w:val="single" w:sz="4" w:space="0" w:color="auto"/>
              <w:bottom w:val="nil"/>
              <w:right w:val="single" w:sz="12" w:space="0" w:color="auto"/>
            </w:tcBorders>
            <w:shd w:val="clear" w:color="auto" w:fill="FFFFFF"/>
            <w:vAlign w:val="center"/>
          </w:tcPr>
          <w:p w14:paraId="21885C74" w14:textId="77777777" w:rsidR="00FE3EAF" w:rsidRPr="00FE3EAF" w:rsidRDefault="00FE3EAF" w:rsidP="00FE3EAF">
            <w:pPr>
              <w:jc w:val="right"/>
              <w:rPr>
                <w:rFonts w:eastAsia="Calibri"/>
                <w:sz w:val="20"/>
                <w:szCs w:val="20"/>
              </w:rPr>
            </w:pPr>
          </w:p>
        </w:tc>
        <w:tc>
          <w:tcPr>
            <w:tcW w:w="765" w:type="dxa"/>
            <w:tcBorders>
              <w:top w:val="nil"/>
              <w:left w:val="single" w:sz="12" w:space="0" w:color="auto"/>
              <w:bottom w:val="nil"/>
            </w:tcBorders>
            <w:shd w:val="clear" w:color="auto" w:fill="FFFFFF"/>
            <w:vAlign w:val="center"/>
          </w:tcPr>
          <w:p w14:paraId="074F9571" w14:textId="77777777" w:rsidR="00FE3EAF" w:rsidRPr="00FE3EAF" w:rsidRDefault="00FE3EAF" w:rsidP="00FE3EAF">
            <w:pPr>
              <w:jc w:val="right"/>
              <w:rPr>
                <w:rFonts w:eastAsia="Calibri"/>
                <w:sz w:val="20"/>
                <w:szCs w:val="20"/>
              </w:rPr>
            </w:pPr>
          </w:p>
        </w:tc>
        <w:tc>
          <w:tcPr>
            <w:tcW w:w="765" w:type="dxa"/>
            <w:gridSpan w:val="2"/>
            <w:tcBorders>
              <w:top w:val="nil"/>
              <w:bottom w:val="nil"/>
              <w:right w:val="double" w:sz="4" w:space="0" w:color="auto"/>
            </w:tcBorders>
            <w:shd w:val="clear" w:color="auto" w:fill="FFFFFF"/>
            <w:vAlign w:val="center"/>
          </w:tcPr>
          <w:p w14:paraId="1324B55E" w14:textId="77777777" w:rsidR="00FE3EAF" w:rsidRPr="00FE3EAF" w:rsidRDefault="00FE3EAF" w:rsidP="00FE3EAF">
            <w:pPr>
              <w:jc w:val="right"/>
              <w:rPr>
                <w:rFonts w:eastAsia="Calibri"/>
                <w:sz w:val="20"/>
                <w:szCs w:val="20"/>
              </w:rPr>
            </w:pPr>
          </w:p>
        </w:tc>
        <w:tc>
          <w:tcPr>
            <w:tcW w:w="810" w:type="dxa"/>
            <w:tcBorders>
              <w:top w:val="nil"/>
              <w:left w:val="double" w:sz="4" w:space="0" w:color="auto"/>
              <w:bottom w:val="nil"/>
              <w:right w:val="single" w:sz="4" w:space="0" w:color="auto"/>
            </w:tcBorders>
            <w:shd w:val="clear" w:color="auto" w:fill="FFFFFF"/>
            <w:vAlign w:val="bottom"/>
          </w:tcPr>
          <w:p w14:paraId="024E9C29" w14:textId="77777777" w:rsidR="00FE3EAF" w:rsidRPr="00FE3EAF" w:rsidRDefault="00FE3EAF" w:rsidP="00FE3EAF">
            <w:pPr>
              <w:jc w:val="right"/>
              <w:rPr>
                <w:rFonts w:eastAsia="Calibri"/>
                <w:sz w:val="20"/>
                <w:szCs w:val="20"/>
              </w:rPr>
            </w:pPr>
          </w:p>
        </w:tc>
        <w:tc>
          <w:tcPr>
            <w:tcW w:w="810" w:type="dxa"/>
            <w:tcBorders>
              <w:top w:val="nil"/>
              <w:left w:val="single" w:sz="4" w:space="0" w:color="auto"/>
              <w:bottom w:val="nil"/>
              <w:right w:val="double" w:sz="4" w:space="0" w:color="auto"/>
            </w:tcBorders>
            <w:shd w:val="clear" w:color="auto" w:fill="FFFFFF"/>
            <w:vAlign w:val="bottom"/>
          </w:tcPr>
          <w:p w14:paraId="1CC98F89" w14:textId="77777777" w:rsidR="00FE3EAF" w:rsidRPr="00FE3EAF" w:rsidRDefault="00FE3EAF" w:rsidP="00FE3EAF">
            <w:pPr>
              <w:jc w:val="right"/>
              <w:rPr>
                <w:rFonts w:eastAsia="Calibri"/>
                <w:sz w:val="20"/>
                <w:szCs w:val="20"/>
              </w:rPr>
            </w:pPr>
          </w:p>
        </w:tc>
      </w:tr>
      <w:tr w:rsidR="00FE3EAF" w:rsidRPr="00FE3EAF" w14:paraId="57850502" w14:textId="77777777" w:rsidTr="00810642">
        <w:tc>
          <w:tcPr>
            <w:tcW w:w="3330" w:type="dxa"/>
            <w:tcBorders>
              <w:top w:val="nil"/>
              <w:left w:val="double" w:sz="4" w:space="0" w:color="auto"/>
              <w:bottom w:val="nil"/>
              <w:right w:val="double" w:sz="4" w:space="0" w:color="auto"/>
            </w:tcBorders>
          </w:tcPr>
          <w:p w14:paraId="03A4572E" w14:textId="77777777" w:rsidR="00FE3EAF" w:rsidRPr="00FE3EAF" w:rsidRDefault="00FE3EAF" w:rsidP="00FE3EAF">
            <w:pPr>
              <w:jc w:val="left"/>
              <w:rPr>
                <w:rFonts w:eastAsia="Calibri"/>
                <w:sz w:val="18"/>
                <w:szCs w:val="18"/>
              </w:rPr>
            </w:pPr>
            <w:r w:rsidRPr="00FE3EAF">
              <w:rPr>
                <w:rFonts w:eastAsia="Calibri"/>
                <w:sz w:val="18"/>
                <w:szCs w:val="18"/>
              </w:rPr>
              <w:t xml:space="preserve"> At least once a month</w:t>
            </w:r>
          </w:p>
        </w:tc>
        <w:tc>
          <w:tcPr>
            <w:tcW w:w="765" w:type="dxa"/>
            <w:tcBorders>
              <w:top w:val="nil"/>
              <w:left w:val="double" w:sz="4" w:space="0" w:color="auto"/>
              <w:bottom w:val="nil"/>
            </w:tcBorders>
            <w:vAlign w:val="center"/>
          </w:tcPr>
          <w:p w14:paraId="52B1300A" w14:textId="77777777" w:rsidR="00FE3EAF" w:rsidRPr="00FE3EAF" w:rsidRDefault="00FE3EAF" w:rsidP="00FE3EAF">
            <w:pPr>
              <w:jc w:val="right"/>
              <w:rPr>
                <w:rFonts w:eastAsia="Calibri"/>
                <w:sz w:val="20"/>
                <w:szCs w:val="20"/>
              </w:rPr>
            </w:pPr>
            <w:r w:rsidRPr="00FE3EAF">
              <w:rPr>
                <w:rFonts w:eastAsia="Calibri"/>
                <w:sz w:val="20"/>
                <w:szCs w:val="20"/>
              </w:rPr>
              <w:t>NA</w:t>
            </w:r>
          </w:p>
        </w:tc>
        <w:tc>
          <w:tcPr>
            <w:tcW w:w="765" w:type="dxa"/>
            <w:tcBorders>
              <w:top w:val="nil"/>
              <w:bottom w:val="nil"/>
              <w:right w:val="single" w:sz="12" w:space="0" w:color="auto"/>
            </w:tcBorders>
            <w:vAlign w:val="center"/>
          </w:tcPr>
          <w:p w14:paraId="728CCF8A" w14:textId="77777777" w:rsidR="00FE3EAF" w:rsidRPr="00FE3EAF" w:rsidRDefault="00FE3EAF" w:rsidP="00FE3EAF">
            <w:pPr>
              <w:jc w:val="right"/>
              <w:rPr>
                <w:rFonts w:eastAsia="Calibri"/>
                <w:sz w:val="20"/>
                <w:szCs w:val="20"/>
              </w:rPr>
            </w:pPr>
          </w:p>
        </w:tc>
        <w:tc>
          <w:tcPr>
            <w:tcW w:w="765" w:type="dxa"/>
            <w:gridSpan w:val="2"/>
            <w:tcBorders>
              <w:top w:val="nil"/>
              <w:left w:val="single" w:sz="12" w:space="0" w:color="auto"/>
              <w:bottom w:val="nil"/>
              <w:right w:val="single" w:sz="4" w:space="0" w:color="auto"/>
            </w:tcBorders>
            <w:shd w:val="clear" w:color="auto" w:fill="FFFFFF"/>
            <w:vAlign w:val="center"/>
          </w:tcPr>
          <w:p w14:paraId="1F02CE28" w14:textId="77777777" w:rsidR="00FE3EAF" w:rsidRPr="00FE3EAF" w:rsidRDefault="00FE3EAF" w:rsidP="00FE3EAF">
            <w:pPr>
              <w:jc w:val="right"/>
              <w:rPr>
                <w:rFonts w:eastAsia="Calibri"/>
                <w:sz w:val="20"/>
                <w:szCs w:val="20"/>
              </w:rPr>
            </w:pPr>
            <w:r w:rsidRPr="00FE3EAF">
              <w:rPr>
                <w:rFonts w:eastAsia="Calibri"/>
                <w:sz w:val="20"/>
                <w:szCs w:val="20"/>
              </w:rPr>
              <w:t>NA</w:t>
            </w:r>
          </w:p>
        </w:tc>
        <w:tc>
          <w:tcPr>
            <w:tcW w:w="765" w:type="dxa"/>
            <w:tcBorders>
              <w:top w:val="nil"/>
              <w:left w:val="single" w:sz="4" w:space="0" w:color="auto"/>
              <w:bottom w:val="nil"/>
              <w:right w:val="single" w:sz="12" w:space="0" w:color="auto"/>
            </w:tcBorders>
            <w:shd w:val="clear" w:color="auto" w:fill="FFFFFF"/>
            <w:vAlign w:val="center"/>
          </w:tcPr>
          <w:p w14:paraId="49AB9319" w14:textId="77777777" w:rsidR="00FE3EAF" w:rsidRPr="00FE3EAF" w:rsidRDefault="00FE3EAF" w:rsidP="00FE3EAF">
            <w:pPr>
              <w:jc w:val="right"/>
              <w:rPr>
                <w:rFonts w:eastAsia="Calibri"/>
                <w:sz w:val="20"/>
                <w:szCs w:val="20"/>
              </w:rPr>
            </w:pPr>
          </w:p>
        </w:tc>
        <w:tc>
          <w:tcPr>
            <w:tcW w:w="765" w:type="dxa"/>
            <w:tcBorders>
              <w:top w:val="nil"/>
              <w:left w:val="single" w:sz="12" w:space="0" w:color="auto"/>
              <w:bottom w:val="nil"/>
            </w:tcBorders>
            <w:shd w:val="clear" w:color="auto" w:fill="FFFFFF"/>
            <w:vAlign w:val="center"/>
          </w:tcPr>
          <w:p w14:paraId="5636F342" w14:textId="77777777" w:rsidR="00FE3EAF" w:rsidRPr="00FE3EAF" w:rsidRDefault="00FE3EAF" w:rsidP="00FE3EAF">
            <w:pPr>
              <w:jc w:val="right"/>
              <w:rPr>
                <w:rFonts w:eastAsia="Calibri"/>
                <w:sz w:val="20"/>
                <w:szCs w:val="20"/>
              </w:rPr>
            </w:pPr>
            <w:r w:rsidRPr="00FE3EAF">
              <w:rPr>
                <w:rFonts w:eastAsia="Calibri"/>
                <w:sz w:val="20"/>
                <w:szCs w:val="20"/>
              </w:rPr>
              <w:t>NA</w:t>
            </w:r>
          </w:p>
        </w:tc>
        <w:tc>
          <w:tcPr>
            <w:tcW w:w="765" w:type="dxa"/>
            <w:gridSpan w:val="2"/>
            <w:tcBorders>
              <w:top w:val="nil"/>
              <w:bottom w:val="nil"/>
              <w:right w:val="double" w:sz="4" w:space="0" w:color="auto"/>
            </w:tcBorders>
            <w:shd w:val="clear" w:color="auto" w:fill="FFFFFF"/>
            <w:vAlign w:val="center"/>
          </w:tcPr>
          <w:p w14:paraId="151F0844" w14:textId="77777777" w:rsidR="00FE3EAF" w:rsidRPr="00FE3EAF" w:rsidRDefault="00FE3EAF" w:rsidP="00FE3EAF">
            <w:pPr>
              <w:jc w:val="right"/>
              <w:rPr>
                <w:rFonts w:eastAsia="Calibri"/>
                <w:sz w:val="20"/>
                <w:szCs w:val="20"/>
              </w:rPr>
            </w:pPr>
          </w:p>
        </w:tc>
        <w:tc>
          <w:tcPr>
            <w:tcW w:w="810" w:type="dxa"/>
            <w:tcBorders>
              <w:top w:val="nil"/>
              <w:left w:val="double" w:sz="4" w:space="0" w:color="auto"/>
              <w:bottom w:val="nil"/>
              <w:right w:val="single" w:sz="4" w:space="0" w:color="auto"/>
            </w:tcBorders>
            <w:shd w:val="clear" w:color="auto" w:fill="FFFFFF"/>
            <w:vAlign w:val="bottom"/>
          </w:tcPr>
          <w:p w14:paraId="628CD1A6" w14:textId="77777777" w:rsidR="00FE3EAF" w:rsidRPr="00FE3EAF" w:rsidRDefault="00FE3EAF" w:rsidP="00FE3EAF">
            <w:pPr>
              <w:jc w:val="right"/>
              <w:rPr>
                <w:rFonts w:eastAsia="Calibri"/>
                <w:sz w:val="20"/>
                <w:szCs w:val="20"/>
              </w:rPr>
            </w:pPr>
            <w:r w:rsidRPr="00FE3EAF">
              <w:rPr>
                <w:rFonts w:eastAsia="Calibri"/>
                <w:sz w:val="20"/>
                <w:szCs w:val="20"/>
              </w:rPr>
              <w:t>-0.601</w:t>
            </w:r>
          </w:p>
        </w:tc>
        <w:tc>
          <w:tcPr>
            <w:tcW w:w="810" w:type="dxa"/>
            <w:tcBorders>
              <w:top w:val="nil"/>
              <w:left w:val="single" w:sz="4" w:space="0" w:color="auto"/>
              <w:bottom w:val="nil"/>
              <w:right w:val="double" w:sz="4" w:space="0" w:color="auto"/>
            </w:tcBorders>
            <w:shd w:val="clear" w:color="auto" w:fill="FFFFFF"/>
            <w:vAlign w:val="bottom"/>
          </w:tcPr>
          <w:p w14:paraId="4F53A8F1" w14:textId="77777777" w:rsidR="00FE3EAF" w:rsidRPr="00FE3EAF" w:rsidRDefault="00FE3EAF" w:rsidP="00FE3EAF">
            <w:pPr>
              <w:jc w:val="right"/>
              <w:rPr>
                <w:rFonts w:eastAsia="Calibri"/>
                <w:sz w:val="20"/>
                <w:szCs w:val="20"/>
              </w:rPr>
            </w:pPr>
            <w:r w:rsidRPr="00FE3EAF">
              <w:rPr>
                <w:rFonts w:eastAsia="Calibri"/>
                <w:sz w:val="20"/>
                <w:szCs w:val="20"/>
              </w:rPr>
              <w:t>-3.26</w:t>
            </w:r>
          </w:p>
        </w:tc>
      </w:tr>
      <w:tr w:rsidR="00FE3EAF" w:rsidRPr="00FE3EAF" w14:paraId="1C070A51" w14:textId="77777777" w:rsidTr="00810642">
        <w:tc>
          <w:tcPr>
            <w:tcW w:w="3330" w:type="dxa"/>
            <w:tcBorders>
              <w:top w:val="nil"/>
              <w:left w:val="double" w:sz="4" w:space="0" w:color="auto"/>
              <w:bottom w:val="nil"/>
              <w:right w:val="double" w:sz="4" w:space="0" w:color="auto"/>
            </w:tcBorders>
          </w:tcPr>
          <w:p w14:paraId="251E074D" w14:textId="77777777" w:rsidR="00FE3EAF" w:rsidRPr="00FE3EAF" w:rsidRDefault="00FE3EAF" w:rsidP="00FE3EAF">
            <w:pPr>
              <w:jc w:val="left"/>
              <w:rPr>
                <w:rFonts w:eastAsia="Calibri"/>
                <w:b/>
                <w:sz w:val="18"/>
                <w:szCs w:val="18"/>
              </w:rPr>
            </w:pPr>
            <w:r w:rsidRPr="00FE3EAF">
              <w:rPr>
                <w:rFonts w:eastAsia="Calibri"/>
                <w:b/>
                <w:sz w:val="18"/>
                <w:szCs w:val="18"/>
              </w:rPr>
              <w:t>One-Way Commute Distance (between 8.01 and 15 miles)</w:t>
            </w:r>
          </w:p>
        </w:tc>
        <w:tc>
          <w:tcPr>
            <w:tcW w:w="765" w:type="dxa"/>
            <w:tcBorders>
              <w:top w:val="nil"/>
              <w:left w:val="double" w:sz="4" w:space="0" w:color="auto"/>
              <w:bottom w:val="nil"/>
            </w:tcBorders>
            <w:vAlign w:val="center"/>
          </w:tcPr>
          <w:p w14:paraId="0C0AEC31" w14:textId="77777777" w:rsidR="00FE3EAF" w:rsidRPr="00FE3EAF" w:rsidRDefault="00FE3EAF" w:rsidP="00FE3EAF">
            <w:pPr>
              <w:jc w:val="right"/>
              <w:rPr>
                <w:rFonts w:eastAsia="Calibri"/>
                <w:sz w:val="20"/>
                <w:szCs w:val="20"/>
              </w:rPr>
            </w:pPr>
          </w:p>
        </w:tc>
        <w:tc>
          <w:tcPr>
            <w:tcW w:w="765" w:type="dxa"/>
            <w:tcBorders>
              <w:top w:val="nil"/>
              <w:bottom w:val="nil"/>
              <w:right w:val="single" w:sz="12" w:space="0" w:color="auto"/>
            </w:tcBorders>
            <w:vAlign w:val="center"/>
          </w:tcPr>
          <w:p w14:paraId="1A13D7C3" w14:textId="77777777" w:rsidR="00FE3EAF" w:rsidRPr="00FE3EAF" w:rsidRDefault="00FE3EAF" w:rsidP="00FE3EAF">
            <w:pPr>
              <w:jc w:val="right"/>
              <w:rPr>
                <w:rFonts w:eastAsia="Calibri"/>
                <w:sz w:val="20"/>
                <w:szCs w:val="20"/>
              </w:rPr>
            </w:pPr>
          </w:p>
        </w:tc>
        <w:tc>
          <w:tcPr>
            <w:tcW w:w="765" w:type="dxa"/>
            <w:gridSpan w:val="2"/>
            <w:tcBorders>
              <w:top w:val="nil"/>
              <w:left w:val="single" w:sz="12" w:space="0" w:color="auto"/>
              <w:bottom w:val="nil"/>
              <w:right w:val="single" w:sz="4" w:space="0" w:color="auto"/>
            </w:tcBorders>
            <w:shd w:val="clear" w:color="auto" w:fill="FFFFFF"/>
            <w:vAlign w:val="center"/>
          </w:tcPr>
          <w:p w14:paraId="06492404" w14:textId="77777777" w:rsidR="00FE3EAF" w:rsidRPr="00FE3EAF" w:rsidRDefault="00FE3EAF" w:rsidP="00FE3EAF">
            <w:pPr>
              <w:jc w:val="right"/>
              <w:rPr>
                <w:rFonts w:eastAsia="Calibri"/>
                <w:sz w:val="20"/>
                <w:szCs w:val="20"/>
              </w:rPr>
            </w:pPr>
          </w:p>
        </w:tc>
        <w:tc>
          <w:tcPr>
            <w:tcW w:w="765" w:type="dxa"/>
            <w:tcBorders>
              <w:top w:val="nil"/>
              <w:left w:val="single" w:sz="4" w:space="0" w:color="auto"/>
              <w:bottom w:val="nil"/>
              <w:right w:val="single" w:sz="12" w:space="0" w:color="auto"/>
            </w:tcBorders>
            <w:shd w:val="clear" w:color="auto" w:fill="FFFFFF"/>
            <w:vAlign w:val="center"/>
          </w:tcPr>
          <w:p w14:paraId="3EF76E91" w14:textId="77777777" w:rsidR="00FE3EAF" w:rsidRPr="00FE3EAF" w:rsidRDefault="00FE3EAF" w:rsidP="00FE3EAF">
            <w:pPr>
              <w:jc w:val="right"/>
              <w:rPr>
                <w:rFonts w:eastAsia="Calibri"/>
                <w:sz w:val="20"/>
                <w:szCs w:val="20"/>
              </w:rPr>
            </w:pPr>
          </w:p>
        </w:tc>
        <w:tc>
          <w:tcPr>
            <w:tcW w:w="765" w:type="dxa"/>
            <w:tcBorders>
              <w:top w:val="nil"/>
              <w:left w:val="single" w:sz="12" w:space="0" w:color="auto"/>
              <w:bottom w:val="nil"/>
            </w:tcBorders>
            <w:shd w:val="clear" w:color="auto" w:fill="FFFFFF"/>
            <w:vAlign w:val="center"/>
          </w:tcPr>
          <w:p w14:paraId="35598499" w14:textId="77777777" w:rsidR="00FE3EAF" w:rsidRPr="00FE3EAF" w:rsidRDefault="00FE3EAF" w:rsidP="00FE3EAF">
            <w:pPr>
              <w:jc w:val="right"/>
              <w:rPr>
                <w:rFonts w:eastAsia="Calibri"/>
                <w:sz w:val="20"/>
                <w:szCs w:val="20"/>
              </w:rPr>
            </w:pPr>
          </w:p>
        </w:tc>
        <w:tc>
          <w:tcPr>
            <w:tcW w:w="765" w:type="dxa"/>
            <w:gridSpan w:val="2"/>
            <w:tcBorders>
              <w:top w:val="nil"/>
              <w:bottom w:val="nil"/>
              <w:right w:val="double" w:sz="4" w:space="0" w:color="auto"/>
            </w:tcBorders>
            <w:shd w:val="clear" w:color="auto" w:fill="FFFFFF"/>
            <w:vAlign w:val="center"/>
          </w:tcPr>
          <w:p w14:paraId="4640A5D7" w14:textId="77777777" w:rsidR="00FE3EAF" w:rsidRPr="00FE3EAF" w:rsidRDefault="00FE3EAF" w:rsidP="00FE3EAF">
            <w:pPr>
              <w:jc w:val="right"/>
              <w:rPr>
                <w:rFonts w:eastAsia="Calibri"/>
                <w:sz w:val="20"/>
                <w:szCs w:val="20"/>
              </w:rPr>
            </w:pPr>
          </w:p>
        </w:tc>
        <w:tc>
          <w:tcPr>
            <w:tcW w:w="810" w:type="dxa"/>
            <w:tcBorders>
              <w:top w:val="nil"/>
              <w:left w:val="double" w:sz="4" w:space="0" w:color="auto"/>
              <w:bottom w:val="nil"/>
              <w:right w:val="single" w:sz="4" w:space="0" w:color="auto"/>
            </w:tcBorders>
            <w:shd w:val="clear" w:color="auto" w:fill="FFFFFF"/>
            <w:vAlign w:val="center"/>
          </w:tcPr>
          <w:p w14:paraId="39271527" w14:textId="77777777" w:rsidR="00FE3EAF" w:rsidRPr="00FE3EAF" w:rsidRDefault="00FE3EAF" w:rsidP="00FE3EAF">
            <w:pPr>
              <w:jc w:val="right"/>
              <w:rPr>
                <w:rFonts w:eastAsia="Calibri"/>
                <w:sz w:val="20"/>
                <w:szCs w:val="20"/>
              </w:rPr>
            </w:pPr>
          </w:p>
        </w:tc>
        <w:tc>
          <w:tcPr>
            <w:tcW w:w="810" w:type="dxa"/>
            <w:tcBorders>
              <w:top w:val="nil"/>
              <w:left w:val="single" w:sz="4" w:space="0" w:color="auto"/>
              <w:bottom w:val="nil"/>
              <w:right w:val="double" w:sz="4" w:space="0" w:color="auto"/>
            </w:tcBorders>
            <w:shd w:val="clear" w:color="auto" w:fill="FFFFFF"/>
            <w:vAlign w:val="center"/>
          </w:tcPr>
          <w:p w14:paraId="2B635029" w14:textId="77777777" w:rsidR="00FE3EAF" w:rsidRPr="00FE3EAF" w:rsidRDefault="00FE3EAF" w:rsidP="00FE3EAF">
            <w:pPr>
              <w:jc w:val="right"/>
              <w:rPr>
                <w:rFonts w:eastAsia="Calibri"/>
                <w:sz w:val="20"/>
                <w:szCs w:val="20"/>
              </w:rPr>
            </w:pPr>
          </w:p>
        </w:tc>
      </w:tr>
      <w:tr w:rsidR="00FE3EAF" w:rsidRPr="00FE3EAF" w14:paraId="294F520D" w14:textId="77777777" w:rsidTr="00810642">
        <w:tc>
          <w:tcPr>
            <w:tcW w:w="3330" w:type="dxa"/>
            <w:tcBorders>
              <w:top w:val="nil"/>
              <w:left w:val="double" w:sz="4" w:space="0" w:color="auto"/>
              <w:bottom w:val="nil"/>
              <w:right w:val="double" w:sz="4" w:space="0" w:color="auto"/>
            </w:tcBorders>
          </w:tcPr>
          <w:p w14:paraId="55237B99" w14:textId="77777777" w:rsidR="00FE3EAF" w:rsidRPr="00FE3EAF" w:rsidRDefault="00FE3EAF" w:rsidP="00FE3EAF">
            <w:pPr>
              <w:jc w:val="left"/>
              <w:rPr>
                <w:rFonts w:eastAsia="Calibri"/>
                <w:sz w:val="18"/>
                <w:szCs w:val="18"/>
              </w:rPr>
            </w:pPr>
            <w:r w:rsidRPr="00FE3EAF">
              <w:rPr>
                <w:rFonts w:eastAsia="Calibri"/>
                <w:sz w:val="18"/>
                <w:szCs w:val="18"/>
              </w:rPr>
              <w:t xml:space="preserve"> ≤8 miles</w:t>
            </w:r>
          </w:p>
        </w:tc>
        <w:tc>
          <w:tcPr>
            <w:tcW w:w="765" w:type="dxa"/>
            <w:tcBorders>
              <w:top w:val="nil"/>
              <w:left w:val="double" w:sz="4" w:space="0" w:color="auto"/>
              <w:bottom w:val="nil"/>
            </w:tcBorders>
            <w:vAlign w:val="center"/>
          </w:tcPr>
          <w:p w14:paraId="4D4982EF" w14:textId="77777777" w:rsidR="00FE3EAF" w:rsidRPr="00FE3EAF" w:rsidRDefault="00FE3EAF" w:rsidP="00FE3EAF">
            <w:pPr>
              <w:jc w:val="right"/>
              <w:rPr>
                <w:rFonts w:eastAsia="Calibri"/>
                <w:sz w:val="20"/>
                <w:szCs w:val="20"/>
              </w:rPr>
            </w:pPr>
            <w:r w:rsidRPr="00FE3EAF">
              <w:rPr>
                <w:rFonts w:eastAsia="Calibri"/>
                <w:sz w:val="20"/>
                <w:szCs w:val="20"/>
              </w:rPr>
              <w:t>--</w:t>
            </w:r>
          </w:p>
        </w:tc>
        <w:tc>
          <w:tcPr>
            <w:tcW w:w="765" w:type="dxa"/>
            <w:tcBorders>
              <w:top w:val="nil"/>
              <w:bottom w:val="nil"/>
              <w:right w:val="single" w:sz="12" w:space="0" w:color="auto"/>
            </w:tcBorders>
            <w:vAlign w:val="center"/>
          </w:tcPr>
          <w:p w14:paraId="1830E950" w14:textId="77777777" w:rsidR="00FE3EAF" w:rsidRPr="00FE3EAF" w:rsidRDefault="00FE3EAF" w:rsidP="00FE3EAF">
            <w:pPr>
              <w:jc w:val="right"/>
              <w:rPr>
                <w:rFonts w:eastAsia="Calibri"/>
                <w:sz w:val="20"/>
                <w:szCs w:val="20"/>
              </w:rPr>
            </w:pPr>
          </w:p>
        </w:tc>
        <w:tc>
          <w:tcPr>
            <w:tcW w:w="765" w:type="dxa"/>
            <w:gridSpan w:val="2"/>
            <w:tcBorders>
              <w:top w:val="nil"/>
              <w:left w:val="single" w:sz="12" w:space="0" w:color="auto"/>
              <w:bottom w:val="nil"/>
              <w:right w:val="single" w:sz="4" w:space="0" w:color="auto"/>
            </w:tcBorders>
            <w:shd w:val="clear" w:color="auto" w:fill="FFFFFF"/>
            <w:vAlign w:val="bottom"/>
          </w:tcPr>
          <w:p w14:paraId="2773576A" w14:textId="77777777" w:rsidR="00FE3EAF" w:rsidRPr="00FE3EAF" w:rsidRDefault="00FE3EAF" w:rsidP="00FE3EAF">
            <w:pPr>
              <w:jc w:val="right"/>
              <w:rPr>
                <w:rFonts w:eastAsia="Calibri"/>
                <w:sz w:val="20"/>
                <w:szCs w:val="20"/>
              </w:rPr>
            </w:pPr>
            <w:r w:rsidRPr="00FE3EAF">
              <w:rPr>
                <w:rFonts w:eastAsia="Calibri"/>
                <w:sz w:val="20"/>
                <w:szCs w:val="20"/>
              </w:rPr>
              <w:t>0.496</w:t>
            </w:r>
          </w:p>
        </w:tc>
        <w:tc>
          <w:tcPr>
            <w:tcW w:w="765" w:type="dxa"/>
            <w:tcBorders>
              <w:top w:val="nil"/>
              <w:left w:val="single" w:sz="4" w:space="0" w:color="auto"/>
              <w:bottom w:val="nil"/>
              <w:right w:val="single" w:sz="12" w:space="0" w:color="auto"/>
            </w:tcBorders>
            <w:shd w:val="clear" w:color="auto" w:fill="FFFFFF"/>
            <w:vAlign w:val="bottom"/>
          </w:tcPr>
          <w:p w14:paraId="0EED3D93" w14:textId="77777777" w:rsidR="00FE3EAF" w:rsidRPr="00FE3EAF" w:rsidRDefault="00FE3EAF" w:rsidP="00FE3EAF">
            <w:pPr>
              <w:jc w:val="right"/>
              <w:rPr>
                <w:rFonts w:eastAsia="Calibri"/>
                <w:sz w:val="20"/>
                <w:szCs w:val="20"/>
              </w:rPr>
            </w:pPr>
            <w:r w:rsidRPr="00FE3EAF">
              <w:rPr>
                <w:rFonts w:eastAsia="Calibri"/>
                <w:sz w:val="20"/>
                <w:szCs w:val="20"/>
              </w:rPr>
              <w:t>2.65</w:t>
            </w:r>
          </w:p>
        </w:tc>
        <w:tc>
          <w:tcPr>
            <w:tcW w:w="765" w:type="dxa"/>
            <w:tcBorders>
              <w:top w:val="nil"/>
              <w:left w:val="single" w:sz="12" w:space="0" w:color="auto"/>
              <w:bottom w:val="nil"/>
            </w:tcBorders>
            <w:shd w:val="clear" w:color="auto" w:fill="FFFFFF"/>
            <w:vAlign w:val="bottom"/>
          </w:tcPr>
          <w:p w14:paraId="3E5FEF7E" w14:textId="77777777" w:rsidR="00FE3EAF" w:rsidRPr="00FE3EAF" w:rsidRDefault="00FE3EAF" w:rsidP="00FE3EAF">
            <w:pPr>
              <w:jc w:val="right"/>
              <w:rPr>
                <w:rFonts w:eastAsia="Calibri"/>
                <w:sz w:val="20"/>
                <w:szCs w:val="20"/>
              </w:rPr>
            </w:pPr>
            <w:r w:rsidRPr="00FE3EAF">
              <w:rPr>
                <w:rFonts w:eastAsia="Calibri"/>
                <w:sz w:val="20"/>
                <w:szCs w:val="20"/>
              </w:rPr>
              <w:t>--</w:t>
            </w:r>
          </w:p>
        </w:tc>
        <w:tc>
          <w:tcPr>
            <w:tcW w:w="765" w:type="dxa"/>
            <w:gridSpan w:val="2"/>
            <w:tcBorders>
              <w:top w:val="nil"/>
              <w:bottom w:val="nil"/>
              <w:right w:val="double" w:sz="4" w:space="0" w:color="auto"/>
            </w:tcBorders>
            <w:shd w:val="clear" w:color="auto" w:fill="FFFFFF"/>
            <w:vAlign w:val="bottom"/>
          </w:tcPr>
          <w:p w14:paraId="01738C5E" w14:textId="77777777" w:rsidR="00FE3EAF" w:rsidRPr="00FE3EAF" w:rsidRDefault="00FE3EAF" w:rsidP="00FE3EAF">
            <w:pPr>
              <w:jc w:val="right"/>
              <w:rPr>
                <w:rFonts w:eastAsia="Calibri"/>
                <w:sz w:val="20"/>
                <w:szCs w:val="20"/>
              </w:rPr>
            </w:pPr>
          </w:p>
        </w:tc>
        <w:tc>
          <w:tcPr>
            <w:tcW w:w="810" w:type="dxa"/>
            <w:tcBorders>
              <w:top w:val="nil"/>
              <w:left w:val="double" w:sz="4" w:space="0" w:color="auto"/>
              <w:bottom w:val="nil"/>
              <w:right w:val="single" w:sz="4" w:space="0" w:color="auto"/>
            </w:tcBorders>
            <w:shd w:val="clear" w:color="auto" w:fill="FFFFFF"/>
            <w:vAlign w:val="center"/>
          </w:tcPr>
          <w:p w14:paraId="48DCB296" w14:textId="77777777" w:rsidR="00FE3EAF" w:rsidRPr="00FE3EAF" w:rsidRDefault="00FE3EAF" w:rsidP="00FE3EAF">
            <w:pPr>
              <w:jc w:val="right"/>
              <w:rPr>
                <w:rFonts w:eastAsia="Calibri"/>
                <w:sz w:val="20"/>
                <w:szCs w:val="20"/>
              </w:rPr>
            </w:pPr>
            <w:r w:rsidRPr="00FE3EAF">
              <w:rPr>
                <w:rFonts w:eastAsia="Calibri"/>
                <w:sz w:val="20"/>
                <w:szCs w:val="20"/>
              </w:rPr>
              <w:t>NA</w:t>
            </w:r>
          </w:p>
        </w:tc>
        <w:tc>
          <w:tcPr>
            <w:tcW w:w="810" w:type="dxa"/>
            <w:tcBorders>
              <w:top w:val="nil"/>
              <w:left w:val="single" w:sz="4" w:space="0" w:color="auto"/>
              <w:bottom w:val="nil"/>
              <w:right w:val="double" w:sz="4" w:space="0" w:color="auto"/>
            </w:tcBorders>
            <w:shd w:val="clear" w:color="auto" w:fill="FFFFFF"/>
            <w:vAlign w:val="center"/>
          </w:tcPr>
          <w:p w14:paraId="55BC066C" w14:textId="77777777" w:rsidR="00FE3EAF" w:rsidRPr="00FE3EAF" w:rsidRDefault="00FE3EAF" w:rsidP="00FE3EAF">
            <w:pPr>
              <w:jc w:val="right"/>
              <w:rPr>
                <w:rFonts w:eastAsia="Calibri"/>
                <w:sz w:val="20"/>
                <w:szCs w:val="20"/>
              </w:rPr>
            </w:pPr>
          </w:p>
        </w:tc>
      </w:tr>
      <w:tr w:rsidR="00FE3EAF" w:rsidRPr="00FE3EAF" w14:paraId="304B57D3" w14:textId="77777777" w:rsidTr="00810642">
        <w:tc>
          <w:tcPr>
            <w:tcW w:w="3330" w:type="dxa"/>
            <w:tcBorders>
              <w:top w:val="nil"/>
              <w:left w:val="double" w:sz="4" w:space="0" w:color="auto"/>
              <w:bottom w:val="nil"/>
              <w:right w:val="double" w:sz="4" w:space="0" w:color="auto"/>
            </w:tcBorders>
          </w:tcPr>
          <w:p w14:paraId="630B7704" w14:textId="77777777" w:rsidR="00FE3EAF" w:rsidRPr="00FE3EAF" w:rsidRDefault="00FE3EAF" w:rsidP="00FE3EAF">
            <w:pPr>
              <w:jc w:val="left"/>
              <w:rPr>
                <w:rFonts w:eastAsia="Calibri"/>
                <w:sz w:val="18"/>
                <w:szCs w:val="18"/>
              </w:rPr>
            </w:pPr>
            <w:r w:rsidRPr="00FE3EAF">
              <w:rPr>
                <w:rFonts w:eastAsia="Calibri"/>
                <w:sz w:val="18"/>
                <w:szCs w:val="18"/>
              </w:rPr>
              <w:t xml:space="preserve"> &gt;15 miles</w:t>
            </w:r>
          </w:p>
        </w:tc>
        <w:tc>
          <w:tcPr>
            <w:tcW w:w="765" w:type="dxa"/>
            <w:tcBorders>
              <w:top w:val="nil"/>
              <w:left w:val="double" w:sz="4" w:space="0" w:color="auto"/>
              <w:bottom w:val="nil"/>
            </w:tcBorders>
            <w:vAlign w:val="center"/>
          </w:tcPr>
          <w:p w14:paraId="49E1BA6E" w14:textId="77777777" w:rsidR="00FE3EAF" w:rsidRPr="00FE3EAF" w:rsidRDefault="00FE3EAF" w:rsidP="00FE3EAF">
            <w:pPr>
              <w:jc w:val="right"/>
              <w:rPr>
                <w:rFonts w:eastAsia="Calibri"/>
                <w:sz w:val="20"/>
                <w:szCs w:val="20"/>
              </w:rPr>
            </w:pPr>
            <w:r w:rsidRPr="00FE3EAF">
              <w:rPr>
                <w:rFonts w:eastAsia="Calibri"/>
                <w:sz w:val="20"/>
                <w:szCs w:val="20"/>
              </w:rPr>
              <w:t>--</w:t>
            </w:r>
          </w:p>
        </w:tc>
        <w:tc>
          <w:tcPr>
            <w:tcW w:w="765" w:type="dxa"/>
            <w:tcBorders>
              <w:top w:val="nil"/>
              <w:bottom w:val="nil"/>
              <w:right w:val="single" w:sz="12" w:space="0" w:color="auto"/>
            </w:tcBorders>
            <w:vAlign w:val="center"/>
          </w:tcPr>
          <w:p w14:paraId="73B9EFF7" w14:textId="77777777" w:rsidR="00FE3EAF" w:rsidRPr="00FE3EAF" w:rsidRDefault="00FE3EAF" w:rsidP="00FE3EAF">
            <w:pPr>
              <w:jc w:val="right"/>
              <w:rPr>
                <w:rFonts w:eastAsia="Calibri"/>
                <w:sz w:val="20"/>
                <w:szCs w:val="20"/>
              </w:rPr>
            </w:pPr>
          </w:p>
        </w:tc>
        <w:tc>
          <w:tcPr>
            <w:tcW w:w="765" w:type="dxa"/>
            <w:gridSpan w:val="2"/>
            <w:tcBorders>
              <w:top w:val="nil"/>
              <w:left w:val="single" w:sz="12" w:space="0" w:color="auto"/>
              <w:bottom w:val="nil"/>
              <w:right w:val="single" w:sz="4" w:space="0" w:color="auto"/>
            </w:tcBorders>
            <w:shd w:val="clear" w:color="auto" w:fill="FFFFFF"/>
            <w:vAlign w:val="bottom"/>
          </w:tcPr>
          <w:p w14:paraId="3F37C70C" w14:textId="77777777" w:rsidR="00FE3EAF" w:rsidRPr="00FE3EAF" w:rsidRDefault="00FE3EAF" w:rsidP="00FE3EAF">
            <w:pPr>
              <w:jc w:val="right"/>
              <w:rPr>
                <w:rFonts w:eastAsia="Calibri"/>
                <w:sz w:val="20"/>
                <w:szCs w:val="20"/>
              </w:rPr>
            </w:pPr>
            <w:r w:rsidRPr="00FE3EAF">
              <w:rPr>
                <w:rFonts w:eastAsia="Calibri"/>
                <w:sz w:val="20"/>
                <w:szCs w:val="20"/>
              </w:rPr>
              <w:t>0.211</w:t>
            </w:r>
          </w:p>
        </w:tc>
        <w:tc>
          <w:tcPr>
            <w:tcW w:w="765" w:type="dxa"/>
            <w:tcBorders>
              <w:top w:val="nil"/>
              <w:left w:val="single" w:sz="4" w:space="0" w:color="auto"/>
              <w:bottom w:val="nil"/>
              <w:right w:val="single" w:sz="12" w:space="0" w:color="auto"/>
            </w:tcBorders>
            <w:shd w:val="clear" w:color="auto" w:fill="FFFFFF"/>
            <w:vAlign w:val="bottom"/>
          </w:tcPr>
          <w:p w14:paraId="59DBFBFD" w14:textId="77777777" w:rsidR="00FE3EAF" w:rsidRPr="00FE3EAF" w:rsidRDefault="00FE3EAF" w:rsidP="00FE3EAF">
            <w:pPr>
              <w:jc w:val="right"/>
              <w:rPr>
                <w:rFonts w:eastAsia="Calibri"/>
                <w:sz w:val="20"/>
                <w:szCs w:val="20"/>
              </w:rPr>
            </w:pPr>
            <w:r w:rsidRPr="00FE3EAF">
              <w:rPr>
                <w:rFonts w:eastAsia="Calibri"/>
                <w:sz w:val="20"/>
                <w:szCs w:val="20"/>
              </w:rPr>
              <w:t>1.47</w:t>
            </w:r>
          </w:p>
        </w:tc>
        <w:tc>
          <w:tcPr>
            <w:tcW w:w="765" w:type="dxa"/>
            <w:tcBorders>
              <w:top w:val="nil"/>
              <w:left w:val="single" w:sz="12" w:space="0" w:color="auto"/>
              <w:bottom w:val="nil"/>
            </w:tcBorders>
            <w:shd w:val="clear" w:color="auto" w:fill="FFFFFF"/>
            <w:vAlign w:val="center"/>
          </w:tcPr>
          <w:p w14:paraId="675EF093" w14:textId="77777777" w:rsidR="00FE3EAF" w:rsidRPr="00FE3EAF" w:rsidRDefault="00FE3EAF" w:rsidP="00FE3EAF">
            <w:pPr>
              <w:jc w:val="right"/>
              <w:rPr>
                <w:rFonts w:eastAsia="Calibri"/>
                <w:sz w:val="20"/>
                <w:szCs w:val="20"/>
              </w:rPr>
            </w:pPr>
            <w:r w:rsidRPr="00FE3EAF">
              <w:rPr>
                <w:rFonts w:eastAsia="Calibri"/>
                <w:sz w:val="20"/>
                <w:szCs w:val="20"/>
              </w:rPr>
              <w:t>--</w:t>
            </w:r>
          </w:p>
        </w:tc>
        <w:tc>
          <w:tcPr>
            <w:tcW w:w="765" w:type="dxa"/>
            <w:gridSpan w:val="2"/>
            <w:tcBorders>
              <w:top w:val="nil"/>
              <w:bottom w:val="nil"/>
              <w:right w:val="double" w:sz="4" w:space="0" w:color="auto"/>
            </w:tcBorders>
            <w:shd w:val="clear" w:color="auto" w:fill="FFFFFF"/>
            <w:vAlign w:val="center"/>
          </w:tcPr>
          <w:p w14:paraId="4040252C" w14:textId="77777777" w:rsidR="00FE3EAF" w:rsidRPr="00FE3EAF" w:rsidRDefault="00FE3EAF" w:rsidP="00FE3EAF">
            <w:pPr>
              <w:jc w:val="right"/>
              <w:rPr>
                <w:rFonts w:eastAsia="Calibri"/>
                <w:sz w:val="20"/>
                <w:szCs w:val="20"/>
              </w:rPr>
            </w:pPr>
          </w:p>
        </w:tc>
        <w:tc>
          <w:tcPr>
            <w:tcW w:w="810" w:type="dxa"/>
            <w:tcBorders>
              <w:top w:val="nil"/>
              <w:left w:val="double" w:sz="4" w:space="0" w:color="auto"/>
              <w:bottom w:val="nil"/>
              <w:right w:val="single" w:sz="4" w:space="0" w:color="auto"/>
            </w:tcBorders>
            <w:shd w:val="clear" w:color="auto" w:fill="FFFFFF"/>
            <w:vAlign w:val="center"/>
          </w:tcPr>
          <w:p w14:paraId="77DEE6CB" w14:textId="77777777" w:rsidR="00FE3EAF" w:rsidRPr="00FE3EAF" w:rsidRDefault="00FE3EAF" w:rsidP="00FE3EAF">
            <w:pPr>
              <w:jc w:val="right"/>
              <w:rPr>
                <w:rFonts w:eastAsia="Calibri"/>
                <w:sz w:val="20"/>
                <w:szCs w:val="20"/>
              </w:rPr>
            </w:pPr>
            <w:r w:rsidRPr="00FE3EAF">
              <w:rPr>
                <w:rFonts w:eastAsia="Calibri"/>
                <w:sz w:val="20"/>
                <w:szCs w:val="20"/>
              </w:rPr>
              <w:t>NA</w:t>
            </w:r>
          </w:p>
        </w:tc>
        <w:tc>
          <w:tcPr>
            <w:tcW w:w="810" w:type="dxa"/>
            <w:tcBorders>
              <w:top w:val="nil"/>
              <w:left w:val="single" w:sz="4" w:space="0" w:color="auto"/>
              <w:bottom w:val="nil"/>
              <w:right w:val="double" w:sz="4" w:space="0" w:color="auto"/>
            </w:tcBorders>
            <w:shd w:val="clear" w:color="auto" w:fill="FFFFFF"/>
            <w:vAlign w:val="center"/>
          </w:tcPr>
          <w:p w14:paraId="3D48E378" w14:textId="77777777" w:rsidR="00FE3EAF" w:rsidRPr="00FE3EAF" w:rsidRDefault="00FE3EAF" w:rsidP="00FE3EAF">
            <w:pPr>
              <w:jc w:val="right"/>
              <w:rPr>
                <w:rFonts w:eastAsia="Calibri"/>
                <w:sz w:val="20"/>
                <w:szCs w:val="20"/>
              </w:rPr>
            </w:pPr>
          </w:p>
        </w:tc>
      </w:tr>
      <w:tr w:rsidR="00FE3EAF" w:rsidRPr="00FE3EAF" w14:paraId="3705D93D" w14:textId="77777777" w:rsidTr="00810642">
        <w:tc>
          <w:tcPr>
            <w:tcW w:w="3330" w:type="dxa"/>
            <w:tcBorders>
              <w:top w:val="nil"/>
              <w:left w:val="double" w:sz="4" w:space="0" w:color="auto"/>
              <w:bottom w:val="nil"/>
              <w:right w:val="double" w:sz="4" w:space="0" w:color="auto"/>
            </w:tcBorders>
          </w:tcPr>
          <w:p w14:paraId="5574FC56" w14:textId="77777777" w:rsidR="00FE3EAF" w:rsidRPr="00FE3EAF" w:rsidRDefault="00FE3EAF" w:rsidP="00FE3EAF">
            <w:pPr>
              <w:jc w:val="left"/>
              <w:rPr>
                <w:rFonts w:eastAsia="Calibri"/>
                <w:b/>
                <w:i/>
                <w:sz w:val="18"/>
                <w:szCs w:val="18"/>
                <w:u w:val="single"/>
              </w:rPr>
            </w:pPr>
            <w:r w:rsidRPr="00FE3EAF">
              <w:rPr>
                <w:rFonts w:eastAsia="Calibri"/>
                <w:b/>
                <w:i/>
                <w:sz w:val="18"/>
                <w:szCs w:val="18"/>
                <w:u w:val="single"/>
              </w:rPr>
              <w:t>Constants</w:t>
            </w:r>
          </w:p>
        </w:tc>
        <w:tc>
          <w:tcPr>
            <w:tcW w:w="765" w:type="dxa"/>
            <w:tcBorders>
              <w:top w:val="nil"/>
              <w:left w:val="double" w:sz="4" w:space="0" w:color="auto"/>
              <w:bottom w:val="nil"/>
            </w:tcBorders>
            <w:vAlign w:val="center"/>
          </w:tcPr>
          <w:p w14:paraId="04016269" w14:textId="77777777" w:rsidR="00FE3EAF" w:rsidRPr="00FE3EAF" w:rsidRDefault="00FE3EAF" w:rsidP="00FE3EAF">
            <w:pPr>
              <w:jc w:val="right"/>
              <w:rPr>
                <w:rFonts w:eastAsia="Calibri"/>
                <w:sz w:val="20"/>
                <w:szCs w:val="20"/>
              </w:rPr>
            </w:pPr>
          </w:p>
        </w:tc>
        <w:tc>
          <w:tcPr>
            <w:tcW w:w="765" w:type="dxa"/>
            <w:tcBorders>
              <w:top w:val="nil"/>
              <w:bottom w:val="nil"/>
              <w:right w:val="single" w:sz="12" w:space="0" w:color="auto"/>
            </w:tcBorders>
            <w:vAlign w:val="center"/>
          </w:tcPr>
          <w:p w14:paraId="44291097" w14:textId="77777777" w:rsidR="00FE3EAF" w:rsidRPr="00FE3EAF" w:rsidRDefault="00FE3EAF" w:rsidP="00FE3EAF">
            <w:pPr>
              <w:jc w:val="right"/>
              <w:rPr>
                <w:rFonts w:eastAsia="Calibri"/>
                <w:sz w:val="20"/>
                <w:szCs w:val="20"/>
              </w:rPr>
            </w:pPr>
          </w:p>
        </w:tc>
        <w:tc>
          <w:tcPr>
            <w:tcW w:w="765" w:type="dxa"/>
            <w:gridSpan w:val="2"/>
            <w:tcBorders>
              <w:top w:val="nil"/>
              <w:left w:val="single" w:sz="12" w:space="0" w:color="auto"/>
              <w:bottom w:val="nil"/>
              <w:right w:val="single" w:sz="4" w:space="0" w:color="auto"/>
            </w:tcBorders>
            <w:shd w:val="clear" w:color="auto" w:fill="FFFFFF"/>
            <w:vAlign w:val="center"/>
          </w:tcPr>
          <w:p w14:paraId="766E3E67" w14:textId="77777777" w:rsidR="00FE3EAF" w:rsidRPr="00FE3EAF" w:rsidRDefault="00FE3EAF" w:rsidP="00FE3EAF">
            <w:pPr>
              <w:jc w:val="right"/>
              <w:rPr>
                <w:rFonts w:eastAsia="Calibri"/>
                <w:sz w:val="20"/>
                <w:szCs w:val="20"/>
              </w:rPr>
            </w:pPr>
          </w:p>
        </w:tc>
        <w:tc>
          <w:tcPr>
            <w:tcW w:w="765" w:type="dxa"/>
            <w:tcBorders>
              <w:top w:val="nil"/>
              <w:left w:val="single" w:sz="4" w:space="0" w:color="auto"/>
              <w:bottom w:val="nil"/>
              <w:right w:val="single" w:sz="12" w:space="0" w:color="auto"/>
            </w:tcBorders>
            <w:shd w:val="clear" w:color="auto" w:fill="FFFFFF"/>
            <w:vAlign w:val="center"/>
          </w:tcPr>
          <w:p w14:paraId="7E5CF58B" w14:textId="77777777" w:rsidR="00FE3EAF" w:rsidRPr="00FE3EAF" w:rsidRDefault="00FE3EAF" w:rsidP="00FE3EAF">
            <w:pPr>
              <w:jc w:val="right"/>
              <w:rPr>
                <w:rFonts w:eastAsia="Calibri"/>
                <w:sz w:val="20"/>
                <w:szCs w:val="20"/>
              </w:rPr>
            </w:pPr>
          </w:p>
        </w:tc>
        <w:tc>
          <w:tcPr>
            <w:tcW w:w="765" w:type="dxa"/>
            <w:tcBorders>
              <w:top w:val="nil"/>
              <w:left w:val="single" w:sz="12" w:space="0" w:color="auto"/>
              <w:bottom w:val="nil"/>
            </w:tcBorders>
            <w:shd w:val="clear" w:color="auto" w:fill="FFFFFF"/>
            <w:vAlign w:val="center"/>
          </w:tcPr>
          <w:p w14:paraId="4F44C6B6" w14:textId="77777777" w:rsidR="00FE3EAF" w:rsidRPr="00FE3EAF" w:rsidRDefault="00FE3EAF" w:rsidP="00FE3EAF">
            <w:pPr>
              <w:jc w:val="right"/>
              <w:rPr>
                <w:rFonts w:eastAsia="Calibri"/>
                <w:sz w:val="20"/>
                <w:szCs w:val="20"/>
              </w:rPr>
            </w:pPr>
          </w:p>
        </w:tc>
        <w:tc>
          <w:tcPr>
            <w:tcW w:w="765" w:type="dxa"/>
            <w:gridSpan w:val="2"/>
            <w:tcBorders>
              <w:top w:val="nil"/>
              <w:bottom w:val="nil"/>
              <w:right w:val="double" w:sz="4" w:space="0" w:color="auto"/>
            </w:tcBorders>
            <w:shd w:val="clear" w:color="auto" w:fill="FFFFFF"/>
            <w:vAlign w:val="center"/>
          </w:tcPr>
          <w:p w14:paraId="1C881FA4" w14:textId="77777777" w:rsidR="00FE3EAF" w:rsidRPr="00FE3EAF" w:rsidRDefault="00FE3EAF" w:rsidP="00FE3EAF">
            <w:pPr>
              <w:jc w:val="right"/>
              <w:rPr>
                <w:rFonts w:eastAsia="Calibri"/>
                <w:sz w:val="20"/>
                <w:szCs w:val="20"/>
              </w:rPr>
            </w:pPr>
          </w:p>
        </w:tc>
        <w:tc>
          <w:tcPr>
            <w:tcW w:w="810" w:type="dxa"/>
            <w:tcBorders>
              <w:top w:val="nil"/>
              <w:left w:val="double" w:sz="4" w:space="0" w:color="auto"/>
              <w:bottom w:val="nil"/>
              <w:right w:val="single" w:sz="4" w:space="0" w:color="auto"/>
            </w:tcBorders>
            <w:shd w:val="clear" w:color="auto" w:fill="FFFFFF"/>
            <w:vAlign w:val="center"/>
          </w:tcPr>
          <w:p w14:paraId="2D32A328" w14:textId="77777777" w:rsidR="00FE3EAF" w:rsidRPr="00FE3EAF" w:rsidRDefault="00FE3EAF" w:rsidP="00FE3EAF">
            <w:pPr>
              <w:jc w:val="right"/>
              <w:rPr>
                <w:rFonts w:eastAsia="Calibri"/>
                <w:sz w:val="20"/>
                <w:szCs w:val="20"/>
              </w:rPr>
            </w:pPr>
          </w:p>
        </w:tc>
        <w:tc>
          <w:tcPr>
            <w:tcW w:w="810" w:type="dxa"/>
            <w:tcBorders>
              <w:top w:val="nil"/>
              <w:left w:val="single" w:sz="4" w:space="0" w:color="auto"/>
              <w:bottom w:val="nil"/>
              <w:right w:val="double" w:sz="4" w:space="0" w:color="auto"/>
            </w:tcBorders>
            <w:shd w:val="clear" w:color="auto" w:fill="FFFFFF"/>
            <w:vAlign w:val="center"/>
          </w:tcPr>
          <w:p w14:paraId="0AAA0170" w14:textId="77777777" w:rsidR="00FE3EAF" w:rsidRPr="00FE3EAF" w:rsidRDefault="00FE3EAF" w:rsidP="00FE3EAF">
            <w:pPr>
              <w:jc w:val="right"/>
              <w:rPr>
                <w:rFonts w:eastAsia="Calibri"/>
                <w:sz w:val="20"/>
                <w:szCs w:val="20"/>
              </w:rPr>
            </w:pPr>
          </w:p>
        </w:tc>
      </w:tr>
      <w:tr w:rsidR="00FE3EAF" w:rsidRPr="00FE3EAF" w14:paraId="7EAC7029" w14:textId="77777777" w:rsidTr="00810642">
        <w:tc>
          <w:tcPr>
            <w:tcW w:w="3330" w:type="dxa"/>
            <w:tcBorders>
              <w:top w:val="nil"/>
              <w:left w:val="double" w:sz="4" w:space="0" w:color="auto"/>
              <w:bottom w:val="nil"/>
              <w:right w:val="double" w:sz="4" w:space="0" w:color="auto"/>
            </w:tcBorders>
          </w:tcPr>
          <w:p w14:paraId="766BD1CC" w14:textId="77777777" w:rsidR="00FE3EAF" w:rsidRPr="00FE3EAF" w:rsidRDefault="00FE3EAF" w:rsidP="00FE3EAF">
            <w:pPr>
              <w:jc w:val="left"/>
              <w:rPr>
                <w:rFonts w:eastAsia="Calibri"/>
                <w:bCs/>
                <w:iCs/>
                <w:sz w:val="18"/>
                <w:szCs w:val="18"/>
              </w:rPr>
            </w:pPr>
            <w:r w:rsidRPr="00FE3EAF">
              <w:rPr>
                <w:rFonts w:eastAsia="Calibri"/>
                <w:bCs/>
                <w:iCs/>
                <w:sz w:val="18"/>
                <w:szCs w:val="18"/>
              </w:rPr>
              <w:t xml:space="preserve"> TC Segment (“Movers”)</w:t>
            </w:r>
          </w:p>
        </w:tc>
        <w:tc>
          <w:tcPr>
            <w:tcW w:w="765" w:type="dxa"/>
            <w:tcBorders>
              <w:top w:val="nil"/>
              <w:left w:val="double" w:sz="4" w:space="0" w:color="auto"/>
              <w:bottom w:val="nil"/>
            </w:tcBorders>
            <w:vAlign w:val="center"/>
          </w:tcPr>
          <w:p w14:paraId="215C7ABE" w14:textId="77777777" w:rsidR="00FE3EAF" w:rsidRPr="00FE3EAF" w:rsidRDefault="00FE3EAF" w:rsidP="00FE3EAF">
            <w:pPr>
              <w:jc w:val="right"/>
              <w:rPr>
                <w:rFonts w:eastAsia="Calibri"/>
                <w:sz w:val="20"/>
                <w:szCs w:val="20"/>
              </w:rPr>
            </w:pPr>
            <w:r w:rsidRPr="00FE3EAF">
              <w:rPr>
                <w:rFonts w:eastAsia="Calibri"/>
                <w:sz w:val="20"/>
                <w:szCs w:val="20"/>
              </w:rPr>
              <w:t>--</w:t>
            </w:r>
          </w:p>
        </w:tc>
        <w:tc>
          <w:tcPr>
            <w:tcW w:w="765" w:type="dxa"/>
            <w:tcBorders>
              <w:top w:val="nil"/>
              <w:bottom w:val="nil"/>
              <w:right w:val="single" w:sz="12" w:space="0" w:color="auto"/>
            </w:tcBorders>
            <w:vAlign w:val="center"/>
          </w:tcPr>
          <w:p w14:paraId="73DD99C5" w14:textId="77777777" w:rsidR="00FE3EAF" w:rsidRPr="00FE3EAF" w:rsidRDefault="00FE3EAF" w:rsidP="00FE3EAF">
            <w:pPr>
              <w:jc w:val="right"/>
              <w:rPr>
                <w:rFonts w:eastAsia="Calibri"/>
                <w:sz w:val="20"/>
                <w:szCs w:val="20"/>
              </w:rPr>
            </w:pPr>
          </w:p>
        </w:tc>
        <w:tc>
          <w:tcPr>
            <w:tcW w:w="765" w:type="dxa"/>
            <w:gridSpan w:val="2"/>
            <w:tcBorders>
              <w:top w:val="nil"/>
              <w:left w:val="single" w:sz="12" w:space="0" w:color="auto"/>
              <w:bottom w:val="nil"/>
              <w:right w:val="single" w:sz="4" w:space="0" w:color="auto"/>
            </w:tcBorders>
            <w:shd w:val="clear" w:color="auto" w:fill="FFFFFF"/>
            <w:vAlign w:val="bottom"/>
          </w:tcPr>
          <w:p w14:paraId="1761171A" w14:textId="77777777" w:rsidR="00FE3EAF" w:rsidRPr="00FE3EAF" w:rsidRDefault="00FE3EAF" w:rsidP="00FE3EAF">
            <w:pPr>
              <w:jc w:val="right"/>
              <w:rPr>
                <w:rFonts w:eastAsia="Calibri"/>
                <w:sz w:val="20"/>
                <w:szCs w:val="20"/>
              </w:rPr>
            </w:pPr>
            <w:r w:rsidRPr="00FE3EAF">
              <w:rPr>
                <w:rFonts w:eastAsia="Calibri"/>
                <w:sz w:val="20"/>
                <w:szCs w:val="20"/>
              </w:rPr>
              <w:t>0.742</w:t>
            </w:r>
          </w:p>
        </w:tc>
        <w:tc>
          <w:tcPr>
            <w:tcW w:w="765" w:type="dxa"/>
            <w:tcBorders>
              <w:top w:val="nil"/>
              <w:left w:val="single" w:sz="4" w:space="0" w:color="auto"/>
              <w:bottom w:val="nil"/>
              <w:right w:val="single" w:sz="12" w:space="0" w:color="auto"/>
            </w:tcBorders>
            <w:shd w:val="clear" w:color="auto" w:fill="FFFFFF"/>
            <w:vAlign w:val="bottom"/>
          </w:tcPr>
          <w:p w14:paraId="02BFEFBB" w14:textId="77777777" w:rsidR="00FE3EAF" w:rsidRPr="00FE3EAF" w:rsidRDefault="00FE3EAF" w:rsidP="00FE3EAF">
            <w:pPr>
              <w:jc w:val="right"/>
              <w:rPr>
                <w:rFonts w:eastAsia="Calibri"/>
                <w:sz w:val="20"/>
                <w:szCs w:val="20"/>
              </w:rPr>
            </w:pPr>
            <w:r w:rsidRPr="00FE3EAF">
              <w:rPr>
                <w:rFonts w:eastAsia="Calibri"/>
                <w:sz w:val="20"/>
                <w:szCs w:val="20"/>
              </w:rPr>
              <w:t>2.19</w:t>
            </w:r>
          </w:p>
        </w:tc>
        <w:tc>
          <w:tcPr>
            <w:tcW w:w="765" w:type="dxa"/>
            <w:tcBorders>
              <w:top w:val="nil"/>
              <w:left w:val="single" w:sz="12" w:space="0" w:color="auto"/>
              <w:bottom w:val="nil"/>
            </w:tcBorders>
            <w:shd w:val="clear" w:color="auto" w:fill="FFFFFF"/>
            <w:vAlign w:val="bottom"/>
          </w:tcPr>
          <w:p w14:paraId="185C7DA7" w14:textId="77777777" w:rsidR="00FE3EAF" w:rsidRPr="00FE3EAF" w:rsidRDefault="00FE3EAF" w:rsidP="00FE3EAF">
            <w:pPr>
              <w:jc w:val="right"/>
              <w:rPr>
                <w:rFonts w:eastAsia="Calibri"/>
                <w:sz w:val="20"/>
                <w:szCs w:val="20"/>
              </w:rPr>
            </w:pPr>
            <w:r w:rsidRPr="00FE3EAF">
              <w:rPr>
                <w:rFonts w:eastAsia="Calibri"/>
                <w:sz w:val="20"/>
                <w:szCs w:val="20"/>
              </w:rPr>
              <w:t>-0.261</w:t>
            </w:r>
          </w:p>
        </w:tc>
        <w:tc>
          <w:tcPr>
            <w:tcW w:w="765" w:type="dxa"/>
            <w:gridSpan w:val="2"/>
            <w:tcBorders>
              <w:top w:val="nil"/>
              <w:bottom w:val="nil"/>
              <w:right w:val="double" w:sz="4" w:space="0" w:color="auto"/>
            </w:tcBorders>
            <w:shd w:val="clear" w:color="auto" w:fill="FFFFFF"/>
            <w:vAlign w:val="bottom"/>
          </w:tcPr>
          <w:p w14:paraId="2F4D234C" w14:textId="77777777" w:rsidR="00FE3EAF" w:rsidRPr="00FE3EAF" w:rsidRDefault="00FE3EAF" w:rsidP="00FE3EAF">
            <w:pPr>
              <w:jc w:val="right"/>
              <w:rPr>
                <w:rFonts w:eastAsia="Calibri"/>
                <w:sz w:val="20"/>
                <w:szCs w:val="20"/>
              </w:rPr>
            </w:pPr>
            <w:r w:rsidRPr="00FE3EAF">
              <w:rPr>
                <w:rFonts w:eastAsia="Calibri"/>
                <w:sz w:val="20"/>
                <w:szCs w:val="20"/>
              </w:rPr>
              <w:t>-0.71</w:t>
            </w:r>
          </w:p>
        </w:tc>
        <w:tc>
          <w:tcPr>
            <w:tcW w:w="810" w:type="dxa"/>
            <w:tcBorders>
              <w:top w:val="nil"/>
              <w:left w:val="double" w:sz="4" w:space="0" w:color="auto"/>
              <w:bottom w:val="nil"/>
              <w:right w:val="single" w:sz="4" w:space="0" w:color="auto"/>
            </w:tcBorders>
            <w:shd w:val="clear" w:color="auto" w:fill="FFFFFF"/>
            <w:vAlign w:val="bottom"/>
          </w:tcPr>
          <w:p w14:paraId="3D4FEADC" w14:textId="77777777" w:rsidR="00FE3EAF" w:rsidRPr="00FE3EAF" w:rsidRDefault="00FE3EAF" w:rsidP="00FE3EAF">
            <w:pPr>
              <w:jc w:val="right"/>
              <w:rPr>
                <w:rFonts w:eastAsia="Calibri"/>
                <w:sz w:val="20"/>
                <w:szCs w:val="20"/>
              </w:rPr>
            </w:pPr>
            <w:r w:rsidRPr="00FE3EAF">
              <w:rPr>
                <w:rFonts w:eastAsia="Calibri"/>
                <w:sz w:val="20"/>
                <w:szCs w:val="20"/>
              </w:rPr>
              <w:t>1.199</w:t>
            </w:r>
          </w:p>
        </w:tc>
        <w:tc>
          <w:tcPr>
            <w:tcW w:w="810" w:type="dxa"/>
            <w:tcBorders>
              <w:top w:val="nil"/>
              <w:left w:val="single" w:sz="4" w:space="0" w:color="auto"/>
              <w:bottom w:val="nil"/>
              <w:right w:val="double" w:sz="4" w:space="0" w:color="auto"/>
            </w:tcBorders>
            <w:shd w:val="clear" w:color="auto" w:fill="FFFFFF"/>
            <w:vAlign w:val="bottom"/>
          </w:tcPr>
          <w:p w14:paraId="3DF1C201" w14:textId="77777777" w:rsidR="00FE3EAF" w:rsidRPr="00FE3EAF" w:rsidRDefault="00FE3EAF" w:rsidP="00FE3EAF">
            <w:pPr>
              <w:jc w:val="right"/>
              <w:rPr>
                <w:rFonts w:eastAsia="Calibri"/>
                <w:sz w:val="20"/>
                <w:szCs w:val="20"/>
              </w:rPr>
            </w:pPr>
            <w:r w:rsidRPr="00FE3EAF">
              <w:rPr>
                <w:rFonts w:eastAsia="Calibri"/>
                <w:sz w:val="20"/>
                <w:szCs w:val="20"/>
              </w:rPr>
              <w:t>8.09</w:t>
            </w:r>
          </w:p>
        </w:tc>
      </w:tr>
      <w:tr w:rsidR="00FE3EAF" w:rsidRPr="00FE3EAF" w14:paraId="07C67240" w14:textId="77777777" w:rsidTr="00810642">
        <w:tc>
          <w:tcPr>
            <w:tcW w:w="3330" w:type="dxa"/>
            <w:tcBorders>
              <w:top w:val="nil"/>
              <w:left w:val="double" w:sz="4" w:space="0" w:color="auto"/>
              <w:bottom w:val="nil"/>
              <w:right w:val="double" w:sz="4" w:space="0" w:color="auto"/>
            </w:tcBorders>
          </w:tcPr>
          <w:p w14:paraId="3857BFE5" w14:textId="77777777" w:rsidR="00FE3EAF" w:rsidRPr="00FE3EAF" w:rsidRDefault="00FE3EAF" w:rsidP="00FE3EAF">
            <w:pPr>
              <w:jc w:val="left"/>
              <w:rPr>
                <w:rFonts w:eastAsia="Calibri"/>
                <w:bCs/>
                <w:iCs/>
                <w:sz w:val="18"/>
                <w:szCs w:val="18"/>
              </w:rPr>
            </w:pPr>
            <w:r w:rsidRPr="00FE3EAF">
              <w:rPr>
                <w:rFonts w:eastAsia="Calibri"/>
                <w:bCs/>
                <w:iCs/>
                <w:sz w:val="18"/>
                <w:szCs w:val="18"/>
              </w:rPr>
              <w:t xml:space="preserve"> CT Segment (“Stayers”)</w:t>
            </w:r>
          </w:p>
        </w:tc>
        <w:tc>
          <w:tcPr>
            <w:tcW w:w="765" w:type="dxa"/>
            <w:tcBorders>
              <w:top w:val="nil"/>
              <w:left w:val="double" w:sz="4" w:space="0" w:color="auto"/>
              <w:bottom w:val="nil"/>
            </w:tcBorders>
            <w:vAlign w:val="center"/>
          </w:tcPr>
          <w:p w14:paraId="1969765B" w14:textId="77777777" w:rsidR="00FE3EAF" w:rsidRPr="00FE3EAF" w:rsidRDefault="00FE3EAF" w:rsidP="00FE3EAF">
            <w:pPr>
              <w:jc w:val="right"/>
              <w:rPr>
                <w:rFonts w:eastAsia="Calibri"/>
                <w:sz w:val="20"/>
                <w:szCs w:val="20"/>
              </w:rPr>
            </w:pPr>
            <w:r w:rsidRPr="00FE3EAF">
              <w:rPr>
                <w:rFonts w:eastAsia="Calibri"/>
                <w:sz w:val="20"/>
                <w:szCs w:val="20"/>
              </w:rPr>
              <w:t>--</w:t>
            </w:r>
          </w:p>
        </w:tc>
        <w:tc>
          <w:tcPr>
            <w:tcW w:w="765" w:type="dxa"/>
            <w:tcBorders>
              <w:top w:val="nil"/>
              <w:bottom w:val="nil"/>
              <w:right w:val="single" w:sz="12" w:space="0" w:color="auto"/>
            </w:tcBorders>
            <w:vAlign w:val="center"/>
          </w:tcPr>
          <w:p w14:paraId="7DEE4371" w14:textId="77777777" w:rsidR="00FE3EAF" w:rsidRPr="00FE3EAF" w:rsidRDefault="00FE3EAF" w:rsidP="00FE3EAF">
            <w:pPr>
              <w:jc w:val="right"/>
              <w:rPr>
                <w:rFonts w:eastAsia="Calibri"/>
                <w:sz w:val="20"/>
                <w:szCs w:val="20"/>
              </w:rPr>
            </w:pPr>
          </w:p>
        </w:tc>
        <w:tc>
          <w:tcPr>
            <w:tcW w:w="765" w:type="dxa"/>
            <w:gridSpan w:val="2"/>
            <w:tcBorders>
              <w:top w:val="nil"/>
              <w:left w:val="single" w:sz="12" w:space="0" w:color="auto"/>
              <w:bottom w:val="nil"/>
              <w:right w:val="single" w:sz="4" w:space="0" w:color="auto"/>
            </w:tcBorders>
            <w:shd w:val="clear" w:color="auto" w:fill="FFFFFF"/>
            <w:vAlign w:val="bottom"/>
          </w:tcPr>
          <w:p w14:paraId="389E43B5" w14:textId="77777777" w:rsidR="00FE3EAF" w:rsidRPr="00FE3EAF" w:rsidRDefault="00FE3EAF" w:rsidP="00FE3EAF">
            <w:pPr>
              <w:jc w:val="right"/>
              <w:rPr>
                <w:rFonts w:eastAsia="Calibri"/>
                <w:sz w:val="20"/>
                <w:szCs w:val="20"/>
              </w:rPr>
            </w:pPr>
            <w:r w:rsidRPr="00FE3EAF">
              <w:rPr>
                <w:rFonts w:eastAsia="Calibri"/>
                <w:sz w:val="20"/>
                <w:szCs w:val="20"/>
              </w:rPr>
              <w:t>1.237</w:t>
            </w:r>
          </w:p>
        </w:tc>
        <w:tc>
          <w:tcPr>
            <w:tcW w:w="765" w:type="dxa"/>
            <w:tcBorders>
              <w:top w:val="nil"/>
              <w:left w:val="single" w:sz="4" w:space="0" w:color="auto"/>
              <w:bottom w:val="nil"/>
              <w:right w:val="single" w:sz="12" w:space="0" w:color="auto"/>
            </w:tcBorders>
            <w:shd w:val="clear" w:color="auto" w:fill="FFFFFF"/>
            <w:vAlign w:val="bottom"/>
          </w:tcPr>
          <w:p w14:paraId="2A9841C2" w14:textId="77777777" w:rsidR="00FE3EAF" w:rsidRPr="00FE3EAF" w:rsidRDefault="00FE3EAF" w:rsidP="00FE3EAF">
            <w:pPr>
              <w:jc w:val="right"/>
              <w:rPr>
                <w:rFonts w:eastAsia="Calibri"/>
                <w:sz w:val="20"/>
                <w:szCs w:val="20"/>
              </w:rPr>
            </w:pPr>
            <w:r w:rsidRPr="00FE3EAF">
              <w:rPr>
                <w:rFonts w:eastAsia="Calibri"/>
                <w:sz w:val="20"/>
                <w:szCs w:val="20"/>
              </w:rPr>
              <w:t>4.66</w:t>
            </w:r>
          </w:p>
        </w:tc>
        <w:tc>
          <w:tcPr>
            <w:tcW w:w="765" w:type="dxa"/>
            <w:tcBorders>
              <w:top w:val="nil"/>
              <w:left w:val="single" w:sz="12" w:space="0" w:color="auto"/>
              <w:bottom w:val="nil"/>
            </w:tcBorders>
            <w:shd w:val="clear" w:color="auto" w:fill="FFFFFF"/>
            <w:vAlign w:val="bottom"/>
          </w:tcPr>
          <w:p w14:paraId="2E1F8280" w14:textId="77777777" w:rsidR="00FE3EAF" w:rsidRPr="00FE3EAF" w:rsidRDefault="00FE3EAF" w:rsidP="00FE3EAF">
            <w:pPr>
              <w:jc w:val="right"/>
              <w:rPr>
                <w:rFonts w:eastAsia="Calibri"/>
                <w:sz w:val="20"/>
                <w:szCs w:val="20"/>
              </w:rPr>
            </w:pPr>
            <w:r w:rsidRPr="00FE3EAF">
              <w:rPr>
                <w:rFonts w:eastAsia="Calibri"/>
                <w:sz w:val="20"/>
                <w:szCs w:val="20"/>
              </w:rPr>
              <w:t>-0.503</w:t>
            </w:r>
          </w:p>
        </w:tc>
        <w:tc>
          <w:tcPr>
            <w:tcW w:w="765" w:type="dxa"/>
            <w:gridSpan w:val="2"/>
            <w:tcBorders>
              <w:top w:val="nil"/>
              <w:bottom w:val="nil"/>
              <w:right w:val="double" w:sz="4" w:space="0" w:color="auto"/>
            </w:tcBorders>
            <w:shd w:val="clear" w:color="auto" w:fill="FFFFFF"/>
            <w:vAlign w:val="bottom"/>
          </w:tcPr>
          <w:p w14:paraId="09DE25DF" w14:textId="77777777" w:rsidR="00FE3EAF" w:rsidRPr="00FE3EAF" w:rsidRDefault="00FE3EAF" w:rsidP="00FE3EAF">
            <w:pPr>
              <w:jc w:val="right"/>
              <w:rPr>
                <w:rFonts w:eastAsia="Calibri"/>
                <w:sz w:val="20"/>
                <w:szCs w:val="20"/>
              </w:rPr>
            </w:pPr>
            <w:r w:rsidRPr="00FE3EAF">
              <w:rPr>
                <w:rFonts w:eastAsia="Calibri"/>
                <w:sz w:val="20"/>
                <w:szCs w:val="20"/>
              </w:rPr>
              <w:t>-1.19</w:t>
            </w:r>
          </w:p>
        </w:tc>
        <w:tc>
          <w:tcPr>
            <w:tcW w:w="810" w:type="dxa"/>
            <w:tcBorders>
              <w:top w:val="nil"/>
              <w:left w:val="double" w:sz="4" w:space="0" w:color="auto"/>
              <w:bottom w:val="nil"/>
              <w:right w:val="single" w:sz="4" w:space="0" w:color="auto"/>
            </w:tcBorders>
            <w:shd w:val="clear" w:color="auto" w:fill="FFFFFF"/>
            <w:vAlign w:val="bottom"/>
          </w:tcPr>
          <w:p w14:paraId="2A5F866C" w14:textId="77777777" w:rsidR="00FE3EAF" w:rsidRPr="00FE3EAF" w:rsidRDefault="00FE3EAF" w:rsidP="00FE3EAF">
            <w:pPr>
              <w:jc w:val="right"/>
              <w:rPr>
                <w:rFonts w:eastAsia="Calibri"/>
                <w:sz w:val="20"/>
                <w:szCs w:val="20"/>
              </w:rPr>
            </w:pPr>
            <w:r w:rsidRPr="00FE3EAF">
              <w:rPr>
                <w:rFonts w:eastAsia="Calibri"/>
                <w:sz w:val="20"/>
                <w:szCs w:val="20"/>
              </w:rPr>
              <w:t>2.809</w:t>
            </w:r>
          </w:p>
        </w:tc>
        <w:tc>
          <w:tcPr>
            <w:tcW w:w="810" w:type="dxa"/>
            <w:tcBorders>
              <w:top w:val="nil"/>
              <w:left w:val="single" w:sz="4" w:space="0" w:color="auto"/>
              <w:bottom w:val="nil"/>
              <w:right w:val="double" w:sz="4" w:space="0" w:color="auto"/>
            </w:tcBorders>
            <w:shd w:val="clear" w:color="auto" w:fill="FFFFFF"/>
            <w:vAlign w:val="bottom"/>
          </w:tcPr>
          <w:p w14:paraId="2DB4AFBB" w14:textId="77777777" w:rsidR="00FE3EAF" w:rsidRPr="00FE3EAF" w:rsidRDefault="00FE3EAF" w:rsidP="00FE3EAF">
            <w:pPr>
              <w:jc w:val="right"/>
              <w:rPr>
                <w:rFonts w:eastAsia="Calibri"/>
                <w:sz w:val="20"/>
                <w:szCs w:val="20"/>
              </w:rPr>
            </w:pPr>
            <w:r w:rsidRPr="00FE3EAF">
              <w:rPr>
                <w:rFonts w:eastAsia="Calibri"/>
                <w:sz w:val="20"/>
                <w:szCs w:val="20"/>
              </w:rPr>
              <w:t>26.29</w:t>
            </w:r>
          </w:p>
        </w:tc>
      </w:tr>
      <w:tr w:rsidR="00FE3EAF" w:rsidRPr="00FE3EAF" w14:paraId="0437A12A" w14:textId="77777777" w:rsidTr="00810642">
        <w:tc>
          <w:tcPr>
            <w:tcW w:w="3330" w:type="dxa"/>
            <w:tcBorders>
              <w:top w:val="nil"/>
              <w:left w:val="double" w:sz="4" w:space="0" w:color="auto"/>
              <w:bottom w:val="nil"/>
              <w:right w:val="double" w:sz="4" w:space="0" w:color="auto"/>
            </w:tcBorders>
          </w:tcPr>
          <w:p w14:paraId="6319C881" w14:textId="77777777" w:rsidR="00FE3EAF" w:rsidRPr="00FE3EAF" w:rsidRDefault="00FE3EAF" w:rsidP="00FE3EAF">
            <w:pPr>
              <w:jc w:val="left"/>
              <w:rPr>
                <w:rFonts w:eastAsia="Calibri"/>
                <w:b/>
                <w:i/>
                <w:sz w:val="18"/>
                <w:szCs w:val="18"/>
              </w:rPr>
            </w:pPr>
            <w:r w:rsidRPr="00FE3EAF">
              <w:rPr>
                <w:rFonts w:eastAsia="Calibri"/>
                <w:b/>
                <w:i/>
                <w:sz w:val="18"/>
                <w:szCs w:val="18"/>
              </w:rPr>
              <w:t>Constants (Satiation)</w:t>
            </w:r>
          </w:p>
        </w:tc>
        <w:tc>
          <w:tcPr>
            <w:tcW w:w="765" w:type="dxa"/>
            <w:tcBorders>
              <w:top w:val="nil"/>
              <w:left w:val="double" w:sz="4" w:space="0" w:color="auto"/>
              <w:bottom w:val="nil"/>
            </w:tcBorders>
            <w:vAlign w:val="center"/>
          </w:tcPr>
          <w:p w14:paraId="6F2DF319" w14:textId="77777777" w:rsidR="00FE3EAF" w:rsidRPr="00FE3EAF" w:rsidRDefault="00FE3EAF" w:rsidP="00FE3EAF">
            <w:pPr>
              <w:jc w:val="right"/>
              <w:rPr>
                <w:rFonts w:eastAsia="Calibri"/>
                <w:sz w:val="20"/>
                <w:szCs w:val="20"/>
                <w:highlight w:val="yellow"/>
              </w:rPr>
            </w:pPr>
          </w:p>
        </w:tc>
        <w:tc>
          <w:tcPr>
            <w:tcW w:w="765" w:type="dxa"/>
            <w:tcBorders>
              <w:top w:val="nil"/>
              <w:bottom w:val="nil"/>
              <w:right w:val="single" w:sz="12" w:space="0" w:color="auto"/>
            </w:tcBorders>
            <w:vAlign w:val="center"/>
          </w:tcPr>
          <w:p w14:paraId="50D3F80C" w14:textId="77777777" w:rsidR="00FE3EAF" w:rsidRPr="00FE3EAF" w:rsidRDefault="00FE3EAF" w:rsidP="00FE3EAF">
            <w:pPr>
              <w:jc w:val="right"/>
              <w:rPr>
                <w:rFonts w:eastAsia="Calibri"/>
                <w:sz w:val="20"/>
                <w:szCs w:val="20"/>
                <w:highlight w:val="yellow"/>
              </w:rPr>
            </w:pPr>
          </w:p>
        </w:tc>
        <w:tc>
          <w:tcPr>
            <w:tcW w:w="765" w:type="dxa"/>
            <w:gridSpan w:val="2"/>
            <w:tcBorders>
              <w:top w:val="nil"/>
              <w:left w:val="single" w:sz="12" w:space="0" w:color="auto"/>
              <w:bottom w:val="nil"/>
              <w:right w:val="single" w:sz="4" w:space="0" w:color="auto"/>
            </w:tcBorders>
            <w:shd w:val="clear" w:color="auto" w:fill="FFFFFF"/>
            <w:vAlign w:val="bottom"/>
          </w:tcPr>
          <w:p w14:paraId="6EDFC8D6" w14:textId="77777777" w:rsidR="00FE3EAF" w:rsidRPr="00FE3EAF" w:rsidRDefault="00FE3EAF" w:rsidP="00FE3EAF">
            <w:pPr>
              <w:jc w:val="right"/>
              <w:rPr>
                <w:rFonts w:eastAsia="Calibri"/>
                <w:sz w:val="20"/>
                <w:szCs w:val="20"/>
                <w:highlight w:val="yellow"/>
              </w:rPr>
            </w:pPr>
          </w:p>
        </w:tc>
        <w:tc>
          <w:tcPr>
            <w:tcW w:w="765" w:type="dxa"/>
            <w:tcBorders>
              <w:top w:val="nil"/>
              <w:left w:val="single" w:sz="4" w:space="0" w:color="auto"/>
              <w:bottom w:val="nil"/>
              <w:right w:val="single" w:sz="12" w:space="0" w:color="auto"/>
            </w:tcBorders>
            <w:shd w:val="clear" w:color="auto" w:fill="FFFFFF"/>
            <w:vAlign w:val="bottom"/>
          </w:tcPr>
          <w:p w14:paraId="1A28A9D6" w14:textId="77777777" w:rsidR="00FE3EAF" w:rsidRPr="00FE3EAF" w:rsidRDefault="00FE3EAF" w:rsidP="00FE3EAF">
            <w:pPr>
              <w:jc w:val="right"/>
              <w:rPr>
                <w:rFonts w:eastAsia="Calibri"/>
                <w:sz w:val="20"/>
                <w:szCs w:val="20"/>
                <w:highlight w:val="yellow"/>
              </w:rPr>
            </w:pPr>
          </w:p>
        </w:tc>
        <w:tc>
          <w:tcPr>
            <w:tcW w:w="765" w:type="dxa"/>
            <w:tcBorders>
              <w:top w:val="nil"/>
              <w:left w:val="single" w:sz="12" w:space="0" w:color="auto"/>
              <w:bottom w:val="nil"/>
            </w:tcBorders>
            <w:shd w:val="clear" w:color="auto" w:fill="FFFFFF"/>
            <w:vAlign w:val="bottom"/>
          </w:tcPr>
          <w:p w14:paraId="25084665" w14:textId="77777777" w:rsidR="00FE3EAF" w:rsidRPr="00FE3EAF" w:rsidRDefault="00FE3EAF" w:rsidP="00FE3EAF">
            <w:pPr>
              <w:jc w:val="right"/>
              <w:rPr>
                <w:rFonts w:eastAsia="Calibri"/>
                <w:sz w:val="20"/>
                <w:szCs w:val="20"/>
                <w:highlight w:val="yellow"/>
              </w:rPr>
            </w:pPr>
          </w:p>
        </w:tc>
        <w:tc>
          <w:tcPr>
            <w:tcW w:w="765" w:type="dxa"/>
            <w:gridSpan w:val="2"/>
            <w:tcBorders>
              <w:top w:val="nil"/>
              <w:bottom w:val="nil"/>
              <w:right w:val="double" w:sz="4" w:space="0" w:color="auto"/>
            </w:tcBorders>
            <w:shd w:val="clear" w:color="auto" w:fill="FFFFFF"/>
            <w:vAlign w:val="bottom"/>
          </w:tcPr>
          <w:p w14:paraId="49814764" w14:textId="77777777" w:rsidR="00FE3EAF" w:rsidRPr="00FE3EAF" w:rsidRDefault="00FE3EAF" w:rsidP="00FE3EAF">
            <w:pPr>
              <w:jc w:val="right"/>
              <w:rPr>
                <w:rFonts w:eastAsia="Calibri"/>
                <w:sz w:val="20"/>
                <w:szCs w:val="20"/>
                <w:highlight w:val="yellow"/>
              </w:rPr>
            </w:pPr>
          </w:p>
        </w:tc>
        <w:tc>
          <w:tcPr>
            <w:tcW w:w="810" w:type="dxa"/>
            <w:tcBorders>
              <w:top w:val="nil"/>
              <w:left w:val="double" w:sz="4" w:space="0" w:color="auto"/>
              <w:bottom w:val="nil"/>
              <w:right w:val="single" w:sz="4" w:space="0" w:color="auto"/>
            </w:tcBorders>
            <w:shd w:val="clear" w:color="auto" w:fill="FFFFFF"/>
            <w:vAlign w:val="bottom"/>
          </w:tcPr>
          <w:p w14:paraId="7F9C91BA" w14:textId="77777777" w:rsidR="00FE3EAF" w:rsidRPr="00FE3EAF" w:rsidRDefault="00FE3EAF" w:rsidP="00FE3EAF">
            <w:pPr>
              <w:jc w:val="right"/>
              <w:rPr>
                <w:rFonts w:eastAsia="Calibri"/>
                <w:sz w:val="20"/>
                <w:szCs w:val="20"/>
              </w:rPr>
            </w:pPr>
          </w:p>
        </w:tc>
        <w:tc>
          <w:tcPr>
            <w:tcW w:w="810" w:type="dxa"/>
            <w:tcBorders>
              <w:top w:val="nil"/>
              <w:left w:val="single" w:sz="4" w:space="0" w:color="auto"/>
              <w:bottom w:val="nil"/>
              <w:right w:val="double" w:sz="4" w:space="0" w:color="auto"/>
            </w:tcBorders>
            <w:shd w:val="clear" w:color="auto" w:fill="FFFFFF"/>
            <w:vAlign w:val="bottom"/>
          </w:tcPr>
          <w:p w14:paraId="348F9AEF" w14:textId="77777777" w:rsidR="00FE3EAF" w:rsidRPr="00FE3EAF" w:rsidRDefault="00FE3EAF" w:rsidP="00FE3EAF">
            <w:pPr>
              <w:jc w:val="right"/>
              <w:rPr>
                <w:rFonts w:eastAsia="Calibri"/>
                <w:sz w:val="20"/>
                <w:szCs w:val="20"/>
              </w:rPr>
            </w:pPr>
          </w:p>
        </w:tc>
      </w:tr>
      <w:tr w:rsidR="00FE3EAF" w:rsidRPr="00FE3EAF" w14:paraId="1C20DDF0" w14:textId="77777777" w:rsidTr="00810642">
        <w:tc>
          <w:tcPr>
            <w:tcW w:w="3330" w:type="dxa"/>
            <w:tcBorders>
              <w:top w:val="nil"/>
              <w:left w:val="double" w:sz="4" w:space="0" w:color="auto"/>
              <w:bottom w:val="nil"/>
              <w:right w:val="double" w:sz="4" w:space="0" w:color="auto"/>
            </w:tcBorders>
          </w:tcPr>
          <w:p w14:paraId="652E6FAB" w14:textId="77777777" w:rsidR="00FE3EAF" w:rsidRPr="00FE3EAF" w:rsidRDefault="00FE3EAF" w:rsidP="00FE3EAF">
            <w:pPr>
              <w:jc w:val="left"/>
              <w:rPr>
                <w:rFonts w:eastAsia="Calibri"/>
                <w:bCs/>
                <w:iCs/>
                <w:sz w:val="18"/>
                <w:szCs w:val="18"/>
              </w:rPr>
            </w:pPr>
            <w:r w:rsidRPr="00FE3EAF">
              <w:rPr>
                <w:rFonts w:eastAsia="Calibri"/>
                <w:bCs/>
                <w:iCs/>
                <w:sz w:val="18"/>
                <w:szCs w:val="18"/>
              </w:rPr>
              <w:t xml:space="preserve"> TC Segment (“Movers”)</w:t>
            </w:r>
          </w:p>
        </w:tc>
        <w:tc>
          <w:tcPr>
            <w:tcW w:w="765" w:type="dxa"/>
            <w:tcBorders>
              <w:top w:val="nil"/>
              <w:left w:val="double" w:sz="4" w:space="0" w:color="auto"/>
              <w:bottom w:val="nil"/>
            </w:tcBorders>
            <w:vAlign w:val="bottom"/>
          </w:tcPr>
          <w:p w14:paraId="417EE1CA" w14:textId="77777777" w:rsidR="00FE3EAF" w:rsidRPr="00FE3EAF" w:rsidRDefault="00FE3EAF" w:rsidP="00FE3EAF">
            <w:pPr>
              <w:jc w:val="right"/>
              <w:rPr>
                <w:rFonts w:eastAsia="Calibri"/>
                <w:sz w:val="20"/>
                <w:szCs w:val="20"/>
                <w:highlight w:val="yellow"/>
              </w:rPr>
            </w:pPr>
            <w:r w:rsidRPr="00FE3EAF">
              <w:rPr>
                <w:rFonts w:eastAsia="Calibri"/>
                <w:sz w:val="20"/>
                <w:szCs w:val="20"/>
              </w:rPr>
              <w:t>-0.137</w:t>
            </w:r>
          </w:p>
        </w:tc>
        <w:tc>
          <w:tcPr>
            <w:tcW w:w="765" w:type="dxa"/>
            <w:tcBorders>
              <w:top w:val="nil"/>
              <w:bottom w:val="nil"/>
              <w:right w:val="single" w:sz="12" w:space="0" w:color="auto"/>
            </w:tcBorders>
            <w:vAlign w:val="bottom"/>
          </w:tcPr>
          <w:p w14:paraId="3BA8E716" w14:textId="77777777" w:rsidR="00FE3EAF" w:rsidRPr="00FE3EAF" w:rsidRDefault="00FE3EAF" w:rsidP="00FE3EAF">
            <w:pPr>
              <w:jc w:val="right"/>
              <w:rPr>
                <w:rFonts w:eastAsia="Calibri"/>
                <w:sz w:val="20"/>
                <w:szCs w:val="20"/>
                <w:highlight w:val="yellow"/>
              </w:rPr>
            </w:pPr>
            <w:r w:rsidRPr="00FE3EAF">
              <w:rPr>
                <w:rFonts w:eastAsia="Calibri"/>
                <w:sz w:val="20"/>
                <w:szCs w:val="20"/>
              </w:rPr>
              <w:t>-0.33</w:t>
            </w:r>
          </w:p>
        </w:tc>
        <w:tc>
          <w:tcPr>
            <w:tcW w:w="765" w:type="dxa"/>
            <w:gridSpan w:val="2"/>
            <w:tcBorders>
              <w:top w:val="nil"/>
              <w:left w:val="single" w:sz="12" w:space="0" w:color="auto"/>
              <w:bottom w:val="nil"/>
              <w:right w:val="single" w:sz="4" w:space="0" w:color="auto"/>
            </w:tcBorders>
            <w:shd w:val="clear" w:color="auto" w:fill="FFFFFF"/>
            <w:vAlign w:val="bottom"/>
          </w:tcPr>
          <w:p w14:paraId="59B615A0" w14:textId="77777777" w:rsidR="00FE3EAF" w:rsidRPr="00FE3EAF" w:rsidRDefault="00FE3EAF" w:rsidP="00FE3EAF">
            <w:pPr>
              <w:jc w:val="right"/>
              <w:rPr>
                <w:rFonts w:eastAsia="Calibri"/>
                <w:sz w:val="20"/>
                <w:szCs w:val="20"/>
                <w:highlight w:val="yellow"/>
              </w:rPr>
            </w:pPr>
            <w:r w:rsidRPr="00FE3EAF">
              <w:rPr>
                <w:rFonts w:eastAsia="Calibri"/>
                <w:sz w:val="20"/>
                <w:szCs w:val="20"/>
              </w:rPr>
              <w:t>0.394</w:t>
            </w:r>
          </w:p>
        </w:tc>
        <w:tc>
          <w:tcPr>
            <w:tcW w:w="765" w:type="dxa"/>
            <w:tcBorders>
              <w:top w:val="nil"/>
              <w:left w:val="single" w:sz="4" w:space="0" w:color="auto"/>
              <w:bottom w:val="nil"/>
              <w:right w:val="single" w:sz="12" w:space="0" w:color="auto"/>
            </w:tcBorders>
            <w:shd w:val="clear" w:color="auto" w:fill="FFFFFF"/>
            <w:vAlign w:val="bottom"/>
          </w:tcPr>
          <w:p w14:paraId="396884C6" w14:textId="77777777" w:rsidR="00FE3EAF" w:rsidRPr="00FE3EAF" w:rsidRDefault="00FE3EAF" w:rsidP="00FE3EAF">
            <w:pPr>
              <w:jc w:val="right"/>
              <w:rPr>
                <w:rFonts w:eastAsia="Calibri"/>
                <w:sz w:val="20"/>
                <w:szCs w:val="20"/>
                <w:highlight w:val="yellow"/>
              </w:rPr>
            </w:pPr>
            <w:r w:rsidRPr="00FE3EAF">
              <w:rPr>
                <w:rFonts w:eastAsia="Calibri"/>
                <w:sz w:val="20"/>
                <w:szCs w:val="20"/>
              </w:rPr>
              <w:t>0.68</w:t>
            </w:r>
          </w:p>
        </w:tc>
        <w:tc>
          <w:tcPr>
            <w:tcW w:w="765" w:type="dxa"/>
            <w:tcBorders>
              <w:top w:val="nil"/>
              <w:left w:val="single" w:sz="12" w:space="0" w:color="auto"/>
              <w:bottom w:val="nil"/>
            </w:tcBorders>
            <w:shd w:val="clear" w:color="auto" w:fill="FFFFFF"/>
            <w:vAlign w:val="bottom"/>
          </w:tcPr>
          <w:p w14:paraId="79BA7E1D" w14:textId="77777777" w:rsidR="00FE3EAF" w:rsidRPr="00FE3EAF" w:rsidRDefault="00FE3EAF" w:rsidP="00FE3EAF">
            <w:pPr>
              <w:jc w:val="right"/>
              <w:rPr>
                <w:rFonts w:eastAsia="Calibri"/>
                <w:sz w:val="20"/>
                <w:szCs w:val="20"/>
                <w:highlight w:val="yellow"/>
              </w:rPr>
            </w:pPr>
            <w:r w:rsidRPr="00FE3EAF">
              <w:rPr>
                <w:rFonts w:eastAsia="Calibri"/>
                <w:sz w:val="20"/>
                <w:szCs w:val="20"/>
              </w:rPr>
              <w:t>-0.511</w:t>
            </w:r>
          </w:p>
        </w:tc>
        <w:tc>
          <w:tcPr>
            <w:tcW w:w="765" w:type="dxa"/>
            <w:gridSpan w:val="2"/>
            <w:tcBorders>
              <w:top w:val="nil"/>
              <w:bottom w:val="nil"/>
              <w:right w:val="double" w:sz="4" w:space="0" w:color="auto"/>
            </w:tcBorders>
            <w:shd w:val="clear" w:color="auto" w:fill="FFFFFF"/>
            <w:vAlign w:val="bottom"/>
          </w:tcPr>
          <w:p w14:paraId="028504BE" w14:textId="77777777" w:rsidR="00FE3EAF" w:rsidRPr="00FE3EAF" w:rsidRDefault="00FE3EAF" w:rsidP="00FE3EAF">
            <w:pPr>
              <w:jc w:val="right"/>
              <w:rPr>
                <w:rFonts w:eastAsia="Calibri"/>
                <w:sz w:val="20"/>
                <w:szCs w:val="20"/>
                <w:highlight w:val="yellow"/>
              </w:rPr>
            </w:pPr>
            <w:r w:rsidRPr="00FE3EAF">
              <w:rPr>
                <w:rFonts w:eastAsia="Calibri"/>
                <w:sz w:val="20"/>
                <w:szCs w:val="20"/>
              </w:rPr>
              <w:t>-0.76</w:t>
            </w:r>
          </w:p>
        </w:tc>
        <w:tc>
          <w:tcPr>
            <w:tcW w:w="810" w:type="dxa"/>
            <w:tcBorders>
              <w:top w:val="nil"/>
              <w:left w:val="double" w:sz="4" w:space="0" w:color="auto"/>
              <w:bottom w:val="nil"/>
              <w:right w:val="single" w:sz="4" w:space="0" w:color="auto"/>
            </w:tcBorders>
            <w:shd w:val="clear" w:color="auto" w:fill="FFFFFF"/>
            <w:vAlign w:val="bottom"/>
          </w:tcPr>
          <w:p w14:paraId="44139735" w14:textId="77777777" w:rsidR="00FE3EAF" w:rsidRPr="00FE3EAF" w:rsidRDefault="00FE3EAF" w:rsidP="00FE3EAF">
            <w:pPr>
              <w:jc w:val="right"/>
              <w:rPr>
                <w:rFonts w:eastAsia="Calibri"/>
                <w:sz w:val="20"/>
                <w:szCs w:val="20"/>
              </w:rPr>
            </w:pPr>
            <w:r w:rsidRPr="00FE3EAF">
              <w:rPr>
                <w:rFonts w:eastAsia="Calibri"/>
                <w:sz w:val="20"/>
                <w:szCs w:val="20"/>
              </w:rPr>
              <w:t>NA</w:t>
            </w:r>
          </w:p>
        </w:tc>
        <w:tc>
          <w:tcPr>
            <w:tcW w:w="810" w:type="dxa"/>
            <w:tcBorders>
              <w:top w:val="nil"/>
              <w:left w:val="single" w:sz="4" w:space="0" w:color="auto"/>
              <w:bottom w:val="nil"/>
              <w:right w:val="double" w:sz="4" w:space="0" w:color="auto"/>
            </w:tcBorders>
            <w:shd w:val="clear" w:color="auto" w:fill="FFFFFF"/>
            <w:vAlign w:val="bottom"/>
          </w:tcPr>
          <w:p w14:paraId="3E9CB036" w14:textId="77777777" w:rsidR="00FE3EAF" w:rsidRPr="00FE3EAF" w:rsidRDefault="00FE3EAF" w:rsidP="00FE3EAF">
            <w:pPr>
              <w:jc w:val="right"/>
              <w:rPr>
                <w:rFonts w:eastAsia="Calibri"/>
                <w:sz w:val="20"/>
                <w:szCs w:val="20"/>
              </w:rPr>
            </w:pPr>
          </w:p>
        </w:tc>
      </w:tr>
      <w:tr w:rsidR="00FE3EAF" w:rsidRPr="00FE3EAF" w14:paraId="6541473A" w14:textId="77777777" w:rsidTr="00810642">
        <w:tc>
          <w:tcPr>
            <w:tcW w:w="3330" w:type="dxa"/>
            <w:tcBorders>
              <w:top w:val="nil"/>
              <w:left w:val="double" w:sz="4" w:space="0" w:color="auto"/>
              <w:bottom w:val="double" w:sz="4" w:space="0" w:color="auto"/>
              <w:right w:val="double" w:sz="4" w:space="0" w:color="auto"/>
            </w:tcBorders>
          </w:tcPr>
          <w:p w14:paraId="33EEFD41" w14:textId="77777777" w:rsidR="00FE3EAF" w:rsidRPr="00FE3EAF" w:rsidRDefault="00FE3EAF" w:rsidP="00FE3EAF">
            <w:pPr>
              <w:jc w:val="left"/>
              <w:rPr>
                <w:rFonts w:eastAsia="Calibri"/>
                <w:bCs/>
                <w:iCs/>
                <w:sz w:val="18"/>
                <w:szCs w:val="18"/>
              </w:rPr>
            </w:pPr>
            <w:r w:rsidRPr="00FE3EAF">
              <w:rPr>
                <w:rFonts w:eastAsia="Calibri"/>
                <w:bCs/>
                <w:iCs/>
                <w:sz w:val="18"/>
                <w:szCs w:val="18"/>
              </w:rPr>
              <w:t xml:space="preserve"> CT Segment (“Stayers”)</w:t>
            </w:r>
          </w:p>
        </w:tc>
        <w:tc>
          <w:tcPr>
            <w:tcW w:w="765" w:type="dxa"/>
            <w:tcBorders>
              <w:top w:val="nil"/>
              <w:left w:val="double" w:sz="4" w:space="0" w:color="auto"/>
              <w:bottom w:val="double" w:sz="4" w:space="0" w:color="auto"/>
            </w:tcBorders>
            <w:vAlign w:val="bottom"/>
          </w:tcPr>
          <w:p w14:paraId="727681E0" w14:textId="77777777" w:rsidR="00FE3EAF" w:rsidRPr="00FE3EAF" w:rsidRDefault="00FE3EAF" w:rsidP="00FE3EAF">
            <w:pPr>
              <w:jc w:val="right"/>
              <w:rPr>
                <w:rFonts w:eastAsia="Calibri"/>
                <w:sz w:val="20"/>
                <w:szCs w:val="20"/>
                <w:highlight w:val="yellow"/>
              </w:rPr>
            </w:pPr>
            <w:r w:rsidRPr="00FE3EAF">
              <w:rPr>
                <w:rFonts w:eastAsia="Calibri"/>
                <w:sz w:val="20"/>
                <w:szCs w:val="20"/>
              </w:rPr>
              <w:t>-0.268</w:t>
            </w:r>
          </w:p>
        </w:tc>
        <w:tc>
          <w:tcPr>
            <w:tcW w:w="765" w:type="dxa"/>
            <w:tcBorders>
              <w:top w:val="nil"/>
              <w:bottom w:val="double" w:sz="4" w:space="0" w:color="auto"/>
              <w:right w:val="single" w:sz="12" w:space="0" w:color="auto"/>
            </w:tcBorders>
            <w:vAlign w:val="bottom"/>
          </w:tcPr>
          <w:p w14:paraId="4761515B" w14:textId="77777777" w:rsidR="00FE3EAF" w:rsidRPr="00FE3EAF" w:rsidRDefault="00FE3EAF" w:rsidP="00FE3EAF">
            <w:pPr>
              <w:jc w:val="right"/>
              <w:rPr>
                <w:rFonts w:eastAsia="Calibri"/>
                <w:sz w:val="20"/>
                <w:szCs w:val="20"/>
                <w:highlight w:val="yellow"/>
              </w:rPr>
            </w:pPr>
            <w:r w:rsidRPr="00FE3EAF">
              <w:rPr>
                <w:rFonts w:eastAsia="Calibri"/>
                <w:sz w:val="20"/>
                <w:szCs w:val="20"/>
              </w:rPr>
              <w:t>-0.83</w:t>
            </w:r>
          </w:p>
        </w:tc>
        <w:tc>
          <w:tcPr>
            <w:tcW w:w="765" w:type="dxa"/>
            <w:gridSpan w:val="2"/>
            <w:tcBorders>
              <w:top w:val="nil"/>
              <w:left w:val="single" w:sz="12" w:space="0" w:color="auto"/>
              <w:bottom w:val="double" w:sz="4" w:space="0" w:color="auto"/>
              <w:right w:val="single" w:sz="4" w:space="0" w:color="auto"/>
            </w:tcBorders>
            <w:shd w:val="clear" w:color="auto" w:fill="FFFFFF"/>
            <w:vAlign w:val="bottom"/>
          </w:tcPr>
          <w:p w14:paraId="7B7AE7F2" w14:textId="77777777" w:rsidR="00FE3EAF" w:rsidRPr="00FE3EAF" w:rsidRDefault="00FE3EAF" w:rsidP="00FE3EAF">
            <w:pPr>
              <w:jc w:val="right"/>
              <w:rPr>
                <w:rFonts w:eastAsia="Calibri"/>
                <w:sz w:val="20"/>
                <w:szCs w:val="20"/>
                <w:highlight w:val="yellow"/>
              </w:rPr>
            </w:pPr>
            <w:r w:rsidRPr="00FE3EAF">
              <w:rPr>
                <w:rFonts w:eastAsia="Calibri"/>
                <w:sz w:val="20"/>
                <w:szCs w:val="20"/>
              </w:rPr>
              <w:t>-0.232</w:t>
            </w:r>
          </w:p>
        </w:tc>
        <w:tc>
          <w:tcPr>
            <w:tcW w:w="765" w:type="dxa"/>
            <w:tcBorders>
              <w:top w:val="nil"/>
              <w:left w:val="single" w:sz="4" w:space="0" w:color="auto"/>
              <w:bottom w:val="double" w:sz="4" w:space="0" w:color="auto"/>
              <w:right w:val="single" w:sz="12" w:space="0" w:color="auto"/>
            </w:tcBorders>
            <w:shd w:val="clear" w:color="auto" w:fill="FFFFFF"/>
            <w:vAlign w:val="bottom"/>
          </w:tcPr>
          <w:p w14:paraId="35213197" w14:textId="77777777" w:rsidR="00FE3EAF" w:rsidRPr="00FE3EAF" w:rsidRDefault="00FE3EAF" w:rsidP="00FE3EAF">
            <w:pPr>
              <w:jc w:val="right"/>
              <w:rPr>
                <w:rFonts w:eastAsia="Calibri"/>
                <w:sz w:val="20"/>
                <w:szCs w:val="20"/>
                <w:highlight w:val="yellow"/>
              </w:rPr>
            </w:pPr>
            <w:r w:rsidRPr="00FE3EAF">
              <w:rPr>
                <w:rFonts w:eastAsia="Calibri"/>
                <w:sz w:val="20"/>
                <w:szCs w:val="20"/>
              </w:rPr>
              <w:t>-0.83</w:t>
            </w:r>
          </w:p>
        </w:tc>
        <w:tc>
          <w:tcPr>
            <w:tcW w:w="765" w:type="dxa"/>
            <w:tcBorders>
              <w:top w:val="nil"/>
              <w:left w:val="single" w:sz="12" w:space="0" w:color="auto"/>
              <w:bottom w:val="double" w:sz="4" w:space="0" w:color="auto"/>
            </w:tcBorders>
            <w:shd w:val="clear" w:color="auto" w:fill="FFFFFF"/>
            <w:vAlign w:val="bottom"/>
          </w:tcPr>
          <w:p w14:paraId="55783F4D" w14:textId="77777777" w:rsidR="00FE3EAF" w:rsidRPr="00FE3EAF" w:rsidRDefault="00FE3EAF" w:rsidP="00FE3EAF">
            <w:pPr>
              <w:jc w:val="right"/>
              <w:rPr>
                <w:rFonts w:eastAsia="Calibri"/>
                <w:sz w:val="20"/>
                <w:szCs w:val="20"/>
                <w:highlight w:val="yellow"/>
              </w:rPr>
            </w:pPr>
            <w:r w:rsidRPr="00FE3EAF">
              <w:rPr>
                <w:rFonts w:eastAsia="Calibri"/>
                <w:sz w:val="20"/>
                <w:szCs w:val="20"/>
              </w:rPr>
              <w:t>-0.852</w:t>
            </w:r>
          </w:p>
        </w:tc>
        <w:tc>
          <w:tcPr>
            <w:tcW w:w="765" w:type="dxa"/>
            <w:gridSpan w:val="2"/>
            <w:tcBorders>
              <w:top w:val="nil"/>
              <w:bottom w:val="double" w:sz="4" w:space="0" w:color="auto"/>
              <w:right w:val="double" w:sz="4" w:space="0" w:color="auto"/>
            </w:tcBorders>
            <w:shd w:val="clear" w:color="auto" w:fill="FFFFFF"/>
            <w:vAlign w:val="bottom"/>
          </w:tcPr>
          <w:p w14:paraId="012157D3" w14:textId="77777777" w:rsidR="00FE3EAF" w:rsidRPr="00FE3EAF" w:rsidRDefault="00FE3EAF" w:rsidP="00FE3EAF">
            <w:pPr>
              <w:jc w:val="right"/>
              <w:rPr>
                <w:rFonts w:eastAsia="Calibri"/>
                <w:sz w:val="20"/>
                <w:szCs w:val="20"/>
                <w:highlight w:val="yellow"/>
              </w:rPr>
            </w:pPr>
            <w:r w:rsidRPr="00FE3EAF">
              <w:rPr>
                <w:rFonts w:eastAsia="Calibri"/>
                <w:sz w:val="20"/>
                <w:szCs w:val="20"/>
              </w:rPr>
              <w:t>-1.44</w:t>
            </w:r>
          </w:p>
        </w:tc>
        <w:tc>
          <w:tcPr>
            <w:tcW w:w="810" w:type="dxa"/>
            <w:tcBorders>
              <w:top w:val="nil"/>
              <w:left w:val="double" w:sz="4" w:space="0" w:color="auto"/>
              <w:bottom w:val="double" w:sz="4" w:space="0" w:color="auto"/>
              <w:right w:val="single" w:sz="4" w:space="0" w:color="auto"/>
            </w:tcBorders>
            <w:shd w:val="clear" w:color="auto" w:fill="FFFFFF"/>
            <w:vAlign w:val="bottom"/>
          </w:tcPr>
          <w:p w14:paraId="7732EDE0" w14:textId="77777777" w:rsidR="00FE3EAF" w:rsidRPr="00FE3EAF" w:rsidRDefault="00FE3EAF" w:rsidP="00FE3EAF">
            <w:pPr>
              <w:jc w:val="right"/>
              <w:rPr>
                <w:rFonts w:eastAsia="Calibri"/>
                <w:sz w:val="20"/>
                <w:szCs w:val="20"/>
              </w:rPr>
            </w:pPr>
            <w:r w:rsidRPr="00FE3EAF">
              <w:rPr>
                <w:rFonts w:eastAsia="Calibri"/>
                <w:sz w:val="20"/>
                <w:szCs w:val="20"/>
              </w:rPr>
              <w:t>NA</w:t>
            </w:r>
          </w:p>
        </w:tc>
        <w:tc>
          <w:tcPr>
            <w:tcW w:w="810" w:type="dxa"/>
            <w:tcBorders>
              <w:top w:val="nil"/>
              <w:left w:val="single" w:sz="4" w:space="0" w:color="auto"/>
              <w:bottom w:val="double" w:sz="4" w:space="0" w:color="auto"/>
              <w:right w:val="double" w:sz="4" w:space="0" w:color="auto"/>
            </w:tcBorders>
            <w:shd w:val="clear" w:color="auto" w:fill="FFFFFF"/>
            <w:vAlign w:val="bottom"/>
          </w:tcPr>
          <w:p w14:paraId="77DC9B5D" w14:textId="77777777" w:rsidR="00FE3EAF" w:rsidRPr="00FE3EAF" w:rsidRDefault="00FE3EAF" w:rsidP="00FE3EAF">
            <w:pPr>
              <w:jc w:val="right"/>
              <w:rPr>
                <w:rFonts w:eastAsia="Calibri"/>
                <w:sz w:val="20"/>
                <w:szCs w:val="20"/>
              </w:rPr>
            </w:pPr>
          </w:p>
        </w:tc>
      </w:tr>
      <w:tr w:rsidR="00FE3EAF" w:rsidRPr="00FE3EAF" w14:paraId="53972A5C" w14:textId="77777777" w:rsidTr="00810642">
        <w:tc>
          <w:tcPr>
            <w:tcW w:w="9544" w:type="dxa"/>
            <w:gridSpan w:val="11"/>
            <w:tcBorders>
              <w:top w:val="double" w:sz="4" w:space="0" w:color="auto"/>
              <w:left w:val="double" w:sz="4" w:space="0" w:color="auto"/>
              <w:bottom w:val="single" w:sz="4" w:space="0" w:color="auto"/>
              <w:right w:val="double" w:sz="4" w:space="0" w:color="auto"/>
            </w:tcBorders>
            <w:vAlign w:val="center"/>
          </w:tcPr>
          <w:p w14:paraId="1456736F" w14:textId="77777777" w:rsidR="00FE3EAF" w:rsidRPr="00FE3EAF" w:rsidRDefault="00FE3EAF" w:rsidP="00FE3EAF">
            <w:pPr>
              <w:jc w:val="center"/>
              <w:rPr>
                <w:rFonts w:eastAsia="Calibri"/>
                <w:color w:val="000000"/>
                <w:sz w:val="20"/>
                <w:szCs w:val="20"/>
              </w:rPr>
            </w:pPr>
            <w:r w:rsidRPr="00FE3EAF">
              <w:rPr>
                <w:rFonts w:eastAsia="Times New Roman"/>
                <w:b/>
                <w:color w:val="000000"/>
                <w:sz w:val="20"/>
                <w:szCs w:val="20"/>
              </w:rPr>
              <w:lastRenderedPageBreak/>
              <w:t>TC Segment (“The Movers”)</w:t>
            </w:r>
          </w:p>
        </w:tc>
      </w:tr>
      <w:tr w:rsidR="00FE3EAF" w:rsidRPr="00FE3EAF" w14:paraId="636EAE1C" w14:textId="77777777" w:rsidTr="00810642">
        <w:tc>
          <w:tcPr>
            <w:tcW w:w="3330" w:type="dxa"/>
            <w:tcBorders>
              <w:top w:val="single" w:sz="4" w:space="0" w:color="auto"/>
              <w:left w:val="double" w:sz="4" w:space="0" w:color="auto"/>
              <w:bottom w:val="single" w:sz="4" w:space="0" w:color="auto"/>
              <w:right w:val="double" w:sz="4" w:space="0" w:color="auto"/>
            </w:tcBorders>
          </w:tcPr>
          <w:p w14:paraId="6940FEBC" w14:textId="77777777" w:rsidR="00FE3EAF" w:rsidRPr="00FE3EAF" w:rsidRDefault="00FE3EAF" w:rsidP="00FE3EAF">
            <w:pPr>
              <w:jc w:val="left"/>
              <w:rPr>
                <w:rFonts w:eastAsia="Calibri"/>
                <w:bCs/>
                <w:iCs/>
                <w:sz w:val="20"/>
                <w:szCs w:val="20"/>
              </w:rPr>
            </w:pPr>
          </w:p>
        </w:tc>
        <w:tc>
          <w:tcPr>
            <w:tcW w:w="2070" w:type="dxa"/>
            <w:gridSpan w:val="3"/>
            <w:tcBorders>
              <w:top w:val="single" w:sz="4" w:space="0" w:color="auto"/>
              <w:left w:val="double" w:sz="4" w:space="0" w:color="auto"/>
              <w:bottom w:val="single" w:sz="4" w:space="0" w:color="auto"/>
              <w:right w:val="single" w:sz="4" w:space="0" w:color="auto"/>
            </w:tcBorders>
            <w:vAlign w:val="bottom"/>
          </w:tcPr>
          <w:p w14:paraId="7D79610A" w14:textId="77777777" w:rsidR="00FE3EAF" w:rsidRPr="00FE3EAF" w:rsidRDefault="00FE3EAF" w:rsidP="00FE3EAF">
            <w:pPr>
              <w:jc w:val="center"/>
              <w:rPr>
                <w:rFonts w:eastAsia="Calibri"/>
                <w:color w:val="000000"/>
                <w:sz w:val="20"/>
                <w:szCs w:val="20"/>
              </w:rPr>
            </w:pPr>
            <w:r w:rsidRPr="00FE3EAF">
              <w:rPr>
                <w:rFonts w:eastAsia="Times New Roman"/>
                <w:color w:val="000000"/>
                <w:sz w:val="20"/>
                <w:szCs w:val="20"/>
              </w:rPr>
              <w:t>Work from the Work Office#</w:t>
            </w:r>
          </w:p>
        </w:tc>
        <w:tc>
          <w:tcPr>
            <w:tcW w:w="2070" w:type="dxa"/>
            <w:gridSpan w:val="4"/>
            <w:tcBorders>
              <w:top w:val="single" w:sz="4" w:space="0" w:color="auto"/>
              <w:left w:val="single" w:sz="4" w:space="0" w:color="auto"/>
              <w:bottom w:val="single" w:sz="4" w:space="0" w:color="auto"/>
              <w:right w:val="single" w:sz="4" w:space="0" w:color="auto"/>
            </w:tcBorders>
            <w:vAlign w:val="bottom"/>
          </w:tcPr>
          <w:p w14:paraId="348CA84E" w14:textId="77777777" w:rsidR="00FE3EAF" w:rsidRPr="00FE3EAF" w:rsidRDefault="00FE3EAF" w:rsidP="00FE3EAF">
            <w:pPr>
              <w:jc w:val="center"/>
              <w:rPr>
                <w:rFonts w:eastAsia="Calibri"/>
                <w:color w:val="000000"/>
                <w:sz w:val="20"/>
                <w:szCs w:val="20"/>
              </w:rPr>
            </w:pPr>
            <w:r w:rsidRPr="00FE3EAF">
              <w:rPr>
                <w:rFonts w:eastAsia="Times New Roman"/>
                <w:color w:val="000000"/>
                <w:sz w:val="20"/>
                <w:szCs w:val="20"/>
              </w:rPr>
              <w:t>Work from a Third WPL#</w:t>
            </w:r>
          </w:p>
        </w:tc>
        <w:tc>
          <w:tcPr>
            <w:tcW w:w="2070" w:type="dxa"/>
            <w:gridSpan w:val="3"/>
            <w:tcBorders>
              <w:top w:val="single" w:sz="4" w:space="0" w:color="auto"/>
              <w:left w:val="single" w:sz="4" w:space="0" w:color="auto"/>
              <w:bottom w:val="single" w:sz="4" w:space="0" w:color="auto"/>
              <w:right w:val="double" w:sz="4" w:space="0" w:color="auto"/>
            </w:tcBorders>
            <w:vAlign w:val="bottom"/>
          </w:tcPr>
          <w:p w14:paraId="132192ED" w14:textId="77777777" w:rsidR="00FE3EAF" w:rsidRPr="00FE3EAF" w:rsidRDefault="00FE3EAF" w:rsidP="00FE3EAF">
            <w:pPr>
              <w:jc w:val="center"/>
              <w:rPr>
                <w:rFonts w:eastAsia="Times New Roman"/>
                <w:color w:val="000000"/>
                <w:sz w:val="20"/>
                <w:szCs w:val="20"/>
              </w:rPr>
            </w:pPr>
            <w:r w:rsidRPr="00FE3EAF">
              <w:rPr>
                <w:rFonts w:eastAsia="Times New Roman"/>
                <w:color w:val="000000"/>
                <w:sz w:val="20"/>
                <w:szCs w:val="20"/>
              </w:rPr>
              <w:t xml:space="preserve">(ln)Commute </w:t>
            </w:r>
          </w:p>
          <w:p w14:paraId="0A0E58BB" w14:textId="77777777" w:rsidR="00FE3EAF" w:rsidRPr="00FE3EAF" w:rsidRDefault="00FE3EAF" w:rsidP="00FE3EAF">
            <w:pPr>
              <w:jc w:val="center"/>
              <w:rPr>
                <w:rFonts w:eastAsia="Calibri"/>
                <w:color w:val="000000"/>
                <w:sz w:val="20"/>
                <w:szCs w:val="20"/>
              </w:rPr>
            </w:pPr>
            <w:r w:rsidRPr="00FE3EAF">
              <w:rPr>
                <w:rFonts w:eastAsia="Times New Roman"/>
                <w:color w:val="000000"/>
                <w:sz w:val="20"/>
                <w:szCs w:val="20"/>
              </w:rPr>
              <w:t>Distance</w:t>
            </w:r>
          </w:p>
        </w:tc>
      </w:tr>
      <w:tr w:rsidR="00FE3EAF" w:rsidRPr="00FE3EAF" w14:paraId="01E9CF55" w14:textId="77777777" w:rsidTr="00810642">
        <w:tc>
          <w:tcPr>
            <w:tcW w:w="3330" w:type="dxa"/>
            <w:tcBorders>
              <w:top w:val="single" w:sz="4" w:space="0" w:color="auto"/>
              <w:left w:val="double" w:sz="4" w:space="0" w:color="auto"/>
              <w:bottom w:val="single" w:sz="4" w:space="0" w:color="auto"/>
              <w:right w:val="double" w:sz="4" w:space="0" w:color="auto"/>
            </w:tcBorders>
            <w:vAlign w:val="bottom"/>
          </w:tcPr>
          <w:p w14:paraId="281A6082" w14:textId="77777777" w:rsidR="00FE3EAF" w:rsidRPr="00FE3EAF" w:rsidRDefault="00FE3EAF" w:rsidP="00FE3EAF">
            <w:pPr>
              <w:jc w:val="left"/>
              <w:rPr>
                <w:rFonts w:eastAsia="Calibri"/>
                <w:bCs/>
                <w:iCs/>
                <w:sz w:val="20"/>
                <w:szCs w:val="20"/>
              </w:rPr>
            </w:pPr>
            <w:r w:rsidRPr="00FE3EAF">
              <w:rPr>
                <w:rFonts w:eastAsia="Times New Roman"/>
                <w:color w:val="000000"/>
                <w:sz w:val="20"/>
                <w:szCs w:val="20"/>
              </w:rPr>
              <w:t>Work from the Work Office#</w:t>
            </w:r>
          </w:p>
        </w:tc>
        <w:tc>
          <w:tcPr>
            <w:tcW w:w="2070" w:type="dxa"/>
            <w:gridSpan w:val="3"/>
            <w:tcBorders>
              <w:top w:val="single" w:sz="4" w:space="0" w:color="auto"/>
              <w:left w:val="double" w:sz="4" w:space="0" w:color="auto"/>
              <w:bottom w:val="single" w:sz="4" w:space="0" w:color="auto"/>
              <w:right w:val="single" w:sz="4" w:space="0" w:color="auto"/>
            </w:tcBorders>
            <w:vAlign w:val="bottom"/>
          </w:tcPr>
          <w:p w14:paraId="16F52A21" w14:textId="77777777" w:rsidR="00FE3EAF" w:rsidRPr="00FE3EAF" w:rsidRDefault="00FE3EAF" w:rsidP="00FE3EAF">
            <w:pPr>
              <w:jc w:val="right"/>
              <w:rPr>
                <w:rFonts w:eastAsia="Calibri"/>
                <w:color w:val="000000"/>
                <w:sz w:val="20"/>
                <w:szCs w:val="20"/>
              </w:rPr>
            </w:pPr>
            <w:r w:rsidRPr="00FE3EAF">
              <w:rPr>
                <w:rFonts w:eastAsia="Times New Roman"/>
                <w:color w:val="000000"/>
                <w:sz w:val="20"/>
                <w:szCs w:val="20"/>
              </w:rPr>
              <w:t>1.000</w:t>
            </w:r>
            <w:r w:rsidRPr="00FE3EAF">
              <w:rPr>
                <w:rFonts w:eastAsia="Times New Roman"/>
                <w:color w:val="000000"/>
                <w:sz w:val="20"/>
                <w:szCs w:val="20"/>
                <w:vertAlign w:val="superscript"/>
              </w:rPr>
              <w:t>&amp;</w:t>
            </w:r>
          </w:p>
        </w:tc>
        <w:tc>
          <w:tcPr>
            <w:tcW w:w="2070" w:type="dxa"/>
            <w:gridSpan w:val="4"/>
            <w:tcBorders>
              <w:top w:val="single" w:sz="4" w:space="0" w:color="auto"/>
              <w:left w:val="single" w:sz="4" w:space="0" w:color="auto"/>
              <w:bottom w:val="single" w:sz="4" w:space="0" w:color="auto"/>
              <w:right w:val="single" w:sz="4" w:space="0" w:color="auto"/>
            </w:tcBorders>
            <w:vAlign w:val="bottom"/>
          </w:tcPr>
          <w:p w14:paraId="565DF1BA" w14:textId="77777777" w:rsidR="00FE3EAF" w:rsidRPr="00FE3EAF" w:rsidRDefault="00FE3EAF" w:rsidP="00FE3EAF">
            <w:pPr>
              <w:jc w:val="right"/>
              <w:rPr>
                <w:rFonts w:eastAsia="Calibri"/>
                <w:color w:val="000000"/>
                <w:sz w:val="20"/>
                <w:szCs w:val="20"/>
              </w:rPr>
            </w:pPr>
            <w:r w:rsidRPr="00FE3EAF">
              <w:rPr>
                <w:rFonts w:eastAsia="Times New Roman"/>
                <w:color w:val="000000"/>
                <w:sz w:val="20"/>
                <w:szCs w:val="20"/>
              </w:rPr>
              <w:t>0.526*</w:t>
            </w:r>
          </w:p>
        </w:tc>
        <w:tc>
          <w:tcPr>
            <w:tcW w:w="2070" w:type="dxa"/>
            <w:gridSpan w:val="3"/>
            <w:tcBorders>
              <w:top w:val="single" w:sz="4" w:space="0" w:color="auto"/>
              <w:left w:val="single" w:sz="4" w:space="0" w:color="auto"/>
              <w:bottom w:val="single" w:sz="4" w:space="0" w:color="auto"/>
              <w:right w:val="double" w:sz="4" w:space="0" w:color="auto"/>
            </w:tcBorders>
            <w:vAlign w:val="bottom"/>
          </w:tcPr>
          <w:p w14:paraId="6D0F602F" w14:textId="77777777" w:rsidR="00FE3EAF" w:rsidRPr="00FE3EAF" w:rsidRDefault="00FE3EAF" w:rsidP="00FE3EAF">
            <w:pPr>
              <w:jc w:val="right"/>
              <w:rPr>
                <w:rFonts w:eastAsia="Calibri"/>
                <w:color w:val="000000"/>
                <w:sz w:val="20"/>
                <w:szCs w:val="20"/>
              </w:rPr>
            </w:pPr>
            <w:r w:rsidRPr="00FE3EAF">
              <w:rPr>
                <w:rFonts w:eastAsia="Times New Roman"/>
                <w:color w:val="000000"/>
                <w:sz w:val="20"/>
                <w:szCs w:val="20"/>
              </w:rPr>
              <w:t xml:space="preserve">             0.011</w:t>
            </w:r>
            <w:r w:rsidRPr="00FE3EAF">
              <w:rPr>
                <w:rFonts w:eastAsia="Times New Roman"/>
                <w:color w:val="FFFFFF"/>
                <w:sz w:val="20"/>
                <w:szCs w:val="20"/>
              </w:rPr>
              <w:t>*</w:t>
            </w:r>
          </w:p>
        </w:tc>
      </w:tr>
      <w:tr w:rsidR="00FE3EAF" w:rsidRPr="00FE3EAF" w14:paraId="24C3284A" w14:textId="77777777" w:rsidTr="00810642">
        <w:tc>
          <w:tcPr>
            <w:tcW w:w="3330" w:type="dxa"/>
            <w:tcBorders>
              <w:top w:val="single" w:sz="4" w:space="0" w:color="auto"/>
              <w:left w:val="double" w:sz="4" w:space="0" w:color="auto"/>
              <w:bottom w:val="single" w:sz="4" w:space="0" w:color="auto"/>
              <w:right w:val="double" w:sz="4" w:space="0" w:color="auto"/>
            </w:tcBorders>
            <w:vAlign w:val="bottom"/>
          </w:tcPr>
          <w:p w14:paraId="01C3A4DB" w14:textId="77777777" w:rsidR="00FE3EAF" w:rsidRPr="00FE3EAF" w:rsidRDefault="00FE3EAF" w:rsidP="00FE3EAF">
            <w:pPr>
              <w:jc w:val="left"/>
              <w:rPr>
                <w:rFonts w:eastAsia="Calibri"/>
                <w:bCs/>
                <w:iCs/>
                <w:sz w:val="20"/>
                <w:szCs w:val="20"/>
              </w:rPr>
            </w:pPr>
            <w:r w:rsidRPr="00FE3EAF">
              <w:rPr>
                <w:rFonts w:eastAsia="Times New Roman"/>
                <w:color w:val="000000"/>
                <w:sz w:val="20"/>
                <w:szCs w:val="20"/>
              </w:rPr>
              <w:t>Work from a Third WPL#</w:t>
            </w:r>
          </w:p>
        </w:tc>
        <w:tc>
          <w:tcPr>
            <w:tcW w:w="2070" w:type="dxa"/>
            <w:gridSpan w:val="3"/>
            <w:tcBorders>
              <w:top w:val="single" w:sz="4" w:space="0" w:color="auto"/>
              <w:left w:val="double" w:sz="4" w:space="0" w:color="auto"/>
              <w:bottom w:val="single" w:sz="4" w:space="0" w:color="auto"/>
              <w:right w:val="single" w:sz="4" w:space="0" w:color="auto"/>
            </w:tcBorders>
            <w:vAlign w:val="bottom"/>
          </w:tcPr>
          <w:p w14:paraId="49982925" w14:textId="77777777" w:rsidR="00FE3EAF" w:rsidRPr="00FE3EAF" w:rsidRDefault="00FE3EAF" w:rsidP="00FE3EAF">
            <w:pPr>
              <w:jc w:val="right"/>
              <w:rPr>
                <w:rFonts w:eastAsia="Calibri"/>
                <w:color w:val="000000"/>
                <w:sz w:val="20"/>
                <w:szCs w:val="20"/>
              </w:rPr>
            </w:pPr>
            <w:r w:rsidRPr="00FE3EAF">
              <w:rPr>
                <w:rFonts w:eastAsia="Times New Roman"/>
                <w:color w:val="000000"/>
                <w:sz w:val="20"/>
                <w:szCs w:val="20"/>
              </w:rPr>
              <w:t>.</w:t>
            </w:r>
          </w:p>
        </w:tc>
        <w:tc>
          <w:tcPr>
            <w:tcW w:w="2070" w:type="dxa"/>
            <w:gridSpan w:val="4"/>
            <w:tcBorders>
              <w:top w:val="single" w:sz="4" w:space="0" w:color="auto"/>
              <w:left w:val="single" w:sz="4" w:space="0" w:color="auto"/>
              <w:bottom w:val="single" w:sz="4" w:space="0" w:color="auto"/>
              <w:right w:val="single" w:sz="4" w:space="0" w:color="auto"/>
            </w:tcBorders>
            <w:vAlign w:val="bottom"/>
          </w:tcPr>
          <w:p w14:paraId="6D6F5B22" w14:textId="77777777" w:rsidR="00FE3EAF" w:rsidRPr="00FE3EAF" w:rsidRDefault="00FE3EAF" w:rsidP="00FE3EAF">
            <w:pPr>
              <w:jc w:val="right"/>
              <w:rPr>
                <w:rFonts w:eastAsia="Calibri"/>
                <w:color w:val="000000"/>
                <w:sz w:val="20"/>
                <w:szCs w:val="20"/>
              </w:rPr>
            </w:pPr>
            <w:r w:rsidRPr="00FE3EAF">
              <w:rPr>
                <w:rFonts w:eastAsia="Times New Roman"/>
                <w:color w:val="000000"/>
                <w:sz w:val="20"/>
                <w:szCs w:val="20"/>
              </w:rPr>
              <w:t>0.856*</w:t>
            </w:r>
          </w:p>
        </w:tc>
        <w:tc>
          <w:tcPr>
            <w:tcW w:w="2070" w:type="dxa"/>
            <w:gridSpan w:val="3"/>
            <w:tcBorders>
              <w:top w:val="single" w:sz="4" w:space="0" w:color="auto"/>
              <w:left w:val="single" w:sz="4" w:space="0" w:color="auto"/>
              <w:bottom w:val="single" w:sz="4" w:space="0" w:color="auto"/>
              <w:right w:val="double" w:sz="4" w:space="0" w:color="auto"/>
            </w:tcBorders>
            <w:vAlign w:val="bottom"/>
          </w:tcPr>
          <w:p w14:paraId="640812B9" w14:textId="77777777" w:rsidR="00FE3EAF" w:rsidRPr="00FE3EAF" w:rsidRDefault="00FE3EAF" w:rsidP="00FE3EAF">
            <w:pPr>
              <w:jc w:val="right"/>
              <w:rPr>
                <w:rFonts w:eastAsia="Calibri"/>
                <w:color w:val="000000"/>
                <w:sz w:val="20"/>
                <w:szCs w:val="20"/>
              </w:rPr>
            </w:pPr>
            <w:r w:rsidRPr="00FE3EAF">
              <w:rPr>
                <w:rFonts w:eastAsia="Times New Roman"/>
                <w:color w:val="000000"/>
                <w:sz w:val="20"/>
                <w:szCs w:val="20"/>
              </w:rPr>
              <w:t>0.529*</w:t>
            </w:r>
          </w:p>
        </w:tc>
      </w:tr>
      <w:tr w:rsidR="00FE3EAF" w:rsidRPr="00FE3EAF" w14:paraId="53AC471F" w14:textId="77777777" w:rsidTr="00810642">
        <w:tc>
          <w:tcPr>
            <w:tcW w:w="3330" w:type="dxa"/>
            <w:tcBorders>
              <w:top w:val="single" w:sz="4" w:space="0" w:color="auto"/>
              <w:left w:val="double" w:sz="4" w:space="0" w:color="auto"/>
              <w:bottom w:val="double" w:sz="4" w:space="0" w:color="auto"/>
              <w:right w:val="double" w:sz="4" w:space="0" w:color="auto"/>
            </w:tcBorders>
            <w:vAlign w:val="bottom"/>
          </w:tcPr>
          <w:p w14:paraId="6DED53A1" w14:textId="77777777" w:rsidR="00FE3EAF" w:rsidRPr="00FE3EAF" w:rsidRDefault="00FE3EAF" w:rsidP="00FE3EAF">
            <w:pPr>
              <w:jc w:val="left"/>
              <w:rPr>
                <w:rFonts w:eastAsia="Calibri"/>
                <w:bCs/>
                <w:iCs/>
                <w:sz w:val="20"/>
                <w:szCs w:val="20"/>
              </w:rPr>
            </w:pPr>
            <w:r w:rsidRPr="00FE3EAF">
              <w:rPr>
                <w:rFonts w:eastAsia="Times New Roman"/>
                <w:color w:val="000000"/>
                <w:sz w:val="20"/>
                <w:szCs w:val="20"/>
              </w:rPr>
              <w:t>(ln)Commute Distance</w:t>
            </w:r>
          </w:p>
        </w:tc>
        <w:tc>
          <w:tcPr>
            <w:tcW w:w="2070" w:type="dxa"/>
            <w:gridSpan w:val="3"/>
            <w:tcBorders>
              <w:top w:val="single" w:sz="4" w:space="0" w:color="auto"/>
              <w:left w:val="double" w:sz="4" w:space="0" w:color="auto"/>
              <w:bottom w:val="double" w:sz="4" w:space="0" w:color="auto"/>
              <w:right w:val="single" w:sz="4" w:space="0" w:color="auto"/>
            </w:tcBorders>
            <w:vAlign w:val="bottom"/>
          </w:tcPr>
          <w:p w14:paraId="44AE42E5" w14:textId="77777777" w:rsidR="00FE3EAF" w:rsidRPr="00FE3EAF" w:rsidRDefault="00FE3EAF" w:rsidP="00FE3EAF">
            <w:pPr>
              <w:jc w:val="right"/>
              <w:rPr>
                <w:rFonts w:eastAsia="Calibri"/>
                <w:color w:val="000000"/>
                <w:sz w:val="20"/>
                <w:szCs w:val="20"/>
              </w:rPr>
            </w:pPr>
            <w:r w:rsidRPr="00FE3EAF">
              <w:rPr>
                <w:rFonts w:eastAsia="Times New Roman"/>
                <w:color w:val="000000"/>
                <w:sz w:val="20"/>
                <w:szCs w:val="20"/>
              </w:rPr>
              <w:t>.</w:t>
            </w:r>
          </w:p>
        </w:tc>
        <w:tc>
          <w:tcPr>
            <w:tcW w:w="2070" w:type="dxa"/>
            <w:gridSpan w:val="4"/>
            <w:tcBorders>
              <w:top w:val="single" w:sz="4" w:space="0" w:color="auto"/>
              <w:left w:val="single" w:sz="4" w:space="0" w:color="auto"/>
              <w:bottom w:val="double" w:sz="4" w:space="0" w:color="auto"/>
              <w:right w:val="single" w:sz="4" w:space="0" w:color="auto"/>
            </w:tcBorders>
            <w:vAlign w:val="bottom"/>
          </w:tcPr>
          <w:p w14:paraId="6C492B52" w14:textId="77777777" w:rsidR="00FE3EAF" w:rsidRPr="00FE3EAF" w:rsidRDefault="00FE3EAF" w:rsidP="00FE3EAF">
            <w:pPr>
              <w:jc w:val="right"/>
              <w:rPr>
                <w:rFonts w:eastAsia="Calibri"/>
                <w:color w:val="000000"/>
                <w:sz w:val="20"/>
                <w:szCs w:val="20"/>
              </w:rPr>
            </w:pPr>
            <w:r w:rsidRPr="00FE3EAF">
              <w:rPr>
                <w:rFonts w:eastAsia="Times New Roman"/>
                <w:color w:val="000000"/>
                <w:sz w:val="20"/>
                <w:szCs w:val="20"/>
              </w:rPr>
              <w:t>.</w:t>
            </w:r>
          </w:p>
        </w:tc>
        <w:tc>
          <w:tcPr>
            <w:tcW w:w="2070" w:type="dxa"/>
            <w:gridSpan w:val="3"/>
            <w:tcBorders>
              <w:top w:val="single" w:sz="4" w:space="0" w:color="auto"/>
              <w:left w:val="single" w:sz="4" w:space="0" w:color="auto"/>
              <w:bottom w:val="nil"/>
              <w:right w:val="double" w:sz="4" w:space="0" w:color="auto"/>
            </w:tcBorders>
            <w:vAlign w:val="bottom"/>
          </w:tcPr>
          <w:p w14:paraId="4E0FEAB7" w14:textId="77777777" w:rsidR="00FE3EAF" w:rsidRPr="00FE3EAF" w:rsidRDefault="00FE3EAF" w:rsidP="00FE3EAF">
            <w:pPr>
              <w:jc w:val="right"/>
              <w:rPr>
                <w:rFonts w:eastAsia="Calibri"/>
                <w:color w:val="000000"/>
                <w:sz w:val="20"/>
                <w:szCs w:val="20"/>
              </w:rPr>
            </w:pPr>
            <w:r w:rsidRPr="00FE3EAF">
              <w:rPr>
                <w:rFonts w:eastAsia="Times New Roman"/>
                <w:color w:val="000000"/>
                <w:sz w:val="20"/>
                <w:szCs w:val="20"/>
              </w:rPr>
              <w:t>0.568*</w:t>
            </w:r>
          </w:p>
        </w:tc>
      </w:tr>
      <w:tr w:rsidR="00FE3EAF" w:rsidRPr="00FE3EAF" w14:paraId="64454101" w14:textId="77777777" w:rsidTr="00810642">
        <w:tc>
          <w:tcPr>
            <w:tcW w:w="9544" w:type="dxa"/>
            <w:gridSpan w:val="11"/>
            <w:tcBorders>
              <w:top w:val="double" w:sz="4" w:space="0" w:color="auto"/>
              <w:left w:val="double" w:sz="4" w:space="0" w:color="auto"/>
              <w:bottom w:val="single" w:sz="4" w:space="0" w:color="auto"/>
              <w:right w:val="double" w:sz="4" w:space="0" w:color="auto"/>
            </w:tcBorders>
            <w:vAlign w:val="center"/>
          </w:tcPr>
          <w:p w14:paraId="13314588" w14:textId="77777777" w:rsidR="00FE3EAF" w:rsidRPr="00FE3EAF" w:rsidRDefault="00FE3EAF" w:rsidP="00FE3EAF">
            <w:pPr>
              <w:jc w:val="center"/>
              <w:rPr>
                <w:rFonts w:eastAsia="Calibri"/>
                <w:color w:val="000000"/>
                <w:sz w:val="20"/>
                <w:szCs w:val="18"/>
              </w:rPr>
            </w:pPr>
            <w:r w:rsidRPr="00FE3EAF">
              <w:rPr>
                <w:rFonts w:eastAsia="Times New Roman"/>
                <w:b/>
                <w:sz w:val="20"/>
                <w:szCs w:val="18"/>
              </w:rPr>
              <w:t>CT Segment (“The Stayers”)</w:t>
            </w:r>
          </w:p>
        </w:tc>
      </w:tr>
      <w:tr w:rsidR="00FE3EAF" w:rsidRPr="00FE3EAF" w14:paraId="771D133A" w14:textId="77777777" w:rsidTr="00810642">
        <w:tc>
          <w:tcPr>
            <w:tcW w:w="3330" w:type="dxa"/>
            <w:tcBorders>
              <w:top w:val="single" w:sz="4" w:space="0" w:color="auto"/>
              <w:left w:val="double" w:sz="4" w:space="0" w:color="auto"/>
              <w:bottom w:val="single" w:sz="4" w:space="0" w:color="auto"/>
              <w:right w:val="double" w:sz="4" w:space="0" w:color="auto"/>
            </w:tcBorders>
          </w:tcPr>
          <w:p w14:paraId="4FDBB1F5" w14:textId="77777777" w:rsidR="00FE3EAF" w:rsidRPr="00FE3EAF" w:rsidRDefault="00FE3EAF" w:rsidP="00FE3EAF">
            <w:pPr>
              <w:jc w:val="left"/>
              <w:rPr>
                <w:rFonts w:eastAsia="Calibri"/>
                <w:bCs/>
                <w:iCs/>
                <w:sz w:val="20"/>
                <w:szCs w:val="18"/>
              </w:rPr>
            </w:pPr>
          </w:p>
        </w:tc>
        <w:tc>
          <w:tcPr>
            <w:tcW w:w="2070" w:type="dxa"/>
            <w:gridSpan w:val="3"/>
            <w:tcBorders>
              <w:top w:val="single" w:sz="4" w:space="0" w:color="auto"/>
              <w:left w:val="double" w:sz="4" w:space="0" w:color="auto"/>
              <w:bottom w:val="single" w:sz="4" w:space="0" w:color="auto"/>
              <w:right w:val="single" w:sz="4" w:space="0" w:color="auto"/>
            </w:tcBorders>
            <w:vAlign w:val="center"/>
          </w:tcPr>
          <w:p w14:paraId="3A46E1BD" w14:textId="77777777" w:rsidR="00FE3EAF" w:rsidRPr="00FE3EAF" w:rsidRDefault="00FE3EAF" w:rsidP="00FE3EAF">
            <w:pPr>
              <w:jc w:val="center"/>
              <w:rPr>
                <w:rFonts w:eastAsia="Calibri"/>
                <w:color w:val="000000"/>
                <w:sz w:val="20"/>
                <w:szCs w:val="18"/>
              </w:rPr>
            </w:pPr>
            <w:r w:rsidRPr="00FE3EAF">
              <w:rPr>
                <w:rFonts w:eastAsia="Times New Roman"/>
                <w:sz w:val="20"/>
                <w:szCs w:val="18"/>
              </w:rPr>
              <w:t>Work from the Work Office#</w:t>
            </w:r>
          </w:p>
        </w:tc>
        <w:tc>
          <w:tcPr>
            <w:tcW w:w="2070" w:type="dxa"/>
            <w:gridSpan w:val="4"/>
            <w:tcBorders>
              <w:top w:val="single" w:sz="4" w:space="0" w:color="auto"/>
              <w:left w:val="single" w:sz="4" w:space="0" w:color="auto"/>
              <w:bottom w:val="single" w:sz="4" w:space="0" w:color="auto"/>
              <w:right w:val="single" w:sz="4" w:space="0" w:color="auto"/>
            </w:tcBorders>
            <w:vAlign w:val="center"/>
          </w:tcPr>
          <w:p w14:paraId="4C4EF26A" w14:textId="77777777" w:rsidR="00FE3EAF" w:rsidRPr="00FE3EAF" w:rsidRDefault="00FE3EAF" w:rsidP="00FE3EAF">
            <w:pPr>
              <w:jc w:val="center"/>
              <w:rPr>
                <w:rFonts w:eastAsia="Calibri"/>
                <w:color w:val="000000"/>
                <w:sz w:val="20"/>
                <w:szCs w:val="18"/>
              </w:rPr>
            </w:pPr>
            <w:r w:rsidRPr="00FE3EAF">
              <w:rPr>
                <w:rFonts w:eastAsia="Times New Roman"/>
                <w:sz w:val="20"/>
                <w:szCs w:val="18"/>
              </w:rPr>
              <w:t>Work from a Third WPL#</w:t>
            </w:r>
          </w:p>
        </w:tc>
        <w:tc>
          <w:tcPr>
            <w:tcW w:w="2070" w:type="dxa"/>
            <w:gridSpan w:val="3"/>
            <w:tcBorders>
              <w:top w:val="single" w:sz="4" w:space="0" w:color="auto"/>
              <w:left w:val="single" w:sz="4" w:space="0" w:color="auto"/>
              <w:bottom w:val="single" w:sz="4" w:space="0" w:color="auto"/>
              <w:right w:val="double" w:sz="4" w:space="0" w:color="auto"/>
            </w:tcBorders>
            <w:vAlign w:val="center"/>
          </w:tcPr>
          <w:p w14:paraId="0BB6B5C9" w14:textId="77777777" w:rsidR="00FE3EAF" w:rsidRPr="00FE3EAF" w:rsidRDefault="00FE3EAF" w:rsidP="00FE3EAF">
            <w:pPr>
              <w:jc w:val="center"/>
              <w:rPr>
                <w:rFonts w:eastAsia="Times New Roman"/>
                <w:sz w:val="20"/>
                <w:szCs w:val="18"/>
              </w:rPr>
            </w:pPr>
            <w:r w:rsidRPr="00FE3EAF">
              <w:rPr>
                <w:rFonts w:eastAsia="Times New Roman"/>
                <w:sz w:val="20"/>
                <w:szCs w:val="18"/>
              </w:rPr>
              <w:t>(ln)Commute</w:t>
            </w:r>
          </w:p>
          <w:p w14:paraId="7B689B5C" w14:textId="77777777" w:rsidR="00FE3EAF" w:rsidRPr="00FE3EAF" w:rsidRDefault="00FE3EAF" w:rsidP="00FE3EAF">
            <w:pPr>
              <w:jc w:val="center"/>
              <w:rPr>
                <w:rFonts w:eastAsia="Calibri"/>
                <w:color w:val="000000"/>
                <w:sz w:val="20"/>
                <w:szCs w:val="18"/>
              </w:rPr>
            </w:pPr>
            <w:r w:rsidRPr="00FE3EAF">
              <w:rPr>
                <w:rFonts w:eastAsia="Times New Roman"/>
                <w:sz w:val="20"/>
                <w:szCs w:val="18"/>
              </w:rPr>
              <w:t>Distance</w:t>
            </w:r>
          </w:p>
        </w:tc>
      </w:tr>
      <w:tr w:rsidR="00FE3EAF" w:rsidRPr="00FE3EAF" w14:paraId="0B4B9771" w14:textId="77777777" w:rsidTr="00810642">
        <w:tc>
          <w:tcPr>
            <w:tcW w:w="3330" w:type="dxa"/>
            <w:tcBorders>
              <w:top w:val="single" w:sz="4" w:space="0" w:color="auto"/>
              <w:left w:val="double" w:sz="4" w:space="0" w:color="auto"/>
              <w:bottom w:val="single" w:sz="4" w:space="0" w:color="auto"/>
              <w:right w:val="double" w:sz="4" w:space="0" w:color="auto"/>
            </w:tcBorders>
            <w:vAlign w:val="bottom"/>
          </w:tcPr>
          <w:p w14:paraId="31778D2F" w14:textId="77777777" w:rsidR="00FE3EAF" w:rsidRPr="00FE3EAF" w:rsidRDefault="00FE3EAF" w:rsidP="00FE3EAF">
            <w:pPr>
              <w:jc w:val="left"/>
              <w:rPr>
                <w:rFonts w:eastAsia="Calibri"/>
                <w:bCs/>
                <w:iCs/>
                <w:sz w:val="20"/>
                <w:szCs w:val="18"/>
              </w:rPr>
            </w:pPr>
            <w:r w:rsidRPr="00FE3EAF">
              <w:rPr>
                <w:rFonts w:eastAsia="Times New Roman"/>
                <w:color w:val="000000"/>
                <w:sz w:val="20"/>
                <w:szCs w:val="18"/>
              </w:rPr>
              <w:t>Work from the Work Office#</w:t>
            </w:r>
          </w:p>
        </w:tc>
        <w:tc>
          <w:tcPr>
            <w:tcW w:w="2070" w:type="dxa"/>
            <w:gridSpan w:val="3"/>
            <w:tcBorders>
              <w:top w:val="single" w:sz="4" w:space="0" w:color="auto"/>
              <w:left w:val="double" w:sz="4" w:space="0" w:color="auto"/>
              <w:bottom w:val="single" w:sz="4" w:space="0" w:color="auto"/>
              <w:right w:val="single" w:sz="4" w:space="0" w:color="auto"/>
            </w:tcBorders>
            <w:vAlign w:val="bottom"/>
          </w:tcPr>
          <w:p w14:paraId="52701A51" w14:textId="77777777" w:rsidR="00FE3EAF" w:rsidRPr="00FE3EAF" w:rsidRDefault="00FE3EAF" w:rsidP="00FE3EAF">
            <w:pPr>
              <w:jc w:val="right"/>
              <w:rPr>
                <w:rFonts w:eastAsia="Calibri"/>
                <w:color w:val="000000"/>
                <w:sz w:val="20"/>
                <w:szCs w:val="18"/>
              </w:rPr>
            </w:pPr>
            <w:r w:rsidRPr="00FE3EAF">
              <w:rPr>
                <w:rFonts w:eastAsia="Times New Roman"/>
                <w:color w:val="000000"/>
                <w:sz w:val="20"/>
                <w:szCs w:val="18"/>
              </w:rPr>
              <w:t>1.000</w:t>
            </w:r>
            <w:r w:rsidRPr="00FE3EAF">
              <w:rPr>
                <w:rFonts w:eastAsia="Times New Roman"/>
                <w:color w:val="000000"/>
                <w:sz w:val="20"/>
                <w:szCs w:val="18"/>
                <w:vertAlign w:val="superscript"/>
              </w:rPr>
              <w:t>&amp;</w:t>
            </w:r>
          </w:p>
        </w:tc>
        <w:tc>
          <w:tcPr>
            <w:tcW w:w="2070" w:type="dxa"/>
            <w:gridSpan w:val="4"/>
            <w:tcBorders>
              <w:top w:val="single" w:sz="4" w:space="0" w:color="auto"/>
              <w:left w:val="single" w:sz="4" w:space="0" w:color="auto"/>
              <w:bottom w:val="single" w:sz="4" w:space="0" w:color="auto"/>
              <w:right w:val="single" w:sz="4" w:space="0" w:color="auto"/>
            </w:tcBorders>
            <w:vAlign w:val="bottom"/>
          </w:tcPr>
          <w:p w14:paraId="31AE71E3" w14:textId="77777777" w:rsidR="00FE3EAF" w:rsidRPr="00FE3EAF" w:rsidRDefault="00FE3EAF" w:rsidP="00FE3EAF">
            <w:pPr>
              <w:jc w:val="right"/>
              <w:rPr>
                <w:rFonts w:eastAsia="Calibri"/>
                <w:color w:val="000000"/>
                <w:sz w:val="20"/>
                <w:szCs w:val="18"/>
              </w:rPr>
            </w:pPr>
            <w:r w:rsidRPr="00FE3EAF">
              <w:rPr>
                <w:rFonts w:eastAsia="Times New Roman"/>
                <w:color w:val="000000"/>
                <w:sz w:val="20"/>
                <w:szCs w:val="18"/>
              </w:rPr>
              <w:t>0.526*</w:t>
            </w:r>
          </w:p>
        </w:tc>
        <w:tc>
          <w:tcPr>
            <w:tcW w:w="2070" w:type="dxa"/>
            <w:gridSpan w:val="3"/>
            <w:tcBorders>
              <w:top w:val="single" w:sz="4" w:space="0" w:color="auto"/>
              <w:left w:val="single" w:sz="4" w:space="0" w:color="auto"/>
              <w:bottom w:val="single" w:sz="4" w:space="0" w:color="auto"/>
              <w:right w:val="double" w:sz="4" w:space="0" w:color="auto"/>
            </w:tcBorders>
            <w:vAlign w:val="bottom"/>
          </w:tcPr>
          <w:p w14:paraId="0C53F0DA" w14:textId="77777777" w:rsidR="00FE3EAF" w:rsidRPr="00FE3EAF" w:rsidRDefault="00FE3EAF" w:rsidP="00FE3EAF">
            <w:pPr>
              <w:jc w:val="right"/>
              <w:rPr>
                <w:rFonts w:eastAsia="Calibri"/>
                <w:color w:val="000000"/>
                <w:sz w:val="20"/>
                <w:szCs w:val="18"/>
              </w:rPr>
            </w:pPr>
            <w:r w:rsidRPr="00FE3EAF">
              <w:rPr>
                <w:rFonts w:eastAsia="Times New Roman"/>
                <w:color w:val="000000"/>
                <w:sz w:val="20"/>
                <w:szCs w:val="18"/>
              </w:rPr>
              <w:t>-0.153*</w:t>
            </w:r>
          </w:p>
        </w:tc>
      </w:tr>
      <w:tr w:rsidR="00FE3EAF" w:rsidRPr="00FE3EAF" w14:paraId="6746C212" w14:textId="77777777" w:rsidTr="009320DC">
        <w:tc>
          <w:tcPr>
            <w:tcW w:w="3330" w:type="dxa"/>
            <w:tcBorders>
              <w:top w:val="single" w:sz="4" w:space="0" w:color="auto"/>
              <w:left w:val="double" w:sz="4" w:space="0" w:color="auto"/>
              <w:bottom w:val="single" w:sz="4" w:space="0" w:color="auto"/>
              <w:right w:val="double" w:sz="4" w:space="0" w:color="auto"/>
            </w:tcBorders>
            <w:vAlign w:val="bottom"/>
          </w:tcPr>
          <w:p w14:paraId="6DFD7F06" w14:textId="77777777" w:rsidR="00FE3EAF" w:rsidRPr="00FE3EAF" w:rsidRDefault="00FE3EAF" w:rsidP="00FE3EAF">
            <w:pPr>
              <w:jc w:val="left"/>
              <w:rPr>
                <w:rFonts w:eastAsia="Calibri"/>
                <w:bCs/>
                <w:iCs/>
                <w:sz w:val="20"/>
                <w:szCs w:val="18"/>
              </w:rPr>
            </w:pPr>
            <w:r w:rsidRPr="00FE3EAF">
              <w:rPr>
                <w:rFonts w:eastAsia="Times New Roman"/>
                <w:color w:val="000000"/>
                <w:sz w:val="20"/>
                <w:szCs w:val="18"/>
              </w:rPr>
              <w:t>Work from a Third WPL#</w:t>
            </w:r>
          </w:p>
        </w:tc>
        <w:tc>
          <w:tcPr>
            <w:tcW w:w="2070" w:type="dxa"/>
            <w:gridSpan w:val="3"/>
            <w:tcBorders>
              <w:top w:val="single" w:sz="4" w:space="0" w:color="auto"/>
              <w:left w:val="double" w:sz="4" w:space="0" w:color="auto"/>
              <w:bottom w:val="single" w:sz="4" w:space="0" w:color="auto"/>
              <w:right w:val="single" w:sz="4" w:space="0" w:color="auto"/>
            </w:tcBorders>
            <w:vAlign w:val="bottom"/>
          </w:tcPr>
          <w:p w14:paraId="30FEF321" w14:textId="77777777" w:rsidR="00FE3EAF" w:rsidRPr="00FE3EAF" w:rsidRDefault="00FE3EAF" w:rsidP="00FE3EAF">
            <w:pPr>
              <w:jc w:val="right"/>
              <w:rPr>
                <w:rFonts w:eastAsia="Calibri"/>
                <w:color w:val="000000"/>
                <w:sz w:val="20"/>
                <w:szCs w:val="18"/>
              </w:rPr>
            </w:pPr>
            <w:r w:rsidRPr="00FE3EAF">
              <w:rPr>
                <w:rFonts w:eastAsia="Times New Roman"/>
                <w:color w:val="000000"/>
                <w:sz w:val="20"/>
                <w:szCs w:val="18"/>
              </w:rPr>
              <w:t>.</w:t>
            </w:r>
          </w:p>
        </w:tc>
        <w:tc>
          <w:tcPr>
            <w:tcW w:w="2070" w:type="dxa"/>
            <w:gridSpan w:val="4"/>
            <w:tcBorders>
              <w:top w:val="single" w:sz="4" w:space="0" w:color="auto"/>
              <w:left w:val="single" w:sz="4" w:space="0" w:color="auto"/>
              <w:bottom w:val="single" w:sz="4" w:space="0" w:color="auto"/>
              <w:right w:val="single" w:sz="4" w:space="0" w:color="auto"/>
            </w:tcBorders>
            <w:vAlign w:val="bottom"/>
          </w:tcPr>
          <w:p w14:paraId="3FC20CD5" w14:textId="77777777" w:rsidR="00FE3EAF" w:rsidRPr="00FE3EAF" w:rsidRDefault="00FE3EAF" w:rsidP="00FE3EAF">
            <w:pPr>
              <w:jc w:val="right"/>
              <w:rPr>
                <w:rFonts w:eastAsia="Calibri"/>
                <w:color w:val="000000"/>
                <w:sz w:val="20"/>
                <w:szCs w:val="18"/>
              </w:rPr>
            </w:pPr>
            <w:r w:rsidRPr="00FE3EAF">
              <w:rPr>
                <w:rFonts w:eastAsia="Times New Roman"/>
                <w:color w:val="000000"/>
                <w:sz w:val="20"/>
                <w:szCs w:val="18"/>
              </w:rPr>
              <w:t>0.856*</w:t>
            </w:r>
          </w:p>
        </w:tc>
        <w:tc>
          <w:tcPr>
            <w:tcW w:w="2070" w:type="dxa"/>
            <w:gridSpan w:val="3"/>
            <w:tcBorders>
              <w:top w:val="single" w:sz="4" w:space="0" w:color="auto"/>
              <w:left w:val="single" w:sz="4" w:space="0" w:color="auto"/>
              <w:bottom w:val="single" w:sz="4" w:space="0" w:color="auto"/>
              <w:right w:val="double" w:sz="4" w:space="0" w:color="auto"/>
            </w:tcBorders>
            <w:vAlign w:val="bottom"/>
          </w:tcPr>
          <w:p w14:paraId="12732B09" w14:textId="77777777" w:rsidR="00FE3EAF" w:rsidRPr="00FE3EAF" w:rsidRDefault="00FE3EAF" w:rsidP="00FE3EAF">
            <w:pPr>
              <w:jc w:val="right"/>
              <w:rPr>
                <w:rFonts w:eastAsia="Calibri"/>
                <w:color w:val="000000"/>
                <w:sz w:val="20"/>
                <w:szCs w:val="18"/>
              </w:rPr>
            </w:pPr>
            <w:r w:rsidRPr="00FE3EAF">
              <w:rPr>
                <w:rFonts w:eastAsia="Times New Roman"/>
                <w:color w:val="000000"/>
                <w:sz w:val="20"/>
                <w:szCs w:val="18"/>
              </w:rPr>
              <w:t xml:space="preserve">             -0.027</w:t>
            </w:r>
            <w:r w:rsidRPr="00FE3EAF">
              <w:rPr>
                <w:rFonts w:eastAsia="Times New Roman"/>
                <w:color w:val="FFFFFF"/>
                <w:sz w:val="20"/>
                <w:szCs w:val="18"/>
              </w:rPr>
              <w:t>*</w:t>
            </w:r>
          </w:p>
        </w:tc>
      </w:tr>
      <w:tr w:rsidR="00FE3EAF" w:rsidRPr="00FE3EAF" w14:paraId="61C51AF2" w14:textId="77777777" w:rsidTr="00810642">
        <w:tc>
          <w:tcPr>
            <w:tcW w:w="3330" w:type="dxa"/>
            <w:tcBorders>
              <w:top w:val="single" w:sz="4" w:space="0" w:color="auto"/>
              <w:left w:val="double" w:sz="4" w:space="0" w:color="auto"/>
              <w:bottom w:val="double" w:sz="4" w:space="0" w:color="auto"/>
              <w:right w:val="double" w:sz="4" w:space="0" w:color="auto"/>
            </w:tcBorders>
            <w:vAlign w:val="bottom"/>
          </w:tcPr>
          <w:p w14:paraId="20902986" w14:textId="77777777" w:rsidR="00FE3EAF" w:rsidRPr="00FE3EAF" w:rsidRDefault="00FE3EAF" w:rsidP="00FE3EAF">
            <w:pPr>
              <w:jc w:val="left"/>
              <w:rPr>
                <w:rFonts w:eastAsia="Calibri"/>
                <w:bCs/>
                <w:iCs/>
                <w:sz w:val="20"/>
                <w:szCs w:val="18"/>
              </w:rPr>
            </w:pPr>
            <w:r w:rsidRPr="00FE3EAF">
              <w:rPr>
                <w:rFonts w:eastAsia="Times New Roman"/>
                <w:color w:val="000000"/>
                <w:sz w:val="20"/>
                <w:szCs w:val="18"/>
              </w:rPr>
              <w:t>(ln)Commute Distance</w:t>
            </w:r>
          </w:p>
        </w:tc>
        <w:tc>
          <w:tcPr>
            <w:tcW w:w="2070" w:type="dxa"/>
            <w:gridSpan w:val="3"/>
            <w:tcBorders>
              <w:top w:val="single" w:sz="4" w:space="0" w:color="auto"/>
              <w:left w:val="double" w:sz="4" w:space="0" w:color="auto"/>
              <w:bottom w:val="double" w:sz="4" w:space="0" w:color="auto"/>
              <w:right w:val="single" w:sz="4" w:space="0" w:color="auto"/>
            </w:tcBorders>
            <w:vAlign w:val="bottom"/>
          </w:tcPr>
          <w:p w14:paraId="5595AC41" w14:textId="77777777" w:rsidR="00FE3EAF" w:rsidRPr="00FE3EAF" w:rsidRDefault="00FE3EAF" w:rsidP="00FE3EAF">
            <w:pPr>
              <w:jc w:val="right"/>
              <w:rPr>
                <w:rFonts w:eastAsia="Calibri"/>
                <w:color w:val="000000"/>
                <w:sz w:val="20"/>
                <w:szCs w:val="18"/>
              </w:rPr>
            </w:pPr>
            <w:r w:rsidRPr="00FE3EAF">
              <w:rPr>
                <w:rFonts w:eastAsia="Times New Roman"/>
                <w:color w:val="000000"/>
                <w:sz w:val="20"/>
                <w:szCs w:val="18"/>
              </w:rPr>
              <w:t>.</w:t>
            </w:r>
          </w:p>
        </w:tc>
        <w:tc>
          <w:tcPr>
            <w:tcW w:w="2070" w:type="dxa"/>
            <w:gridSpan w:val="4"/>
            <w:tcBorders>
              <w:top w:val="single" w:sz="4" w:space="0" w:color="auto"/>
              <w:left w:val="single" w:sz="4" w:space="0" w:color="auto"/>
              <w:bottom w:val="double" w:sz="4" w:space="0" w:color="auto"/>
              <w:right w:val="single" w:sz="4" w:space="0" w:color="auto"/>
            </w:tcBorders>
            <w:vAlign w:val="bottom"/>
          </w:tcPr>
          <w:p w14:paraId="69FE2AC1" w14:textId="77777777" w:rsidR="00FE3EAF" w:rsidRPr="00FE3EAF" w:rsidRDefault="00FE3EAF" w:rsidP="00FE3EAF">
            <w:pPr>
              <w:jc w:val="right"/>
              <w:rPr>
                <w:rFonts w:eastAsia="Calibri"/>
                <w:color w:val="000000"/>
                <w:sz w:val="20"/>
                <w:szCs w:val="18"/>
              </w:rPr>
            </w:pPr>
            <w:r w:rsidRPr="00FE3EAF">
              <w:rPr>
                <w:rFonts w:eastAsia="Times New Roman"/>
                <w:color w:val="000000"/>
                <w:sz w:val="20"/>
                <w:szCs w:val="18"/>
              </w:rPr>
              <w:t>.</w:t>
            </w:r>
          </w:p>
        </w:tc>
        <w:tc>
          <w:tcPr>
            <w:tcW w:w="2070" w:type="dxa"/>
            <w:gridSpan w:val="3"/>
            <w:tcBorders>
              <w:top w:val="single" w:sz="4" w:space="0" w:color="auto"/>
              <w:left w:val="single" w:sz="4" w:space="0" w:color="auto"/>
              <w:bottom w:val="double" w:sz="4" w:space="0" w:color="auto"/>
              <w:right w:val="double" w:sz="4" w:space="0" w:color="auto"/>
            </w:tcBorders>
            <w:vAlign w:val="bottom"/>
          </w:tcPr>
          <w:p w14:paraId="56BB1297" w14:textId="77777777" w:rsidR="00FE3EAF" w:rsidRPr="00FE3EAF" w:rsidRDefault="00FE3EAF" w:rsidP="00FE3EAF">
            <w:pPr>
              <w:jc w:val="right"/>
              <w:rPr>
                <w:rFonts w:eastAsia="Calibri"/>
                <w:color w:val="000000"/>
                <w:sz w:val="20"/>
                <w:szCs w:val="18"/>
              </w:rPr>
            </w:pPr>
            <w:r w:rsidRPr="00FE3EAF">
              <w:rPr>
                <w:rFonts w:eastAsia="Times New Roman"/>
                <w:color w:val="000000"/>
                <w:sz w:val="20"/>
                <w:szCs w:val="18"/>
              </w:rPr>
              <w:t>0.568*</w:t>
            </w:r>
          </w:p>
        </w:tc>
      </w:tr>
    </w:tbl>
    <w:bookmarkEnd w:id="63"/>
    <w:p w14:paraId="61A7ABED" w14:textId="77777777" w:rsidR="00FE3EAF" w:rsidRPr="00FE3EAF" w:rsidRDefault="00FE3EAF" w:rsidP="009320DC">
      <w:pPr>
        <w:spacing w:before="120" w:after="0" w:line="240" w:lineRule="auto"/>
        <w:ind w:left="180"/>
        <w:jc w:val="left"/>
        <w:rPr>
          <w:rFonts w:eastAsia="Calibri"/>
        </w:rPr>
      </w:pPr>
      <w:r w:rsidRPr="00FE3EAF">
        <w:rPr>
          <w:rFonts w:eastAsia="Calibri"/>
          <w:vertAlign w:val="superscript"/>
        </w:rPr>
        <w:t xml:space="preserve"># </w:t>
      </w:r>
      <w:r w:rsidRPr="00055B8A">
        <w:rPr>
          <w:rFonts w:eastAsia="Calibri"/>
          <w:sz w:val="20"/>
        </w:rPr>
        <w:t>Differenced with respect to “Work from Home” alternative</w:t>
      </w:r>
    </w:p>
    <w:p w14:paraId="787B8028" w14:textId="77777777" w:rsidR="00FE3EAF" w:rsidRPr="00FE3EAF" w:rsidRDefault="00FE3EAF" w:rsidP="00055B8A">
      <w:pPr>
        <w:spacing w:after="0" w:line="240" w:lineRule="auto"/>
        <w:ind w:left="180"/>
        <w:jc w:val="left"/>
        <w:rPr>
          <w:rFonts w:eastAsia="Calibri"/>
        </w:rPr>
      </w:pPr>
      <w:r w:rsidRPr="00FE3EAF">
        <w:rPr>
          <w:rFonts w:eastAsia="Calibri"/>
        </w:rPr>
        <w:t xml:space="preserve">* </w:t>
      </w:r>
      <w:r w:rsidRPr="00055B8A">
        <w:rPr>
          <w:rFonts w:eastAsia="Calibri"/>
          <w:sz w:val="20"/>
        </w:rPr>
        <w:t>Significant at 85% confidence level</w:t>
      </w:r>
    </w:p>
    <w:p w14:paraId="06EA9EB0" w14:textId="7A91B61E" w:rsidR="00FE3EAF" w:rsidRPr="00810642" w:rsidRDefault="00FE3EAF" w:rsidP="00810642">
      <w:pPr>
        <w:spacing w:after="0" w:line="240" w:lineRule="auto"/>
        <w:ind w:left="180"/>
        <w:jc w:val="left"/>
        <w:rPr>
          <w:rFonts w:eastAsia="Calibri"/>
          <w:sz w:val="20"/>
        </w:rPr>
      </w:pPr>
      <w:r w:rsidRPr="00FE3EAF">
        <w:rPr>
          <w:rFonts w:eastAsia="Calibri"/>
          <w:vertAlign w:val="superscript"/>
        </w:rPr>
        <w:t xml:space="preserve">&amp; </w:t>
      </w:r>
      <w:r w:rsidRPr="00055B8A">
        <w:rPr>
          <w:rFonts w:eastAsia="Calibri"/>
          <w:sz w:val="20"/>
        </w:rPr>
        <w:t>Fixed value</w:t>
      </w:r>
      <w:bookmarkEnd w:id="62"/>
    </w:p>
    <w:p w14:paraId="71D684E0" w14:textId="77777777" w:rsidR="00FE3EAF" w:rsidRPr="00FE3EAF" w:rsidRDefault="00FE3EAF" w:rsidP="00FE3EAF">
      <w:pPr>
        <w:spacing w:after="0" w:line="240" w:lineRule="auto"/>
        <w:jc w:val="left"/>
        <w:rPr>
          <w:rFonts w:eastAsia="Calibri"/>
          <w:sz w:val="22"/>
          <w:szCs w:val="20"/>
        </w:rPr>
      </w:pPr>
    </w:p>
    <w:p w14:paraId="4DB47564" w14:textId="77777777" w:rsidR="00FE3EAF" w:rsidRPr="00FE3EAF" w:rsidRDefault="00FE3EAF" w:rsidP="00FE3EAF">
      <w:pPr>
        <w:spacing w:after="0" w:line="240" w:lineRule="auto"/>
        <w:jc w:val="left"/>
        <w:rPr>
          <w:rFonts w:eastAsia="Calibri"/>
          <w:sz w:val="22"/>
          <w:szCs w:val="20"/>
        </w:rPr>
      </w:pPr>
    </w:p>
    <w:p w14:paraId="1F086C73" w14:textId="77777777" w:rsidR="00FE3EAF" w:rsidRPr="00FE3EAF" w:rsidRDefault="00FE3EAF" w:rsidP="00FE3EAF">
      <w:pPr>
        <w:spacing w:after="0" w:line="240" w:lineRule="auto"/>
        <w:jc w:val="left"/>
        <w:rPr>
          <w:rFonts w:eastAsia="Calibri"/>
          <w:sz w:val="22"/>
          <w:szCs w:val="20"/>
        </w:rPr>
      </w:pPr>
    </w:p>
    <w:p w14:paraId="21353991" w14:textId="77777777" w:rsidR="00FE3EAF" w:rsidRPr="00FE3EAF" w:rsidRDefault="00FE3EAF" w:rsidP="00FE3EAF">
      <w:pPr>
        <w:spacing w:after="0" w:line="240" w:lineRule="auto"/>
        <w:jc w:val="left"/>
        <w:rPr>
          <w:rFonts w:eastAsia="Calibri"/>
          <w:sz w:val="22"/>
          <w:szCs w:val="20"/>
        </w:rPr>
      </w:pPr>
    </w:p>
    <w:p w14:paraId="11EE3596" w14:textId="77777777" w:rsidR="00FE3EAF" w:rsidRPr="00FE3EAF" w:rsidRDefault="00FE3EAF" w:rsidP="00FE3EAF">
      <w:pPr>
        <w:spacing w:after="0" w:line="240" w:lineRule="auto"/>
        <w:jc w:val="left"/>
        <w:rPr>
          <w:rFonts w:eastAsia="Calibri"/>
          <w:sz w:val="22"/>
          <w:szCs w:val="20"/>
        </w:rPr>
      </w:pPr>
    </w:p>
    <w:p w14:paraId="7A8A8106" w14:textId="77777777" w:rsidR="00FE3EAF" w:rsidRPr="00FE3EAF" w:rsidRDefault="00FE3EAF" w:rsidP="00FE3EAF">
      <w:pPr>
        <w:spacing w:after="0" w:line="240" w:lineRule="auto"/>
        <w:jc w:val="left"/>
        <w:rPr>
          <w:rFonts w:eastAsia="Calibri"/>
          <w:sz w:val="22"/>
          <w:szCs w:val="20"/>
        </w:rPr>
        <w:sectPr w:rsidR="00FE3EAF" w:rsidRPr="00FE3EAF" w:rsidSect="00810642">
          <w:pgSz w:w="12240" w:h="15840"/>
          <w:pgMar w:top="1296" w:right="1296" w:bottom="1296" w:left="1296" w:header="720" w:footer="720" w:gutter="0"/>
          <w:cols w:space="720"/>
          <w:docGrid w:linePitch="360"/>
        </w:sectPr>
      </w:pPr>
    </w:p>
    <w:p w14:paraId="2E84B299" w14:textId="004248AB" w:rsidR="00FE3EAF" w:rsidRPr="00FE3EAF" w:rsidRDefault="00FE3EAF" w:rsidP="00FE3EAF">
      <w:pPr>
        <w:spacing w:after="0" w:line="240" w:lineRule="auto"/>
        <w:jc w:val="left"/>
        <w:rPr>
          <w:rFonts w:eastAsia="Calibri"/>
          <w:b/>
          <w:szCs w:val="24"/>
        </w:rPr>
      </w:pPr>
      <w:r w:rsidRPr="00FE3EAF">
        <w:rPr>
          <w:rFonts w:eastAsia="Calibri"/>
          <w:b/>
          <w:szCs w:val="24"/>
        </w:rPr>
        <w:lastRenderedPageBreak/>
        <w:t xml:space="preserve">Table </w:t>
      </w:r>
      <w:r w:rsidR="00EC4B38">
        <w:rPr>
          <w:rFonts w:eastAsia="Calibri"/>
          <w:b/>
          <w:szCs w:val="24"/>
        </w:rPr>
        <w:t>3</w:t>
      </w:r>
      <w:r w:rsidRPr="00FE3EAF">
        <w:rPr>
          <w:rFonts w:eastAsia="Calibri"/>
          <w:b/>
          <w:szCs w:val="24"/>
        </w:rPr>
        <w:t>: Latent Segmentation Assignment Model</w:t>
      </w:r>
    </w:p>
    <w:tbl>
      <w:tblPr>
        <w:tblStyle w:val="TableGrid"/>
        <w:tblpPr w:leftFromText="180" w:rightFromText="180" w:vertAnchor="page" w:horzAnchor="margin" w:tblpY="1849"/>
        <w:tblW w:w="8946" w:type="dxa"/>
        <w:tblLook w:val="04A0" w:firstRow="1" w:lastRow="0" w:firstColumn="1" w:lastColumn="0" w:noHBand="0" w:noVBand="1"/>
      </w:tblPr>
      <w:tblGrid>
        <w:gridCol w:w="5205"/>
        <w:gridCol w:w="1041"/>
        <w:gridCol w:w="854"/>
        <w:gridCol w:w="1846"/>
      </w:tblGrid>
      <w:tr w:rsidR="00FE3EAF" w:rsidRPr="00FE3EAF" w14:paraId="793CEF43" w14:textId="77777777" w:rsidTr="008053E5">
        <w:tc>
          <w:tcPr>
            <w:tcW w:w="5205" w:type="dxa"/>
            <w:vMerge w:val="restart"/>
            <w:tcBorders>
              <w:top w:val="double" w:sz="4" w:space="0" w:color="auto"/>
              <w:left w:val="double" w:sz="4" w:space="0" w:color="auto"/>
            </w:tcBorders>
            <w:shd w:val="clear" w:color="auto" w:fill="D9D9D9" w:themeFill="background1" w:themeFillShade="D9"/>
            <w:vAlign w:val="center"/>
          </w:tcPr>
          <w:p w14:paraId="33C47552" w14:textId="77777777" w:rsidR="00FE3EAF" w:rsidRPr="00FE3EAF" w:rsidRDefault="00FE3EAF" w:rsidP="008053E5">
            <w:pPr>
              <w:jc w:val="center"/>
              <w:rPr>
                <w:rFonts w:eastAsia="Calibri"/>
                <w:b/>
                <w:szCs w:val="24"/>
              </w:rPr>
            </w:pPr>
            <w:r w:rsidRPr="00FE3EAF">
              <w:rPr>
                <w:rFonts w:eastAsia="Calibri"/>
                <w:b/>
                <w:szCs w:val="24"/>
              </w:rPr>
              <w:t xml:space="preserve">Explanatory Variables </w:t>
            </w:r>
          </w:p>
          <w:p w14:paraId="12D5872F" w14:textId="77777777" w:rsidR="00FE3EAF" w:rsidRPr="00FE3EAF" w:rsidRDefault="00FE3EAF" w:rsidP="008053E5">
            <w:pPr>
              <w:jc w:val="center"/>
              <w:rPr>
                <w:rFonts w:eastAsia="Calibri"/>
                <w:b/>
                <w:szCs w:val="24"/>
              </w:rPr>
            </w:pPr>
            <w:r w:rsidRPr="00FE3EAF">
              <w:rPr>
                <w:rFonts w:eastAsia="Calibri"/>
                <w:b/>
                <w:szCs w:val="24"/>
              </w:rPr>
              <w:t>(base category)</w:t>
            </w:r>
          </w:p>
        </w:tc>
        <w:tc>
          <w:tcPr>
            <w:tcW w:w="1895" w:type="dxa"/>
            <w:gridSpan w:val="2"/>
            <w:tcBorders>
              <w:top w:val="double" w:sz="4" w:space="0" w:color="auto"/>
            </w:tcBorders>
            <w:shd w:val="clear" w:color="auto" w:fill="D9D9D9" w:themeFill="background1" w:themeFillShade="D9"/>
            <w:vAlign w:val="center"/>
          </w:tcPr>
          <w:p w14:paraId="24AFD8FD" w14:textId="77777777" w:rsidR="00FE3EAF" w:rsidRPr="00FE3EAF" w:rsidRDefault="00FE3EAF" w:rsidP="008053E5">
            <w:pPr>
              <w:jc w:val="center"/>
              <w:rPr>
                <w:rFonts w:eastAsia="Calibri"/>
                <w:b/>
                <w:szCs w:val="24"/>
              </w:rPr>
            </w:pPr>
            <w:r w:rsidRPr="00FE3EAF">
              <w:rPr>
                <w:rFonts w:eastAsia="Calibri"/>
                <w:b/>
              </w:rPr>
              <w:t>TC Segment</w:t>
            </w:r>
          </w:p>
          <w:p w14:paraId="09241D42" w14:textId="77777777" w:rsidR="00FE3EAF" w:rsidRPr="00FE3EAF" w:rsidRDefault="00FE3EAF" w:rsidP="008053E5">
            <w:pPr>
              <w:jc w:val="center"/>
              <w:rPr>
                <w:rFonts w:eastAsia="Calibri"/>
                <w:b/>
                <w:szCs w:val="24"/>
              </w:rPr>
            </w:pPr>
            <w:r w:rsidRPr="00FE3EAF">
              <w:rPr>
                <w:rFonts w:eastAsia="Calibri"/>
                <w:b/>
                <w:szCs w:val="24"/>
              </w:rPr>
              <w:t>The Movers</w:t>
            </w:r>
          </w:p>
        </w:tc>
        <w:tc>
          <w:tcPr>
            <w:tcW w:w="1846" w:type="dxa"/>
            <w:vMerge w:val="restart"/>
            <w:tcBorders>
              <w:top w:val="double" w:sz="4" w:space="0" w:color="auto"/>
              <w:right w:val="double" w:sz="4" w:space="0" w:color="auto"/>
            </w:tcBorders>
            <w:shd w:val="clear" w:color="auto" w:fill="D9D9D9" w:themeFill="background1" w:themeFillShade="D9"/>
            <w:vAlign w:val="center"/>
          </w:tcPr>
          <w:p w14:paraId="49831B0F" w14:textId="77777777" w:rsidR="00FE3EAF" w:rsidRPr="00FE3EAF" w:rsidRDefault="00FE3EAF" w:rsidP="008053E5">
            <w:pPr>
              <w:jc w:val="center"/>
              <w:rPr>
                <w:rFonts w:eastAsia="Calibri"/>
                <w:b/>
                <w:szCs w:val="24"/>
              </w:rPr>
            </w:pPr>
            <w:r w:rsidRPr="00FE3EAF">
              <w:rPr>
                <w:rFonts w:eastAsia="Calibri"/>
                <w:b/>
                <w:szCs w:val="24"/>
              </w:rPr>
              <w:t>CT Segment</w:t>
            </w:r>
          </w:p>
          <w:p w14:paraId="45B1DD20" w14:textId="77777777" w:rsidR="00FE3EAF" w:rsidRPr="00FE3EAF" w:rsidRDefault="00FE3EAF" w:rsidP="008053E5">
            <w:pPr>
              <w:jc w:val="center"/>
              <w:rPr>
                <w:rFonts w:eastAsia="Calibri"/>
                <w:b/>
                <w:szCs w:val="24"/>
              </w:rPr>
            </w:pPr>
            <w:r w:rsidRPr="00FE3EAF">
              <w:rPr>
                <w:rFonts w:eastAsia="Calibri"/>
                <w:b/>
                <w:szCs w:val="24"/>
              </w:rPr>
              <w:t>The Stayers</w:t>
            </w:r>
          </w:p>
          <w:p w14:paraId="537CE3D3" w14:textId="77777777" w:rsidR="00FE3EAF" w:rsidRPr="00FE3EAF" w:rsidRDefault="00FE3EAF" w:rsidP="008053E5">
            <w:pPr>
              <w:jc w:val="center"/>
              <w:rPr>
                <w:rFonts w:eastAsia="Calibri"/>
                <w:b/>
                <w:szCs w:val="24"/>
              </w:rPr>
            </w:pPr>
            <w:r w:rsidRPr="00FE3EAF">
              <w:rPr>
                <w:rFonts w:eastAsia="Calibri"/>
                <w:b/>
                <w:szCs w:val="24"/>
              </w:rPr>
              <w:t>(base)</w:t>
            </w:r>
          </w:p>
        </w:tc>
      </w:tr>
      <w:tr w:rsidR="00FE3EAF" w:rsidRPr="00FE3EAF" w14:paraId="4A63BC23" w14:textId="77777777" w:rsidTr="008053E5">
        <w:tc>
          <w:tcPr>
            <w:tcW w:w="5205" w:type="dxa"/>
            <w:vMerge/>
            <w:tcBorders>
              <w:left w:val="double" w:sz="4" w:space="0" w:color="auto"/>
              <w:bottom w:val="double" w:sz="4" w:space="0" w:color="auto"/>
            </w:tcBorders>
            <w:shd w:val="clear" w:color="auto" w:fill="BFBFBF"/>
            <w:vAlign w:val="center"/>
          </w:tcPr>
          <w:p w14:paraId="31B3E6D6" w14:textId="77777777" w:rsidR="00FE3EAF" w:rsidRPr="00FE3EAF" w:rsidRDefault="00FE3EAF" w:rsidP="008053E5">
            <w:pPr>
              <w:jc w:val="center"/>
              <w:rPr>
                <w:rFonts w:eastAsia="Calibri"/>
                <w:b/>
                <w:szCs w:val="24"/>
              </w:rPr>
            </w:pPr>
          </w:p>
        </w:tc>
        <w:tc>
          <w:tcPr>
            <w:tcW w:w="1041" w:type="dxa"/>
            <w:tcBorders>
              <w:bottom w:val="double" w:sz="4" w:space="0" w:color="auto"/>
            </w:tcBorders>
            <w:shd w:val="clear" w:color="auto" w:fill="D9D9D9" w:themeFill="background1" w:themeFillShade="D9"/>
            <w:vAlign w:val="center"/>
          </w:tcPr>
          <w:p w14:paraId="5DAB5F34" w14:textId="77777777" w:rsidR="00FE3EAF" w:rsidRPr="00FE3EAF" w:rsidRDefault="00FE3EAF" w:rsidP="008053E5">
            <w:pPr>
              <w:jc w:val="center"/>
              <w:rPr>
                <w:rFonts w:eastAsia="Calibri"/>
                <w:b/>
                <w:szCs w:val="24"/>
              </w:rPr>
            </w:pPr>
            <w:r w:rsidRPr="00FE3EAF">
              <w:rPr>
                <w:rFonts w:eastAsia="Calibri"/>
                <w:b/>
                <w:szCs w:val="24"/>
              </w:rPr>
              <w:t>Coeff.</w:t>
            </w:r>
          </w:p>
        </w:tc>
        <w:tc>
          <w:tcPr>
            <w:tcW w:w="854" w:type="dxa"/>
            <w:tcBorders>
              <w:bottom w:val="double" w:sz="4" w:space="0" w:color="auto"/>
            </w:tcBorders>
            <w:shd w:val="clear" w:color="auto" w:fill="D9D9D9" w:themeFill="background1" w:themeFillShade="D9"/>
            <w:vAlign w:val="center"/>
          </w:tcPr>
          <w:p w14:paraId="12704854" w14:textId="77777777" w:rsidR="00FE3EAF" w:rsidRPr="00FE3EAF" w:rsidRDefault="00FE3EAF" w:rsidP="008053E5">
            <w:pPr>
              <w:jc w:val="center"/>
              <w:rPr>
                <w:rFonts w:eastAsia="Calibri"/>
                <w:b/>
                <w:szCs w:val="24"/>
              </w:rPr>
            </w:pPr>
            <w:r w:rsidRPr="00FE3EAF">
              <w:rPr>
                <w:rFonts w:eastAsia="Calibri"/>
                <w:b/>
                <w:szCs w:val="24"/>
              </w:rPr>
              <w:t>t-stat</w:t>
            </w:r>
          </w:p>
        </w:tc>
        <w:tc>
          <w:tcPr>
            <w:tcW w:w="1846" w:type="dxa"/>
            <w:vMerge/>
            <w:tcBorders>
              <w:bottom w:val="double" w:sz="4" w:space="0" w:color="auto"/>
              <w:right w:val="double" w:sz="4" w:space="0" w:color="auto"/>
            </w:tcBorders>
            <w:shd w:val="clear" w:color="auto" w:fill="BFBFBF"/>
          </w:tcPr>
          <w:p w14:paraId="78936A58" w14:textId="77777777" w:rsidR="00FE3EAF" w:rsidRPr="00FE3EAF" w:rsidRDefault="00FE3EAF" w:rsidP="008053E5">
            <w:pPr>
              <w:jc w:val="left"/>
              <w:rPr>
                <w:rFonts w:eastAsia="Calibri"/>
                <w:b/>
                <w:szCs w:val="24"/>
              </w:rPr>
            </w:pPr>
          </w:p>
        </w:tc>
      </w:tr>
      <w:tr w:rsidR="00FE3EAF" w:rsidRPr="00FE3EAF" w14:paraId="3218ADF3" w14:textId="77777777" w:rsidTr="008053E5">
        <w:trPr>
          <w:trHeight w:val="432"/>
        </w:trPr>
        <w:tc>
          <w:tcPr>
            <w:tcW w:w="5205" w:type="dxa"/>
            <w:tcBorders>
              <w:top w:val="double" w:sz="4" w:space="0" w:color="auto"/>
              <w:left w:val="double" w:sz="4" w:space="0" w:color="auto"/>
              <w:bottom w:val="nil"/>
            </w:tcBorders>
          </w:tcPr>
          <w:p w14:paraId="6F356274" w14:textId="586C1A9D" w:rsidR="00FE3EAF" w:rsidRPr="00FE3EAF" w:rsidRDefault="00FE3EAF" w:rsidP="008053E5">
            <w:pPr>
              <w:jc w:val="left"/>
              <w:rPr>
                <w:rFonts w:eastAsia="Calibri"/>
                <w:b/>
                <w:i/>
                <w:szCs w:val="24"/>
                <w:u w:val="single"/>
              </w:rPr>
            </w:pPr>
            <w:r w:rsidRPr="00FE3EAF">
              <w:rPr>
                <w:rFonts w:eastAsia="Calibri"/>
                <w:b/>
                <w:i/>
                <w:szCs w:val="24"/>
                <w:u w:val="single"/>
              </w:rPr>
              <w:t xml:space="preserve">Individual and </w:t>
            </w:r>
            <w:r w:rsidR="00055B8A">
              <w:rPr>
                <w:rFonts w:eastAsia="Calibri"/>
                <w:b/>
                <w:i/>
                <w:szCs w:val="24"/>
                <w:u w:val="single"/>
              </w:rPr>
              <w:t>H</w:t>
            </w:r>
            <w:r w:rsidRPr="00FE3EAF">
              <w:rPr>
                <w:rFonts w:eastAsia="Calibri"/>
                <w:b/>
                <w:i/>
                <w:szCs w:val="24"/>
                <w:u w:val="single"/>
              </w:rPr>
              <w:t>ousehold-level Characteristics</w:t>
            </w:r>
          </w:p>
        </w:tc>
        <w:tc>
          <w:tcPr>
            <w:tcW w:w="1041" w:type="dxa"/>
            <w:tcBorders>
              <w:top w:val="double" w:sz="4" w:space="0" w:color="auto"/>
              <w:bottom w:val="nil"/>
            </w:tcBorders>
          </w:tcPr>
          <w:p w14:paraId="6E0EF0E0" w14:textId="77777777" w:rsidR="00FE3EAF" w:rsidRPr="00FE3EAF" w:rsidRDefault="00FE3EAF" w:rsidP="008053E5">
            <w:pPr>
              <w:jc w:val="right"/>
              <w:rPr>
                <w:rFonts w:eastAsia="Calibri"/>
                <w:szCs w:val="24"/>
              </w:rPr>
            </w:pPr>
          </w:p>
        </w:tc>
        <w:tc>
          <w:tcPr>
            <w:tcW w:w="854" w:type="dxa"/>
            <w:tcBorders>
              <w:top w:val="double" w:sz="4" w:space="0" w:color="auto"/>
              <w:bottom w:val="nil"/>
            </w:tcBorders>
          </w:tcPr>
          <w:p w14:paraId="4E3BC194" w14:textId="77777777" w:rsidR="00FE3EAF" w:rsidRPr="00FE3EAF" w:rsidRDefault="00FE3EAF" w:rsidP="008053E5">
            <w:pPr>
              <w:jc w:val="right"/>
              <w:rPr>
                <w:rFonts w:eastAsia="Calibri"/>
                <w:szCs w:val="24"/>
              </w:rPr>
            </w:pPr>
          </w:p>
        </w:tc>
        <w:tc>
          <w:tcPr>
            <w:tcW w:w="1846" w:type="dxa"/>
            <w:tcBorders>
              <w:top w:val="double" w:sz="4" w:space="0" w:color="auto"/>
              <w:bottom w:val="nil"/>
              <w:right w:val="double" w:sz="4" w:space="0" w:color="auto"/>
            </w:tcBorders>
          </w:tcPr>
          <w:p w14:paraId="657E1C83" w14:textId="77777777" w:rsidR="00FE3EAF" w:rsidRPr="00FE3EAF" w:rsidRDefault="00FE3EAF" w:rsidP="008053E5">
            <w:pPr>
              <w:jc w:val="center"/>
              <w:rPr>
                <w:rFonts w:eastAsia="Calibri"/>
                <w:szCs w:val="24"/>
              </w:rPr>
            </w:pPr>
          </w:p>
        </w:tc>
      </w:tr>
      <w:tr w:rsidR="00FE3EAF" w:rsidRPr="00FE3EAF" w14:paraId="2EA87AB4" w14:textId="77777777" w:rsidTr="008053E5">
        <w:trPr>
          <w:trHeight w:val="432"/>
        </w:trPr>
        <w:tc>
          <w:tcPr>
            <w:tcW w:w="5205" w:type="dxa"/>
            <w:tcBorders>
              <w:top w:val="nil"/>
              <w:left w:val="double" w:sz="4" w:space="0" w:color="auto"/>
              <w:bottom w:val="nil"/>
            </w:tcBorders>
          </w:tcPr>
          <w:p w14:paraId="77D60D61" w14:textId="11AC01BA" w:rsidR="00FE3EAF" w:rsidRPr="00FE3EAF" w:rsidRDefault="00FE3EAF" w:rsidP="008053E5">
            <w:pPr>
              <w:jc w:val="left"/>
              <w:rPr>
                <w:rFonts w:eastAsia="Calibri"/>
                <w:b/>
                <w:i/>
                <w:szCs w:val="24"/>
              </w:rPr>
            </w:pPr>
            <w:bookmarkStart w:id="65" w:name="_Hlk137713598"/>
            <w:r w:rsidRPr="00FE3EAF">
              <w:rPr>
                <w:rFonts w:eastAsia="Calibri"/>
                <w:b/>
                <w:szCs w:val="24"/>
              </w:rPr>
              <w:t>Gendered lifecycle variables</w:t>
            </w:r>
            <w:bookmarkEnd w:id="65"/>
          </w:p>
        </w:tc>
        <w:tc>
          <w:tcPr>
            <w:tcW w:w="1041" w:type="dxa"/>
            <w:tcBorders>
              <w:top w:val="nil"/>
              <w:bottom w:val="nil"/>
            </w:tcBorders>
          </w:tcPr>
          <w:p w14:paraId="69CC34BA" w14:textId="77777777" w:rsidR="00FE3EAF" w:rsidRPr="00FE3EAF" w:rsidRDefault="00FE3EAF" w:rsidP="008053E5">
            <w:pPr>
              <w:jc w:val="right"/>
              <w:rPr>
                <w:rFonts w:eastAsia="Calibri"/>
                <w:szCs w:val="24"/>
              </w:rPr>
            </w:pPr>
          </w:p>
        </w:tc>
        <w:tc>
          <w:tcPr>
            <w:tcW w:w="854" w:type="dxa"/>
            <w:tcBorders>
              <w:top w:val="nil"/>
              <w:bottom w:val="nil"/>
            </w:tcBorders>
          </w:tcPr>
          <w:p w14:paraId="5A0FB263" w14:textId="77777777" w:rsidR="00FE3EAF" w:rsidRPr="00FE3EAF" w:rsidRDefault="00FE3EAF" w:rsidP="008053E5">
            <w:pPr>
              <w:jc w:val="right"/>
              <w:rPr>
                <w:rFonts w:eastAsia="Calibri"/>
                <w:szCs w:val="24"/>
              </w:rPr>
            </w:pPr>
          </w:p>
        </w:tc>
        <w:tc>
          <w:tcPr>
            <w:tcW w:w="1846" w:type="dxa"/>
            <w:tcBorders>
              <w:top w:val="nil"/>
              <w:bottom w:val="nil"/>
              <w:right w:val="double" w:sz="4" w:space="0" w:color="auto"/>
            </w:tcBorders>
          </w:tcPr>
          <w:p w14:paraId="273B729B" w14:textId="77777777" w:rsidR="00FE3EAF" w:rsidRPr="00FE3EAF" w:rsidRDefault="00FE3EAF" w:rsidP="008053E5">
            <w:pPr>
              <w:jc w:val="center"/>
              <w:rPr>
                <w:rFonts w:eastAsia="Calibri"/>
                <w:szCs w:val="24"/>
              </w:rPr>
            </w:pPr>
          </w:p>
        </w:tc>
      </w:tr>
      <w:tr w:rsidR="00FE3EAF" w:rsidRPr="00FE3EAF" w14:paraId="2D70A07D" w14:textId="77777777" w:rsidTr="008053E5">
        <w:trPr>
          <w:trHeight w:val="432"/>
        </w:trPr>
        <w:tc>
          <w:tcPr>
            <w:tcW w:w="5205" w:type="dxa"/>
            <w:tcBorders>
              <w:top w:val="nil"/>
              <w:left w:val="double" w:sz="4" w:space="0" w:color="auto"/>
              <w:bottom w:val="nil"/>
            </w:tcBorders>
          </w:tcPr>
          <w:p w14:paraId="10780F6E" w14:textId="77777777" w:rsidR="00FE3EAF" w:rsidRPr="00FE3EAF" w:rsidRDefault="00FE3EAF" w:rsidP="008053E5">
            <w:pPr>
              <w:jc w:val="left"/>
              <w:rPr>
                <w:rFonts w:eastAsia="Calibri"/>
                <w:b/>
                <w:i/>
                <w:szCs w:val="24"/>
              </w:rPr>
            </w:pPr>
            <w:r w:rsidRPr="00FE3EAF">
              <w:rPr>
                <w:rFonts w:eastAsia="Calibri"/>
                <w:bCs/>
                <w:szCs w:val="24"/>
              </w:rPr>
              <w:t xml:space="preserve"> Presence of child(ren) aged 12 years or less</w:t>
            </w:r>
          </w:p>
        </w:tc>
        <w:tc>
          <w:tcPr>
            <w:tcW w:w="1041" w:type="dxa"/>
            <w:tcBorders>
              <w:top w:val="nil"/>
              <w:bottom w:val="nil"/>
            </w:tcBorders>
          </w:tcPr>
          <w:p w14:paraId="68F49FBD" w14:textId="77777777" w:rsidR="00FE3EAF" w:rsidRPr="00FE3EAF" w:rsidRDefault="00FE3EAF" w:rsidP="008053E5">
            <w:pPr>
              <w:jc w:val="right"/>
              <w:rPr>
                <w:rFonts w:eastAsia="Calibri"/>
                <w:szCs w:val="24"/>
              </w:rPr>
            </w:pPr>
            <w:r w:rsidRPr="00FE3EAF">
              <w:rPr>
                <w:rFonts w:eastAsia="Calibri"/>
                <w:szCs w:val="24"/>
              </w:rPr>
              <w:t>-0.507</w:t>
            </w:r>
          </w:p>
        </w:tc>
        <w:tc>
          <w:tcPr>
            <w:tcW w:w="854" w:type="dxa"/>
            <w:tcBorders>
              <w:top w:val="nil"/>
              <w:bottom w:val="nil"/>
            </w:tcBorders>
          </w:tcPr>
          <w:p w14:paraId="0BA0F905" w14:textId="77777777" w:rsidR="00FE3EAF" w:rsidRPr="00FE3EAF" w:rsidRDefault="00FE3EAF" w:rsidP="008053E5">
            <w:pPr>
              <w:jc w:val="right"/>
              <w:rPr>
                <w:rFonts w:eastAsia="Calibri"/>
                <w:szCs w:val="24"/>
              </w:rPr>
            </w:pPr>
            <w:r w:rsidRPr="00FE3EAF">
              <w:rPr>
                <w:rFonts w:eastAsia="Calibri"/>
                <w:szCs w:val="24"/>
              </w:rPr>
              <w:t>-1.28</w:t>
            </w:r>
          </w:p>
        </w:tc>
        <w:tc>
          <w:tcPr>
            <w:tcW w:w="1846" w:type="dxa"/>
            <w:tcBorders>
              <w:top w:val="nil"/>
              <w:bottom w:val="nil"/>
              <w:right w:val="double" w:sz="4" w:space="0" w:color="auto"/>
            </w:tcBorders>
          </w:tcPr>
          <w:p w14:paraId="397DE2C0" w14:textId="77777777" w:rsidR="00FE3EAF" w:rsidRPr="00FE3EAF" w:rsidRDefault="00FE3EAF" w:rsidP="008053E5">
            <w:pPr>
              <w:jc w:val="center"/>
              <w:rPr>
                <w:rFonts w:eastAsia="Calibri"/>
                <w:szCs w:val="24"/>
              </w:rPr>
            </w:pPr>
            <w:r w:rsidRPr="00FE3EAF">
              <w:rPr>
                <w:rFonts w:eastAsia="Calibri"/>
                <w:szCs w:val="24"/>
              </w:rPr>
              <w:t>--</w:t>
            </w:r>
          </w:p>
        </w:tc>
      </w:tr>
      <w:tr w:rsidR="00FE3EAF" w:rsidRPr="00FE3EAF" w14:paraId="74D31C23" w14:textId="77777777" w:rsidTr="008053E5">
        <w:trPr>
          <w:trHeight w:val="432"/>
        </w:trPr>
        <w:tc>
          <w:tcPr>
            <w:tcW w:w="5205" w:type="dxa"/>
            <w:tcBorders>
              <w:top w:val="nil"/>
              <w:left w:val="double" w:sz="4" w:space="0" w:color="auto"/>
              <w:bottom w:val="nil"/>
            </w:tcBorders>
          </w:tcPr>
          <w:p w14:paraId="54C9B2DA" w14:textId="77777777" w:rsidR="00FE3EAF" w:rsidRPr="00FE3EAF" w:rsidRDefault="00FE3EAF" w:rsidP="008053E5">
            <w:pPr>
              <w:jc w:val="left"/>
              <w:rPr>
                <w:rFonts w:eastAsia="Calibri"/>
                <w:b/>
                <w:szCs w:val="24"/>
              </w:rPr>
            </w:pPr>
            <w:r w:rsidRPr="00FE3EAF">
              <w:rPr>
                <w:rFonts w:eastAsia="Calibri"/>
                <w:szCs w:val="24"/>
              </w:rPr>
              <w:t xml:space="preserve"> Lives with partner</w:t>
            </w:r>
          </w:p>
        </w:tc>
        <w:tc>
          <w:tcPr>
            <w:tcW w:w="1041" w:type="dxa"/>
            <w:tcBorders>
              <w:top w:val="nil"/>
              <w:bottom w:val="nil"/>
            </w:tcBorders>
          </w:tcPr>
          <w:p w14:paraId="58DF2E0F" w14:textId="77777777" w:rsidR="00FE3EAF" w:rsidRPr="00FE3EAF" w:rsidRDefault="00FE3EAF" w:rsidP="008053E5">
            <w:pPr>
              <w:jc w:val="right"/>
              <w:rPr>
                <w:rFonts w:eastAsia="Calibri"/>
                <w:szCs w:val="24"/>
              </w:rPr>
            </w:pPr>
            <w:r w:rsidRPr="00FE3EAF">
              <w:rPr>
                <w:rFonts w:eastAsia="Calibri"/>
                <w:szCs w:val="24"/>
              </w:rPr>
              <w:t>-0.812</w:t>
            </w:r>
          </w:p>
        </w:tc>
        <w:tc>
          <w:tcPr>
            <w:tcW w:w="854" w:type="dxa"/>
            <w:tcBorders>
              <w:top w:val="nil"/>
              <w:bottom w:val="nil"/>
            </w:tcBorders>
          </w:tcPr>
          <w:p w14:paraId="04F6DFA0" w14:textId="77777777" w:rsidR="00FE3EAF" w:rsidRPr="00FE3EAF" w:rsidRDefault="00FE3EAF" w:rsidP="008053E5">
            <w:pPr>
              <w:jc w:val="right"/>
              <w:rPr>
                <w:rFonts w:eastAsia="Calibri"/>
                <w:szCs w:val="24"/>
              </w:rPr>
            </w:pPr>
            <w:r w:rsidRPr="00FE3EAF">
              <w:rPr>
                <w:rFonts w:eastAsia="Calibri"/>
                <w:szCs w:val="24"/>
              </w:rPr>
              <w:t>-2.85</w:t>
            </w:r>
          </w:p>
        </w:tc>
        <w:tc>
          <w:tcPr>
            <w:tcW w:w="1846" w:type="dxa"/>
            <w:tcBorders>
              <w:top w:val="nil"/>
              <w:bottom w:val="nil"/>
              <w:right w:val="double" w:sz="4" w:space="0" w:color="auto"/>
            </w:tcBorders>
          </w:tcPr>
          <w:p w14:paraId="0DEDBF5D" w14:textId="77777777" w:rsidR="00FE3EAF" w:rsidRPr="00FE3EAF" w:rsidRDefault="00FE3EAF" w:rsidP="008053E5">
            <w:pPr>
              <w:jc w:val="center"/>
              <w:rPr>
                <w:rFonts w:eastAsia="Calibri"/>
                <w:szCs w:val="24"/>
              </w:rPr>
            </w:pPr>
            <w:r w:rsidRPr="00FE3EAF">
              <w:rPr>
                <w:rFonts w:eastAsia="Calibri"/>
                <w:szCs w:val="24"/>
              </w:rPr>
              <w:t>--</w:t>
            </w:r>
          </w:p>
        </w:tc>
      </w:tr>
      <w:tr w:rsidR="00FE3EAF" w:rsidRPr="00FE3EAF" w14:paraId="5D18E61E" w14:textId="77777777" w:rsidTr="008053E5">
        <w:trPr>
          <w:trHeight w:val="432"/>
        </w:trPr>
        <w:tc>
          <w:tcPr>
            <w:tcW w:w="5205" w:type="dxa"/>
            <w:tcBorders>
              <w:top w:val="nil"/>
              <w:left w:val="double" w:sz="4" w:space="0" w:color="auto"/>
              <w:bottom w:val="nil"/>
            </w:tcBorders>
          </w:tcPr>
          <w:p w14:paraId="61EB643F" w14:textId="77777777" w:rsidR="00FE3EAF" w:rsidRPr="00FE3EAF" w:rsidRDefault="00FE3EAF" w:rsidP="008053E5">
            <w:pPr>
              <w:jc w:val="left"/>
              <w:rPr>
                <w:rFonts w:eastAsia="Calibri"/>
                <w:b/>
                <w:szCs w:val="24"/>
              </w:rPr>
            </w:pPr>
            <w:r w:rsidRPr="00FE3EAF">
              <w:rPr>
                <w:rFonts w:eastAsia="Calibri"/>
                <w:b/>
                <w:szCs w:val="24"/>
              </w:rPr>
              <w:t>Age (65 years or older)</w:t>
            </w:r>
          </w:p>
        </w:tc>
        <w:tc>
          <w:tcPr>
            <w:tcW w:w="1041" w:type="dxa"/>
            <w:tcBorders>
              <w:top w:val="nil"/>
              <w:bottom w:val="nil"/>
            </w:tcBorders>
          </w:tcPr>
          <w:p w14:paraId="1E71B6B5" w14:textId="77777777" w:rsidR="00FE3EAF" w:rsidRPr="00FE3EAF" w:rsidRDefault="00FE3EAF" w:rsidP="008053E5">
            <w:pPr>
              <w:jc w:val="right"/>
              <w:rPr>
                <w:rFonts w:eastAsia="Calibri"/>
                <w:szCs w:val="24"/>
              </w:rPr>
            </w:pPr>
          </w:p>
        </w:tc>
        <w:tc>
          <w:tcPr>
            <w:tcW w:w="854" w:type="dxa"/>
            <w:tcBorders>
              <w:top w:val="nil"/>
              <w:bottom w:val="nil"/>
            </w:tcBorders>
          </w:tcPr>
          <w:p w14:paraId="0B7AEDDD" w14:textId="77777777" w:rsidR="00FE3EAF" w:rsidRPr="00FE3EAF" w:rsidRDefault="00FE3EAF" w:rsidP="008053E5">
            <w:pPr>
              <w:jc w:val="right"/>
              <w:rPr>
                <w:rFonts w:eastAsia="Calibri"/>
                <w:szCs w:val="24"/>
              </w:rPr>
            </w:pPr>
          </w:p>
        </w:tc>
        <w:tc>
          <w:tcPr>
            <w:tcW w:w="1846" w:type="dxa"/>
            <w:tcBorders>
              <w:top w:val="nil"/>
              <w:bottom w:val="nil"/>
              <w:right w:val="double" w:sz="4" w:space="0" w:color="auto"/>
            </w:tcBorders>
          </w:tcPr>
          <w:p w14:paraId="0603DBEE" w14:textId="77777777" w:rsidR="00FE3EAF" w:rsidRPr="00FE3EAF" w:rsidRDefault="00FE3EAF" w:rsidP="008053E5">
            <w:pPr>
              <w:jc w:val="center"/>
              <w:rPr>
                <w:rFonts w:eastAsia="Calibri"/>
                <w:szCs w:val="24"/>
              </w:rPr>
            </w:pPr>
          </w:p>
        </w:tc>
      </w:tr>
      <w:tr w:rsidR="00FE3EAF" w:rsidRPr="00FE3EAF" w14:paraId="1A35C6B5" w14:textId="77777777" w:rsidTr="008053E5">
        <w:trPr>
          <w:trHeight w:val="432"/>
        </w:trPr>
        <w:tc>
          <w:tcPr>
            <w:tcW w:w="5205" w:type="dxa"/>
            <w:tcBorders>
              <w:top w:val="nil"/>
              <w:left w:val="double" w:sz="4" w:space="0" w:color="auto"/>
              <w:bottom w:val="nil"/>
            </w:tcBorders>
          </w:tcPr>
          <w:p w14:paraId="1F40F0A1" w14:textId="77777777" w:rsidR="00FE3EAF" w:rsidRPr="00FE3EAF" w:rsidRDefault="00FE3EAF" w:rsidP="008053E5">
            <w:pPr>
              <w:jc w:val="left"/>
              <w:rPr>
                <w:rFonts w:eastAsia="Calibri"/>
                <w:bCs/>
                <w:szCs w:val="24"/>
              </w:rPr>
            </w:pPr>
            <w:r w:rsidRPr="00FE3EAF">
              <w:rPr>
                <w:rFonts w:eastAsia="Calibri"/>
                <w:bCs/>
                <w:szCs w:val="24"/>
              </w:rPr>
              <w:t xml:space="preserve"> 18 to 29 years old</w:t>
            </w:r>
          </w:p>
        </w:tc>
        <w:tc>
          <w:tcPr>
            <w:tcW w:w="1041" w:type="dxa"/>
            <w:tcBorders>
              <w:top w:val="nil"/>
              <w:bottom w:val="nil"/>
            </w:tcBorders>
          </w:tcPr>
          <w:p w14:paraId="195C2143" w14:textId="77777777" w:rsidR="00FE3EAF" w:rsidRPr="00FE3EAF" w:rsidRDefault="00FE3EAF" w:rsidP="008053E5">
            <w:pPr>
              <w:jc w:val="right"/>
              <w:rPr>
                <w:rFonts w:eastAsia="Calibri"/>
                <w:szCs w:val="24"/>
              </w:rPr>
            </w:pPr>
            <w:r w:rsidRPr="00FE3EAF">
              <w:rPr>
                <w:rFonts w:eastAsia="Calibri"/>
                <w:szCs w:val="24"/>
              </w:rPr>
              <w:t>0.795</w:t>
            </w:r>
          </w:p>
        </w:tc>
        <w:tc>
          <w:tcPr>
            <w:tcW w:w="854" w:type="dxa"/>
            <w:tcBorders>
              <w:top w:val="nil"/>
              <w:bottom w:val="nil"/>
            </w:tcBorders>
          </w:tcPr>
          <w:p w14:paraId="7E74D9D5" w14:textId="77777777" w:rsidR="00FE3EAF" w:rsidRPr="00FE3EAF" w:rsidRDefault="00FE3EAF" w:rsidP="008053E5">
            <w:pPr>
              <w:jc w:val="right"/>
              <w:rPr>
                <w:rFonts w:eastAsia="Calibri"/>
                <w:szCs w:val="24"/>
              </w:rPr>
            </w:pPr>
            <w:r w:rsidRPr="00FE3EAF">
              <w:rPr>
                <w:rFonts w:eastAsia="Calibri"/>
                <w:szCs w:val="24"/>
              </w:rPr>
              <w:t>1.41</w:t>
            </w:r>
          </w:p>
        </w:tc>
        <w:tc>
          <w:tcPr>
            <w:tcW w:w="1846" w:type="dxa"/>
            <w:tcBorders>
              <w:top w:val="nil"/>
              <w:bottom w:val="nil"/>
              <w:right w:val="double" w:sz="4" w:space="0" w:color="auto"/>
            </w:tcBorders>
          </w:tcPr>
          <w:p w14:paraId="63D5C00E" w14:textId="77777777" w:rsidR="00FE3EAF" w:rsidRPr="00FE3EAF" w:rsidRDefault="00FE3EAF" w:rsidP="008053E5">
            <w:pPr>
              <w:jc w:val="center"/>
              <w:rPr>
                <w:rFonts w:eastAsia="Calibri"/>
                <w:szCs w:val="24"/>
              </w:rPr>
            </w:pPr>
            <w:r w:rsidRPr="00FE3EAF">
              <w:rPr>
                <w:rFonts w:eastAsia="Calibri"/>
                <w:szCs w:val="24"/>
              </w:rPr>
              <w:t>--</w:t>
            </w:r>
          </w:p>
        </w:tc>
      </w:tr>
      <w:tr w:rsidR="00FE3EAF" w:rsidRPr="00FE3EAF" w14:paraId="0403A5B8" w14:textId="77777777" w:rsidTr="008053E5">
        <w:trPr>
          <w:trHeight w:val="432"/>
        </w:trPr>
        <w:tc>
          <w:tcPr>
            <w:tcW w:w="5205" w:type="dxa"/>
            <w:tcBorders>
              <w:top w:val="nil"/>
              <w:left w:val="double" w:sz="4" w:space="0" w:color="auto"/>
              <w:bottom w:val="nil"/>
            </w:tcBorders>
          </w:tcPr>
          <w:p w14:paraId="1C14DDA1" w14:textId="77777777" w:rsidR="00FE3EAF" w:rsidRPr="00FE3EAF" w:rsidRDefault="00FE3EAF" w:rsidP="008053E5">
            <w:pPr>
              <w:jc w:val="left"/>
              <w:rPr>
                <w:rFonts w:eastAsia="Calibri"/>
                <w:b/>
                <w:szCs w:val="24"/>
              </w:rPr>
            </w:pPr>
            <w:r w:rsidRPr="00FE3EAF">
              <w:rPr>
                <w:rFonts w:eastAsia="Calibri"/>
                <w:b/>
                <w:szCs w:val="24"/>
              </w:rPr>
              <w:t>Income ($50,000 or more)</w:t>
            </w:r>
          </w:p>
        </w:tc>
        <w:tc>
          <w:tcPr>
            <w:tcW w:w="1041" w:type="dxa"/>
            <w:tcBorders>
              <w:top w:val="nil"/>
              <w:bottom w:val="nil"/>
            </w:tcBorders>
          </w:tcPr>
          <w:p w14:paraId="67873517" w14:textId="77777777" w:rsidR="00FE3EAF" w:rsidRPr="00FE3EAF" w:rsidRDefault="00FE3EAF" w:rsidP="008053E5">
            <w:pPr>
              <w:jc w:val="right"/>
              <w:rPr>
                <w:rFonts w:eastAsia="Calibri"/>
                <w:szCs w:val="24"/>
              </w:rPr>
            </w:pPr>
          </w:p>
        </w:tc>
        <w:tc>
          <w:tcPr>
            <w:tcW w:w="854" w:type="dxa"/>
            <w:tcBorders>
              <w:top w:val="nil"/>
              <w:bottom w:val="nil"/>
            </w:tcBorders>
          </w:tcPr>
          <w:p w14:paraId="490C97C2" w14:textId="77777777" w:rsidR="00FE3EAF" w:rsidRPr="00FE3EAF" w:rsidRDefault="00FE3EAF" w:rsidP="008053E5">
            <w:pPr>
              <w:jc w:val="right"/>
              <w:rPr>
                <w:rFonts w:eastAsia="Calibri"/>
                <w:szCs w:val="24"/>
              </w:rPr>
            </w:pPr>
          </w:p>
        </w:tc>
        <w:tc>
          <w:tcPr>
            <w:tcW w:w="1846" w:type="dxa"/>
            <w:tcBorders>
              <w:top w:val="nil"/>
              <w:bottom w:val="nil"/>
              <w:right w:val="double" w:sz="4" w:space="0" w:color="auto"/>
            </w:tcBorders>
          </w:tcPr>
          <w:p w14:paraId="0326D69B" w14:textId="77777777" w:rsidR="00FE3EAF" w:rsidRPr="00FE3EAF" w:rsidRDefault="00FE3EAF" w:rsidP="008053E5">
            <w:pPr>
              <w:jc w:val="center"/>
              <w:rPr>
                <w:rFonts w:eastAsia="Calibri"/>
                <w:szCs w:val="24"/>
              </w:rPr>
            </w:pPr>
          </w:p>
        </w:tc>
      </w:tr>
      <w:tr w:rsidR="00FE3EAF" w:rsidRPr="00FE3EAF" w14:paraId="5C11500F" w14:textId="77777777" w:rsidTr="008053E5">
        <w:trPr>
          <w:trHeight w:val="432"/>
        </w:trPr>
        <w:tc>
          <w:tcPr>
            <w:tcW w:w="5205" w:type="dxa"/>
            <w:tcBorders>
              <w:top w:val="nil"/>
              <w:left w:val="double" w:sz="4" w:space="0" w:color="auto"/>
              <w:bottom w:val="nil"/>
            </w:tcBorders>
          </w:tcPr>
          <w:p w14:paraId="1AF93A2C" w14:textId="77777777" w:rsidR="00FE3EAF" w:rsidRPr="00FE3EAF" w:rsidRDefault="00FE3EAF" w:rsidP="008053E5">
            <w:pPr>
              <w:jc w:val="left"/>
              <w:rPr>
                <w:rFonts w:eastAsia="Calibri"/>
                <w:b/>
                <w:szCs w:val="24"/>
              </w:rPr>
            </w:pPr>
            <w:r w:rsidRPr="00FE3EAF">
              <w:rPr>
                <w:rFonts w:eastAsia="Calibri"/>
                <w:szCs w:val="24"/>
              </w:rPr>
              <w:t xml:space="preserve"> Less than $50,000</w:t>
            </w:r>
          </w:p>
        </w:tc>
        <w:tc>
          <w:tcPr>
            <w:tcW w:w="1041" w:type="dxa"/>
            <w:tcBorders>
              <w:top w:val="nil"/>
              <w:bottom w:val="nil"/>
            </w:tcBorders>
          </w:tcPr>
          <w:p w14:paraId="6639688A" w14:textId="77777777" w:rsidR="00FE3EAF" w:rsidRPr="00FE3EAF" w:rsidRDefault="00FE3EAF" w:rsidP="008053E5">
            <w:pPr>
              <w:jc w:val="right"/>
              <w:rPr>
                <w:rFonts w:eastAsia="Calibri"/>
                <w:szCs w:val="24"/>
              </w:rPr>
            </w:pPr>
            <w:r w:rsidRPr="00FE3EAF">
              <w:rPr>
                <w:rFonts w:eastAsia="Calibri"/>
                <w:szCs w:val="24"/>
              </w:rPr>
              <w:t>0.798</w:t>
            </w:r>
          </w:p>
        </w:tc>
        <w:tc>
          <w:tcPr>
            <w:tcW w:w="854" w:type="dxa"/>
            <w:tcBorders>
              <w:top w:val="nil"/>
              <w:bottom w:val="nil"/>
            </w:tcBorders>
          </w:tcPr>
          <w:p w14:paraId="436C5A6D" w14:textId="77777777" w:rsidR="00FE3EAF" w:rsidRPr="00FE3EAF" w:rsidRDefault="00FE3EAF" w:rsidP="008053E5">
            <w:pPr>
              <w:jc w:val="right"/>
              <w:rPr>
                <w:rFonts w:eastAsia="Calibri"/>
                <w:szCs w:val="24"/>
              </w:rPr>
            </w:pPr>
            <w:r w:rsidRPr="00FE3EAF">
              <w:rPr>
                <w:rFonts w:eastAsia="Calibri"/>
                <w:szCs w:val="24"/>
              </w:rPr>
              <w:t>1.61</w:t>
            </w:r>
          </w:p>
        </w:tc>
        <w:tc>
          <w:tcPr>
            <w:tcW w:w="1846" w:type="dxa"/>
            <w:tcBorders>
              <w:top w:val="nil"/>
              <w:bottom w:val="nil"/>
              <w:right w:val="double" w:sz="4" w:space="0" w:color="auto"/>
            </w:tcBorders>
          </w:tcPr>
          <w:p w14:paraId="2ED5D320" w14:textId="77777777" w:rsidR="00FE3EAF" w:rsidRPr="00FE3EAF" w:rsidRDefault="00FE3EAF" w:rsidP="008053E5">
            <w:pPr>
              <w:jc w:val="center"/>
              <w:rPr>
                <w:rFonts w:eastAsia="Calibri"/>
                <w:szCs w:val="24"/>
              </w:rPr>
            </w:pPr>
            <w:r w:rsidRPr="00FE3EAF">
              <w:rPr>
                <w:rFonts w:eastAsia="Calibri"/>
                <w:szCs w:val="24"/>
              </w:rPr>
              <w:t>--</w:t>
            </w:r>
          </w:p>
        </w:tc>
      </w:tr>
      <w:tr w:rsidR="00FE3EAF" w:rsidRPr="00FE3EAF" w14:paraId="1095AEAF" w14:textId="77777777" w:rsidTr="008053E5">
        <w:trPr>
          <w:trHeight w:val="432"/>
        </w:trPr>
        <w:tc>
          <w:tcPr>
            <w:tcW w:w="5205" w:type="dxa"/>
            <w:tcBorders>
              <w:top w:val="nil"/>
              <w:left w:val="double" w:sz="4" w:space="0" w:color="auto"/>
              <w:bottom w:val="nil"/>
            </w:tcBorders>
          </w:tcPr>
          <w:p w14:paraId="1F393CB2" w14:textId="77777777" w:rsidR="00FE3EAF" w:rsidRPr="00FE3EAF" w:rsidRDefault="00FE3EAF" w:rsidP="008053E5">
            <w:pPr>
              <w:jc w:val="left"/>
              <w:rPr>
                <w:rFonts w:eastAsia="Calibri"/>
                <w:b/>
                <w:i/>
                <w:szCs w:val="24"/>
                <w:u w:val="single"/>
              </w:rPr>
            </w:pPr>
            <w:r w:rsidRPr="00FE3EAF">
              <w:rPr>
                <w:rFonts w:eastAsia="Calibri"/>
                <w:b/>
                <w:i/>
                <w:szCs w:val="24"/>
                <w:u w:val="single"/>
              </w:rPr>
              <w:t>Residential Characteristic</w:t>
            </w:r>
          </w:p>
        </w:tc>
        <w:tc>
          <w:tcPr>
            <w:tcW w:w="1041" w:type="dxa"/>
            <w:tcBorders>
              <w:top w:val="nil"/>
              <w:bottom w:val="nil"/>
            </w:tcBorders>
          </w:tcPr>
          <w:p w14:paraId="71DA4C0E" w14:textId="77777777" w:rsidR="00FE3EAF" w:rsidRPr="00FE3EAF" w:rsidRDefault="00FE3EAF" w:rsidP="008053E5">
            <w:pPr>
              <w:jc w:val="right"/>
              <w:rPr>
                <w:rFonts w:eastAsia="Calibri"/>
                <w:szCs w:val="24"/>
              </w:rPr>
            </w:pPr>
          </w:p>
        </w:tc>
        <w:tc>
          <w:tcPr>
            <w:tcW w:w="854" w:type="dxa"/>
            <w:tcBorders>
              <w:top w:val="nil"/>
              <w:bottom w:val="nil"/>
            </w:tcBorders>
          </w:tcPr>
          <w:p w14:paraId="5EA4BBA8" w14:textId="77777777" w:rsidR="00FE3EAF" w:rsidRPr="00FE3EAF" w:rsidRDefault="00FE3EAF" w:rsidP="008053E5">
            <w:pPr>
              <w:jc w:val="right"/>
              <w:rPr>
                <w:rFonts w:eastAsia="Calibri"/>
                <w:szCs w:val="24"/>
              </w:rPr>
            </w:pPr>
          </w:p>
        </w:tc>
        <w:tc>
          <w:tcPr>
            <w:tcW w:w="1846" w:type="dxa"/>
            <w:tcBorders>
              <w:top w:val="nil"/>
              <w:bottom w:val="nil"/>
              <w:right w:val="double" w:sz="4" w:space="0" w:color="auto"/>
            </w:tcBorders>
          </w:tcPr>
          <w:p w14:paraId="70BFFE8F" w14:textId="77777777" w:rsidR="00FE3EAF" w:rsidRPr="00FE3EAF" w:rsidRDefault="00FE3EAF" w:rsidP="008053E5">
            <w:pPr>
              <w:jc w:val="center"/>
              <w:rPr>
                <w:rFonts w:eastAsia="Calibri"/>
                <w:szCs w:val="24"/>
              </w:rPr>
            </w:pPr>
          </w:p>
        </w:tc>
      </w:tr>
      <w:tr w:rsidR="00FE3EAF" w:rsidRPr="00FE3EAF" w14:paraId="69DAFBAD" w14:textId="77777777" w:rsidTr="008053E5">
        <w:trPr>
          <w:trHeight w:val="432"/>
        </w:trPr>
        <w:tc>
          <w:tcPr>
            <w:tcW w:w="5205" w:type="dxa"/>
            <w:tcBorders>
              <w:top w:val="nil"/>
              <w:left w:val="double" w:sz="4" w:space="0" w:color="auto"/>
              <w:bottom w:val="nil"/>
            </w:tcBorders>
          </w:tcPr>
          <w:p w14:paraId="595B376E" w14:textId="77777777" w:rsidR="00FE3EAF" w:rsidRPr="00FE3EAF" w:rsidRDefault="00FE3EAF" w:rsidP="008053E5">
            <w:pPr>
              <w:jc w:val="left"/>
              <w:rPr>
                <w:rFonts w:eastAsia="Calibri"/>
                <w:b/>
                <w:szCs w:val="24"/>
              </w:rPr>
            </w:pPr>
            <w:r w:rsidRPr="00FE3EAF">
              <w:rPr>
                <w:rFonts w:eastAsia="Calibri"/>
                <w:b/>
                <w:szCs w:val="24"/>
              </w:rPr>
              <w:t>Population Density (rural or urban)</w:t>
            </w:r>
          </w:p>
        </w:tc>
        <w:tc>
          <w:tcPr>
            <w:tcW w:w="1041" w:type="dxa"/>
            <w:tcBorders>
              <w:top w:val="nil"/>
              <w:bottom w:val="nil"/>
            </w:tcBorders>
          </w:tcPr>
          <w:p w14:paraId="1B6A5838" w14:textId="77777777" w:rsidR="00FE3EAF" w:rsidRPr="00FE3EAF" w:rsidRDefault="00FE3EAF" w:rsidP="008053E5">
            <w:pPr>
              <w:jc w:val="right"/>
              <w:rPr>
                <w:rFonts w:eastAsia="Calibri"/>
                <w:szCs w:val="24"/>
              </w:rPr>
            </w:pPr>
          </w:p>
        </w:tc>
        <w:tc>
          <w:tcPr>
            <w:tcW w:w="854" w:type="dxa"/>
            <w:tcBorders>
              <w:top w:val="nil"/>
              <w:bottom w:val="nil"/>
            </w:tcBorders>
          </w:tcPr>
          <w:p w14:paraId="59C72D57" w14:textId="77777777" w:rsidR="00FE3EAF" w:rsidRPr="00FE3EAF" w:rsidRDefault="00FE3EAF" w:rsidP="008053E5">
            <w:pPr>
              <w:jc w:val="right"/>
              <w:rPr>
                <w:rFonts w:eastAsia="Calibri"/>
                <w:szCs w:val="24"/>
              </w:rPr>
            </w:pPr>
          </w:p>
        </w:tc>
        <w:tc>
          <w:tcPr>
            <w:tcW w:w="1846" w:type="dxa"/>
            <w:tcBorders>
              <w:top w:val="nil"/>
              <w:bottom w:val="nil"/>
              <w:right w:val="double" w:sz="4" w:space="0" w:color="auto"/>
            </w:tcBorders>
          </w:tcPr>
          <w:p w14:paraId="49234A02" w14:textId="77777777" w:rsidR="00FE3EAF" w:rsidRPr="00FE3EAF" w:rsidRDefault="00FE3EAF" w:rsidP="008053E5">
            <w:pPr>
              <w:jc w:val="center"/>
              <w:rPr>
                <w:rFonts w:eastAsia="Calibri"/>
                <w:szCs w:val="24"/>
              </w:rPr>
            </w:pPr>
          </w:p>
        </w:tc>
      </w:tr>
      <w:tr w:rsidR="00FE3EAF" w:rsidRPr="00FE3EAF" w14:paraId="36466B56" w14:textId="77777777" w:rsidTr="008053E5">
        <w:trPr>
          <w:trHeight w:val="432"/>
        </w:trPr>
        <w:tc>
          <w:tcPr>
            <w:tcW w:w="5205" w:type="dxa"/>
            <w:tcBorders>
              <w:top w:val="nil"/>
              <w:left w:val="double" w:sz="4" w:space="0" w:color="auto"/>
              <w:bottom w:val="nil"/>
            </w:tcBorders>
          </w:tcPr>
          <w:p w14:paraId="10F60A98" w14:textId="77777777" w:rsidR="00FE3EAF" w:rsidRPr="00FE3EAF" w:rsidRDefault="00FE3EAF" w:rsidP="008053E5">
            <w:pPr>
              <w:jc w:val="left"/>
              <w:rPr>
                <w:rFonts w:eastAsia="Calibri"/>
                <w:szCs w:val="24"/>
              </w:rPr>
            </w:pPr>
            <w:r w:rsidRPr="00FE3EAF">
              <w:rPr>
                <w:rFonts w:eastAsia="Calibri"/>
                <w:szCs w:val="24"/>
              </w:rPr>
              <w:t xml:space="preserve"> Suburban</w:t>
            </w:r>
          </w:p>
        </w:tc>
        <w:tc>
          <w:tcPr>
            <w:tcW w:w="1041" w:type="dxa"/>
            <w:tcBorders>
              <w:top w:val="nil"/>
              <w:bottom w:val="nil"/>
            </w:tcBorders>
          </w:tcPr>
          <w:p w14:paraId="4A012E87" w14:textId="77777777" w:rsidR="00FE3EAF" w:rsidRPr="00FE3EAF" w:rsidRDefault="00FE3EAF" w:rsidP="008053E5">
            <w:pPr>
              <w:jc w:val="right"/>
              <w:rPr>
                <w:rFonts w:eastAsia="Calibri"/>
                <w:szCs w:val="24"/>
              </w:rPr>
            </w:pPr>
            <w:r w:rsidRPr="00FE3EAF">
              <w:rPr>
                <w:rFonts w:eastAsia="Calibri"/>
                <w:szCs w:val="24"/>
              </w:rPr>
              <w:t>-1.461</w:t>
            </w:r>
          </w:p>
        </w:tc>
        <w:tc>
          <w:tcPr>
            <w:tcW w:w="854" w:type="dxa"/>
            <w:tcBorders>
              <w:top w:val="nil"/>
              <w:bottom w:val="nil"/>
            </w:tcBorders>
          </w:tcPr>
          <w:p w14:paraId="2A62CB8F" w14:textId="77777777" w:rsidR="00FE3EAF" w:rsidRPr="00FE3EAF" w:rsidRDefault="00FE3EAF" w:rsidP="008053E5">
            <w:pPr>
              <w:jc w:val="right"/>
              <w:rPr>
                <w:rFonts w:eastAsia="Calibri"/>
                <w:szCs w:val="24"/>
              </w:rPr>
            </w:pPr>
            <w:r w:rsidRPr="00FE3EAF">
              <w:rPr>
                <w:rFonts w:eastAsia="Calibri"/>
                <w:szCs w:val="24"/>
              </w:rPr>
              <w:t>-4.77</w:t>
            </w:r>
          </w:p>
        </w:tc>
        <w:tc>
          <w:tcPr>
            <w:tcW w:w="1846" w:type="dxa"/>
            <w:tcBorders>
              <w:top w:val="nil"/>
              <w:bottom w:val="nil"/>
              <w:right w:val="double" w:sz="4" w:space="0" w:color="auto"/>
            </w:tcBorders>
          </w:tcPr>
          <w:p w14:paraId="2B27F09C" w14:textId="77777777" w:rsidR="00FE3EAF" w:rsidRPr="00FE3EAF" w:rsidRDefault="00FE3EAF" w:rsidP="008053E5">
            <w:pPr>
              <w:jc w:val="center"/>
              <w:rPr>
                <w:rFonts w:eastAsia="Calibri"/>
                <w:szCs w:val="24"/>
              </w:rPr>
            </w:pPr>
            <w:r w:rsidRPr="00FE3EAF">
              <w:rPr>
                <w:rFonts w:eastAsia="Calibri"/>
                <w:szCs w:val="24"/>
              </w:rPr>
              <w:t>--</w:t>
            </w:r>
          </w:p>
        </w:tc>
      </w:tr>
      <w:tr w:rsidR="00FE3EAF" w:rsidRPr="00FE3EAF" w14:paraId="1733A468" w14:textId="77777777" w:rsidTr="008053E5">
        <w:trPr>
          <w:trHeight w:val="432"/>
        </w:trPr>
        <w:tc>
          <w:tcPr>
            <w:tcW w:w="5205" w:type="dxa"/>
            <w:tcBorders>
              <w:top w:val="nil"/>
              <w:left w:val="double" w:sz="4" w:space="0" w:color="auto"/>
              <w:bottom w:val="double" w:sz="4" w:space="0" w:color="auto"/>
            </w:tcBorders>
          </w:tcPr>
          <w:p w14:paraId="469093D7" w14:textId="77777777" w:rsidR="00FE3EAF" w:rsidRPr="00FE3EAF" w:rsidRDefault="00FE3EAF" w:rsidP="008053E5">
            <w:pPr>
              <w:jc w:val="left"/>
              <w:rPr>
                <w:rFonts w:eastAsia="Calibri"/>
                <w:b/>
                <w:i/>
                <w:szCs w:val="24"/>
              </w:rPr>
            </w:pPr>
            <w:r w:rsidRPr="00FE3EAF">
              <w:rPr>
                <w:rFonts w:eastAsia="Calibri"/>
                <w:b/>
                <w:i/>
                <w:szCs w:val="24"/>
              </w:rPr>
              <w:t>Constant</w:t>
            </w:r>
          </w:p>
        </w:tc>
        <w:tc>
          <w:tcPr>
            <w:tcW w:w="1041" w:type="dxa"/>
            <w:tcBorders>
              <w:top w:val="nil"/>
              <w:bottom w:val="double" w:sz="4" w:space="0" w:color="auto"/>
            </w:tcBorders>
          </w:tcPr>
          <w:p w14:paraId="33847187" w14:textId="77777777" w:rsidR="00FE3EAF" w:rsidRPr="00FE3EAF" w:rsidRDefault="00FE3EAF" w:rsidP="008053E5">
            <w:pPr>
              <w:jc w:val="right"/>
              <w:rPr>
                <w:rFonts w:eastAsia="Calibri"/>
                <w:szCs w:val="24"/>
              </w:rPr>
            </w:pPr>
            <w:r w:rsidRPr="00FE3EAF">
              <w:rPr>
                <w:rFonts w:eastAsia="Calibri"/>
                <w:szCs w:val="24"/>
              </w:rPr>
              <w:t>-0.212</w:t>
            </w:r>
          </w:p>
        </w:tc>
        <w:tc>
          <w:tcPr>
            <w:tcW w:w="854" w:type="dxa"/>
            <w:tcBorders>
              <w:top w:val="nil"/>
              <w:bottom w:val="double" w:sz="4" w:space="0" w:color="auto"/>
            </w:tcBorders>
          </w:tcPr>
          <w:p w14:paraId="7B041A63" w14:textId="77777777" w:rsidR="00FE3EAF" w:rsidRPr="00FE3EAF" w:rsidRDefault="00FE3EAF" w:rsidP="008053E5">
            <w:pPr>
              <w:jc w:val="right"/>
              <w:rPr>
                <w:rFonts w:eastAsia="Calibri"/>
                <w:szCs w:val="24"/>
              </w:rPr>
            </w:pPr>
            <w:r w:rsidRPr="00FE3EAF">
              <w:rPr>
                <w:rFonts w:eastAsia="Calibri"/>
                <w:szCs w:val="24"/>
              </w:rPr>
              <w:t>-0.79</w:t>
            </w:r>
          </w:p>
        </w:tc>
        <w:tc>
          <w:tcPr>
            <w:tcW w:w="1846" w:type="dxa"/>
            <w:tcBorders>
              <w:top w:val="nil"/>
              <w:bottom w:val="double" w:sz="4" w:space="0" w:color="auto"/>
              <w:right w:val="double" w:sz="4" w:space="0" w:color="auto"/>
            </w:tcBorders>
          </w:tcPr>
          <w:p w14:paraId="677539B4" w14:textId="77777777" w:rsidR="00FE3EAF" w:rsidRPr="00FE3EAF" w:rsidRDefault="00FE3EAF" w:rsidP="008053E5">
            <w:pPr>
              <w:jc w:val="center"/>
              <w:rPr>
                <w:rFonts w:eastAsia="Calibri"/>
                <w:szCs w:val="24"/>
              </w:rPr>
            </w:pPr>
            <w:r w:rsidRPr="00FE3EAF">
              <w:rPr>
                <w:rFonts w:eastAsia="Calibri"/>
                <w:szCs w:val="24"/>
              </w:rPr>
              <w:t>--</w:t>
            </w:r>
          </w:p>
        </w:tc>
      </w:tr>
      <w:tr w:rsidR="00FE3EAF" w:rsidRPr="00FE3EAF" w14:paraId="5FAF5FF4" w14:textId="77777777" w:rsidTr="008053E5">
        <w:trPr>
          <w:trHeight w:val="432"/>
        </w:trPr>
        <w:tc>
          <w:tcPr>
            <w:tcW w:w="5205" w:type="dxa"/>
            <w:tcBorders>
              <w:top w:val="double" w:sz="4" w:space="0" w:color="auto"/>
              <w:left w:val="double" w:sz="4" w:space="0" w:color="auto"/>
              <w:bottom w:val="double" w:sz="4" w:space="0" w:color="auto"/>
            </w:tcBorders>
            <w:vAlign w:val="center"/>
          </w:tcPr>
          <w:p w14:paraId="3336E07B" w14:textId="77777777" w:rsidR="00FE3EAF" w:rsidRPr="00FE3EAF" w:rsidRDefault="00FE3EAF" w:rsidP="008053E5">
            <w:pPr>
              <w:jc w:val="left"/>
              <w:rPr>
                <w:rFonts w:eastAsia="Calibri"/>
                <w:b/>
                <w:i/>
                <w:szCs w:val="24"/>
              </w:rPr>
            </w:pPr>
            <w:r w:rsidRPr="00FE3EAF">
              <w:rPr>
                <w:rFonts w:eastAsia="Calibri"/>
                <w:b/>
                <w:i/>
                <w:szCs w:val="24"/>
              </w:rPr>
              <w:t>Segment Size</w:t>
            </w:r>
          </w:p>
        </w:tc>
        <w:tc>
          <w:tcPr>
            <w:tcW w:w="1895" w:type="dxa"/>
            <w:gridSpan w:val="2"/>
            <w:tcBorders>
              <w:top w:val="double" w:sz="4" w:space="0" w:color="auto"/>
              <w:bottom w:val="double" w:sz="4" w:space="0" w:color="auto"/>
            </w:tcBorders>
            <w:vAlign w:val="bottom"/>
          </w:tcPr>
          <w:p w14:paraId="5B4E9916" w14:textId="77777777" w:rsidR="00FE3EAF" w:rsidRPr="00FE3EAF" w:rsidRDefault="00FE3EAF" w:rsidP="008053E5">
            <w:pPr>
              <w:jc w:val="center"/>
              <w:rPr>
                <w:rFonts w:eastAsia="Calibri"/>
                <w:szCs w:val="24"/>
              </w:rPr>
            </w:pPr>
            <w:r w:rsidRPr="00FE3EAF">
              <w:rPr>
                <w:rFonts w:eastAsia="Calibri"/>
                <w:szCs w:val="24"/>
              </w:rPr>
              <w:t>20.3%</w:t>
            </w:r>
          </w:p>
          <w:p w14:paraId="7153C8FD" w14:textId="77777777" w:rsidR="00FE3EAF" w:rsidRPr="00FE3EAF" w:rsidRDefault="00FE3EAF" w:rsidP="008053E5">
            <w:pPr>
              <w:jc w:val="center"/>
              <w:rPr>
                <w:rFonts w:eastAsia="Calibri"/>
                <w:szCs w:val="24"/>
              </w:rPr>
            </w:pPr>
            <w:r w:rsidRPr="00FE3EAF">
              <w:rPr>
                <w:rFonts w:eastAsia="Calibri"/>
                <w:szCs w:val="24"/>
              </w:rPr>
              <w:t>168</w:t>
            </w:r>
          </w:p>
        </w:tc>
        <w:tc>
          <w:tcPr>
            <w:tcW w:w="1846" w:type="dxa"/>
            <w:tcBorders>
              <w:top w:val="double" w:sz="4" w:space="0" w:color="auto"/>
              <w:bottom w:val="double" w:sz="4" w:space="0" w:color="auto"/>
              <w:right w:val="double" w:sz="4" w:space="0" w:color="auto"/>
            </w:tcBorders>
          </w:tcPr>
          <w:p w14:paraId="3652969C" w14:textId="77777777" w:rsidR="00FE3EAF" w:rsidRPr="00FE3EAF" w:rsidRDefault="00FE3EAF" w:rsidP="008053E5">
            <w:pPr>
              <w:jc w:val="center"/>
              <w:rPr>
                <w:rFonts w:eastAsia="Calibri"/>
                <w:szCs w:val="24"/>
              </w:rPr>
            </w:pPr>
            <w:r w:rsidRPr="00FE3EAF">
              <w:rPr>
                <w:rFonts w:eastAsia="Calibri"/>
                <w:szCs w:val="24"/>
              </w:rPr>
              <w:t>79.7%</w:t>
            </w:r>
          </w:p>
          <w:p w14:paraId="1968AC86" w14:textId="77777777" w:rsidR="00FE3EAF" w:rsidRPr="00FE3EAF" w:rsidRDefault="00FE3EAF" w:rsidP="008053E5">
            <w:pPr>
              <w:jc w:val="center"/>
              <w:rPr>
                <w:rFonts w:eastAsia="Calibri"/>
                <w:szCs w:val="24"/>
              </w:rPr>
            </w:pPr>
            <w:r w:rsidRPr="00FE3EAF">
              <w:rPr>
                <w:rFonts w:eastAsia="Calibri"/>
                <w:szCs w:val="24"/>
              </w:rPr>
              <w:t>656</w:t>
            </w:r>
          </w:p>
        </w:tc>
      </w:tr>
    </w:tbl>
    <w:p w14:paraId="6600F439" w14:textId="77777777" w:rsidR="00FE3EAF" w:rsidRPr="00FE3EAF" w:rsidRDefault="00FE3EAF" w:rsidP="00FE3EAF">
      <w:pPr>
        <w:spacing w:after="0" w:line="240" w:lineRule="auto"/>
        <w:jc w:val="left"/>
        <w:rPr>
          <w:rFonts w:eastAsia="Calibri"/>
          <w:sz w:val="22"/>
          <w:szCs w:val="20"/>
        </w:rPr>
      </w:pPr>
    </w:p>
    <w:p w14:paraId="4DA60DB7" w14:textId="77777777" w:rsidR="00FE3EAF" w:rsidRPr="00FE3EAF" w:rsidRDefault="00FE3EAF" w:rsidP="00FE3EAF">
      <w:pPr>
        <w:spacing w:after="0" w:line="240" w:lineRule="auto"/>
        <w:jc w:val="left"/>
        <w:rPr>
          <w:rFonts w:eastAsia="Calibri"/>
          <w:sz w:val="22"/>
          <w:szCs w:val="20"/>
        </w:rPr>
      </w:pPr>
    </w:p>
    <w:p w14:paraId="76690B9B" w14:textId="77777777" w:rsidR="00FE3EAF" w:rsidRPr="00FE3EAF" w:rsidRDefault="00FE3EAF" w:rsidP="00FE3EAF">
      <w:pPr>
        <w:spacing w:after="0" w:line="240" w:lineRule="auto"/>
        <w:jc w:val="left"/>
        <w:rPr>
          <w:rFonts w:eastAsia="Calibri"/>
          <w:sz w:val="22"/>
          <w:szCs w:val="20"/>
        </w:rPr>
      </w:pPr>
    </w:p>
    <w:p w14:paraId="36EF2941" w14:textId="77777777" w:rsidR="00FE3EAF" w:rsidRPr="00FE3EAF" w:rsidRDefault="00FE3EAF" w:rsidP="00FE3EAF">
      <w:pPr>
        <w:spacing w:after="0" w:line="240" w:lineRule="auto"/>
        <w:jc w:val="left"/>
        <w:rPr>
          <w:rFonts w:eastAsia="Calibri"/>
          <w:sz w:val="22"/>
          <w:szCs w:val="20"/>
        </w:rPr>
      </w:pPr>
    </w:p>
    <w:p w14:paraId="100E647A" w14:textId="77777777" w:rsidR="00FE3EAF" w:rsidRPr="00FE3EAF" w:rsidRDefault="00FE3EAF" w:rsidP="00FE3EAF">
      <w:pPr>
        <w:spacing w:after="0" w:line="240" w:lineRule="auto"/>
        <w:jc w:val="left"/>
        <w:rPr>
          <w:rFonts w:eastAsia="Calibri"/>
          <w:sz w:val="22"/>
          <w:szCs w:val="20"/>
        </w:rPr>
      </w:pPr>
    </w:p>
    <w:p w14:paraId="13316933" w14:textId="77777777" w:rsidR="00FE3EAF" w:rsidRPr="00FE3EAF" w:rsidRDefault="00FE3EAF" w:rsidP="00FE3EAF">
      <w:pPr>
        <w:spacing w:after="0" w:line="240" w:lineRule="auto"/>
        <w:jc w:val="left"/>
        <w:rPr>
          <w:rFonts w:eastAsia="Calibri"/>
          <w:sz w:val="22"/>
          <w:szCs w:val="20"/>
        </w:rPr>
      </w:pPr>
    </w:p>
    <w:p w14:paraId="699D8AF0" w14:textId="77777777" w:rsidR="00FE3EAF" w:rsidRPr="00FE3EAF" w:rsidRDefault="00FE3EAF" w:rsidP="00FE3EAF">
      <w:pPr>
        <w:spacing w:after="0" w:line="240" w:lineRule="auto"/>
        <w:jc w:val="left"/>
        <w:rPr>
          <w:rFonts w:eastAsia="Calibri"/>
          <w:sz w:val="22"/>
          <w:szCs w:val="20"/>
        </w:rPr>
      </w:pPr>
    </w:p>
    <w:p w14:paraId="5BE808FB" w14:textId="77777777" w:rsidR="00FE3EAF" w:rsidRPr="00FE3EAF" w:rsidRDefault="00FE3EAF" w:rsidP="00FE3EAF">
      <w:pPr>
        <w:spacing w:after="0" w:line="240" w:lineRule="auto"/>
        <w:jc w:val="left"/>
        <w:rPr>
          <w:rFonts w:eastAsia="Calibri"/>
          <w:sz w:val="22"/>
          <w:szCs w:val="20"/>
        </w:rPr>
      </w:pPr>
    </w:p>
    <w:p w14:paraId="6FAD5F52" w14:textId="77777777" w:rsidR="00FE3EAF" w:rsidRPr="00FE3EAF" w:rsidRDefault="00FE3EAF" w:rsidP="00FE3EAF">
      <w:pPr>
        <w:spacing w:after="0" w:line="240" w:lineRule="auto"/>
        <w:jc w:val="left"/>
        <w:rPr>
          <w:rFonts w:eastAsia="Calibri"/>
          <w:sz w:val="22"/>
          <w:szCs w:val="20"/>
        </w:rPr>
      </w:pPr>
    </w:p>
    <w:p w14:paraId="692EBA55" w14:textId="77777777" w:rsidR="00FE3EAF" w:rsidRPr="00FE3EAF" w:rsidRDefault="00FE3EAF" w:rsidP="00FE3EAF">
      <w:pPr>
        <w:spacing w:after="0" w:line="240" w:lineRule="auto"/>
        <w:jc w:val="left"/>
        <w:rPr>
          <w:rFonts w:eastAsia="Calibri"/>
          <w:sz w:val="22"/>
          <w:szCs w:val="20"/>
        </w:rPr>
      </w:pPr>
    </w:p>
    <w:p w14:paraId="40AF3E4C" w14:textId="77777777" w:rsidR="00FE3EAF" w:rsidRPr="00FE3EAF" w:rsidRDefault="00FE3EAF" w:rsidP="00FE3EAF">
      <w:pPr>
        <w:spacing w:after="0" w:line="240" w:lineRule="auto"/>
        <w:jc w:val="left"/>
        <w:rPr>
          <w:rFonts w:eastAsia="Calibri"/>
          <w:sz w:val="22"/>
          <w:szCs w:val="20"/>
        </w:rPr>
      </w:pPr>
    </w:p>
    <w:p w14:paraId="1DF5C746" w14:textId="77777777" w:rsidR="00FE3EAF" w:rsidRPr="00FE3EAF" w:rsidRDefault="00FE3EAF" w:rsidP="00FE3EAF">
      <w:pPr>
        <w:spacing w:after="0" w:line="240" w:lineRule="auto"/>
        <w:jc w:val="left"/>
        <w:rPr>
          <w:rFonts w:eastAsia="Calibri"/>
          <w:sz w:val="22"/>
          <w:szCs w:val="20"/>
        </w:rPr>
      </w:pPr>
    </w:p>
    <w:p w14:paraId="78EA7DDA" w14:textId="77777777" w:rsidR="00FE3EAF" w:rsidRPr="00FE3EAF" w:rsidRDefault="00FE3EAF" w:rsidP="00FE3EAF">
      <w:pPr>
        <w:jc w:val="left"/>
        <w:rPr>
          <w:rFonts w:eastAsia="Calibri"/>
          <w:b/>
          <w:color w:val="000000"/>
        </w:rPr>
      </w:pPr>
      <w:r w:rsidRPr="00FE3EAF">
        <w:rPr>
          <w:rFonts w:eastAsia="Calibri"/>
          <w:b/>
          <w:color w:val="000000"/>
        </w:rPr>
        <w:br w:type="page"/>
      </w:r>
    </w:p>
    <w:p w14:paraId="56EB0197" w14:textId="77777777" w:rsidR="00FE3EAF" w:rsidRPr="00FE3EAF" w:rsidRDefault="00FE3EAF" w:rsidP="00FE3EAF">
      <w:pPr>
        <w:spacing w:after="0" w:line="240" w:lineRule="auto"/>
        <w:jc w:val="left"/>
        <w:rPr>
          <w:rFonts w:eastAsia="Calibri"/>
        </w:rPr>
        <w:sectPr w:rsidR="00FE3EAF" w:rsidRPr="00FE3EAF" w:rsidSect="00640159">
          <w:pgSz w:w="12240" w:h="15840"/>
          <w:pgMar w:top="1440" w:right="1440" w:bottom="1440" w:left="1440" w:header="720" w:footer="720" w:gutter="0"/>
          <w:cols w:space="720"/>
          <w:docGrid w:linePitch="360"/>
        </w:sectPr>
      </w:pPr>
    </w:p>
    <w:p w14:paraId="10A8DF31" w14:textId="0352513C" w:rsidR="00FE3EAF" w:rsidRPr="00FE3EAF" w:rsidRDefault="00FE3EAF" w:rsidP="00FE3EAF">
      <w:pPr>
        <w:spacing w:after="0" w:line="240" w:lineRule="auto"/>
        <w:jc w:val="left"/>
        <w:rPr>
          <w:rFonts w:eastAsia="Calibri"/>
          <w:b/>
          <w:color w:val="000000"/>
        </w:rPr>
      </w:pPr>
      <w:r w:rsidRPr="00FE3EAF">
        <w:rPr>
          <w:rFonts w:eastAsia="Calibri"/>
          <w:b/>
          <w:color w:val="000000"/>
        </w:rPr>
        <w:lastRenderedPageBreak/>
        <w:t xml:space="preserve">Table </w:t>
      </w:r>
      <w:r w:rsidR="00EC4B38">
        <w:rPr>
          <w:rFonts w:eastAsia="Calibri"/>
          <w:b/>
          <w:color w:val="000000"/>
        </w:rPr>
        <w:t>4</w:t>
      </w:r>
      <w:r w:rsidRPr="00FE3EAF">
        <w:rPr>
          <w:rFonts w:eastAsia="Calibri"/>
          <w:b/>
          <w:color w:val="000000"/>
        </w:rPr>
        <w:t>: Profiles of the Two Latent Market Segments</w:t>
      </w:r>
    </w:p>
    <w:tbl>
      <w:tblPr>
        <w:tblStyle w:val="TableGrid"/>
        <w:tblW w:w="5000" w:type="pct"/>
        <w:tblLook w:val="04A0" w:firstRow="1" w:lastRow="0" w:firstColumn="1" w:lastColumn="0" w:noHBand="0" w:noVBand="1"/>
      </w:tblPr>
      <w:tblGrid>
        <w:gridCol w:w="1382"/>
        <w:gridCol w:w="2623"/>
        <w:gridCol w:w="1112"/>
        <w:gridCol w:w="1112"/>
        <w:gridCol w:w="1112"/>
        <w:gridCol w:w="1112"/>
        <w:gridCol w:w="861"/>
      </w:tblGrid>
      <w:tr w:rsidR="00FE3EAF" w:rsidRPr="00FE3EAF" w14:paraId="7728A7F1" w14:textId="77777777" w:rsidTr="00640159">
        <w:tc>
          <w:tcPr>
            <w:tcW w:w="2150" w:type="pct"/>
            <w:gridSpan w:val="2"/>
            <w:vMerge w:val="restart"/>
            <w:tcBorders>
              <w:top w:val="single" w:sz="18" w:space="0" w:color="auto"/>
              <w:left w:val="single" w:sz="18" w:space="0" w:color="auto"/>
              <w:bottom w:val="single" w:sz="18" w:space="0" w:color="auto"/>
              <w:right w:val="single" w:sz="18" w:space="0" w:color="auto"/>
            </w:tcBorders>
            <w:vAlign w:val="center"/>
            <w:hideMark/>
          </w:tcPr>
          <w:p w14:paraId="39870C67" w14:textId="77777777" w:rsidR="00FE3EAF" w:rsidRPr="00FE3EAF" w:rsidRDefault="00FE3EAF" w:rsidP="00FE3EAF">
            <w:pPr>
              <w:jc w:val="center"/>
              <w:rPr>
                <w:rFonts w:eastAsia="Calibri"/>
                <w:b/>
                <w:color w:val="000000"/>
                <w:sz w:val="20"/>
                <w:szCs w:val="20"/>
              </w:rPr>
            </w:pPr>
            <w:r w:rsidRPr="00FE3EAF">
              <w:rPr>
                <w:rFonts w:eastAsia="Calibri"/>
                <w:b/>
                <w:color w:val="000000"/>
                <w:sz w:val="20"/>
                <w:szCs w:val="20"/>
              </w:rPr>
              <w:t>Attributes</w:t>
            </w:r>
          </w:p>
        </w:tc>
        <w:tc>
          <w:tcPr>
            <w:tcW w:w="1194" w:type="pct"/>
            <w:gridSpan w:val="2"/>
            <w:tcBorders>
              <w:top w:val="single" w:sz="18" w:space="0" w:color="auto"/>
              <w:left w:val="single" w:sz="18" w:space="0" w:color="auto"/>
              <w:bottom w:val="single" w:sz="4" w:space="0" w:color="auto"/>
              <w:right w:val="single" w:sz="18" w:space="0" w:color="auto"/>
            </w:tcBorders>
            <w:vAlign w:val="center"/>
            <w:hideMark/>
          </w:tcPr>
          <w:p w14:paraId="0CF3AEB4" w14:textId="77777777" w:rsidR="00FE3EAF" w:rsidRPr="00FE3EAF" w:rsidRDefault="00FE3EAF" w:rsidP="00FE3EAF">
            <w:pPr>
              <w:jc w:val="center"/>
              <w:rPr>
                <w:rFonts w:eastAsia="Calibri"/>
                <w:b/>
                <w:i/>
                <w:iCs/>
                <w:sz w:val="20"/>
                <w:szCs w:val="20"/>
              </w:rPr>
            </w:pPr>
            <w:r w:rsidRPr="00FE3EAF">
              <w:rPr>
                <w:rFonts w:eastAsia="Calibri"/>
                <w:b/>
                <w:sz w:val="20"/>
                <w:szCs w:val="20"/>
              </w:rPr>
              <w:t>Percent (%) within segment</w:t>
            </w:r>
          </w:p>
        </w:tc>
        <w:tc>
          <w:tcPr>
            <w:tcW w:w="1194" w:type="pct"/>
            <w:gridSpan w:val="2"/>
            <w:tcBorders>
              <w:top w:val="single" w:sz="18" w:space="0" w:color="auto"/>
              <w:left w:val="single" w:sz="18" w:space="0" w:color="auto"/>
              <w:bottom w:val="single" w:sz="4" w:space="0" w:color="auto"/>
              <w:right w:val="single" w:sz="18" w:space="0" w:color="auto"/>
            </w:tcBorders>
            <w:vAlign w:val="center"/>
            <w:hideMark/>
          </w:tcPr>
          <w:p w14:paraId="7B81D65A" w14:textId="77777777" w:rsidR="00FE3EAF" w:rsidRPr="00FE3EAF" w:rsidRDefault="00FE3EAF" w:rsidP="00FE3EAF">
            <w:pPr>
              <w:jc w:val="center"/>
              <w:rPr>
                <w:rFonts w:eastAsia="Calibri"/>
                <w:b/>
                <w:sz w:val="20"/>
                <w:szCs w:val="20"/>
              </w:rPr>
            </w:pPr>
            <w:r w:rsidRPr="00FE3EAF">
              <w:rPr>
                <w:rFonts w:eastAsia="Calibri"/>
                <w:b/>
                <w:sz w:val="20"/>
                <w:szCs w:val="20"/>
              </w:rPr>
              <w:t>Percent (%) within attribute</w:t>
            </w:r>
          </w:p>
        </w:tc>
        <w:tc>
          <w:tcPr>
            <w:tcW w:w="462" w:type="pct"/>
            <w:vMerge w:val="restart"/>
            <w:tcBorders>
              <w:top w:val="single" w:sz="18" w:space="0" w:color="auto"/>
              <w:left w:val="single" w:sz="4" w:space="0" w:color="auto"/>
              <w:bottom w:val="single" w:sz="18" w:space="0" w:color="auto"/>
              <w:right w:val="single" w:sz="18" w:space="0" w:color="auto"/>
            </w:tcBorders>
            <w:vAlign w:val="center"/>
            <w:hideMark/>
          </w:tcPr>
          <w:p w14:paraId="3F0925EB" w14:textId="77777777" w:rsidR="00FE3EAF" w:rsidRPr="00FE3EAF" w:rsidRDefault="00FE3EAF" w:rsidP="00FE3EAF">
            <w:pPr>
              <w:jc w:val="center"/>
              <w:rPr>
                <w:rFonts w:eastAsia="Calibri"/>
                <w:b/>
                <w:sz w:val="20"/>
                <w:szCs w:val="20"/>
              </w:rPr>
            </w:pPr>
            <w:r w:rsidRPr="00FE3EAF">
              <w:rPr>
                <w:rFonts w:eastAsia="Calibri"/>
                <w:b/>
                <w:sz w:val="20"/>
                <w:szCs w:val="20"/>
              </w:rPr>
              <w:t>Overall Sample</w:t>
            </w:r>
          </w:p>
          <w:p w14:paraId="5D007F83" w14:textId="77777777" w:rsidR="00FE3EAF" w:rsidRPr="00FE3EAF" w:rsidRDefault="00FE3EAF" w:rsidP="00FE3EAF">
            <w:pPr>
              <w:jc w:val="center"/>
              <w:rPr>
                <w:rFonts w:eastAsia="Calibri"/>
                <w:b/>
                <w:sz w:val="20"/>
                <w:szCs w:val="20"/>
              </w:rPr>
            </w:pPr>
            <w:r w:rsidRPr="00FE3EAF">
              <w:rPr>
                <w:rFonts w:eastAsia="Calibri"/>
                <w:b/>
                <w:sz w:val="20"/>
                <w:szCs w:val="20"/>
              </w:rPr>
              <w:t>(%)</w:t>
            </w:r>
          </w:p>
        </w:tc>
      </w:tr>
      <w:tr w:rsidR="00FE3EAF" w:rsidRPr="00FE3EAF" w14:paraId="7CF74FBC" w14:textId="77777777" w:rsidTr="00055B8A">
        <w:trPr>
          <w:trHeight w:val="702"/>
        </w:trPr>
        <w:tc>
          <w:tcPr>
            <w:tcW w:w="0" w:type="auto"/>
            <w:gridSpan w:val="2"/>
            <w:vMerge/>
            <w:tcBorders>
              <w:top w:val="single" w:sz="18" w:space="0" w:color="auto"/>
              <w:left w:val="single" w:sz="18" w:space="0" w:color="auto"/>
              <w:bottom w:val="single" w:sz="18" w:space="0" w:color="auto"/>
              <w:right w:val="single" w:sz="18" w:space="0" w:color="auto"/>
            </w:tcBorders>
            <w:vAlign w:val="center"/>
            <w:hideMark/>
          </w:tcPr>
          <w:p w14:paraId="6DBFC335" w14:textId="77777777" w:rsidR="00FE3EAF" w:rsidRPr="00FE3EAF" w:rsidRDefault="00FE3EAF" w:rsidP="00FE3EAF">
            <w:pPr>
              <w:jc w:val="left"/>
              <w:rPr>
                <w:rFonts w:eastAsia="Calibri"/>
                <w:b/>
                <w:color w:val="000000"/>
                <w:sz w:val="20"/>
                <w:szCs w:val="20"/>
              </w:rPr>
            </w:pPr>
          </w:p>
        </w:tc>
        <w:tc>
          <w:tcPr>
            <w:tcW w:w="597" w:type="pct"/>
            <w:tcBorders>
              <w:top w:val="single" w:sz="4" w:space="0" w:color="auto"/>
              <w:left w:val="single" w:sz="18" w:space="0" w:color="auto"/>
              <w:bottom w:val="single" w:sz="18" w:space="0" w:color="auto"/>
              <w:right w:val="single" w:sz="4" w:space="0" w:color="auto"/>
            </w:tcBorders>
            <w:vAlign w:val="center"/>
            <w:hideMark/>
          </w:tcPr>
          <w:p w14:paraId="70B0AF6D" w14:textId="77777777" w:rsidR="00FE3EAF" w:rsidRPr="00FE3EAF" w:rsidRDefault="00FE3EAF" w:rsidP="00FE3EAF">
            <w:pPr>
              <w:jc w:val="center"/>
              <w:rPr>
                <w:rFonts w:eastAsia="Calibri"/>
                <w:bCs/>
                <w:sz w:val="20"/>
                <w:szCs w:val="20"/>
                <w:u w:val="single"/>
              </w:rPr>
            </w:pPr>
            <w:r w:rsidRPr="00FE3EAF">
              <w:rPr>
                <w:rFonts w:eastAsia="Calibri"/>
                <w:bCs/>
                <w:sz w:val="20"/>
                <w:szCs w:val="20"/>
                <w:u w:val="single"/>
              </w:rPr>
              <w:t>The Movers</w:t>
            </w:r>
          </w:p>
          <w:p w14:paraId="4546ED72" w14:textId="77777777" w:rsidR="00FE3EAF" w:rsidRPr="00FE3EAF" w:rsidRDefault="00FE3EAF" w:rsidP="00FE3EAF">
            <w:pPr>
              <w:jc w:val="center"/>
              <w:rPr>
                <w:rFonts w:eastAsia="Calibri"/>
                <w:bCs/>
                <w:sz w:val="20"/>
                <w:szCs w:val="20"/>
              </w:rPr>
            </w:pPr>
            <w:r w:rsidRPr="00FE3EAF">
              <w:rPr>
                <w:rFonts w:eastAsia="Calibri"/>
                <w:bCs/>
                <w:sz w:val="20"/>
                <w:szCs w:val="20"/>
              </w:rPr>
              <w:t>Segment 1</w:t>
            </w:r>
          </w:p>
          <w:p w14:paraId="4D100A33" w14:textId="77777777" w:rsidR="00FE3EAF" w:rsidRPr="00FE3EAF" w:rsidRDefault="00FE3EAF" w:rsidP="00FE3EAF">
            <w:pPr>
              <w:jc w:val="center"/>
              <w:rPr>
                <w:rFonts w:eastAsia="Calibri"/>
                <w:bCs/>
                <w:sz w:val="20"/>
                <w:szCs w:val="20"/>
              </w:rPr>
            </w:pPr>
            <w:r w:rsidRPr="00FE3EAF">
              <w:rPr>
                <w:rFonts w:eastAsia="Calibri"/>
                <w:bCs/>
                <w:sz w:val="20"/>
                <w:szCs w:val="20"/>
              </w:rPr>
              <w:t>WPL</w:t>
            </w:r>
            <w:r w:rsidRPr="00FE3EAF">
              <w:rPr>
                <w:rFonts w:eastAsia="Calibri"/>
                <w:bCs/>
                <w:sz w:val="20"/>
                <w:szCs w:val="20"/>
              </w:rPr>
              <w:sym w:font="Wingdings" w:char="F0E0"/>
            </w:r>
            <w:r w:rsidRPr="00FE3EAF">
              <w:rPr>
                <w:rFonts w:eastAsia="Calibri"/>
                <w:bCs/>
                <w:sz w:val="20"/>
                <w:szCs w:val="20"/>
              </w:rPr>
              <w:t>CD</w:t>
            </w:r>
          </w:p>
        </w:tc>
        <w:tc>
          <w:tcPr>
            <w:tcW w:w="597" w:type="pct"/>
            <w:tcBorders>
              <w:top w:val="single" w:sz="4" w:space="0" w:color="auto"/>
              <w:left w:val="single" w:sz="4" w:space="0" w:color="auto"/>
              <w:bottom w:val="single" w:sz="18" w:space="0" w:color="auto"/>
              <w:right w:val="single" w:sz="18" w:space="0" w:color="auto"/>
            </w:tcBorders>
            <w:vAlign w:val="center"/>
            <w:hideMark/>
          </w:tcPr>
          <w:p w14:paraId="7B6433EB" w14:textId="77777777" w:rsidR="00FE3EAF" w:rsidRPr="00FE3EAF" w:rsidRDefault="00FE3EAF" w:rsidP="00FE3EAF">
            <w:pPr>
              <w:jc w:val="center"/>
              <w:rPr>
                <w:rFonts w:eastAsia="Calibri"/>
                <w:bCs/>
                <w:sz w:val="20"/>
                <w:szCs w:val="20"/>
                <w:u w:val="single"/>
              </w:rPr>
            </w:pPr>
            <w:r w:rsidRPr="00FE3EAF">
              <w:rPr>
                <w:rFonts w:eastAsia="Calibri"/>
                <w:bCs/>
                <w:sz w:val="20"/>
                <w:szCs w:val="20"/>
                <w:u w:val="single"/>
              </w:rPr>
              <w:t>The Stayers</w:t>
            </w:r>
          </w:p>
          <w:p w14:paraId="4E28C611" w14:textId="77777777" w:rsidR="00FE3EAF" w:rsidRPr="00FE3EAF" w:rsidRDefault="00FE3EAF" w:rsidP="00FE3EAF">
            <w:pPr>
              <w:jc w:val="center"/>
              <w:rPr>
                <w:rFonts w:eastAsia="Calibri"/>
                <w:bCs/>
                <w:sz w:val="20"/>
                <w:szCs w:val="20"/>
              </w:rPr>
            </w:pPr>
            <w:r w:rsidRPr="00FE3EAF">
              <w:rPr>
                <w:rFonts w:eastAsia="Calibri"/>
                <w:bCs/>
                <w:sz w:val="20"/>
                <w:szCs w:val="20"/>
              </w:rPr>
              <w:t>Segment 2</w:t>
            </w:r>
          </w:p>
          <w:p w14:paraId="0D435238" w14:textId="77777777" w:rsidR="00FE3EAF" w:rsidRPr="00FE3EAF" w:rsidRDefault="00FE3EAF" w:rsidP="00FE3EAF">
            <w:pPr>
              <w:jc w:val="center"/>
              <w:rPr>
                <w:rFonts w:eastAsia="Calibri"/>
                <w:bCs/>
                <w:sz w:val="20"/>
                <w:szCs w:val="20"/>
              </w:rPr>
            </w:pPr>
            <w:r w:rsidRPr="00FE3EAF">
              <w:rPr>
                <w:rFonts w:eastAsia="Calibri"/>
                <w:bCs/>
                <w:sz w:val="20"/>
                <w:szCs w:val="20"/>
              </w:rPr>
              <w:t>CD</w:t>
            </w:r>
            <w:r w:rsidRPr="00FE3EAF">
              <w:rPr>
                <w:rFonts w:eastAsia="Calibri"/>
                <w:bCs/>
                <w:sz w:val="20"/>
                <w:szCs w:val="20"/>
              </w:rPr>
              <w:sym w:font="Wingdings" w:char="F0E0"/>
            </w:r>
            <w:r w:rsidRPr="00FE3EAF">
              <w:rPr>
                <w:rFonts w:eastAsia="Calibri"/>
                <w:bCs/>
                <w:sz w:val="20"/>
                <w:szCs w:val="20"/>
              </w:rPr>
              <w:t>WPL</w:t>
            </w:r>
          </w:p>
        </w:tc>
        <w:tc>
          <w:tcPr>
            <w:tcW w:w="597" w:type="pct"/>
            <w:tcBorders>
              <w:top w:val="single" w:sz="4" w:space="0" w:color="auto"/>
              <w:left w:val="single" w:sz="18" w:space="0" w:color="auto"/>
              <w:bottom w:val="single" w:sz="18" w:space="0" w:color="auto"/>
              <w:right w:val="single" w:sz="4" w:space="0" w:color="auto"/>
            </w:tcBorders>
            <w:vAlign w:val="center"/>
            <w:hideMark/>
          </w:tcPr>
          <w:p w14:paraId="6AB5F23A" w14:textId="77777777" w:rsidR="00FE3EAF" w:rsidRPr="00FE3EAF" w:rsidRDefault="00FE3EAF" w:rsidP="00FE3EAF">
            <w:pPr>
              <w:jc w:val="center"/>
              <w:rPr>
                <w:rFonts w:eastAsia="Calibri"/>
                <w:bCs/>
                <w:sz w:val="20"/>
                <w:szCs w:val="20"/>
                <w:u w:val="single"/>
              </w:rPr>
            </w:pPr>
            <w:r w:rsidRPr="00FE3EAF">
              <w:rPr>
                <w:rFonts w:eastAsia="Calibri"/>
                <w:bCs/>
                <w:sz w:val="20"/>
                <w:szCs w:val="20"/>
                <w:u w:val="single"/>
              </w:rPr>
              <w:t>The Movers</w:t>
            </w:r>
          </w:p>
          <w:p w14:paraId="611A8AA3" w14:textId="77777777" w:rsidR="00FE3EAF" w:rsidRPr="00FE3EAF" w:rsidRDefault="00FE3EAF" w:rsidP="00FE3EAF">
            <w:pPr>
              <w:jc w:val="center"/>
              <w:rPr>
                <w:rFonts w:eastAsia="Calibri"/>
                <w:bCs/>
                <w:sz w:val="20"/>
                <w:szCs w:val="20"/>
              </w:rPr>
            </w:pPr>
            <w:r w:rsidRPr="00FE3EAF">
              <w:rPr>
                <w:rFonts w:eastAsia="Calibri"/>
                <w:bCs/>
                <w:sz w:val="20"/>
                <w:szCs w:val="20"/>
              </w:rPr>
              <w:t>Segment 1</w:t>
            </w:r>
          </w:p>
          <w:p w14:paraId="52457AD0" w14:textId="77777777" w:rsidR="00FE3EAF" w:rsidRPr="00FE3EAF" w:rsidRDefault="00FE3EAF" w:rsidP="00FE3EAF">
            <w:pPr>
              <w:jc w:val="center"/>
              <w:rPr>
                <w:rFonts w:eastAsia="Calibri"/>
                <w:bCs/>
                <w:sz w:val="20"/>
                <w:szCs w:val="20"/>
              </w:rPr>
            </w:pPr>
            <w:r w:rsidRPr="00FE3EAF">
              <w:rPr>
                <w:rFonts w:eastAsia="Calibri"/>
                <w:bCs/>
                <w:sz w:val="20"/>
                <w:szCs w:val="20"/>
              </w:rPr>
              <w:t>WPL</w:t>
            </w:r>
            <w:r w:rsidRPr="00FE3EAF">
              <w:rPr>
                <w:rFonts w:eastAsia="Calibri"/>
                <w:bCs/>
                <w:sz w:val="20"/>
                <w:szCs w:val="20"/>
              </w:rPr>
              <w:sym w:font="Wingdings" w:char="F0E0"/>
            </w:r>
            <w:r w:rsidRPr="00FE3EAF">
              <w:rPr>
                <w:rFonts w:eastAsia="Calibri"/>
                <w:bCs/>
                <w:sz w:val="20"/>
                <w:szCs w:val="20"/>
              </w:rPr>
              <w:t>CD</w:t>
            </w:r>
          </w:p>
        </w:tc>
        <w:tc>
          <w:tcPr>
            <w:tcW w:w="597" w:type="pct"/>
            <w:tcBorders>
              <w:top w:val="single" w:sz="4" w:space="0" w:color="auto"/>
              <w:left w:val="single" w:sz="4" w:space="0" w:color="auto"/>
              <w:bottom w:val="single" w:sz="18" w:space="0" w:color="auto"/>
              <w:right w:val="single" w:sz="18" w:space="0" w:color="auto"/>
            </w:tcBorders>
            <w:vAlign w:val="center"/>
            <w:hideMark/>
          </w:tcPr>
          <w:p w14:paraId="4E85511B" w14:textId="77777777" w:rsidR="00FE3EAF" w:rsidRPr="00FE3EAF" w:rsidRDefault="00FE3EAF" w:rsidP="00FE3EAF">
            <w:pPr>
              <w:jc w:val="center"/>
              <w:rPr>
                <w:rFonts w:eastAsia="Calibri"/>
                <w:bCs/>
                <w:sz w:val="20"/>
                <w:szCs w:val="20"/>
                <w:u w:val="single"/>
              </w:rPr>
            </w:pPr>
            <w:r w:rsidRPr="00FE3EAF">
              <w:rPr>
                <w:rFonts w:eastAsia="Calibri"/>
                <w:bCs/>
                <w:sz w:val="20"/>
                <w:szCs w:val="20"/>
                <w:u w:val="single"/>
              </w:rPr>
              <w:t>The Stayers</w:t>
            </w:r>
          </w:p>
          <w:p w14:paraId="6B8566F3" w14:textId="77777777" w:rsidR="00FE3EAF" w:rsidRPr="00FE3EAF" w:rsidRDefault="00FE3EAF" w:rsidP="00FE3EAF">
            <w:pPr>
              <w:jc w:val="center"/>
              <w:rPr>
                <w:rFonts w:eastAsia="Calibri"/>
                <w:bCs/>
                <w:sz w:val="20"/>
                <w:szCs w:val="20"/>
              </w:rPr>
            </w:pPr>
            <w:r w:rsidRPr="00FE3EAF">
              <w:rPr>
                <w:rFonts w:eastAsia="Calibri"/>
                <w:bCs/>
                <w:sz w:val="20"/>
                <w:szCs w:val="20"/>
              </w:rPr>
              <w:t>Segment 2</w:t>
            </w:r>
          </w:p>
          <w:p w14:paraId="77CB78ED" w14:textId="77777777" w:rsidR="00FE3EAF" w:rsidRPr="00FE3EAF" w:rsidRDefault="00FE3EAF" w:rsidP="00FE3EAF">
            <w:pPr>
              <w:jc w:val="center"/>
              <w:rPr>
                <w:rFonts w:eastAsia="Calibri"/>
                <w:bCs/>
                <w:sz w:val="20"/>
                <w:szCs w:val="20"/>
              </w:rPr>
            </w:pPr>
            <w:r w:rsidRPr="00FE3EAF">
              <w:rPr>
                <w:rFonts w:eastAsia="Calibri"/>
                <w:bCs/>
                <w:sz w:val="20"/>
                <w:szCs w:val="20"/>
              </w:rPr>
              <w:t>CD</w:t>
            </w:r>
            <w:r w:rsidRPr="00FE3EAF">
              <w:rPr>
                <w:rFonts w:eastAsia="Calibri"/>
                <w:bCs/>
                <w:sz w:val="20"/>
                <w:szCs w:val="20"/>
              </w:rPr>
              <w:sym w:font="Wingdings" w:char="F0E0"/>
            </w:r>
            <w:r w:rsidRPr="00FE3EAF">
              <w:rPr>
                <w:rFonts w:eastAsia="Calibri"/>
                <w:bCs/>
                <w:sz w:val="20"/>
                <w:szCs w:val="20"/>
              </w:rPr>
              <w:t>WPL</w:t>
            </w:r>
          </w:p>
        </w:tc>
        <w:tc>
          <w:tcPr>
            <w:tcW w:w="0" w:type="auto"/>
            <w:vMerge/>
            <w:tcBorders>
              <w:top w:val="single" w:sz="18" w:space="0" w:color="auto"/>
              <w:left w:val="single" w:sz="4" w:space="0" w:color="auto"/>
              <w:bottom w:val="single" w:sz="18" w:space="0" w:color="auto"/>
              <w:right w:val="single" w:sz="18" w:space="0" w:color="auto"/>
            </w:tcBorders>
            <w:vAlign w:val="center"/>
            <w:hideMark/>
          </w:tcPr>
          <w:p w14:paraId="53EB17A7" w14:textId="77777777" w:rsidR="00FE3EAF" w:rsidRPr="00FE3EAF" w:rsidRDefault="00FE3EAF" w:rsidP="00FE3EAF">
            <w:pPr>
              <w:jc w:val="left"/>
              <w:rPr>
                <w:rFonts w:eastAsia="Calibri"/>
                <w:b/>
                <w:sz w:val="20"/>
                <w:szCs w:val="20"/>
              </w:rPr>
            </w:pPr>
          </w:p>
        </w:tc>
      </w:tr>
      <w:tr w:rsidR="00FE3EAF" w:rsidRPr="00FE3EAF" w14:paraId="3922EE6D" w14:textId="77777777" w:rsidTr="00640159">
        <w:tc>
          <w:tcPr>
            <w:tcW w:w="5000" w:type="pct"/>
            <w:gridSpan w:val="7"/>
            <w:tcBorders>
              <w:top w:val="double" w:sz="4" w:space="0" w:color="auto"/>
              <w:left w:val="single" w:sz="18" w:space="0" w:color="auto"/>
              <w:bottom w:val="double" w:sz="4" w:space="0" w:color="auto"/>
              <w:right w:val="single" w:sz="18" w:space="0" w:color="auto"/>
            </w:tcBorders>
            <w:vAlign w:val="center"/>
            <w:hideMark/>
          </w:tcPr>
          <w:p w14:paraId="36BAD8FB" w14:textId="5E861C99" w:rsidR="00FE3EAF" w:rsidRPr="00FE3EAF" w:rsidRDefault="00FE3EAF" w:rsidP="00FE3EAF">
            <w:pPr>
              <w:jc w:val="left"/>
              <w:rPr>
                <w:rFonts w:eastAsia="Calibri"/>
                <w:bCs/>
                <w:sz w:val="20"/>
                <w:szCs w:val="20"/>
              </w:rPr>
            </w:pPr>
            <w:r w:rsidRPr="00FE3EAF">
              <w:rPr>
                <w:rFonts w:eastAsia="Calibri"/>
                <w:b/>
                <w:i/>
                <w:iCs/>
                <w:color w:val="000000"/>
                <w:sz w:val="20"/>
                <w:szCs w:val="20"/>
              </w:rPr>
              <w:t xml:space="preserve">Individual and Household-level </w:t>
            </w:r>
            <w:r w:rsidR="00784D3F">
              <w:rPr>
                <w:rFonts w:eastAsia="Calibri"/>
                <w:b/>
                <w:i/>
                <w:iCs/>
                <w:color w:val="000000"/>
                <w:sz w:val="20"/>
                <w:szCs w:val="20"/>
              </w:rPr>
              <w:t>C</w:t>
            </w:r>
            <w:r w:rsidRPr="00FE3EAF">
              <w:rPr>
                <w:rFonts w:eastAsia="Calibri"/>
                <w:b/>
                <w:i/>
                <w:iCs/>
                <w:color w:val="000000"/>
                <w:sz w:val="20"/>
                <w:szCs w:val="20"/>
              </w:rPr>
              <w:t>haracteristics</w:t>
            </w:r>
          </w:p>
        </w:tc>
      </w:tr>
      <w:tr w:rsidR="00FE3EAF" w:rsidRPr="00FE3EAF" w14:paraId="6A2B4904" w14:textId="77777777" w:rsidTr="00640159">
        <w:tc>
          <w:tcPr>
            <w:tcW w:w="742" w:type="pct"/>
            <w:vMerge w:val="restart"/>
            <w:tcBorders>
              <w:top w:val="double" w:sz="4" w:space="0" w:color="auto"/>
              <w:left w:val="single" w:sz="18" w:space="0" w:color="auto"/>
              <w:bottom w:val="single" w:sz="4" w:space="0" w:color="auto"/>
              <w:right w:val="single" w:sz="4" w:space="0" w:color="auto"/>
            </w:tcBorders>
            <w:vAlign w:val="center"/>
            <w:hideMark/>
          </w:tcPr>
          <w:p w14:paraId="0C218BE4" w14:textId="77777777" w:rsidR="00FE3EAF" w:rsidRPr="00FE3EAF" w:rsidRDefault="00FE3EAF" w:rsidP="00FE3EAF">
            <w:pPr>
              <w:jc w:val="left"/>
              <w:rPr>
                <w:rFonts w:eastAsia="Calibri"/>
                <w:bCs/>
                <w:color w:val="000000"/>
                <w:sz w:val="20"/>
                <w:szCs w:val="20"/>
              </w:rPr>
            </w:pPr>
            <w:r w:rsidRPr="00FE3EAF">
              <w:rPr>
                <w:rFonts w:eastAsia="Calibri"/>
                <w:bCs/>
                <w:color w:val="000000"/>
                <w:sz w:val="20"/>
                <w:szCs w:val="20"/>
              </w:rPr>
              <w:t xml:space="preserve">Gender </w:t>
            </w:r>
          </w:p>
        </w:tc>
        <w:tc>
          <w:tcPr>
            <w:tcW w:w="1408" w:type="pct"/>
            <w:tcBorders>
              <w:top w:val="double" w:sz="4" w:space="0" w:color="auto"/>
              <w:left w:val="single" w:sz="4" w:space="0" w:color="auto"/>
              <w:bottom w:val="single" w:sz="4" w:space="0" w:color="auto"/>
              <w:right w:val="single" w:sz="18" w:space="0" w:color="auto"/>
            </w:tcBorders>
            <w:vAlign w:val="center"/>
            <w:hideMark/>
          </w:tcPr>
          <w:p w14:paraId="7E005775" w14:textId="77777777" w:rsidR="00FE3EAF" w:rsidRPr="00FE3EAF" w:rsidRDefault="00FE3EAF" w:rsidP="00FE3EAF">
            <w:pPr>
              <w:jc w:val="left"/>
              <w:rPr>
                <w:rFonts w:eastAsia="Calibri"/>
                <w:bCs/>
                <w:color w:val="000000"/>
                <w:sz w:val="20"/>
                <w:szCs w:val="20"/>
              </w:rPr>
            </w:pPr>
            <w:r w:rsidRPr="00FE3EAF">
              <w:rPr>
                <w:rFonts w:eastAsia="Calibri"/>
                <w:bCs/>
                <w:color w:val="000000"/>
                <w:sz w:val="20"/>
                <w:szCs w:val="20"/>
              </w:rPr>
              <w:t>Female</w:t>
            </w:r>
          </w:p>
        </w:tc>
        <w:tc>
          <w:tcPr>
            <w:tcW w:w="597" w:type="pct"/>
            <w:tcBorders>
              <w:top w:val="double" w:sz="4" w:space="0" w:color="auto"/>
              <w:left w:val="single" w:sz="18" w:space="0" w:color="auto"/>
              <w:bottom w:val="single" w:sz="4" w:space="0" w:color="auto"/>
              <w:right w:val="single" w:sz="4" w:space="0" w:color="auto"/>
            </w:tcBorders>
            <w:vAlign w:val="bottom"/>
          </w:tcPr>
          <w:p w14:paraId="6E281518" w14:textId="77777777" w:rsidR="00FE3EAF" w:rsidRPr="00FE3EAF" w:rsidRDefault="00FE3EAF" w:rsidP="00FE3EAF">
            <w:pPr>
              <w:jc w:val="center"/>
              <w:rPr>
                <w:rFonts w:eastAsia="Calibri"/>
                <w:bCs/>
                <w:sz w:val="20"/>
                <w:szCs w:val="20"/>
              </w:rPr>
            </w:pPr>
            <w:r w:rsidRPr="00FE3EAF">
              <w:rPr>
                <w:rFonts w:eastAsia="Calibri"/>
                <w:color w:val="000000"/>
                <w:sz w:val="20"/>
                <w:szCs w:val="20"/>
              </w:rPr>
              <w:t>60.7</w:t>
            </w:r>
          </w:p>
        </w:tc>
        <w:tc>
          <w:tcPr>
            <w:tcW w:w="597" w:type="pct"/>
            <w:tcBorders>
              <w:top w:val="double" w:sz="4" w:space="0" w:color="auto"/>
              <w:left w:val="single" w:sz="4" w:space="0" w:color="auto"/>
              <w:bottom w:val="single" w:sz="4" w:space="0" w:color="auto"/>
              <w:right w:val="single" w:sz="18" w:space="0" w:color="auto"/>
            </w:tcBorders>
            <w:vAlign w:val="bottom"/>
          </w:tcPr>
          <w:p w14:paraId="12BE21A6" w14:textId="77777777" w:rsidR="00FE3EAF" w:rsidRPr="00FE3EAF" w:rsidRDefault="00FE3EAF" w:rsidP="00FE3EAF">
            <w:pPr>
              <w:jc w:val="center"/>
              <w:rPr>
                <w:rFonts w:eastAsia="Calibri"/>
                <w:bCs/>
                <w:sz w:val="20"/>
                <w:szCs w:val="20"/>
              </w:rPr>
            </w:pPr>
            <w:r w:rsidRPr="00FE3EAF">
              <w:rPr>
                <w:rFonts w:eastAsia="Calibri"/>
                <w:color w:val="000000"/>
                <w:sz w:val="20"/>
                <w:szCs w:val="20"/>
              </w:rPr>
              <w:t>59.5</w:t>
            </w:r>
          </w:p>
        </w:tc>
        <w:tc>
          <w:tcPr>
            <w:tcW w:w="597" w:type="pct"/>
            <w:tcBorders>
              <w:top w:val="double" w:sz="4" w:space="0" w:color="auto"/>
              <w:left w:val="single" w:sz="18" w:space="0" w:color="auto"/>
              <w:bottom w:val="single" w:sz="4" w:space="0" w:color="auto"/>
              <w:right w:val="single" w:sz="4" w:space="0" w:color="auto"/>
            </w:tcBorders>
            <w:vAlign w:val="bottom"/>
            <w:hideMark/>
          </w:tcPr>
          <w:p w14:paraId="231D8E63" w14:textId="77777777" w:rsidR="00FE3EAF" w:rsidRPr="00FE3EAF" w:rsidRDefault="00FE3EAF" w:rsidP="00FE3EAF">
            <w:pPr>
              <w:jc w:val="center"/>
              <w:rPr>
                <w:rFonts w:eastAsia="Calibri"/>
                <w:bCs/>
                <w:sz w:val="20"/>
                <w:szCs w:val="20"/>
              </w:rPr>
            </w:pPr>
            <w:r w:rsidRPr="00FE3EAF">
              <w:rPr>
                <w:rFonts w:eastAsia="Calibri"/>
                <w:color w:val="000000"/>
                <w:sz w:val="20"/>
                <w:szCs w:val="20"/>
              </w:rPr>
              <w:t>20.7</w:t>
            </w:r>
          </w:p>
        </w:tc>
        <w:tc>
          <w:tcPr>
            <w:tcW w:w="597" w:type="pct"/>
            <w:tcBorders>
              <w:top w:val="double" w:sz="4" w:space="0" w:color="auto"/>
              <w:left w:val="single" w:sz="4" w:space="0" w:color="auto"/>
              <w:bottom w:val="single" w:sz="4" w:space="0" w:color="auto"/>
              <w:right w:val="single" w:sz="18" w:space="0" w:color="auto"/>
            </w:tcBorders>
            <w:vAlign w:val="bottom"/>
            <w:hideMark/>
          </w:tcPr>
          <w:p w14:paraId="3FEC1E78" w14:textId="77777777" w:rsidR="00FE3EAF" w:rsidRPr="00FE3EAF" w:rsidRDefault="00FE3EAF" w:rsidP="00FE3EAF">
            <w:pPr>
              <w:jc w:val="center"/>
              <w:rPr>
                <w:rFonts w:eastAsia="Calibri"/>
                <w:bCs/>
                <w:sz w:val="20"/>
                <w:szCs w:val="20"/>
              </w:rPr>
            </w:pPr>
            <w:r w:rsidRPr="00FE3EAF">
              <w:rPr>
                <w:rFonts w:eastAsia="Calibri"/>
                <w:color w:val="000000"/>
                <w:sz w:val="20"/>
                <w:szCs w:val="20"/>
              </w:rPr>
              <w:t>79.3</w:t>
            </w:r>
          </w:p>
        </w:tc>
        <w:tc>
          <w:tcPr>
            <w:tcW w:w="462" w:type="pct"/>
            <w:tcBorders>
              <w:top w:val="double" w:sz="4" w:space="0" w:color="auto"/>
              <w:left w:val="single" w:sz="4" w:space="0" w:color="auto"/>
              <w:bottom w:val="single" w:sz="4" w:space="0" w:color="auto"/>
              <w:right w:val="single" w:sz="18" w:space="0" w:color="auto"/>
            </w:tcBorders>
            <w:vAlign w:val="center"/>
          </w:tcPr>
          <w:p w14:paraId="6059A567" w14:textId="77777777" w:rsidR="00FE3EAF" w:rsidRPr="00FE3EAF" w:rsidRDefault="00FE3EAF" w:rsidP="00FE3EAF">
            <w:pPr>
              <w:jc w:val="center"/>
              <w:rPr>
                <w:rFonts w:eastAsia="Calibri"/>
                <w:bCs/>
                <w:sz w:val="20"/>
                <w:szCs w:val="20"/>
              </w:rPr>
            </w:pPr>
            <w:r w:rsidRPr="00FE3EAF">
              <w:rPr>
                <w:rFonts w:eastAsia="Calibri"/>
                <w:bCs/>
                <w:sz w:val="20"/>
                <w:szCs w:val="20"/>
              </w:rPr>
              <w:t>59.7</w:t>
            </w:r>
          </w:p>
        </w:tc>
      </w:tr>
      <w:tr w:rsidR="00FE3EAF" w:rsidRPr="00FE3EAF" w14:paraId="2AD6ADD9" w14:textId="77777777" w:rsidTr="00640159">
        <w:tc>
          <w:tcPr>
            <w:tcW w:w="742" w:type="pct"/>
            <w:vMerge/>
            <w:tcBorders>
              <w:top w:val="double" w:sz="4" w:space="0" w:color="auto"/>
              <w:left w:val="single" w:sz="18" w:space="0" w:color="auto"/>
              <w:bottom w:val="single" w:sz="4" w:space="0" w:color="auto"/>
              <w:right w:val="single" w:sz="4" w:space="0" w:color="auto"/>
            </w:tcBorders>
            <w:vAlign w:val="center"/>
            <w:hideMark/>
          </w:tcPr>
          <w:p w14:paraId="199D0E2D" w14:textId="77777777" w:rsidR="00FE3EAF" w:rsidRPr="00FE3EAF" w:rsidRDefault="00FE3EAF" w:rsidP="00FE3EAF">
            <w:pPr>
              <w:jc w:val="left"/>
              <w:rPr>
                <w:rFonts w:eastAsia="Calibri"/>
                <w:bCs/>
                <w:color w:val="000000"/>
                <w:sz w:val="20"/>
                <w:szCs w:val="20"/>
              </w:rPr>
            </w:pPr>
          </w:p>
        </w:tc>
        <w:tc>
          <w:tcPr>
            <w:tcW w:w="1408" w:type="pct"/>
            <w:tcBorders>
              <w:top w:val="single" w:sz="4" w:space="0" w:color="auto"/>
              <w:left w:val="single" w:sz="4" w:space="0" w:color="auto"/>
              <w:bottom w:val="single" w:sz="4" w:space="0" w:color="auto"/>
              <w:right w:val="single" w:sz="18" w:space="0" w:color="auto"/>
            </w:tcBorders>
            <w:vAlign w:val="center"/>
            <w:hideMark/>
          </w:tcPr>
          <w:p w14:paraId="39358128" w14:textId="77777777" w:rsidR="00FE3EAF" w:rsidRPr="00FE3EAF" w:rsidRDefault="00FE3EAF" w:rsidP="00FE3EAF">
            <w:pPr>
              <w:jc w:val="left"/>
              <w:rPr>
                <w:rFonts w:eastAsia="Calibri"/>
                <w:bCs/>
                <w:color w:val="000000"/>
                <w:sz w:val="20"/>
                <w:szCs w:val="20"/>
              </w:rPr>
            </w:pPr>
            <w:r w:rsidRPr="00FE3EAF">
              <w:rPr>
                <w:rFonts w:eastAsia="Calibri"/>
                <w:bCs/>
                <w:color w:val="000000"/>
                <w:sz w:val="20"/>
                <w:szCs w:val="20"/>
              </w:rPr>
              <w:t>Male</w:t>
            </w:r>
          </w:p>
        </w:tc>
        <w:tc>
          <w:tcPr>
            <w:tcW w:w="597" w:type="pct"/>
            <w:tcBorders>
              <w:top w:val="single" w:sz="4" w:space="0" w:color="auto"/>
              <w:left w:val="single" w:sz="18" w:space="0" w:color="auto"/>
              <w:bottom w:val="single" w:sz="4" w:space="0" w:color="auto"/>
              <w:right w:val="single" w:sz="4" w:space="0" w:color="auto"/>
            </w:tcBorders>
            <w:vAlign w:val="bottom"/>
          </w:tcPr>
          <w:p w14:paraId="54A8A6D5" w14:textId="77777777" w:rsidR="00FE3EAF" w:rsidRPr="00FE3EAF" w:rsidRDefault="00FE3EAF" w:rsidP="00FE3EAF">
            <w:pPr>
              <w:jc w:val="center"/>
              <w:rPr>
                <w:rFonts w:eastAsia="Calibri"/>
                <w:bCs/>
                <w:sz w:val="20"/>
                <w:szCs w:val="20"/>
              </w:rPr>
            </w:pPr>
            <w:r w:rsidRPr="00FE3EAF">
              <w:rPr>
                <w:rFonts w:eastAsia="Calibri"/>
                <w:color w:val="000000"/>
                <w:sz w:val="20"/>
                <w:szCs w:val="20"/>
              </w:rPr>
              <w:t>39.3</w:t>
            </w:r>
          </w:p>
        </w:tc>
        <w:tc>
          <w:tcPr>
            <w:tcW w:w="597" w:type="pct"/>
            <w:tcBorders>
              <w:top w:val="single" w:sz="4" w:space="0" w:color="auto"/>
              <w:left w:val="single" w:sz="4" w:space="0" w:color="auto"/>
              <w:bottom w:val="single" w:sz="4" w:space="0" w:color="auto"/>
              <w:right w:val="single" w:sz="18" w:space="0" w:color="auto"/>
            </w:tcBorders>
            <w:vAlign w:val="bottom"/>
          </w:tcPr>
          <w:p w14:paraId="65152845" w14:textId="77777777" w:rsidR="00FE3EAF" w:rsidRPr="00FE3EAF" w:rsidRDefault="00FE3EAF" w:rsidP="00FE3EAF">
            <w:pPr>
              <w:jc w:val="center"/>
              <w:rPr>
                <w:rFonts w:eastAsia="Calibri"/>
                <w:bCs/>
                <w:sz w:val="20"/>
                <w:szCs w:val="20"/>
              </w:rPr>
            </w:pPr>
            <w:r w:rsidRPr="00FE3EAF">
              <w:rPr>
                <w:rFonts w:eastAsia="Calibri"/>
                <w:color w:val="000000"/>
                <w:sz w:val="20"/>
                <w:szCs w:val="20"/>
              </w:rPr>
              <w:t>40.5</w:t>
            </w:r>
          </w:p>
        </w:tc>
        <w:tc>
          <w:tcPr>
            <w:tcW w:w="597" w:type="pct"/>
            <w:tcBorders>
              <w:top w:val="single" w:sz="4" w:space="0" w:color="auto"/>
              <w:left w:val="single" w:sz="18" w:space="0" w:color="auto"/>
              <w:bottom w:val="single" w:sz="4" w:space="0" w:color="auto"/>
              <w:right w:val="single" w:sz="4" w:space="0" w:color="auto"/>
            </w:tcBorders>
            <w:vAlign w:val="bottom"/>
          </w:tcPr>
          <w:p w14:paraId="77B6D8AC" w14:textId="77777777" w:rsidR="00FE3EAF" w:rsidRPr="00FE3EAF" w:rsidRDefault="00FE3EAF" w:rsidP="00FE3EAF">
            <w:pPr>
              <w:jc w:val="center"/>
              <w:rPr>
                <w:rFonts w:eastAsia="Calibri"/>
                <w:bCs/>
                <w:sz w:val="20"/>
                <w:szCs w:val="20"/>
              </w:rPr>
            </w:pPr>
            <w:r w:rsidRPr="00FE3EAF">
              <w:rPr>
                <w:rFonts w:eastAsia="Calibri"/>
                <w:color w:val="000000"/>
                <w:sz w:val="20"/>
                <w:szCs w:val="20"/>
              </w:rPr>
              <w:t>19.8</w:t>
            </w:r>
          </w:p>
        </w:tc>
        <w:tc>
          <w:tcPr>
            <w:tcW w:w="597" w:type="pct"/>
            <w:tcBorders>
              <w:top w:val="single" w:sz="4" w:space="0" w:color="auto"/>
              <w:left w:val="single" w:sz="4" w:space="0" w:color="auto"/>
              <w:bottom w:val="single" w:sz="4" w:space="0" w:color="auto"/>
              <w:right w:val="single" w:sz="18" w:space="0" w:color="auto"/>
            </w:tcBorders>
            <w:vAlign w:val="bottom"/>
          </w:tcPr>
          <w:p w14:paraId="3CA3371F" w14:textId="77777777" w:rsidR="00FE3EAF" w:rsidRPr="00FE3EAF" w:rsidRDefault="00FE3EAF" w:rsidP="00FE3EAF">
            <w:pPr>
              <w:jc w:val="center"/>
              <w:rPr>
                <w:rFonts w:eastAsia="Calibri"/>
                <w:bCs/>
                <w:sz w:val="20"/>
                <w:szCs w:val="20"/>
              </w:rPr>
            </w:pPr>
            <w:r w:rsidRPr="00FE3EAF">
              <w:rPr>
                <w:rFonts w:eastAsia="Calibri"/>
                <w:color w:val="000000"/>
                <w:sz w:val="20"/>
                <w:szCs w:val="20"/>
              </w:rPr>
              <w:t>80.2</w:t>
            </w:r>
          </w:p>
        </w:tc>
        <w:tc>
          <w:tcPr>
            <w:tcW w:w="462" w:type="pct"/>
            <w:tcBorders>
              <w:top w:val="single" w:sz="4" w:space="0" w:color="auto"/>
              <w:left w:val="single" w:sz="4" w:space="0" w:color="auto"/>
              <w:bottom w:val="single" w:sz="4" w:space="0" w:color="auto"/>
              <w:right w:val="single" w:sz="18" w:space="0" w:color="auto"/>
            </w:tcBorders>
            <w:vAlign w:val="center"/>
          </w:tcPr>
          <w:p w14:paraId="5C8664D2" w14:textId="77777777" w:rsidR="00FE3EAF" w:rsidRPr="00FE3EAF" w:rsidRDefault="00FE3EAF" w:rsidP="00FE3EAF">
            <w:pPr>
              <w:jc w:val="center"/>
              <w:rPr>
                <w:rFonts w:eastAsia="Calibri"/>
                <w:bCs/>
                <w:sz w:val="20"/>
                <w:szCs w:val="20"/>
              </w:rPr>
            </w:pPr>
            <w:r w:rsidRPr="00FE3EAF">
              <w:rPr>
                <w:rFonts w:eastAsia="Calibri"/>
                <w:bCs/>
                <w:sz w:val="20"/>
                <w:szCs w:val="20"/>
              </w:rPr>
              <w:t>40.3</w:t>
            </w:r>
          </w:p>
        </w:tc>
      </w:tr>
      <w:tr w:rsidR="00FE3EAF" w:rsidRPr="00FE3EAF" w14:paraId="0E2B4FC2" w14:textId="77777777" w:rsidTr="00640159">
        <w:tc>
          <w:tcPr>
            <w:tcW w:w="742" w:type="pct"/>
            <w:vMerge w:val="restart"/>
            <w:tcBorders>
              <w:top w:val="single" w:sz="4" w:space="0" w:color="auto"/>
              <w:left w:val="single" w:sz="18" w:space="0" w:color="auto"/>
              <w:right w:val="single" w:sz="4" w:space="0" w:color="auto"/>
            </w:tcBorders>
            <w:vAlign w:val="center"/>
          </w:tcPr>
          <w:p w14:paraId="08D82458" w14:textId="77777777" w:rsidR="00FE3EAF" w:rsidRPr="00FE3EAF" w:rsidRDefault="00FE3EAF" w:rsidP="00FE3EAF">
            <w:pPr>
              <w:jc w:val="left"/>
              <w:rPr>
                <w:rFonts w:eastAsia="Calibri"/>
                <w:bCs/>
                <w:color w:val="000000"/>
                <w:sz w:val="20"/>
                <w:szCs w:val="20"/>
              </w:rPr>
            </w:pPr>
            <w:r w:rsidRPr="00FE3EAF">
              <w:rPr>
                <w:rFonts w:eastAsia="Calibri"/>
                <w:bCs/>
                <w:color w:val="000000"/>
                <w:sz w:val="20"/>
                <w:szCs w:val="20"/>
              </w:rPr>
              <w:t>Household children</w:t>
            </w:r>
          </w:p>
        </w:tc>
        <w:tc>
          <w:tcPr>
            <w:tcW w:w="1408" w:type="pct"/>
            <w:tcBorders>
              <w:top w:val="single" w:sz="4" w:space="0" w:color="auto"/>
              <w:left w:val="single" w:sz="4" w:space="0" w:color="auto"/>
              <w:bottom w:val="single" w:sz="4" w:space="0" w:color="auto"/>
              <w:right w:val="single" w:sz="18" w:space="0" w:color="auto"/>
            </w:tcBorders>
            <w:vAlign w:val="center"/>
          </w:tcPr>
          <w:p w14:paraId="66F6F485" w14:textId="77777777" w:rsidR="00FE3EAF" w:rsidRPr="00FE3EAF" w:rsidRDefault="00FE3EAF" w:rsidP="00FE3EAF">
            <w:pPr>
              <w:jc w:val="left"/>
              <w:rPr>
                <w:rFonts w:eastAsia="Calibri"/>
                <w:bCs/>
                <w:color w:val="000000"/>
                <w:sz w:val="20"/>
                <w:szCs w:val="20"/>
              </w:rPr>
            </w:pPr>
            <w:r w:rsidRPr="00FE3EAF">
              <w:rPr>
                <w:rFonts w:eastAsia="Calibri"/>
                <w:bCs/>
                <w:color w:val="000000"/>
                <w:sz w:val="20"/>
                <w:szCs w:val="20"/>
              </w:rPr>
              <w:t xml:space="preserve">No children present </w:t>
            </w:r>
          </w:p>
          <w:p w14:paraId="2B0F8722" w14:textId="77777777" w:rsidR="00FE3EAF" w:rsidRPr="00FE3EAF" w:rsidRDefault="00FE3EAF" w:rsidP="00FE3EAF">
            <w:pPr>
              <w:jc w:val="left"/>
              <w:rPr>
                <w:rFonts w:eastAsia="Calibri"/>
                <w:bCs/>
                <w:color w:val="000000"/>
                <w:sz w:val="20"/>
                <w:szCs w:val="20"/>
              </w:rPr>
            </w:pPr>
            <w:r w:rsidRPr="00FE3EAF">
              <w:rPr>
                <w:rFonts w:eastAsia="Calibri"/>
                <w:bCs/>
                <w:color w:val="000000"/>
                <w:sz w:val="20"/>
                <w:szCs w:val="20"/>
              </w:rPr>
              <w:t>(regardless of age)</w:t>
            </w:r>
          </w:p>
        </w:tc>
        <w:tc>
          <w:tcPr>
            <w:tcW w:w="597" w:type="pct"/>
            <w:tcBorders>
              <w:top w:val="single" w:sz="4" w:space="0" w:color="auto"/>
              <w:left w:val="single" w:sz="18" w:space="0" w:color="auto"/>
              <w:bottom w:val="single" w:sz="4" w:space="0" w:color="auto"/>
              <w:right w:val="single" w:sz="4" w:space="0" w:color="auto"/>
            </w:tcBorders>
            <w:vAlign w:val="bottom"/>
          </w:tcPr>
          <w:p w14:paraId="0DBFDDA6" w14:textId="77777777" w:rsidR="00FE3EAF" w:rsidRPr="00FE3EAF" w:rsidRDefault="00FE3EAF" w:rsidP="00FE3EAF">
            <w:pPr>
              <w:jc w:val="center"/>
              <w:rPr>
                <w:rFonts w:eastAsia="Calibri"/>
                <w:sz w:val="20"/>
                <w:szCs w:val="20"/>
              </w:rPr>
            </w:pPr>
            <w:r w:rsidRPr="00FE3EAF">
              <w:rPr>
                <w:rFonts w:eastAsia="Calibri"/>
                <w:color w:val="000000"/>
                <w:sz w:val="20"/>
                <w:szCs w:val="20"/>
              </w:rPr>
              <w:t>70.2</w:t>
            </w:r>
          </w:p>
        </w:tc>
        <w:tc>
          <w:tcPr>
            <w:tcW w:w="597" w:type="pct"/>
            <w:tcBorders>
              <w:top w:val="single" w:sz="4" w:space="0" w:color="auto"/>
              <w:left w:val="single" w:sz="4" w:space="0" w:color="auto"/>
              <w:bottom w:val="single" w:sz="4" w:space="0" w:color="auto"/>
              <w:right w:val="single" w:sz="18" w:space="0" w:color="auto"/>
            </w:tcBorders>
            <w:vAlign w:val="bottom"/>
          </w:tcPr>
          <w:p w14:paraId="14A6E8EC" w14:textId="77777777" w:rsidR="00FE3EAF" w:rsidRPr="00FE3EAF" w:rsidRDefault="00FE3EAF" w:rsidP="00FE3EAF">
            <w:pPr>
              <w:jc w:val="center"/>
              <w:rPr>
                <w:rFonts w:eastAsia="Calibri"/>
                <w:sz w:val="20"/>
                <w:szCs w:val="20"/>
              </w:rPr>
            </w:pPr>
            <w:r w:rsidRPr="00FE3EAF">
              <w:rPr>
                <w:rFonts w:eastAsia="Calibri"/>
                <w:color w:val="000000"/>
                <w:sz w:val="20"/>
                <w:szCs w:val="20"/>
              </w:rPr>
              <w:t>73.2</w:t>
            </w:r>
          </w:p>
        </w:tc>
        <w:tc>
          <w:tcPr>
            <w:tcW w:w="597" w:type="pct"/>
            <w:tcBorders>
              <w:top w:val="single" w:sz="4" w:space="0" w:color="auto"/>
              <w:left w:val="single" w:sz="18" w:space="0" w:color="auto"/>
              <w:bottom w:val="single" w:sz="4" w:space="0" w:color="auto"/>
              <w:right w:val="single" w:sz="4" w:space="0" w:color="auto"/>
            </w:tcBorders>
            <w:vAlign w:val="bottom"/>
          </w:tcPr>
          <w:p w14:paraId="62426160" w14:textId="77777777" w:rsidR="00FE3EAF" w:rsidRPr="00FE3EAF" w:rsidRDefault="00FE3EAF" w:rsidP="00FE3EAF">
            <w:pPr>
              <w:jc w:val="center"/>
              <w:rPr>
                <w:rFonts w:eastAsia="Calibri"/>
                <w:color w:val="000000"/>
                <w:sz w:val="20"/>
                <w:szCs w:val="20"/>
              </w:rPr>
            </w:pPr>
            <w:r w:rsidRPr="00FE3EAF">
              <w:rPr>
                <w:rFonts w:eastAsia="Calibri"/>
                <w:color w:val="000000"/>
                <w:sz w:val="20"/>
                <w:szCs w:val="20"/>
              </w:rPr>
              <w:t>19.7</w:t>
            </w:r>
          </w:p>
        </w:tc>
        <w:tc>
          <w:tcPr>
            <w:tcW w:w="597" w:type="pct"/>
            <w:tcBorders>
              <w:top w:val="single" w:sz="4" w:space="0" w:color="auto"/>
              <w:left w:val="single" w:sz="4" w:space="0" w:color="auto"/>
              <w:bottom w:val="single" w:sz="4" w:space="0" w:color="auto"/>
              <w:right w:val="single" w:sz="18" w:space="0" w:color="auto"/>
            </w:tcBorders>
            <w:vAlign w:val="bottom"/>
          </w:tcPr>
          <w:p w14:paraId="279E9032" w14:textId="77777777" w:rsidR="00FE3EAF" w:rsidRPr="00FE3EAF" w:rsidRDefault="00FE3EAF" w:rsidP="00FE3EAF">
            <w:pPr>
              <w:jc w:val="center"/>
              <w:rPr>
                <w:rFonts w:eastAsia="Calibri"/>
                <w:color w:val="000000"/>
                <w:sz w:val="20"/>
                <w:szCs w:val="20"/>
              </w:rPr>
            </w:pPr>
            <w:r w:rsidRPr="00FE3EAF">
              <w:rPr>
                <w:rFonts w:eastAsia="Calibri"/>
                <w:color w:val="000000"/>
                <w:sz w:val="20"/>
                <w:szCs w:val="20"/>
              </w:rPr>
              <w:t>80.3</w:t>
            </w:r>
          </w:p>
        </w:tc>
        <w:tc>
          <w:tcPr>
            <w:tcW w:w="462" w:type="pct"/>
            <w:tcBorders>
              <w:top w:val="single" w:sz="4" w:space="0" w:color="auto"/>
              <w:left w:val="single" w:sz="4" w:space="0" w:color="auto"/>
              <w:bottom w:val="single" w:sz="4" w:space="0" w:color="auto"/>
              <w:right w:val="single" w:sz="18" w:space="0" w:color="auto"/>
            </w:tcBorders>
            <w:vAlign w:val="center"/>
          </w:tcPr>
          <w:p w14:paraId="090E8C5C" w14:textId="77777777" w:rsidR="00FE3EAF" w:rsidRPr="00FE3EAF" w:rsidRDefault="00FE3EAF" w:rsidP="00FE3EAF">
            <w:pPr>
              <w:jc w:val="center"/>
              <w:rPr>
                <w:rFonts w:eastAsia="Calibri"/>
                <w:bCs/>
                <w:sz w:val="20"/>
                <w:szCs w:val="20"/>
              </w:rPr>
            </w:pPr>
            <w:r w:rsidRPr="00FE3EAF">
              <w:rPr>
                <w:rFonts w:eastAsia="Calibri"/>
                <w:bCs/>
                <w:sz w:val="20"/>
                <w:szCs w:val="20"/>
              </w:rPr>
              <w:t>72.6</w:t>
            </w:r>
          </w:p>
        </w:tc>
      </w:tr>
      <w:tr w:rsidR="00FE3EAF" w:rsidRPr="00FE3EAF" w14:paraId="7A54B259" w14:textId="77777777" w:rsidTr="00640159">
        <w:tc>
          <w:tcPr>
            <w:tcW w:w="742" w:type="pct"/>
            <w:vMerge/>
            <w:tcBorders>
              <w:left w:val="single" w:sz="18" w:space="0" w:color="auto"/>
              <w:right w:val="single" w:sz="4" w:space="0" w:color="auto"/>
            </w:tcBorders>
            <w:vAlign w:val="center"/>
          </w:tcPr>
          <w:p w14:paraId="2E9F9101" w14:textId="77777777" w:rsidR="00FE3EAF" w:rsidRPr="00FE3EAF" w:rsidRDefault="00FE3EAF" w:rsidP="00FE3EAF">
            <w:pPr>
              <w:jc w:val="left"/>
              <w:rPr>
                <w:rFonts w:eastAsia="Calibri"/>
                <w:bCs/>
                <w:color w:val="000000"/>
                <w:sz w:val="20"/>
                <w:szCs w:val="20"/>
              </w:rPr>
            </w:pPr>
          </w:p>
        </w:tc>
        <w:tc>
          <w:tcPr>
            <w:tcW w:w="1408" w:type="pct"/>
            <w:tcBorders>
              <w:top w:val="single" w:sz="4" w:space="0" w:color="auto"/>
              <w:left w:val="single" w:sz="4" w:space="0" w:color="auto"/>
              <w:bottom w:val="single" w:sz="4" w:space="0" w:color="auto"/>
              <w:right w:val="single" w:sz="18" w:space="0" w:color="auto"/>
            </w:tcBorders>
            <w:vAlign w:val="center"/>
          </w:tcPr>
          <w:p w14:paraId="3A8AB0CD" w14:textId="77777777" w:rsidR="00FE3EAF" w:rsidRPr="00FE3EAF" w:rsidRDefault="00FE3EAF" w:rsidP="00FE3EAF">
            <w:pPr>
              <w:jc w:val="left"/>
              <w:rPr>
                <w:rFonts w:eastAsia="Calibri"/>
                <w:bCs/>
                <w:color w:val="000000"/>
                <w:sz w:val="20"/>
                <w:szCs w:val="20"/>
              </w:rPr>
            </w:pPr>
            <w:r w:rsidRPr="00FE3EAF">
              <w:rPr>
                <w:rFonts w:eastAsia="Calibri"/>
                <w:bCs/>
                <w:color w:val="000000"/>
                <w:sz w:val="20"/>
                <w:szCs w:val="20"/>
              </w:rPr>
              <w:t xml:space="preserve">Children present </w:t>
            </w:r>
          </w:p>
          <w:p w14:paraId="75AD6F5A" w14:textId="77777777" w:rsidR="00FE3EAF" w:rsidRPr="00FE3EAF" w:rsidRDefault="00FE3EAF" w:rsidP="00FE3EAF">
            <w:pPr>
              <w:jc w:val="left"/>
              <w:rPr>
                <w:rFonts w:eastAsia="Calibri"/>
                <w:bCs/>
                <w:color w:val="000000"/>
                <w:sz w:val="20"/>
                <w:szCs w:val="20"/>
              </w:rPr>
            </w:pPr>
            <w:r w:rsidRPr="00FE3EAF">
              <w:rPr>
                <w:rFonts w:eastAsia="Calibri"/>
                <w:bCs/>
                <w:color w:val="000000"/>
                <w:sz w:val="20"/>
                <w:szCs w:val="20"/>
              </w:rPr>
              <w:t>(regardless of age)</w:t>
            </w:r>
          </w:p>
        </w:tc>
        <w:tc>
          <w:tcPr>
            <w:tcW w:w="597" w:type="pct"/>
            <w:tcBorders>
              <w:top w:val="single" w:sz="4" w:space="0" w:color="auto"/>
              <w:left w:val="single" w:sz="18" w:space="0" w:color="auto"/>
              <w:bottom w:val="single" w:sz="4" w:space="0" w:color="auto"/>
              <w:right w:val="single" w:sz="4" w:space="0" w:color="auto"/>
            </w:tcBorders>
            <w:vAlign w:val="bottom"/>
          </w:tcPr>
          <w:p w14:paraId="1995C975" w14:textId="77777777" w:rsidR="00FE3EAF" w:rsidRPr="00FE3EAF" w:rsidRDefault="00FE3EAF" w:rsidP="00FE3EAF">
            <w:pPr>
              <w:jc w:val="center"/>
              <w:rPr>
                <w:rFonts w:eastAsia="Calibri"/>
                <w:sz w:val="20"/>
                <w:szCs w:val="20"/>
              </w:rPr>
            </w:pPr>
            <w:r w:rsidRPr="00FE3EAF">
              <w:rPr>
                <w:rFonts w:eastAsia="Calibri"/>
                <w:color w:val="000000"/>
                <w:sz w:val="20"/>
                <w:szCs w:val="20"/>
              </w:rPr>
              <w:t>29.8</w:t>
            </w:r>
          </w:p>
        </w:tc>
        <w:tc>
          <w:tcPr>
            <w:tcW w:w="597" w:type="pct"/>
            <w:tcBorders>
              <w:top w:val="single" w:sz="4" w:space="0" w:color="auto"/>
              <w:left w:val="single" w:sz="4" w:space="0" w:color="auto"/>
              <w:bottom w:val="single" w:sz="4" w:space="0" w:color="auto"/>
              <w:right w:val="single" w:sz="18" w:space="0" w:color="auto"/>
            </w:tcBorders>
            <w:vAlign w:val="bottom"/>
          </w:tcPr>
          <w:p w14:paraId="225E476D" w14:textId="77777777" w:rsidR="00FE3EAF" w:rsidRPr="00FE3EAF" w:rsidRDefault="00FE3EAF" w:rsidP="00FE3EAF">
            <w:pPr>
              <w:jc w:val="center"/>
              <w:rPr>
                <w:rFonts w:eastAsia="Calibri"/>
                <w:sz w:val="20"/>
                <w:szCs w:val="20"/>
              </w:rPr>
            </w:pPr>
            <w:r w:rsidRPr="00FE3EAF">
              <w:rPr>
                <w:rFonts w:eastAsia="Calibri"/>
                <w:color w:val="000000"/>
                <w:sz w:val="20"/>
                <w:szCs w:val="20"/>
              </w:rPr>
              <w:t>26.8</w:t>
            </w:r>
          </w:p>
        </w:tc>
        <w:tc>
          <w:tcPr>
            <w:tcW w:w="597" w:type="pct"/>
            <w:tcBorders>
              <w:top w:val="single" w:sz="4" w:space="0" w:color="auto"/>
              <w:left w:val="single" w:sz="18" w:space="0" w:color="auto"/>
              <w:bottom w:val="single" w:sz="4" w:space="0" w:color="auto"/>
              <w:right w:val="single" w:sz="4" w:space="0" w:color="auto"/>
            </w:tcBorders>
            <w:vAlign w:val="bottom"/>
          </w:tcPr>
          <w:p w14:paraId="15E6E3BC" w14:textId="77777777" w:rsidR="00FE3EAF" w:rsidRPr="00FE3EAF" w:rsidRDefault="00FE3EAF" w:rsidP="00FE3EAF">
            <w:pPr>
              <w:jc w:val="center"/>
              <w:rPr>
                <w:rFonts w:eastAsia="Calibri"/>
                <w:color w:val="000000"/>
                <w:sz w:val="20"/>
                <w:szCs w:val="20"/>
              </w:rPr>
            </w:pPr>
            <w:r w:rsidRPr="00FE3EAF">
              <w:rPr>
                <w:rFonts w:eastAsia="Calibri"/>
                <w:color w:val="000000"/>
                <w:sz w:val="20"/>
                <w:szCs w:val="20"/>
              </w:rPr>
              <w:t>22.0</w:t>
            </w:r>
          </w:p>
        </w:tc>
        <w:tc>
          <w:tcPr>
            <w:tcW w:w="597" w:type="pct"/>
            <w:tcBorders>
              <w:top w:val="single" w:sz="4" w:space="0" w:color="auto"/>
              <w:left w:val="single" w:sz="4" w:space="0" w:color="auto"/>
              <w:bottom w:val="single" w:sz="4" w:space="0" w:color="auto"/>
              <w:right w:val="single" w:sz="18" w:space="0" w:color="auto"/>
            </w:tcBorders>
            <w:vAlign w:val="bottom"/>
          </w:tcPr>
          <w:p w14:paraId="55BB738B" w14:textId="77777777" w:rsidR="00FE3EAF" w:rsidRPr="00FE3EAF" w:rsidRDefault="00FE3EAF" w:rsidP="00FE3EAF">
            <w:pPr>
              <w:jc w:val="center"/>
              <w:rPr>
                <w:rFonts w:eastAsia="Calibri"/>
                <w:color w:val="000000"/>
                <w:sz w:val="20"/>
                <w:szCs w:val="20"/>
              </w:rPr>
            </w:pPr>
            <w:r w:rsidRPr="00FE3EAF">
              <w:rPr>
                <w:rFonts w:eastAsia="Calibri"/>
                <w:color w:val="000000"/>
                <w:sz w:val="20"/>
                <w:szCs w:val="20"/>
              </w:rPr>
              <w:t>78.0</w:t>
            </w:r>
          </w:p>
        </w:tc>
        <w:tc>
          <w:tcPr>
            <w:tcW w:w="462" w:type="pct"/>
            <w:tcBorders>
              <w:top w:val="single" w:sz="4" w:space="0" w:color="auto"/>
              <w:left w:val="single" w:sz="4" w:space="0" w:color="auto"/>
              <w:bottom w:val="single" w:sz="4" w:space="0" w:color="auto"/>
              <w:right w:val="single" w:sz="18" w:space="0" w:color="auto"/>
            </w:tcBorders>
            <w:vAlign w:val="center"/>
          </w:tcPr>
          <w:p w14:paraId="134C89F2" w14:textId="77777777" w:rsidR="00FE3EAF" w:rsidRPr="00FE3EAF" w:rsidRDefault="00FE3EAF" w:rsidP="00FE3EAF">
            <w:pPr>
              <w:jc w:val="center"/>
              <w:rPr>
                <w:rFonts w:eastAsia="Calibri"/>
                <w:bCs/>
                <w:sz w:val="20"/>
                <w:szCs w:val="20"/>
              </w:rPr>
            </w:pPr>
            <w:r w:rsidRPr="00FE3EAF">
              <w:rPr>
                <w:rFonts w:eastAsia="Calibri"/>
                <w:bCs/>
                <w:sz w:val="20"/>
                <w:szCs w:val="20"/>
              </w:rPr>
              <w:t>27.4</w:t>
            </w:r>
          </w:p>
        </w:tc>
      </w:tr>
      <w:tr w:rsidR="00FE3EAF" w:rsidRPr="00FE3EAF" w14:paraId="366D5668" w14:textId="77777777" w:rsidTr="00640159">
        <w:tc>
          <w:tcPr>
            <w:tcW w:w="742" w:type="pct"/>
            <w:vMerge/>
            <w:tcBorders>
              <w:left w:val="single" w:sz="18" w:space="0" w:color="auto"/>
              <w:right w:val="single" w:sz="4" w:space="0" w:color="auto"/>
            </w:tcBorders>
            <w:vAlign w:val="center"/>
          </w:tcPr>
          <w:p w14:paraId="1E4AEB55" w14:textId="77777777" w:rsidR="00FE3EAF" w:rsidRPr="00FE3EAF" w:rsidRDefault="00FE3EAF" w:rsidP="00FE3EAF">
            <w:pPr>
              <w:jc w:val="left"/>
              <w:rPr>
                <w:rFonts w:eastAsia="Calibri"/>
                <w:bCs/>
                <w:color w:val="000000"/>
                <w:sz w:val="20"/>
                <w:szCs w:val="20"/>
              </w:rPr>
            </w:pPr>
          </w:p>
        </w:tc>
        <w:tc>
          <w:tcPr>
            <w:tcW w:w="1408" w:type="pct"/>
            <w:tcBorders>
              <w:top w:val="single" w:sz="4" w:space="0" w:color="auto"/>
              <w:left w:val="single" w:sz="4" w:space="0" w:color="auto"/>
              <w:bottom w:val="single" w:sz="4" w:space="0" w:color="auto"/>
              <w:right w:val="single" w:sz="18" w:space="0" w:color="auto"/>
            </w:tcBorders>
            <w:vAlign w:val="center"/>
          </w:tcPr>
          <w:p w14:paraId="3B32DE0B" w14:textId="77777777" w:rsidR="00FE3EAF" w:rsidRPr="00FE3EAF" w:rsidRDefault="00FE3EAF" w:rsidP="00FE3EAF">
            <w:pPr>
              <w:jc w:val="left"/>
              <w:rPr>
                <w:rFonts w:eastAsia="Calibri"/>
                <w:bCs/>
                <w:color w:val="000000"/>
                <w:sz w:val="20"/>
                <w:szCs w:val="20"/>
              </w:rPr>
            </w:pPr>
            <w:r w:rsidRPr="00FE3EAF">
              <w:rPr>
                <w:rFonts w:eastAsia="Calibri"/>
                <w:bCs/>
                <w:color w:val="000000"/>
                <w:sz w:val="20"/>
                <w:szCs w:val="20"/>
              </w:rPr>
              <w:t>Child(ren) 0 to 12 years old present</w:t>
            </w:r>
          </w:p>
        </w:tc>
        <w:tc>
          <w:tcPr>
            <w:tcW w:w="597" w:type="pct"/>
            <w:tcBorders>
              <w:top w:val="single" w:sz="4" w:space="0" w:color="auto"/>
              <w:left w:val="single" w:sz="18" w:space="0" w:color="auto"/>
              <w:bottom w:val="single" w:sz="4" w:space="0" w:color="auto"/>
              <w:right w:val="single" w:sz="4" w:space="0" w:color="auto"/>
            </w:tcBorders>
            <w:vAlign w:val="bottom"/>
          </w:tcPr>
          <w:p w14:paraId="297D0E62" w14:textId="77777777" w:rsidR="00FE3EAF" w:rsidRPr="00FE3EAF" w:rsidRDefault="00FE3EAF" w:rsidP="00FE3EAF">
            <w:pPr>
              <w:jc w:val="center"/>
              <w:rPr>
                <w:rFonts w:eastAsia="Calibri"/>
                <w:sz w:val="20"/>
                <w:szCs w:val="20"/>
              </w:rPr>
            </w:pPr>
            <w:r w:rsidRPr="00FE3EAF">
              <w:rPr>
                <w:rFonts w:eastAsia="Calibri"/>
                <w:color w:val="000000"/>
                <w:sz w:val="20"/>
                <w:szCs w:val="20"/>
              </w:rPr>
              <w:t>22.6</w:t>
            </w:r>
          </w:p>
        </w:tc>
        <w:tc>
          <w:tcPr>
            <w:tcW w:w="597" w:type="pct"/>
            <w:tcBorders>
              <w:top w:val="single" w:sz="4" w:space="0" w:color="auto"/>
              <w:left w:val="single" w:sz="4" w:space="0" w:color="auto"/>
              <w:bottom w:val="single" w:sz="4" w:space="0" w:color="auto"/>
              <w:right w:val="single" w:sz="18" w:space="0" w:color="auto"/>
            </w:tcBorders>
            <w:vAlign w:val="bottom"/>
          </w:tcPr>
          <w:p w14:paraId="3D9D9CE5" w14:textId="77777777" w:rsidR="00FE3EAF" w:rsidRPr="00FE3EAF" w:rsidRDefault="00FE3EAF" w:rsidP="00FE3EAF">
            <w:pPr>
              <w:jc w:val="center"/>
              <w:rPr>
                <w:rFonts w:eastAsia="Calibri"/>
                <w:sz w:val="20"/>
                <w:szCs w:val="20"/>
              </w:rPr>
            </w:pPr>
            <w:r w:rsidRPr="00FE3EAF">
              <w:rPr>
                <w:rFonts w:eastAsia="Calibri"/>
                <w:color w:val="000000"/>
                <w:sz w:val="20"/>
                <w:szCs w:val="20"/>
              </w:rPr>
              <w:t>16.9</w:t>
            </w:r>
          </w:p>
        </w:tc>
        <w:tc>
          <w:tcPr>
            <w:tcW w:w="597" w:type="pct"/>
            <w:tcBorders>
              <w:top w:val="single" w:sz="4" w:space="0" w:color="auto"/>
              <w:left w:val="single" w:sz="18" w:space="0" w:color="auto"/>
              <w:bottom w:val="single" w:sz="4" w:space="0" w:color="auto"/>
              <w:right w:val="single" w:sz="4" w:space="0" w:color="auto"/>
            </w:tcBorders>
            <w:vAlign w:val="bottom"/>
          </w:tcPr>
          <w:p w14:paraId="6298C81E" w14:textId="77777777" w:rsidR="00FE3EAF" w:rsidRPr="00FE3EAF" w:rsidRDefault="00FE3EAF" w:rsidP="00FE3EAF">
            <w:pPr>
              <w:jc w:val="center"/>
              <w:rPr>
                <w:rFonts w:eastAsia="Calibri"/>
                <w:color w:val="000000"/>
                <w:sz w:val="20"/>
                <w:szCs w:val="20"/>
              </w:rPr>
            </w:pPr>
            <w:r w:rsidRPr="00FE3EAF">
              <w:rPr>
                <w:rFonts w:eastAsia="Calibri"/>
                <w:color w:val="000000"/>
                <w:sz w:val="20"/>
                <w:szCs w:val="20"/>
              </w:rPr>
              <w:t>25.5</w:t>
            </w:r>
          </w:p>
        </w:tc>
        <w:tc>
          <w:tcPr>
            <w:tcW w:w="597" w:type="pct"/>
            <w:tcBorders>
              <w:top w:val="single" w:sz="4" w:space="0" w:color="auto"/>
              <w:left w:val="single" w:sz="4" w:space="0" w:color="auto"/>
              <w:bottom w:val="single" w:sz="4" w:space="0" w:color="auto"/>
              <w:right w:val="single" w:sz="18" w:space="0" w:color="auto"/>
            </w:tcBorders>
            <w:vAlign w:val="bottom"/>
          </w:tcPr>
          <w:p w14:paraId="1A421951" w14:textId="77777777" w:rsidR="00FE3EAF" w:rsidRPr="00FE3EAF" w:rsidRDefault="00FE3EAF" w:rsidP="00FE3EAF">
            <w:pPr>
              <w:jc w:val="center"/>
              <w:rPr>
                <w:rFonts w:eastAsia="Calibri"/>
                <w:color w:val="000000"/>
                <w:sz w:val="20"/>
                <w:szCs w:val="20"/>
              </w:rPr>
            </w:pPr>
            <w:r w:rsidRPr="00FE3EAF">
              <w:rPr>
                <w:rFonts w:eastAsia="Calibri"/>
                <w:color w:val="000000"/>
                <w:sz w:val="20"/>
                <w:szCs w:val="20"/>
              </w:rPr>
              <w:t>74.5</w:t>
            </w:r>
          </w:p>
        </w:tc>
        <w:tc>
          <w:tcPr>
            <w:tcW w:w="462" w:type="pct"/>
            <w:tcBorders>
              <w:top w:val="single" w:sz="4" w:space="0" w:color="auto"/>
              <w:left w:val="single" w:sz="4" w:space="0" w:color="auto"/>
              <w:bottom w:val="single" w:sz="4" w:space="0" w:color="auto"/>
              <w:right w:val="single" w:sz="18" w:space="0" w:color="auto"/>
            </w:tcBorders>
            <w:vAlign w:val="center"/>
          </w:tcPr>
          <w:p w14:paraId="74D1F9E9" w14:textId="77777777" w:rsidR="00FE3EAF" w:rsidRPr="00FE3EAF" w:rsidRDefault="00FE3EAF" w:rsidP="00FE3EAF">
            <w:pPr>
              <w:jc w:val="center"/>
              <w:rPr>
                <w:rFonts w:eastAsia="Calibri"/>
                <w:bCs/>
                <w:sz w:val="20"/>
                <w:szCs w:val="20"/>
              </w:rPr>
            </w:pPr>
            <w:r w:rsidRPr="00FE3EAF">
              <w:rPr>
                <w:rFonts w:eastAsia="Calibri"/>
                <w:bCs/>
                <w:sz w:val="20"/>
                <w:szCs w:val="20"/>
              </w:rPr>
              <w:t>18.1</w:t>
            </w:r>
          </w:p>
        </w:tc>
      </w:tr>
      <w:tr w:rsidR="00FE3EAF" w:rsidRPr="00FE3EAF" w14:paraId="587AB64B" w14:textId="77777777" w:rsidTr="00640159">
        <w:tc>
          <w:tcPr>
            <w:tcW w:w="742" w:type="pct"/>
            <w:vMerge/>
            <w:tcBorders>
              <w:left w:val="single" w:sz="18" w:space="0" w:color="auto"/>
              <w:bottom w:val="single" w:sz="4" w:space="0" w:color="auto"/>
              <w:right w:val="single" w:sz="4" w:space="0" w:color="auto"/>
            </w:tcBorders>
            <w:vAlign w:val="center"/>
          </w:tcPr>
          <w:p w14:paraId="1B98A9E0" w14:textId="77777777" w:rsidR="00FE3EAF" w:rsidRPr="00FE3EAF" w:rsidRDefault="00FE3EAF" w:rsidP="00FE3EAF">
            <w:pPr>
              <w:jc w:val="left"/>
              <w:rPr>
                <w:rFonts w:eastAsia="Calibri"/>
                <w:bCs/>
                <w:color w:val="000000"/>
                <w:sz w:val="20"/>
                <w:szCs w:val="20"/>
              </w:rPr>
            </w:pPr>
          </w:p>
        </w:tc>
        <w:tc>
          <w:tcPr>
            <w:tcW w:w="1408" w:type="pct"/>
            <w:tcBorders>
              <w:top w:val="single" w:sz="4" w:space="0" w:color="auto"/>
              <w:left w:val="single" w:sz="4" w:space="0" w:color="auto"/>
              <w:bottom w:val="single" w:sz="4" w:space="0" w:color="auto"/>
              <w:right w:val="single" w:sz="18" w:space="0" w:color="auto"/>
            </w:tcBorders>
            <w:vAlign w:val="center"/>
          </w:tcPr>
          <w:p w14:paraId="4AB9C4E6" w14:textId="77777777" w:rsidR="00FE3EAF" w:rsidRPr="00FE3EAF" w:rsidRDefault="00FE3EAF" w:rsidP="00FE3EAF">
            <w:pPr>
              <w:jc w:val="left"/>
              <w:rPr>
                <w:rFonts w:eastAsia="Calibri"/>
                <w:bCs/>
                <w:color w:val="000000"/>
                <w:sz w:val="20"/>
                <w:szCs w:val="20"/>
              </w:rPr>
            </w:pPr>
            <w:r w:rsidRPr="00FE3EAF">
              <w:rPr>
                <w:rFonts w:eastAsia="Calibri"/>
                <w:bCs/>
                <w:color w:val="000000"/>
                <w:sz w:val="20"/>
                <w:szCs w:val="20"/>
              </w:rPr>
              <w:t>Child(ren) 13 to 17 years old present</w:t>
            </w:r>
          </w:p>
        </w:tc>
        <w:tc>
          <w:tcPr>
            <w:tcW w:w="597" w:type="pct"/>
            <w:tcBorders>
              <w:top w:val="single" w:sz="4" w:space="0" w:color="auto"/>
              <w:left w:val="single" w:sz="18" w:space="0" w:color="auto"/>
              <w:bottom w:val="single" w:sz="4" w:space="0" w:color="auto"/>
              <w:right w:val="single" w:sz="4" w:space="0" w:color="auto"/>
            </w:tcBorders>
            <w:vAlign w:val="bottom"/>
          </w:tcPr>
          <w:p w14:paraId="53C3932E" w14:textId="77777777" w:rsidR="00FE3EAF" w:rsidRPr="00FE3EAF" w:rsidRDefault="00FE3EAF" w:rsidP="00FE3EAF">
            <w:pPr>
              <w:jc w:val="center"/>
              <w:rPr>
                <w:rFonts w:eastAsia="Calibri"/>
                <w:sz w:val="20"/>
                <w:szCs w:val="20"/>
              </w:rPr>
            </w:pPr>
            <w:r w:rsidRPr="00FE3EAF">
              <w:rPr>
                <w:rFonts w:eastAsia="Calibri"/>
                <w:color w:val="000000"/>
                <w:sz w:val="20"/>
                <w:szCs w:val="20"/>
              </w:rPr>
              <w:t>13.1</w:t>
            </w:r>
          </w:p>
        </w:tc>
        <w:tc>
          <w:tcPr>
            <w:tcW w:w="597" w:type="pct"/>
            <w:tcBorders>
              <w:top w:val="single" w:sz="4" w:space="0" w:color="auto"/>
              <w:left w:val="single" w:sz="4" w:space="0" w:color="auto"/>
              <w:bottom w:val="single" w:sz="4" w:space="0" w:color="auto"/>
              <w:right w:val="single" w:sz="18" w:space="0" w:color="auto"/>
            </w:tcBorders>
            <w:vAlign w:val="bottom"/>
          </w:tcPr>
          <w:p w14:paraId="10F22D92" w14:textId="77777777" w:rsidR="00FE3EAF" w:rsidRPr="00FE3EAF" w:rsidRDefault="00FE3EAF" w:rsidP="00FE3EAF">
            <w:pPr>
              <w:jc w:val="center"/>
              <w:rPr>
                <w:rFonts w:eastAsia="Calibri"/>
                <w:sz w:val="20"/>
                <w:szCs w:val="20"/>
              </w:rPr>
            </w:pPr>
            <w:r w:rsidRPr="00FE3EAF">
              <w:rPr>
                <w:rFonts w:eastAsia="Calibri"/>
                <w:color w:val="000000"/>
                <w:sz w:val="20"/>
                <w:szCs w:val="20"/>
              </w:rPr>
              <w:t>14.8</w:t>
            </w:r>
          </w:p>
        </w:tc>
        <w:tc>
          <w:tcPr>
            <w:tcW w:w="597" w:type="pct"/>
            <w:tcBorders>
              <w:top w:val="single" w:sz="4" w:space="0" w:color="auto"/>
              <w:left w:val="single" w:sz="18" w:space="0" w:color="auto"/>
              <w:bottom w:val="single" w:sz="4" w:space="0" w:color="auto"/>
              <w:right w:val="single" w:sz="4" w:space="0" w:color="auto"/>
            </w:tcBorders>
            <w:vAlign w:val="bottom"/>
          </w:tcPr>
          <w:p w14:paraId="35CAF60F" w14:textId="77777777" w:rsidR="00FE3EAF" w:rsidRPr="00FE3EAF" w:rsidRDefault="00FE3EAF" w:rsidP="00FE3EAF">
            <w:pPr>
              <w:jc w:val="center"/>
              <w:rPr>
                <w:rFonts w:eastAsia="Calibri"/>
                <w:color w:val="000000"/>
                <w:sz w:val="20"/>
                <w:szCs w:val="20"/>
              </w:rPr>
            </w:pPr>
            <w:r w:rsidRPr="00FE3EAF">
              <w:rPr>
                <w:rFonts w:eastAsia="Calibri"/>
                <w:color w:val="000000"/>
                <w:sz w:val="20"/>
                <w:szCs w:val="20"/>
              </w:rPr>
              <w:t>18.3</w:t>
            </w:r>
          </w:p>
        </w:tc>
        <w:tc>
          <w:tcPr>
            <w:tcW w:w="597" w:type="pct"/>
            <w:tcBorders>
              <w:top w:val="single" w:sz="4" w:space="0" w:color="auto"/>
              <w:left w:val="single" w:sz="4" w:space="0" w:color="auto"/>
              <w:bottom w:val="single" w:sz="4" w:space="0" w:color="auto"/>
              <w:right w:val="single" w:sz="18" w:space="0" w:color="auto"/>
            </w:tcBorders>
            <w:vAlign w:val="bottom"/>
          </w:tcPr>
          <w:p w14:paraId="464E63E2" w14:textId="77777777" w:rsidR="00FE3EAF" w:rsidRPr="00FE3EAF" w:rsidRDefault="00FE3EAF" w:rsidP="00FE3EAF">
            <w:pPr>
              <w:jc w:val="center"/>
              <w:rPr>
                <w:rFonts w:eastAsia="Calibri"/>
                <w:color w:val="000000"/>
                <w:sz w:val="20"/>
                <w:szCs w:val="20"/>
              </w:rPr>
            </w:pPr>
            <w:r w:rsidRPr="00FE3EAF">
              <w:rPr>
                <w:rFonts w:eastAsia="Calibri"/>
                <w:color w:val="000000"/>
                <w:sz w:val="20"/>
                <w:szCs w:val="20"/>
              </w:rPr>
              <w:t>81.7</w:t>
            </w:r>
          </w:p>
        </w:tc>
        <w:tc>
          <w:tcPr>
            <w:tcW w:w="462" w:type="pct"/>
            <w:tcBorders>
              <w:top w:val="single" w:sz="4" w:space="0" w:color="auto"/>
              <w:left w:val="single" w:sz="4" w:space="0" w:color="auto"/>
              <w:bottom w:val="single" w:sz="4" w:space="0" w:color="auto"/>
              <w:right w:val="single" w:sz="18" w:space="0" w:color="auto"/>
            </w:tcBorders>
            <w:vAlign w:val="center"/>
          </w:tcPr>
          <w:p w14:paraId="485AA50D" w14:textId="77777777" w:rsidR="00FE3EAF" w:rsidRPr="00FE3EAF" w:rsidRDefault="00FE3EAF" w:rsidP="00FE3EAF">
            <w:pPr>
              <w:jc w:val="center"/>
              <w:rPr>
                <w:rFonts w:eastAsia="Calibri"/>
                <w:bCs/>
                <w:sz w:val="20"/>
                <w:szCs w:val="20"/>
              </w:rPr>
            </w:pPr>
            <w:r w:rsidRPr="00FE3EAF">
              <w:rPr>
                <w:rFonts w:eastAsia="Calibri"/>
                <w:bCs/>
                <w:sz w:val="20"/>
                <w:szCs w:val="20"/>
              </w:rPr>
              <w:t>14.3</w:t>
            </w:r>
          </w:p>
        </w:tc>
      </w:tr>
      <w:tr w:rsidR="00FE3EAF" w:rsidRPr="00FE3EAF" w14:paraId="3F0A6999" w14:textId="77777777" w:rsidTr="00640159">
        <w:tc>
          <w:tcPr>
            <w:tcW w:w="742" w:type="pct"/>
            <w:vMerge w:val="restart"/>
            <w:tcBorders>
              <w:top w:val="single" w:sz="4" w:space="0" w:color="auto"/>
              <w:left w:val="single" w:sz="18" w:space="0" w:color="auto"/>
              <w:right w:val="single" w:sz="4" w:space="0" w:color="auto"/>
            </w:tcBorders>
            <w:vAlign w:val="center"/>
          </w:tcPr>
          <w:p w14:paraId="76B03B87" w14:textId="77777777" w:rsidR="00FE3EAF" w:rsidRPr="00FE3EAF" w:rsidRDefault="00FE3EAF" w:rsidP="00FE3EAF">
            <w:pPr>
              <w:jc w:val="left"/>
              <w:rPr>
                <w:rFonts w:eastAsia="Calibri"/>
                <w:bCs/>
                <w:color w:val="000000"/>
                <w:sz w:val="20"/>
                <w:szCs w:val="20"/>
              </w:rPr>
            </w:pPr>
            <w:r w:rsidRPr="00FE3EAF">
              <w:rPr>
                <w:rFonts w:eastAsia="Calibri"/>
                <w:bCs/>
                <w:color w:val="000000"/>
                <w:sz w:val="20"/>
                <w:szCs w:val="20"/>
              </w:rPr>
              <w:t>Household structure</w:t>
            </w:r>
          </w:p>
        </w:tc>
        <w:tc>
          <w:tcPr>
            <w:tcW w:w="1408" w:type="pct"/>
            <w:tcBorders>
              <w:top w:val="single" w:sz="4" w:space="0" w:color="auto"/>
              <w:left w:val="single" w:sz="4" w:space="0" w:color="auto"/>
              <w:bottom w:val="single" w:sz="4" w:space="0" w:color="auto"/>
              <w:right w:val="single" w:sz="18" w:space="0" w:color="auto"/>
            </w:tcBorders>
            <w:vAlign w:val="center"/>
          </w:tcPr>
          <w:p w14:paraId="61E8938A" w14:textId="77777777" w:rsidR="00FE3EAF" w:rsidRPr="00FE3EAF" w:rsidRDefault="00FE3EAF" w:rsidP="00FE3EAF">
            <w:pPr>
              <w:jc w:val="left"/>
              <w:rPr>
                <w:rFonts w:eastAsia="Calibri"/>
                <w:bCs/>
                <w:color w:val="000000"/>
                <w:sz w:val="20"/>
                <w:szCs w:val="20"/>
              </w:rPr>
            </w:pPr>
            <w:r w:rsidRPr="00FE3EAF">
              <w:rPr>
                <w:rFonts w:eastAsia="Calibri"/>
                <w:bCs/>
                <w:color w:val="000000"/>
                <w:sz w:val="20"/>
                <w:szCs w:val="20"/>
              </w:rPr>
              <w:t>Single Mother</w:t>
            </w:r>
          </w:p>
        </w:tc>
        <w:tc>
          <w:tcPr>
            <w:tcW w:w="597" w:type="pct"/>
            <w:tcBorders>
              <w:top w:val="single" w:sz="4" w:space="0" w:color="auto"/>
              <w:left w:val="single" w:sz="18" w:space="0" w:color="auto"/>
              <w:bottom w:val="single" w:sz="4" w:space="0" w:color="auto"/>
              <w:right w:val="single" w:sz="4" w:space="0" w:color="auto"/>
            </w:tcBorders>
            <w:vAlign w:val="bottom"/>
          </w:tcPr>
          <w:p w14:paraId="32710BBF" w14:textId="77777777" w:rsidR="00FE3EAF" w:rsidRPr="00FE3EAF" w:rsidRDefault="00FE3EAF" w:rsidP="00FE3EAF">
            <w:pPr>
              <w:jc w:val="center"/>
              <w:rPr>
                <w:rFonts w:eastAsia="Calibri"/>
                <w:sz w:val="20"/>
                <w:szCs w:val="20"/>
              </w:rPr>
            </w:pPr>
            <w:r w:rsidRPr="00FE3EAF">
              <w:rPr>
                <w:rFonts w:eastAsia="Calibri"/>
                <w:color w:val="000000"/>
                <w:sz w:val="20"/>
                <w:szCs w:val="20"/>
              </w:rPr>
              <w:t xml:space="preserve">  7.7</w:t>
            </w:r>
          </w:p>
        </w:tc>
        <w:tc>
          <w:tcPr>
            <w:tcW w:w="597" w:type="pct"/>
            <w:tcBorders>
              <w:top w:val="single" w:sz="4" w:space="0" w:color="auto"/>
              <w:left w:val="single" w:sz="4" w:space="0" w:color="auto"/>
              <w:bottom w:val="single" w:sz="4" w:space="0" w:color="auto"/>
              <w:right w:val="single" w:sz="18" w:space="0" w:color="auto"/>
            </w:tcBorders>
            <w:vAlign w:val="bottom"/>
          </w:tcPr>
          <w:p w14:paraId="35DC6678" w14:textId="77777777" w:rsidR="00FE3EAF" w:rsidRPr="00FE3EAF" w:rsidRDefault="00FE3EAF" w:rsidP="00FE3EAF">
            <w:pPr>
              <w:jc w:val="center"/>
              <w:rPr>
                <w:rFonts w:eastAsia="Calibri"/>
                <w:sz w:val="20"/>
                <w:szCs w:val="20"/>
              </w:rPr>
            </w:pPr>
            <w:r w:rsidRPr="00FE3EAF">
              <w:rPr>
                <w:rFonts w:eastAsia="Calibri"/>
                <w:color w:val="000000"/>
                <w:sz w:val="20"/>
                <w:szCs w:val="20"/>
              </w:rPr>
              <w:t xml:space="preserve">  2.3</w:t>
            </w:r>
          </w:p>
        </w:tc>
        <w:tc>
          <w:tcPr>
            <w:tcW w:w="597" w:type="pct"/>
            <w:tcBorders>
              <w:top w:val="single" w:sz="4" w:space="0" w:color="auto"/>
              <w:left w:val="single" w:sz="18" w:space="0" w:color="auto"/>
              <w:bottom w:val="single" w:sz="4" w:space="0" w:color="auto"/>
              <w:right w:val="single" w:sz="4" w:space="0" w:color="auto"/>
            </w:tcBorders>
            <w:vAlign w:val="bottom"/>
          </w:tcPr>
          <w:p w14:paraId="6353D964" w14:textId="77777777" w:rsidR="00FE3EAF" w:rsidRPr="00FE3EAF" w:rsidRDefault="00FE3EAF" w:rsidP="00FE3EAF">
            <w:pPr>
              <w:jc w:val="center"/>
              <w:rPr>
                <w:rFonts w:eastAsia="Calibri"/>
                <w:color w:val="000000"/>
                <w:sz w:val="20"/>
                <w:szCs w:val="20"/>
              </w:rPr>
            </w:pPr>
            <w:r w:rsidRPr="00FE3EAF">
              <w:rPr>
                <w:rFonts w:eastAsia="Calibri"/>
                <w:color w:val="000000"/>
                <w:sz w:val="20"/>
                <w:szCs w:val="20"/>
              </w:rPr>
              <w:t>46.5</w:t>
            </w:r>
          </w:p>
        </w:tc>
        <w:tc>
          <w:tcPr>
            <w:tcW w:w="597" w:type="pct"/>
            <w:tcBorders>
              <w:top w:val="single" w:sz="4" w:space="0" w:color="auto"/>
              <w:left w:val="single" w:sz="4" w:space="0" w:color="auto"/>
              <w:bottom w:val="single" w:sz="4" w:space="0" w:color="auto"/>
              <w:right w:val="single" w:sz="18" w:space="0" w:color="auto"/>
            </w:tcBorders>
            <w:vAlign w:val="bottom"/>
          </w:tcPr>
          <w:p w14:paraId="22C7BC54" w14:textId="77777777" w:rsidR="00FE3EAF" w:rsidRPr="00FE3EAF" w:rsidRDefault="00FE3EAF" w:rsidP="00FE3EAF">
            <w:pPr>
              <w:jc w:val="center"/>
              <w:rPr>
                <w:rFonts w:eastAsia="Calibri"/>
                <w:color w:val="000000"/>
                <w:sz w:val="20"/>
                <w:szCs w:val="20"/>
              </w:rPr>
            </w:pPr>
            <w:r w:rsidRPr="00FE3EAF">
              <w:rPr>
                <w:rFonts w:eastAsia="Calibri"/>
                <w:color w:val="000000"/>
                <w:sz w:val="20"/>
                <w:szCs w:val="20"/>
              </w:rPr>
              <w:t>53.5</w:t>
            </w:r>
          </w:p>
        </w:tc>
        <w:tc>
          <w:tcPr>
            <w:tcW w:w="462" w:type="pct"/>
            <w:tcBorders>
              <w:top w:val="single" w:sz="4" w:space="0" w:color="auto"/>
              <w:left w:val="single" w:sz="4" w:space="0" w:color="auto"/>
              <w:bottom w:val="single" w:sz="4" w:space="0" w:color="auto"/>
              <w:right w:val="single" w:sz="18" w:space="0" w:color="auto"/>
            </w:tcBorders>
            <w:vAlign w:val="center"/>
          </w:tcPr>
          <w:p w14:paraId="6390A4AD" w14:textId="77ED5A98" w:rsidR="00FE3EAF" w:rsidRPr="00FE3EAF" w:rsidRDefault="00734FB5" w:rsidP="00FE3EAF">
            <w:pPr>
              <w:jc w:val="center"/>
              <w:rPr>
                <w:rFonts w:eastAsia="Calibri"/>
                <w:bCs/>
                <w:sz w:val="20"/>
                <w:szCs w:val="20"/>
              </w:rPr>
            </w:pPr>
            <w:r>
              <w:rPr>
                <w:rFonts w:eastAsia="Calibri"/>
                <w:bCs/>
                <w:sz w:val="20"/>
                <w:szCs w:val="20"/>
              </w:rPr>
              <w:t xml:space="preserve">  </w:t>
            </w:r>
            <w:r w:rsidR="00FE3EAF" w:rsidRPr="00FE3EAF">
              <w:rPr>
                <w:rFonts w:eastAsia="Calibri"/>
                <w:bCs/>
                <w:sz w:val="20"/>
                <w:szCs w:val="20"/>
              </w:rPr>
              <w:t>3.3</w:t>
            </w:r>
          </w:p>
        </w:tc>
      </w:tr>
      <w:tr w:rsidR="00FE3EAF" w:rsidRPr="00FE3EAF" w14:paraId="1778EEE2" w14:textId="77777777" w:rsidTr="00640159">
        <w:tc>
          <w:tcPr>
            <w:tcW w:w="742" w:type="pct"/>
            <w:vMerge/>
            <w:tcBorders>
              <w:left w:val="single" w:sz="18" w:space="0" w:color="auto"/>
              <w:right w:val="single" w:sz="4" w:space="0" w:color="auto"/>
            </w:tcBorders>
            <w:vAlign w:val="center"/>
          </w:tcPr>
          <w:p w14:paraId="0D81E9E0" w14:textId="77777777" w:rsidR="00FE3EAF" w:rsidRPr="00FE3EAF" w:rsidRDefault="00FE3EAF" w:rsidP="00FE3EAF">
            <w:pPr>
              <w:jc w:val="left"/>
              <w:rPr>
                <w:rFonts w:eastAsia="Calibri"/>
                <w:bCs/>
                <w:color w:val="000000"/>
                <w:sz w:val="20"/>
                <w:szCs w:val="20"/>
              </w:rPr>
            </w:pPr>
          </w:p>
        </w:tc>
        <w:tc>
          <w:tcPr>
            <w:tcW w:w="1408" w:type="pct"/>
            <w:tcBorders>
              <w:top w:val="single" w:sz="4" w:space="0" w:color="auto"/>
              <w:left w:val="single" w:sz="4" w:space="0" w:color="auto"/>
              <w:bottom w:val="single" w:sz="4" w:space="0" w:color="auto"/>
              <w:right w:val="single" w:sz="18" w:space="0" w:color="auto"/>
            </w:tcBorders>
            <w:vAlign w:val="center"/>
          </w:tcPr>
          <w:p w14:paraId="4BF6014E" w14:textId="77777777" w:rsidR="00FE3EAF" w:rsidRPr="00FE3EAF" w:rsidRDefault="00FE3EAF" w:rsidP="00FE3EAF">
            <w:pPr>
              <w:jc w:val="left"/>
              <w:rPr>
                <w:rFonts w:eastAsia="Calibri"/>
                <w:bCs/>
                <w:color w:val="000000"/>
                <w:sz w:val="20"/>
                <w:szCs w:val="20"/>
              </w:rPr>
            </w:pPr>
            <w:r w:rsidRPr="00FE3EAF">
              <w:rPr>
                <w:rFonts w:eastAsia="Calibri"/>
                <w:bCs/>
                <w:color w:val="000000"/>
                <w:sz w:val="20"/>
                <w:szCs w:val="20"/>
              </w:rPr>
              <w:t>Single Father</w:t>
            </w:r>
          </w:p>
        </w:tc>
        <w:tc>
          <w:tcPr>
            <w:tcW w:w="597" w:type="pct"/>
            <w:tcBorders>
              <w:top w:val="single" w:sz="4" w:space="0" w:color="auto"/>
              <w:left w:val="single" w:sz="18" w:space="0" w:color="auto"/>
              <w:bottom w:val="single" w:sz="4" w:space="0" w:color="auto"/>
              <w:right w:val="single" w:sz="4" w:space="0" w:color="auto"/>
            </w:tcBorders>
            <w:vAlign w:val="bottom"/>
          </w:tcPr>
          <w:p w14:paraId="379CD964" w14:textId="77777777" w:rsidR="00FE3EAF" w:rsidRPr="00FE3EAF" w:rsidRDefault="00FE3EAF" w:rsidP="00FE3EAF">
            <w:pPr>
              <w:jc w:val="center"/>
              <w:rPr>
                <w:rFonts w:eastAsia="Calibri"/>
                <w:sz w:val="20"/>
                <w:szCs w:val="20"/>
              </w:rPr>
            </w:pPr>
            <w:r w:rsidRPr="00FE3EAF">
              <w:rPr>
                <w:rFonts w:eastAsia="Calibri"/>
                <w:color w:val="000000"/>
                <w:sz w:val="20"/>
                <w:szCs w:val="20"/>
              </w:rPr>
              <w:t xml:space="preserve">  1.8</w:t>
            </w:r>
          </w:p>
        </w:tc>
        <w:tc>
          <w:tcPr>
            <w:tcW w:w="597" w:type="pct"/>
            <w:tcBorders>
              <w:top w:val="single" w:sz="4" w:space="0" w:color="auto"/>
              <w:left w:val="single" w:sz="4" w:space="0" w:color="auto"/>
              <w:bottom w:val="single" w:sz="4" w:space="0" w:color="auto"/>
              <w:right w:val="single" w:sz="18" w:space="0" w:color="auto"/>
            </w:tcBorders>
            <w:vAlign w:val="bottom"/>
          </w:tcPr>
          <w:p w14:paraId="174C92D1" w14:textId="77777777" w:rsidR="00FE3EAF" w:rsidRPr="00FE3EAF" w:rsidRDefault="00FE3EAF" w:rsidP="00FE3EAF">
            <w:pPr>
              <w:jc w:val="center"/>
              <w:rPr>
                <w:rFonts w:eastAsia="Calibri"/>
                <w:sz w:val="20"/>
                <w:szCs w:val="20"/>
              </w:rPr>
            </w:pPr>
            <w:r w:rsidRPr="00FE3EAF">
              <w:rPr>
                <w:rFonts w:eastAsia="Calibri"/>
                <w:color w:val="000000"/>
                <w:sz w:val="20"/>
                <w:szCs w:val="20"/>
              </w:rPr>
              <w:t xml:space="preserve">  0.5</w:t>
            </w:r>
          </w:p>
        </w:tc>
        <w:tc>
          <w:tcPr>
            <w:tcW w:w="597" w:type="pct"/>
            <w:tcBorders>
              <w:top w:val="single" w:sz="4" w:space="0" w:color="auto"/>
              <w:left w:val="single" w:sz="18" w:space="0" w:color="auto"/>
              <w:bottom w:val="single" w:sz="4" w:space="0" w:color="auto"/>
              <w:right w:val="single" w:sz="4" w:space="0" w:color="auto"/>
            </w:tcBorders>
            <w:vAlign w:val="bottom"/>
          </w:tcPr>
          <w:p w14:paraId="6FA92C52" w14:textId="77777777" w:rsidR="00FE3EAF" w:rsidRPr="00FE3EAF" w:rsidRDefault="00FE3EAF" w:rsidP="00FE3EAF">
            <w:pPr>
              <w:jc w:val="center"/>
              <w:rPr>
                <w:rFonts w:eastAsia="Calibri"/>
                <w:color w:val="000000"/>
                <w:sz w:val="20"/>
                <w:szCs w:val="20"/>
              </w:rPr>
            </w:pPr>
            <w:r w:rsidRPr="00FE3EAF">
              <w:rPr>
                <w:rFonts w:eastAsia="Calibri"/>
                <w:color w:val="000000"/>
                <w:sz w:val="20"/>
                <w:szCs w:val="20"/>
              </w:rPr>
              <w:t>4.6</w:t>
            </w:r>
          </w:p>
        </w:tc>
        <w:tc>
          <w:tcPr>
            <w:tcW w:w="597" w:type="pct"/>
            <w:tcBorders>
              <w:top w:val="single" w:sz="4" w:space="0" w:color="auto"/>
              <w:left w:val="single" w:sz="4" w:space="0" w:color="auto"/>
              <w:bottom w:val="single" w:sz="4" w:space="0" w:color="auto"/>
              <w:right w:val="single" w:sz="18" w:space="0" w:color="auto"/>
            </w:tcBorders>
            <w:vAlign w:val="bottom"/>
          </w:tcPr>
          <w:p w14:paraId="4816422B" w14:textId="77777777" w:rsidR="00FE3EAF" w:rsidRPr="00FE3EAF" w:rsidRDefault="00FE3EAF" w:rsidP="00FE3EAF">
            <w:pPr>
              <w:jc w:val="center"/>
              <w:rPr>
                <w:rFonts w:eastAsia="Calibri"/>
                <w:color w:val="000000"/>
                <w:sz w:val="20"/>
                <w:szCs w:val="20"/>
              </w:rPr>
            </w:pPr>
            <w:r w:rsidRPr="00FE3EAF">
              <w:rPr>
                <w:rFonts w:eastAsia="Calibri"/>
                <w:color w:val="000000"/>
                <w:sz w:val="20"/>
                <w:szCs w:val="20"/>
              </w:rPr>
              <w:t>95.4</w:t>
            </w:r>
          </w:p>
        </w:tc>
        <w:tc>
          <w:tcPr>
            <w:tcW w:w="462" w:type="pct"/>
            <w:tcBorders>
              <w:top w:val="single" w:sz="4" w:space="0" w:color="auto"/>
              <w:left w:val="single" w:sz="4" w:space="0" w:color="auto"/>
              <w:bottom w:val="single" w:sz="4" w:space="0" w:color="auto"/>
              <w:right w:val="single" w:sz="18" w:space="0" w:color="auto"/>
            </w:tcBorders>
            <w:vAlign w:val="center"/>
          </w:tcPr>
          <w:p w14:paraId="18F5598B" w14:textId="4D1BC27F" w:rsidR="00FE3EAF" w:rsidRPr="00FE3EAF" w:rsidRDefault="00734FB5" w:rsidP="00FE3EAF">
            <w:pPr>
              <w:jc w:val="center"/>
              <w:rPr>
                <w:rFonts w:eastAsia="Calibri"/>
                <w:bCs/>
                <w:sz w:val="20"/>
                <w:szCs w:val="20"/>
              </w:rPr>
            </w:pPr>
            <w:r>
              <w:rPr>
                <w:rFonts w:eastAsia="Calibri"/>
                <w:bCs/>
                <w:sz w:val="20"/>
                <w:szCs w:val="20"/>
              </w:rPr>
              <w:t xml:space="preserve">  </w:t>
            </w:r>
            <w:r w:rsidR="00FE3EAF" w:rsidRPr="00FE3EAF">
              <w:rPr>
                <w:rFonts w:eastAsia="Calibri"/>
                <w:bCs/>
                <w:sz w:val="20"/>
                <w:szCs w:val="20"/>
              </w:rPr>
              <w:t>1.0</w:t>
            </w:r>
          </w:p>
        </w:tc>
      </w:tr>
      <w:tr w:rsidR="00FE3EAF" w:rsidRPr="00FE3EAF" w14:paraId="63CB5EB3" w14:textId="77777777" w:rsidTr="00640159">
        <w:tc>
          <w:tcPr>
            <w:tcW w:w="742" w:type="pct"/>
            <w:vMerge/>
            <w:tcBorders>
              <w:left w:val="single" w:sz="18" w:space="0" w:color="auto"/>
              <w:right w:val="single" w:sz="4" w:space="0" w:color="auto"/>
            </w:tcBorders>
            <w:vAlign w:val="center"/>
          </w:tcPr>
          <w:p w14:paraId="15710F39" w14:textId="77777777" w:rsidR="00FE3EAF" w:rsidRPr="00FE3EAF" w:rsidRDefault="00FE3EAF" w:rsidP="00FE3EAF">
            <w:pPr>
              <w:jc w:val="left"/>
              <w:rPr>
                <w:rFonts w:eastAsia="Calibri"/>
                <w:bCs/>
                <w:color w:val="000000"/>
                <w:sz w:val="20"/>
                <w:szCs w:val="20"/>
              </w:rPr>
            </w:pPr>
          </w:p>
        </w:tc>
        <w:tc>
          <w:tcPr>
            <w:tcW w:w="1408" w:type="pct"/>
            <w:tcBorders>
              <w:top w:val="single" w:sz="4" w:space="0" w:color="auto"/>
              <w:left w:val="single" w:sz="4" w:space="0" w:color="auto"/>
              <w:bottom w:val="single" w:sz="4" w:space="0" w:color="auto"/>
              <w:right w:val="single" w:sz="18" w:space="0" w:color="auto"/>
            </w:tcBorders>
            <w:vAlign w:val="center"/>
          </w:tcPr>
          <w:p w14:paraId="2D61BD3F" w14:textId="77777777" w:rsidR="00FE3EAF" w:rsidRPr="00FE3EAF" w:rsidRDefault="00FE3EAF" w:rsidP="00FE3EAF">
            <w:pPr>
              <w:jc w:val="left"/>
              <w:rPr>
                <w:rFonts w:eastAsia="Calibri"/>
                <w:bCs/>
                <w:color w:val="000000"/>
                <w:sz w:val="20"/>
                <w:szCs w:val="20"/>
              </w:rPr>
            </w:pPr>
            <w:r w:rsidRPr="00FE3EAF">
              <w:rPr>
                <w:rFonts w:eastAsia="Calibri"/>
                <w:bCs/>
                <w:color w:val="000000"/>
                <w:sz w:val="20"/>
                <w:szCs w:val="20"/>
              </w:rPr>
              <w:t>Parent who lives with partner</w:t>
            </w:r>
          </w:p>
        </w:tc>
        <w:tc>
          <w:tcPr>
            <w:tcW w:w="597" w:type="pct"/>
            <w:tcBorders>
              <w:top w:val="single" w:sz="4" w:space="0" w:color="auto"/>
              <w:left w:val="single" w:sz="18" w:space="0" w:color="auto"/>
              <w:bottom w:val="single" w:sz="4" w:space="0" w:color="auto"/>
              <w:right w:val="single" w:sz="4" w:space="0" w:color="auto"/>
            </w:tcBorders>
            <w:vAlign w:val="bottom"/>
          </w:tcPr>
          <w:p w14:paraId="19A5F4ED" w14:textId="77777777" w:rsidR="00FE3EAF" w:rsidRPr="00FE3EAF" w:rsidRDefault="00FE3EAF" w:rsidP="00FE3EAF">
            <w:pPr>
              <w:jc w:val="center"/>
              <w:rPr>
                <w:rFonts w:eastAsia="Calibri"/>
                <w:sz w:val="20"/>
                <w:szCs w:val="20"/>
              </w:rPr>
            </w:pPr>
            <w:r w:rsidRPr="00FE3EAF">
              <w:rPr>
                <w:rFonts w:eastAsia="Calibri"/>
                <w:color w:val="000000"/>
                <w:sz w:val="20"/>
                <w:szCs w:val="20"/>
              </w:rPr>
              <w:t>20.7</w:t>
            </w:r>
          </w:p>
        </w:tc>
        <w:tc>
          <w:tcPr>
            <w:tcW w:w="597" w:type="pct"/>
            <w:tcBorders>
              <w:top w:val="single" w:sz="4" w:space="0" w:color="auto"/>
              <w:left w:val="single" w:sz="4" w:space="0" w:color="auto"/>
              <w:bottom w:val="single" w:sz="4" w:space="0" w:color="auto"/>
              <w:right w:val="single" w:sz="18" w:space="0" w:color="auto"/>
            </w:tcBorders>
            <w:vAlign w:val="bottom"/>
          </w:tcPr>
          <w:p w14:paraId="0EB1F62D" w14:textId="77777777" w:rsidR="00FE3EAF" w:rsidRPr="00FE3EAF" w:rsidRDefault="00FE3EAF" w:rsidP="00FE3EAF">
            <w:pPr>
              <w:jc w:val="center"/>
              <w:rPr>
                <w:rFonts w:eastAsia="Calibri"/>
                <w:sz w:val="20"/>
                <w:szCs w:val="20"/>
              </w:rPr>
            </w:pPr>
            <w:r w:rsidRPr="00FE3EAF">
              <w:rPr>
                <w:rFonts w:eastAsia="Calibri"/>
                <w:color w:val="000000"/>
                <w:sz w:val="20"/>
                <w:szCs w:val="20"/>
              </w:rPr>
              <w:t>24.2</w:t>
            </w:r>
          </w:p>
        </w:tc>
        <w:tc>
          <w:tcPr>
            <w:tcW w:w="597" w:type="pct"/>
            <w:tcBorders>
              <w:top w:val="single" w:sz="4" w:space="0" w:color="auto"/>
              <w:left w:val="single" w:sz="18" w:space="0" w:color="auto"/>
              <w:bottom w:val="single" w:sz="4" w:space="0" w:color="auto"/>
              <w:right w:val="single" w:sz="4" w:space="0" w:color="auto"/>
            </w:tcBorders>
            <w:vAlign w:val="bottom"/>
          </w:tcPr>
          <w:p w14:paraId="5C3DDA29" w14:textId="77777777" w:rsidR="00FE3EAF" w:rsidRPr="00FE3EAF" w:rsidRDefault="00FE3EAF" w:rsidP="00FE3EAF">
            <w:pPr>
              <w:jc w:val="center"/>
              <w:rPr>
                <w:rFonts w:eastAsia="Calibri"/>
                <w:color w:val="000000"/>
                <w:sz w:val="20"/>
                <w:szCs w:val="20"/>
              </w:rPr>
            </w:pPr>
            <w:r w:rsidRPr="00FE3EAF">
              <w:rPr>
                <w:rFonts w:eastAsia="Calibri"/>
                <w:color w:val="000000"/>
                <w:sz w:val="20"/>
                <w:szCs w:val="20"/>
              </w:rPr>
              <w:t>18.0</w:t>
            </w:r>
          </w:p>
        </w:tc>
        <w:tc>
          <w:tcPr>
            <w:tcW w:w="597" w:type="pct"/>
            <w:tcBorders>
              <w:top w:val="single" w:sz="4" w:space="0" w:color="auto"/>
              <w:left w:val="single" w:sz="4" w:space="0" w:color="auto"/>
              <w:bottom w:val="single" w:sz="4" w:space="0" w:color="auto"/>
              <w:right w:val="single" w:sz="18" w:space="0" w:color="auto"/>
            </w:tcBorders>
            <w:vAlign w:val="bottom"/>
          </w:tcPr>
          <w:p w14:paraId="4BE7517A" w14:textId="77777777" w:rsidR="00FE3EAF" w:rsidRPr="00FE3EAF" w:rsidRDefault="00FE3EAF" w:rsidP="00FE3EAF">
            <w:pPr>
              <w:jc w:val="center"/>
              <w:rPr>
                <w:rFonts w:eastAsia="Calibri"/>
                <w:color w:val="000000"/>
                <w:sz w:val="20"/>
                <w:szCs w:val="20"/>
              </w:rPr>
            </w:pPr>
            <w:r w:rsidRPr="00FE3EAF">
              <w:rPr>
                <w:rFonts w:eastAsia="Calibri"/>
                <w:color w:val="000000"/>
                <w:sz w:val="20"/>
                <w:szCs w:val="20"/>
              </w:rPr>
              <w:t>82.0</w:t>
            </w:r>
          </w:p>
        </w:tc>
        <w:tc>
          <w:tcPr>
            <w:tcW w:w="462" w:type="pct"/>
            <w:tcBorders>
              <w:top w:val="single" w:sz="4" w:space="0" w:color="auto"/>
              <w:left w:val="single" w:sz="4" w:space="0" w:color="auto"/>
              <w:bottom w:val="single" w:sz="4" w:space="0" w:color="auto"/>
              <w:right w:val="single" w:sz="18" w:space="0" w:color="auto"/>
            </w:tcBorders>
            <w:vAlign w:val="center"/>
          </w:tcPr>
          <w:p w14:paraId="042D9575" w14:textId="77777777" w:rsidR="00FE3EAF" w:rsidRPr="00FE3EAF" w:rsidRDefault="00FE3EAF" w:rsidP="00FE3EAF">
            <w:pPr>
              <w:jc w:val="center"/>
              <w:rPr>
                <w:rFonts w:eastAsia="Calibri"/>
                <w:bCs/>
                <w:sz w:val="20"/>
                <w:szCs w:val="20"/>
              </w:rPr>
            </w:pPr>
            <w:r w:rsidRPr="00FE3EAF">
              <w:rPr>
                <w:rFonts w:eastAsia="Calibri"/>
                <w:bCs/>
                <w:sz w:val="20"/>
                <w:szCs w:val="20"/>
              </w:rPr>
              <w:t>23.5</w:t>
            </w:r>
          </w:p>
        </w:tc>
      </w:tr>
      <w:tr w:rsidR="00FE3EAF" w:rsidRPr="00FE3EAF" w14:paraId="2483D9E2" w14:textId="77777777" w:rsidTr="00640159">
        <w:tc>
          <w:tcPr>
            <w:tcW w:w="742" w:type="pct"/>
            <w:vMerge/>
            <w:tcBorders>
              <w:left w:val="single" w:sz="18" w:space="0" w:color="auto"/>
              <w:bottom w:val="single" w:sz="4" w:space="0" w:color="auto"/>
              <w:right w:val="single" w:sz="4" w:space="0" w:color="auto"/>
            </w:tcBorders>
            <w:vAlign w:val="center"/>
          </w:tcPr>
          <w:p w14:paraId="0BFCF7E2" w14:textId="77777777" w:rsidR="00FE3EAF" w:rsidRPr="00FE3EAF" w:rsidRDefault="00FE3EAF" w:rsidP="00FE3EAF">
            <w:pPr>
              <w:jc w:val="left"/>
              <w:rPr>
                <w:rFonts w:eastAsia="Calibri"/>
                <w:bCs/>
                <w:color w:val="000000"/>
                <w:sz w:val="20"/>
                <w:szCs w:val="20"/>
              </w:rPr>
            </w:pPr>
          </w:p>
        </w:tc>
        <w:tc>
          <w:tcPr>
            <w:tcW w:w="1408" w:type="pct"/>
            <w:tcBorders>
              <w:top w:val="single" w:sz="4" w:space="0" w:color="auto"/>
              <w:left w:val="single" w:sz="4" w:space="0" w:color="auto"/>
              <w:bottom w:val="single" w:sz="4" w:space="0" w:color="auto"/>
              <w:right w:val="single" w:sz="18" w:space="0" w:color="auto"/>
            </w:tcBorders>
            <w:vAlign w:val="center"/>
          </w:tcPr>
          <w:p w14:paraId="02BE6070" w14:textId="77777777" w:rsidR="00FE3EAF" w:rsidRPr="00FE3EAF" w:rsidRDefault="00FE3EAF" w:rsidP="00FE3EAF">
            <w:pPr>
              <w:jc w:val="left"/>
              <w:rPr>
                <w:rFonts w:eastAsia="Calibri"/>
                <w:bCs/>
                <w:color w:val="000000"/>
                <w:sz w:val="20"/>
                <w:szCs w:val="20"/>
              </w:rPr>
            </w:pPr>
            <w:r w:rsidRPr="00FE3EAF">
              <w:rPr>
                <w:rFonts w:eastAsia="Calibri"/>
                <w:sz w:val="20"/>
                <w:szCs w:val="18"/>
              </w:rPr>
              <w:t>Others*</w:t>
            </w:r>
          </w:p>
        </w:tc>
        <w:tc>
          <w:tcPr>
            <w:tcW w:w="597" w:type="pct"/>
            <w:tcBorders>
              <w:top w:val="single" w:sz="4" w:space="0" w:color="auto"/>
              <w:left w:val="single" w:sz="18" w:space="0" w:color="auto"/>
              <w:bottom w:val="single" w:sz="4" w:space="0" w:color="auto"/>
              <w:right w:val="single" w:sz="4" w:space="0" w:color="auto"/>
            </w:tcBorders>
            <w:vAlign w:val="bottom"/>
          </w:tcPr>
          <w:p w14:paraId="5C86592A" w14:textId="77777777" w:rsidR="00FE3EAF" w:rsidRPr="00FE3EAF" w:rsidRDefault="00FE3EAF" w:rsidP="00FE3EAF">
            <w:pPr>
              <w:jc w:val="center"/>
              <w:rPr>
                <w:rFonts w:eastAsia="Calibri"/>
                <w:color w:val="000000"/>
                <w:sz w:val="20"/>
                <w:szCs w:val="20"/>
              </w:rPr>
            </w:pPr>
            <w:r w:rsidRPr="00FE3EAF">
              <w:rPr>
                <w:rFonts w:eastAsia="Calibri"/>
                <w:color w:val="000000"/>
                <w:sz w:val="20"/>
                <w:szCs w:val="20"/>
              </w:rPr>
              <w:t>69.8</w:t>
            </w:r>
          </w:p>
        </w:tc>
        <w:tc>
          <w:tcPr>
            <w:tcW w:w="597" w:type="pct"/>
            <w:tcBorders>
              <w:top w:val="single" w:sz="4" w:space="0" w:color="auto"/>
              <w:left w:val="single" w:sz="4" w:space="0" w:color="auto"/>
              <w:bottom w:val="single" w:sz="4" w:space="0" w:color="auto"/>
              <w:right w:val="single" w:sz="18" w:space="0" w:color="auto"/>
            </w:tcBorders>
            <w:vAlign w:val="bottom"/>
          </w:tcPr>
          <w:p w14:paraId="29178E1B" w14:textId="77777777" w:rsidR="00FE3EAF" w:rsidRPr="00FE3EAF" w:rsidRDefault="00FE3EAF" w:rsidP="00FE3EAF">
            <w:pPr>
              <w:jc w:val="center"/>
              <w:rPr>
                <w:rFonts w:eastAsia="Calibri"/>
                <w:color w:val="000000"/>
                <w:sz w:val="20"/>
                <w:szCs w:val="20"/>
              </w:rPr>
            </w:pPr>
            <w:r w:rsidRPr="00FE3EAF">
              <w:rPr>
                <w:rFonts w:eastAsia="Calibri"/>
                <w:color w:val="000000"/>
                <w:sz w:val="20"/>
                <w:szCs w:val="20"/>
              </w:rPr>
              <w:t>73.0</w:t>
            </w:r>
          </w:p>
        </w:tc>
        <w:tc>
          <w:tcPr>
            <w:tcW w:w="597" w:type="pct"/>
            <w:tcBorders>
              <w:top w:val="single" w:sz="4" w:space="0" w:color="auto"/>
              <w:left w:val="single" w:sz="18" w:space="0" w:color="auto"/>
              <w:bottom w:val="single" w:sz="4" w:space="0" w:color="auto"/>
              <w:right w:val="single" w:sz="4" w:space="0" w:color="auto"/>
            </w:tcBorders>
            <w:vAlign w:val="bottom"/>
          </w:tcPr>
          <w:p w14:paraId="07B3773B" w14:textId="77777777" w:rsidR="00FE3EAF" w:rsidRPr="00FE3EAF" w:rsidRDefault="00FE3EAF" w:rsidP="00FE3EAF">
            <w:pPr>
              <w:jc w:val="center"/>
              <w:rPr>
                <w:rFonts w:eastAsia="Calibri"/>
                <w:color w:val="000000"/>
                <w:sz w:val="20"/>
                <w:szCs w:val="20"/>
              </w:rPr>
            </w:pPr>
            <w:r w:rsidRPr="00FE3EAF">
              <w:rPr>
                <w:rFonts w:eastAsia="Calibri"/>
                <w:color w:val="000000"/>
                <w:sz w:val="20"/>
                <w:szCs w:val="20"/>
              </w:rPr>
              <w:t>19.7</w:t>
            </w:r>
          </w:p>
        </w:tc>
        <w:tc>
          <w:tcPr>
            <w:tcW w:w="597" w:type="pct"/>
            <w:tcBorders>
              <w:top w:val="single" w:sz="4" w:space="0" w:color="auto"/>
              <w:left w:val="single" w:sz="4" w:space="0" w:color="auto"/>
              <w:bottom w:val="single" w:sz="4" w:space="0" w:color="auto"/>
              <w:right w:val="single" w:sz="18" w:space="0" w:color="auto"/>
            </w:tcBorders>
            <w:vAlign w:val="bottom"/>
          </w:tcPr>
          <w:p w14:paraId="0AF1C89C" w14:textId="77777777" w:rsidR="00FE3EAF" w:rsidRPr="00FE3EAF" w:rsidRDefault="00FE3EAF" w:rsidP="00FE3EAF">
            <w:pPr>
              <w:jc w:val="center"/>
              <w:rPr>
                <w:rFonts w:eastAsia="Calibri"/>
                <w:color w:val="000000"/>
                <w:sz w:val="20"/>
                <w:szCs w:val="20"/>
              </w:rPr>
            </w:pPr>
            <w:r w:rsidRPr="00FE3EAF">
              <w:rPr>
                <w:rFonts w:eastAsia="Calibri"/>
                <w:color w:val="000000"/>
                <w:sz w:val="20"/>
                <w:szCs w:val="20"/>
              </w:rPr>
              <w:t>80.3</w:t>
            </w:r>
          </w:p>
        </w:tc>
        <w:tc>
          <w:tcPr>
            <w:tcW w:w="462" w:type="pct"/>
            <w:tcBorders>
              <w:top w:val="single" w:sz="4" w:space="0" w:color="auto"/>
              <w:left w:val="single" w:sz="4" w:space="0" w:color="auto"/>
              <w:bottom w:val="single" w:sz="4" w:space="0" w:color="auto"/>
              <w:right w:val="single" w:sz="18" w:space="0" w:color="auto"/>
            </w:tcBorders>
            <w:vAlign w:val="center"/>
          </w:tcPr>
          <w:p w14:paraId="78A9C8A8" w14:textId="77777777" w:rsidR="00FE3EAF" w:rsidRPr="00FE3EAF" w:rsidRDefault="00FE3EAF" w:rsidP="00FE3EAF">
            <w:pPr>
              <w:jc w:val="center"/>
              <w:rPr>
                <w:rFonts w:eastAsia="Calibri"/>
                <w:bCs/>
                <w:sz w:val="20"/>
                <w:szCs w:val="20"/>
              </w:rPr>
            </w:pPr>
            <w:r w:rsidRPr="00FE3EAF">
              <w:rPr>
                <w:rFonts w:eastAsia="Calibri"/>
                <w:bCs/>
                <w:sz w:val="20"/>
                <w:szCs w:val="20"/>
              </w:rPr>
              <w:t>72.2</w:t>
            </w:r>
          </w:p>
        </w:tc>
      </w:tr>
      <w:tr w:rsidR="00FE3EAF" w:rsidRPr="00FE3EAF" w14:paraId="26903D71" w14:textId="77777777" w:rsidTr="00640159">
        <w:tc>
          <w:tcPr>
            <w:tcW w:w="742" w:type="pct"/>
            <w:vMerge w:val="restart"/>
            <w:tcBorders>
              <w:left w:val="single" w:sz="18" w:space="0" w:color="auto"/>
              <w:right w:val="single" w:sz="4" w:space="0" w:color="auto"/>
            </w:tcBorders>
            <w:vAlign w:val="center"/>
          </w:tcPr>
          <w:p w14:paraId="714A6886" w14:textId="77777777" w:rsidR="00FE3EAF" w:rsidRPr="00FE3EAF" w:rsidRDefault="00FE3EAF" w:rsidP="00FE3EAF">
            <w:pPr>
              <w:jc w:val="left"/>
              <w:rPr>
                <w:rFonts w:eastAsia="Calibri"/>
                <w:bCs/>
                <w:color w:val="000000"/>
                <w:sz w:val="20"/>
                <w:szCs w:val="20"/>
              </w:rPr>
            </w:pPr>
            <w:r w:rsidRPr="00FE3EAF">
              <w:rPr>
                <w:rFonts w:eastAsia="Calibri"/>
                <w:bCs/>
                <w:color w:val="000000"/>
                <w:sz w:val="20"/>
                <w:szCs w:val="20"/>
              </w:rPr>
              <w:t>Age</w:t>
            </w:r>
          </w:p>
        </w:tc>
        <w:tc>
          <w:tcPr>
            <w:tcW w:w="1408" w:type="pct"/>
            <w:tcBorders>
              <w:top w:val="single" w:sz="4" w:space="0" w:color="auto"/>
              <w:left w:val="single" w:sz="4" w:space="0" w:color="auto"/>
              <w:bottom w:val="single" w:sz="4" w:space="0" w:color="auto"/>
              <w:right w:val="single" w:sz="18" w:space="0" w:color="auto"/>
            </w:tcBorders>
            <w:vAlign w:val="center"/>
          </w:tcPr>
          <w:p w14:paraId="4E98CA13" w14:textId="77777777" w:rsidR="00FE3EAF" w:rsidRPr="00FE3EAF" w:rsidRDefault="00FE3EAF" w:rsidP="00FE3EAF">
            <w:pPr>
              <w:jc w:val="left"/>
              <w:rPr>
                <w:rFonts w:eastAsia="Calibri"/>
                <w:bCs/>
                <w:color w:val="000000"/>
                <w:sz w:val="20"/>
                <w:szCs w:val="20"/>
              </w:rPr>
            </w:pPr>
            <w:r w:rsidRPr="00FE3EAF">
              <w:rPr>
                <w:rFonts w:eastAsia="Calibri"/>
                <w:bCs/>
                <w:color w:val="000000"/>
                <w:sz w:val="20"/>
                <w:szCs w:val="20"/>
              </w:rPr>
              <w:t xml:space="preserve">18 to 29 </w:t>
            </w:r>
          </w:p>
        </w:tc>
        <w:tc>
          <w:tcPr>
            <w:tcW w:w="597" w:type="pct"/>
            <w:tcBorders>
              <w:top w:val="single" w:sz="4" w:space="0" w:color="auto"/>
              <w:left w:val="single" w:sz="18" w:space="0" w:color="auto"/>
              <w:bottom w:val="single" w:sz="4" w:space="0" w:color="auto"/>
              <w:right w:val="single" w:sz="4" w:space="0" w:color="auto"/>
            </w:tcBorders>
            <w:vAlign w:val="bottom"/>
          </w:tcPr>
          <w:p w14:paraId="568D1C3C" w14:textId="77777777" w:rsidR="00FE3EAF" w:rsidRPr="00FE3EAF" w:rsidRDefault="00FE3EAF" w:rsidP="00FE3EAF">
            <w:pPr>
              <w:jc w:val="center"/>
              <w:rPr>
                <w:rFonts w:eastAsia="Calibri"/>
                <w:sz w:val="20"/>
                <w:szCs w:val="20"/>
              </w:rPr>
            </w:pPr>
            <w:r w:rsidRPr="00FE3EAF">
              <w:rPr>
                <w:rFonts w:eastAsia="Calibri"/>
                <w:color w:val="000000"/>
                <w:sz w:val="20"/>
                <w:szCs w:val="20"/>
              </w:rPr>
              <w:t>10.7</w:t>
            </w:r>
          </w:p>
        </w:tc>
        <w:tc>
          <w:tcPr>
            <w:tcW w:w="597" w:type="pct"/>
            <w:tcBorders>
              <w:top w:val="single" w:sz="4" w:space="0" w:color="auto"/>
              <w:left w:val="single" w:sz="4" w:space="0" w:color="auto"/>
              <w:bottom w:val="single" w:sz="4" w:space="0" w:color="auto"/>
              <w:right w:val="single" w:sz="18" w:space="0" w:color="auto"/>
            </w:tcBorders>
            <w:vAlign w:val="bottom"/>
          </w:tcPr>
          <w:p w14:paraId="7E8101C2" w14:textId="77777777" w:rsidR="00FE3EAF" w:rsidRPr="00FE3EAF" w:rsidRDefault="00FE3EAF" w:rsidP="00FE3EAF">
            <w:pPr>
              <w:jc w:val="center"/>
              <w:rPr>
                <w:rFonts w:eastAsia="Calibri"/>
                <w:sz w:val="20"/>
                <w:szCs w:val="20"/>
              </w:rPr>
            </w:pPr>
            <w:r w:rsidRPr="00FE3EAF">
              <w:rPr>
                <w:rFonts w:eastAsia="Calibri"/>
                <w:color w:val="000000"/>
                <w:sz w:val="20"/>
                <w:szCs w:val="20"/>
              </w:rPr>
              <w:t xml:space="preserve">  3.2</w:t>
            </w:r>
          </w:p>
        </w:tc>
        <w:tc>
          <w:tcPr>
            <w:tcW w:w="597" w:type="pct"/>
            <w:tcBorders>
              <w:top w:val="single" w:sz="4" w:space="0" w:color="auto"/>
              <w:left w:val="single" w:sz="18" w:space="0" w:color="auto"/>
              <w:bottom w:val="single" w:sz="4" w:space="0" w:color="auto"/>
              <w:right w:val="single" w:sz="4" w:space="0" w:color="auto"/>
            </w:tcBorders>
            <w:vAlign w:val="bottom"/>
          </w:tcPr>
          <w:p w14:paraId="362D791F" w14:textId="77777777" w:rsidR="00FE3EAF" w:rsidRPr="00FE3EAF" w:rsidRDefault="00FE3EAF" w:rsidP="00FE3EAF">
            <w:pPr>
              <w:jc w:val="center"/>
              <w:rPr>
                <w:rFonts w:eastAsia="Calibri"/>
                <w:color w:val="000000"/>
                <w:sz w:val="20"/>
                <w:szCs w:val="20"/>
                <w:highlight w:val="yellow"/>
              </w:rPr>
            </w:pPr>
            <w:r w:rsidRPr="00FE3EAF">
              <w:rPr>
                <w:rFonts w:eastAsia="Calibri"/>
                <w:color w:val="000000"/>
                <w:sz w:val="20"/>
                <w:szCs w:val="20"/>
              </w:rPr>
              <w:t>46.1</w:t>
            </w:r>
          </w:p>
        </w:tc>
        <w:tc>
          <w:tcPr>
            <w:tcW w:w="597" w:type="pct"/>
            <w:tcBorders>
              <w:top w:val="single" w:sz="4" w:space="0" w:color="auto"/>
              <w:left w:val="single" w:sz="4" w:space="0" w:color="auto"/>
              <w:bottom w:val="single" w:sz="4" w:space="0" w:color="auto"/>
              <w:right w:val="single" w:sz="18" w:space="0" w:color="auto"/>
            </w:tcBorders>
            <w:vAlign w:val="bottom"/>
          </w:tcPr>
          <w:p w14:paraId="098C67AB" w14:textId="77777777" w:rsidR="00FE3EAF" w:rsidRPr="00FE3EAF" w:rsidRDefault="00FE3EAF" w:rsidP="00FE3EAF">
            <w:pPr>
              <w:jc w:val="center"/>
              <w:rPr>
                <w:rFonts w:eastAsia="Calibri"/>
                <w:color w:val="000000"/>
                <w:sz w:val="20"/>
                <w:szCs w:val="20"/>
                <w:highlight w:val="yellow"/>
              </w:rPr>
            </w:pPr>
            <w:r w:rsidRPr="00FE3EAF">
              <w:rPr>
                <w:rFonts w:eastAsia="Calibri"/>
                <w:color w:val="000000"/>
                <w:sz w:val="20"/>
                <w:szCs w:val="20"/>
              </w:rPr>
              <w:t>53.9</w:t>
            </w:r>
          </w:p>
        </w:tc>
        <w:tc>
          <w:tcPr>
            <w:tcW w:w="462" w:type="pct"/>
            <w:tcBorders>
              <w:top w:val="single" w:sz="4" w:space="0" w:color="auto"/>
              <w:left w:val="single" w:sz="4" w:space="0" w:color="auto"/>
              <w:bottom w:val="single" w:sz="4" w:space="0" w:color="auto"/>
              <w:right w:val="single" w:sz="18" w:space="0" w:color="auto"/>
            </w:tcBorders>
            <w:vAlign w:val="center"/>
          </w:tcPr>
          <w:p w14:paraId="6A71B095" w14:textId="77777777" w:rsidR="00FE3EAF" w:rsidRPr="00FE3EAF" w:rsidRDefault="00FE3EAF" w:rsidP="00FE3EAF">
            <w:pPr>
              <w:jc w:val="center"/>
              <w:rPr>
                <w:rFonts w:eastAsia="Calibri"/>
                <w:bCs/>
                <w:sz w:val="20"/>
                <w:szCs w:val="20"/>
              </w:rPr>
            </w:pPr>
            <w:r w:rsidRPr="00FE3EAF">
              <w:rPr>
                <w:rFonts w:eastAsia="Calibri"/>
                <w:bCs/>
                <w:sz w:val="20"/>
                <w:szCs w:val="20"/>
              </w:rPr>
              <w:t xml:space="preserve">  4.7</w:t>
            </w:r>
          </w:p>
        </w:tc>
      </w:tr>
      <w:tr w:rsidR="00FE3EAF" w:rsidRPr="00FE3EAF" w14:paraId="252A9A94" w14:textId="77777777" w:rsidTr="00640159">
        <w:tc>
          <w:tcPr>
            <w:tcW w:w="742" w:type="pct"/>
            <w:vMerge/>
            <w:tcBorders>
              <w:left w:val="single" w:sz="18" w:space="0" w:color="auto"/>
              <w:right w:val="single" w:sz="4" w:space="0" w:color="auto"/>
            </w:tcBorders>
            <w:vAlign w:val="center"/>
          </w:tcPr>
          <w:p w14:paraId="0691CE74" w14:textId="77777777" w:rsidR="00FE3EAF" w:rsidRPr="00FE3EAF" w:rsidRDefault="00FE3EAF" w:rsidP="00FE3EAF">
            <w:pPr>
              <w:jc w:val="left"/>
              <w:rPr>
                <w:rFonts w:eastAsia="Calibri"/>
                <w:bCs/>
                <w:color w:val="000000"/>
                <w:sz w:val="20"/>
                <w:szCs w:val="20"/>
              </w:rPr>
            </w:pPr>
          </w:p>
        </w:tc>
        <w:tc>
          <w:tcPr>
            <w:tcW w:w="1408" w:type="pct"/>
            <w:tcBorders>
              <w:top w:val="single" w:sz="4" w:space="0" w:color="auto"/>
              <w:left w:val="single" w:sz="4" w:space="0" w:color="auto"/>
              <w:bottom w:val="single" w:sz="4" w:space="0" w:color="auto"/>
              <w:right w:val="single" w:sz="18" w:space="0" w:color="auto"/>
            </w:tcBorders>
            <w:vAlign w:val="center"/>
          </w:tcPr>
          <w:p w14:paraId="22A9E6AC" w14:textId="77777777" w:rsidR="00FE3EAF" w:rsidRPr="00FE3EAF" w:rsidRDefault="00FE3EAF" w:rsidP="00FE3EAF">
            <w:pPr>
              <w:jc w:val="left"/>
              <w:rPr>
                <w:rFonts w:eastAsia="Calibri"/>
                <w:bCs/>
                <w:color w:val="000000"/>
                <w:sz w:val="20"/>
                <w:szCs w:val="20"/>
              </w:rPr>
            </w:pPr>
            <w:r w:rsidRPr="00FE3EAF">
              <w:rPr>
                <w:rFonts w:eastAsia="Calibri"/>
                <w:bCs/>
                <w:color w:val="000000"/>
                <w:sz w:val="20"/>
                <w:szCs w:val="20"/>
              </w:rPr>
              <w:t>30 to 39</w:t>
            </w:r>
          </w:p>
        </w:tc>
        <w:tc>
          <w:tcPr>
            <w:tcW w:w="597" w:type="pct"/>
            <w:tcBorders>
              <w:top w:val="single" w:sz="4" w:space="0" w:color="auto"/>
              <w:left w:val="single" w:sz="18" w:space="0" w:color="auto"/>
              <w:bottom w:val="single" w:sz="4" w:space="0" w:color="auto"/>
              <w:right w:val="single" w:sz="4" w:space="0" w:color="auto"/>
            </w:tcBorders>
            <w:vAlign w:val="bottom"/>
          </w:tcPr>
          <w:p w14:paraId="6B03269A" w14:textId="77777777" w:rsidR="00FE3EAF" w:rsidRPr="00FE3EAF" w:rsidRDefault="00FE3EAF" w:rsidP="00FE3EAF">
            <w:pPr>
              <w:jc w:val="center"/>
              <w:rPr>
                <w:rFonts w:eastAsia="Calibri"/>
                <w:sz w:val="20"/>
                <w:szCs w:val="20"/>
              </w:rPr>
            </w:pPr>
            <w:r w:rsidRPr="00FE3EAF">
              <w:rPr>
                <w:rFonts w:eastAsia="Calibri"/>
                <w:color w:val="000000"/>
                <w:sz w:val="20"/>
                <w:szCs w:val="20"/>
              </w:rPr>
              <w:t>11.9</w:t>
            </w:r>
          </w:p>
        </w:tc>
        <w:tc>
          <w:tcPr>
            <w:tcW w:w="597" w:type="pct"/>
            <w:tcBorders>
              <w:top w:val="single" w:sz="4" w:space="0" w:color="auto"/>
              <w:left w:val="single" w:sz="4" w:space="0" w:color="auto"/>
              <w:bottom w:val="single" w:sz="4" w:space="0" w:color="auto"/>
              <w:right w:val="single" w:sz="18" w:space="0" w:color="auto"/>
            </w:tcBorders>
            <w:vAlign w:val="bottom"/>
          </w:tcPr>
          <w:p w14:paraId="72ECE524" w14:textId="77777777" w:rsidR="00FE3EAF" w:rsidRPr="00FE3EAF" w:rsidRDefault="00FE3EAF" w:rsidP="00FE3EAF">
            <w:pPr>
              <w:jc w:val="center"/>
              <w:rPr>
                <w:rFonts w:eastAsia="Calibri"/>
                <w:sz w:val="20"/>
                <w:szCs w:val="20"/>
              </w:rPr>
            </w:pPr>
            <w:r w:rsidRPr="00FE3EAF">
              <w:rPr>
                <w:rFonts w:eastAsia="Calibri"/>
                <w:color w:val="000000"/>
                <w:sz w:val="20"/>
                <w:szCs w:val="20"/>
              </w:rPr>
              <w:t>10.5</w:t>
            </w:r>
          </w:p>
        </w:tc>
        <w:tc>
          <w:tcPr>
            <w:tcW w:w="597" w:type="pct"/>
            <w:tcBorders>
              <w:top w:val="single" w:sz="4" w:space="0" w:color="auto"/>
              <w:left w:val="single" w:sz="18" w:space="0" w:color="auto"/>
              <w:bottom w:val="single" w:sz="4" w:space="0" w:color="auto"/>
              <w:right w:val="single" w:sz="4" w:space="0" w:color="auto"/>
            </w:tcBorders>
            <w:vAlign w:val="bottom"/>
          </w:tcPr>
          <w:p w14:paraId="051F9862" w14:textId="77777777" w:rsidR="00FE3EAF" w:rsidRPr="00FE3EAF" w:rsidRDefault="00FE3EAF" w:rsidP="00FE3EAF">
            <w:pPr>
              <w:jc w:val="center"/>
              <w:rPr>
                <w:rFonts w:eastAsia="Calibri"/>
                <w:color w:val="000000"/>
                <w:sz w:val="20"/>
                <w:szCs w:val="20"/>
              </w:rPr>
            </w:pPr>
            <w:r w:rsidRPr="00FE3EAF">
              <w:rPr>
                <w:rFonts w:eastAsia="Calibri"/>
                <w:color w:val="000000"/>
                <w:sz w:val="20"/>
                <w:szCs w:val="20"/>
              </w:rPr>
              <w:t>22.6</w:t>
            </w:r>
          </w:p>
        </w:tc>
        <w:tc>
          <w:tcPr>
            <w:tcW w:w="597" w:type="pct"/>
            <w:tcBorders>
              <w:top w:val="single" w:sz="4" w:space="0" w:color="auto"/>
              <w:left w:val="single" w:sz="4" w:space="0" w:color="auto"/>
              <w:bottom w:val="single" w:sz="4" w:space="0" w:color="auto"/>
              <w:right w:val="single" w:sz="18" w:space="0" w:color="auto"/>
            </w:tcBorders>
            <w:vAlign w:val="bottom"/>
          </w:tcPr>
          <w:p w14:paraId="28259649" w14:textId="77777777" w:rsidR="00FE3EAF" w:rsidRPr="00FE3EAF" w:rsidRDefault="00FE3EAF" w:rsidP="00FE3EAF">
            <w:pPr>
              <w:jc w:val="center"/>
              <w:rPr>
                <w:rFonts w:eastAsia="Calibri"/>
                <w:color w:val="000000"/>
                <w:sz w:val="20"/>
                <w:szCs w:val="20"/>
              </w:rPr>
            </w:pPr>
            <w:r w:rsidRPr="00FE3EAF">
              <w:rPr>
                <w:rFonts w:eastAsia="Calibri"/>
                <w:color w:val="000000"/>
                <w:sz w:val="20"/>
                <w:szCs w:val="20"/>
              </w:rPr>
              <w:t>77.4</w:t>
            </w:r>
          </w:p>
        </w:tc>
        <w:tc>
          <w:tcPr>
            <w:tcW w:w="462" w:type="pct"/>
            <w:tcBorders>
              <w:top w:val="single" w:sz="4" w:space="0" w:color="auto"/>
              <w:left w:val="single" w:sz="4" w:space="0" w:color="auto"/>
              <w:bottom w:val="single" w:sz="4" w:space="0" w:color="auto"/>
              <w:right w:val="single" w:sz="18" w:space="0" w:color="auto"/>
            </w:tcBorders>
            <w:vAlign w:val="center"/>
          </w:tcPr>
          <w:p w14:paraId="45032837" w14:textId="77777777" w:rsidR="00FE3EAF" w:rsidRPr="00FE3EAF" w:rsidRDefault="00FE3EAF" w:rsidP="00FE3EAF">
            <w:pPr>
              <w:jc w:val="center"/>
              <w:rPr>
                <w:rFonts w:eastAsia="Calibri"/>
                <w:bCs/>
                <w:sz w:val="20"/>
                <w:szCs w:val="20"/>
              </w:rPr>
            </w:pPr>
            <w:r w:rsidRPr="00FE3EAF">
              <w:rPr>
                <w:rFonts w:eastAsia="Calibri"/>
                <w:sz w:val="20"/>
                <w:szCs w:val="20"/>
              </w:rPr>
              <w:t>10.8</w:t>
            </w:r>
          </w:p>
        </w:tc>
      </w:tr>
      <w:tr w:rsidR="00FE3EAF" w:rsidRPr="00FE3EAF" w14:paraId="61B3E48D" w14:textId="77777777" w:rsidTr="00640159">
        <w:tc>
          <w:tcPr>
            <w:tcW w:w="742" w:type="pct"/>
            <w:vMerge/>
            <w:tcBorders>
              <w:left w:val="single" w:sz="18" w:space="0" w:color="auto"/>
              <w:right w:val="single" w:sz="4" w:space="0" w:color="auto"/>
            </w:tcBorders>
            <w:vAlign w:val="center"/>
          </w:tcPr>
          <w:p w14:paraId="6E78D603" w14:textId="77777777" w:rsidR="00FE3EAF" w:rsidRPr="00FE3EAF" w:rsidRDefault="00FE3EAF" w:rsidP="00FE3EAF">
            <w:pPr>
              <w:jc w:val="left"/>
              <w:rPr>
                <w:rFonts w:eastAsia="Calibri"/>
                <w:bCs/>
                <w:color w:val="000000"/>
                <w:sz w:val="20"/>
                <w:szCs w:val="20"/>
              </w:rPr>
            </w:pPr>
          </w:p>
        </w:tc>
        <w:tc>
          <w:tcPr>
            <w:tcW w:w="1408" w:type="pct"/>
            <w:tcBorders>
              <w:top w:val="single" w:sz="4" w:space="0" w:color="auto"/>
              <w:left w:val="single" w:sz="4" w:space="0" w:color="auto"/>
              <w:bottom w:val="single" w:sz="4" w:space="0" w:color="auto"/>
              <w:right w:val="single" w:sz="18" w:space="0" w:color="auto"/>
            </w:tcBorders>
            <w:vAlign w:val="center"/>
          </w:tcPr>
          <w:p w14:paraId="2CB71E69" w14:textId="77777777" w:rsidR="00FE3EAF" w:rsidRPr="00FE3EAF" w:rsidRDefault="00FE3EAF" w:rsidP="00FE3EAF">
            <w:pPr>
              <w:jc w:val="left"/>
              <w:rPr>
                <w:rFonts w:eastAsia="Calibri"/>
                <w:bCs/>
                <w:color w:val="000000"/>
                <w:sz w:val="20"/>
                <w:szCs w:val="20"/>
              </w:rPr>
            </w:pPr>
            <w:r w:rsidRPr="00FE3EAF">
              <w:rPr>
                <w:rFonts w:eastAsia="Calibri"/>
                <w:bCs/>
                <w:color w:val="000000"/>
                <w:sz w:val="20"/>
                <w:szCs w:val="20"/>
              </w:rPr>
              <w:t>40 to 49</w:t>
            </w:r>
          </w:p>
        </w:tc>
        <w:tc>
          <w:tcPr>
            <w:tcW w:w="597" w:type="pct"/>
            <w:tcBorders>
              <w:top w:val="single" w:sz="4" w:space="0" w:color="auto"/>
              <w:left w:val="single" w:sz="18" w:space="0" w:color="auto"/>
              <w:bottom w:val="single" w:sz="4" w:space="0" w:color="auto"/>
              <w:right w:val="single" w:sz="4" w:space="0" w:color="auto"/>
            </w:tcBorders>
            <w:vAlign w:val="bottom"/>
          </w:tcPr>
          <w:p w14:paraId="08167C96" w14:textId="77777777" w:rsidR="00FE3EAF" w:rsidRPr="00FE3EAF" w:rsidRDefault="00FE3EAF" w:rsidP="00FE3EAF">
            <w:pPr>
              <w:jc w:val="center"/>
              <w:rPr>
                <w:rFonts w:eastAsia="Calibri"/>
                <w:sz w:val="20"/>
                <w:szCs w:val="20"/>
              </w:rPr>
            </w:pPr>
            <w:r w:rsidRPr="00FE3EAF">
              <w:rPr>
                <w:rFonts w:eastAsia="Calibri"/>
                <w:color w:val="000000"/>
                <w:sz w:val="20"/>
                <w:szCs w:val="20"/>
              </w:rPr>
              <w:t>20.8</w:t>
            </w:r>
          </w:p>
        </w:tc>
        <w:tc>
          <w:tcPr>
            <w:tcW w:w="597" w:type="pct"/>
            <w:tcBorders>
              <w:top w:val="single" w:sz="4" w:space="0" w:color="auto"/>
              <w:left w:val="single" w:sz="4" w:space="0" w:color="auto"/>
              <w:bottom w:val="single" w:sz="4" w:space="0" w:color="auto"/>
              <w:right w:val="single" w:sz="18" w:space="0" w:color="auto"/>
            </w:tcBorders>
            <w:vAlign w:val="bottom"/>
          </w:tcPr>
          <w:p w14:paraId="61B6432F" w14:textId="77777777" w:rsidR="00FE3EAF" w:rsidRPr="00FE3EAF" w:rsidRDefault="00FE3EAF" w:rsidP="00FE3EAF">
            <w:pPr>
              <w:jc w:val="center"/>
              <w:rPr>
                <w:rFonts w:eastAsia="Calibri"/>
                <w:sz w:val="20"/>
                <w:szCs w:val="20"/>
              </w:rPr>
            </w:pPr>
            <w:r w:rsidRPr="00FE3EAF">
              <w:rPr>
                <w:rFonts w:eastAsia="Calibri"/>
                <w:color w:val="000000"/>
                <w:sz w:val="20"/>
                <w:szCs w:val="20"/>
              </w:rPr>
              <w:t>21.5</w:t>
            </w:r>
          </w:p>
        </w:tc>
        <w:tc>
          <w:tcPr>
            <w:tcW w:w="597" w:type="pct"/>
            <w:tcBorders>
              <w:top w:val="single" w:sz="4" w:space="0" w:color="auto"/>
              <w:left w:val="single" w:sz="18" w:space="0" w:color="auto"/>
              <w:bottom w:val="single" w:sz="4" w:space="0" w:color="auto"/>
              <w:right w:val="single" w:sz="4" w:space="0" w:color="auto"/>
            </w:tcBorders>
            <w:vAlign w:val="bottom"/>
          </w:tcPr>
          <w:p w14:paraId="283C40DC" w14:textId="77777777" w:rsidR="00FE3EAF" w:rsidRPr="00FE3EAF" w:rsidRDefault="00FE3EAF" w:rsidP="00FE3EAF">
            <w:pPr>
              <w:jc w:val="center"/>
              <w:rPr>
                <w:rFonts w:eastAsia="Calibri"/>
                <w:color w:val="000000"/>
                <w:sz w:val="20"/>
                <w:szCs w:val="20"/>
              </w:rPr>
            </w:pPr>
            <w:r w:rsidRPr="00FE3EAF">
              <w:rPr>
                <w:rFonts w:eastAsia="Calibri"/>
                <w:color w:val="000000"/>
                <w:sz w:val="20"/>
                <w:szCs w:val="20"/>
              </w:rPr>
              <w:t>20.1</w:t>
            </w:r>
          </w:p>
        </w:tc>
        <w:tc>
          <w:tcPr>
            <w:tcW w:w="597" w:type="pct"/>
            <w:tcBorders>
              <w:top w:val="single" w:sz="4" w:space="0" w:color="auto"/>
              <w:left w:val="single" w:sz="4" w:space="0" w:color="auto"/>
              <w:bottom w:val="single" w:sz="4" w:space="0" w:color="auto"/>
              <w:right w:val="single" w:sz="18" w:space="0" w:color="auto"/>
            </w:tcBorders>
            <w:vAlign w:val="bottom"/>
          </w:tcPr>
          <w:p w14:paraId="2A910925" w14:textId="77777777" w:rsidR="00FE3EAF" w:rsidRPr="00FE3EAF" w:rsidRDefault="00FE3EAF" w:rsidP="00FE3EAF">
            <w:pPr>
              <w:jc w:val="center"/>
              <w:rPr>
                <w:rFonts w:eastAsia="Calibri"/>
                <w:color w:val="000000"/>
                <w:sz w:val="20"/>
                <w:szCs w:val="20"/>
              </w:rPr>
            </w:pPr>
            <w:r w:rsidRPr="00FE3EAF">
              <w:rPr>
                <w:rFonts w:eastAsia="Calibri"/>
                <w:color w:val="000000"/>
                <w:sz w:val="20"/>
                <w:szCs w:val="20"/>
              </w:rPr>
              <w:t>79.9</w:t>
            </w:r>
          </w:p>
        </w:tc>
        <w:tc>
          <w:tcPr>
            <w:tcW w:w="462" w:type="pct"/>
            <w:tcBorders>
              <w:top w:val="single" w:sz="4" w:space="0" w:color="auto"/>
              <w:left w:val="single" w:sz="4" w:space="0" w:color="auto"/>
              <w:bottom w:val="single" w:sz="4" w:space="0" w:color="auto"/>
              <w:right w:val="single" w:sz="18" w:space="0" w:color="auto"/>
            </w:tcBorders>
            <w:vAlign w:val="center"/>
          </w:tcPr>
          <w:p w14:paraId="1918A663" w14:textId="77777777" w:rsidR="00FE3EAF" w:rsidRPr="00FE3EAF" w:rsidRDefault="00FE3EAF" w:rsidP="00FE3EAF">
            <w:pPr>
              <w:jc w:val="center"/>
              <w:rPr>
                <w:rFonts w:eastAsia="Calibri"/>
                <w:bCs/>
                <w:sz w:val="20"/>
                <w:szCs w:val="20"/>
              </w:rPr>
            </w:pPr>
            <w:r w:rsidRPr="00FE3EAF">
              <w:rPr>
                <w:rFonts w:eastAsia="Calibri"/>
                <w:sz w:val="20"/>
                <w:szCs w:val="20"/>
              </w:rPr>
              <w:t>21.4</w:t>
            </w:r>
          </w:p>
        </w:tc>
      </w:tr>
      <w:tr w:rsidR="00FE3EAF" w:rsidRPr="00FE3EAF" w14:paraId="5AB6BCB9" w14:textId="77777777" w:rsidTr="00640159">
        <w:tc>
          <w:tcPr>
            <w:tcW w:w="742" w:type="pct"/>
            <w:vMerge/>
            <w:tcBorders>
              <w:left w:val="single" w:sz="18" w:space="0" w:color="auto"/>
              <w:bottom w:val="single" w:sz="4" w:space="0" w:color="auto"/>
              <w:right w:val="single" w:sz="4" w:space="0" w:color="auto"/>
            </w:tcBorders>
            <w:vAlign w:val="center"/>
          </w:tcPr>
          <w:p w14:paraId="4D53E517" w14:textId="77777777" w:rsidR="00FE3EAF" w:rsidRPr="00FE3EAF" w:rsidRDefault="00FE3EAF" w:rsidP="00FE3EAF">
            <w:pPr>
              <w:jc w:val="left"/>
              <w:rPr>
                <w:rFonts w:eastAsia="Calibri"/>
                <w:bCs/>
                <w:color w:val="000000"/>
                <w:sz w:val="20"/>
                <w:szCs w:val="20"/>
              </w:rPr>
            </w:pPr>
          </w:p>
        </w:tc>
        <w:tc>
          <w:tcPr>
            <w:tcW w:w="1408" w:type="pct"/>
            <w:tcBorders>
              <w:top w:val="single" w:sz="4" w:space="0" w:color="auto"/>
              <w:left w:val="single" w:sz="4" w:space="0" w:color="auto"/>
              <w:bottom w:val="single" w:sz="4" w:space="0" w:color="auto"/>
              <w:right w:val="single" w:sz="18" w:space="0" w:color="auto"/>
            </w:tcBorders>
            <w:vAlign w:val="center"/>
          </w:tcPr>
          <w:p w14:paraId="26888477" w14:textId="77777777" w:rsidR="00FE3EAF" w:rsidRPr="00FE3EAF" w:rsidRDefault="00FE3EAF" w:rsidP="00FE3EAF">
            <w:pPr>
              <w:jc w:val="left"/>
              <w:rPr>
                <w:rFonts w:eastAsia="Calibri"/>
                <w:bCs/>
                <w:color w:val="000000"/>
                <w:sz w:val="20"/>
                <w:szCs w:val="20"/>
              </w:rPr>
            </w:pPr>
            <w:r w:rsidRPr="00FE3EAF">
              <w:rPr>
                <w:rFonts w:eastAsia="Calibri"/>
                <w:bCs/>
                <w:color w:val="000000"/>
                <w:sz w:val="20"/>
                <w:szCs w:val="20"/>
              </w:rPr>
              <w:t>50 or older</w:t>
            </w:r>
          </w:p>
        </w:tc>
        <w:tc>
          <w:tcPr>
            <w:tcW w:w="597" w:type="pct"/>
            <w:tcBorders>
              <w:top w:val="single" w:sz="4" w:space="0" w:color="auto"/>
              <w:left w:val="single" w:sz="18" w:space="0" w:color="auto"/>
              <w:bottom w:val="single" w:sz="4" w:space="0" w:color="auto"/>
              <w:right w:val="single" w:sz="4" w:space="0" w:color="auto"/>
            </w:tcBorders>
            <w:vAlign w:val="bottom"/>
          </w:tcPr>
          <w:p w14:paraId="5E4E8C4A" w14:textId="77777777" w:rsidR="00FE3EAF" w:rsidRPr="00FE3EAF" w:rsidRDefault="00FE3EAF" w:rsidP="00FE3EAF">
            <w:pPr>
              <w:jc w:val="center"/>
              <w:rPr>
                <w:rFonts w:eastAsia="Calibri"/>
                <w:sz w:val="20"/>
                <w:szCs w:val="20"/>
              </w:rPr>
            </w:pPr>
            <w:r w:rsidRPr="00FE3EAF">
              <w:rPr>
                <w:rFonts w:eastAsia="Calibri"/>
                <w:color w:val="000000"/>
                <w:sz w:val="20"/>
                <w:szCs w:val="20"/>
              </w:rPr>
              <w:t>56.6</w:t>
            </w:r>
          </w:p>
        </w:tc>
        <w:tc>
          <w:tcPr>
            <w:tcW w:w="597" w:type="pct"/>
            <w:tcBorders>
              <w:top w:val="single" w:sz="4" w:space="0" w:color="auto"/>
              <w:left w:val="single" w:sz="4" w:space="0" w:color="auto"/>
              <w:bottom w:val="single" w:sz="4" w:space="0" w:color="auto"/>
              <w:right w:val="single" w:sz="18" w:space="0" w:color="auto"/>
            </w:tcBorders>
            <w:vAlign w:val="bottom"/>
          </w:tcPr>
          <w:p w14:paraId="0668E288" w14:textId="77777777" w:rsidR="00FE3EAF" w:rsidRPr="00FE3EAF" w:rsidRDefault="00FE3EAF" w:rsidP="00FE3EAF">
            <w:pPr>
              <w:jc w:val="center"/>
              <w:rPr>
                <w:rFonts w:eastAsia="Calibri"/>
                <w:sz w:val="20"/>
                <w:szCs w:val="20"/>
              </w:rPr>
            </w:pPr>
            <w:r w:rsidRPr="00FE3EAF">
              <w:rPr>
                <w:rFonts w:eastAsia="Calibri"/>
                <w:color w:val="000000"/>
                <w:sz w:val="20"/>
                <w:szCs w:val="20"/>
              </w:rPr>
              <w:t>64.8</w:t>
            </w:r>
          </w:p>
        </w:tc>
        <w:tc>
          <w:tcPr>
            <w:tcW w:w="597" w:type="pct"/>
            <w:tcBorders>
              <w:top w:val="single" w:sz="4" w:space="0" w:color="auto"/>
              <w:left w:val="single" w:sz="18" w:space="0" w:color="auto"/>
              <w:bottom w:val="single" w:sz="4" w:space="0" w:color="auto"/>
              <w:right w:val="single" w:sz="4" w:space="0" w:color="auto"/>
            </w:tcBorders>
            <w:vAlign w:val="bottom"/>
          </w:tcPr>
          <w:p w14:paraId="00C72140" w14:textId="77777777" w:rsidR="00FE3EAF" w:rsidRPr="00FE3EAF" w:rsidRDefault="00FE3EAF" w:rsidP="00FE3EAF">
            <w:pPr>
              <w:jc w:val="center"/>
              <w:rPr>
                <w:rFonts w:eastAsia="Calibri"/>
                <w:color w:val="000000"/>
                <w:sz w:val="20"/>
                <w:szCs w:val="20"/>
              </w:rPr>
            </w:pPr>
            <w:r w:rsidRPr="00FE3EAF">
              <w:rPr>
                <w:rFonts w:eastAsia="Calibri"/>
                <w:color w:val="000000"/>
                <w:sz w:val="20"/>
                <w:szCs w:val="20"/>
              </w:rPr>
              <w:t>18.1</w:t>
            </w:r>
          </w:p>
        </w:tc>
        <w:tc>
          <w:tcPr>
            <w:tcW w:w="597" w:type="pct"/>
            <w:tcBorders>
              <w:top w:val="single" w:sz="4" w:space="0" w:color="auto"/>
              <w:left w:val="single" w:sz="4" w:space="0" w:color="auto"/>
              <w:bottom w:val="single" w:sz="4" w:space="0" w:color="auto"/>
              <w:right w:val="single" w:sz="18" w:space="0" w:color="auto"/>
            </w:tcBorders>
            <w:vAlign w:val="bottom"/>
          </w:tcPr>
          <w:p w14:paraId="72533D4F" w14:textId="77777777" w:rsidR="00FE3EAF" w:rsidRPr="00FE3EAF" w:rsidRDefault="00FE3EAF" w:rsidP="00FE3EAF">
            <w:pPr>
              <w:jc w:val="center"/>
              <w:rPr>
                <w:rFonts w:eastAsia="Calibri"/>
                <w:color w:val="000000"/>
                <w:sz w:val="20"/>
                <w:szCs w:val="20"/>
              </w:rPr>
            </w:pPr>
            <w:r w:rsidRPr="00FE3EAF">
              <w:rPr>
                <w:rFonts w:eastAsia="Calibri"/>
                <w:color w:val="000000"/>
                <w:sz w:val="20"/>
                <w:szCs w:val="20"/>
              </w:rPr>
              <w:t>81.9</w:t>
            </w:r>
          </w:p>
        </w:tc>
        <w:tc>
          <w:tcPr>
            <w:tcW w:w="462" w:type="pct"/>
            <w:tcBorders>
              <w:top w:val="single" w:sz="4" w:space="0" w:color="auto"/>
              <w:left w:val="single" w:sz="4" w:space="0" w:color="auto"/>
              <w:bottom w:val="single" w:sz="4" w:space="0" w:color="auto"/>
              <w:right w:val="single" w:sz="18" w:space="0" w:color="auto"/>
            </w:tcBorders>
            <w:vAlign w:val="center"/>
          </w:tcPr>
          <w:p w14:paraId="7E63EE37" w14:textId="77777777" w:rsidR="00FE3EAF" w:rsidRPr="00FE3EAF" w:rsidRDefault="00FE3EAF" w:rsidP="00FE3EAF">
            <w:pPr>
              <w:jc w:val="center"/>
              <w:rPr>
                <w:rFonts w:eastAsia="Calibri"/>
                <w:bCs/>
                <w:sz w:val="20"/>
                <w:szCs w:val="20"/>
              </w:rPr>
            </w:pPr>
            <w:r w:rsidRPr="00FE3EAF">
              <w:rPr>
                <w:rFonts w:eastAsia="Calibri"/>
                <w:bCs/>
                <w:sz w:val="20"/>
                <w:szCs w:val="20"/>
              </w:rPr>
              <w:t>63.1</w:t>
            </w:r>
          </w:p>
        </w:tc>
      </w:tr>
      <w:tr w:rsidR="00FE3EAF" w:rsidRPr="00FE3EAF" w14:paraId="23576044" w14:textId="77777777" w:rsidTr="00640159">
        <w:tc>
          <w:tcPr>
            <w:tcW w:w="742" w:type="pct"/>
            <w:vMerge w:val="restart"/>
            <w:tcBorders>
              <w:top w:val="single" w:sz="4" w:space="0" w:color="auto"/>
              <w:left w:val="single" w:sz="18" w:space="0" w:color="auto"/>
              <w:right w:val="single" w:sz="4" w:space="0" w:color="auto"/>
            </w:tcBorders>
            <w:vAlign w:val="center"/>
          </w:tcPr>
          <w:p w14:paraId="2F72F214" w14:textId="77777777" w:rsidR="00FE3EAF" w:rsidRPr="00FE3EAF" w:rsidRDefault="00FE3EAF" w:rsidP="00FE3EAF">
            <w:pPr>
              <w:jc w:val="left"/>
              <w:rPr>
                <w:rFonts w:eastAsia="Calibri"/>
                <w:bCs/>
                <w:color w:val="000000"/>
                <w:sz w:val="20"/>
                <w:szCs w:val="20"/>
              </w:rPr>
            </w:pPr>
            <w:r w:rsidRPr="00FE3EAF">
              <w:rPr>
                <w:rFonts w:eastAsia="Calibri"/>
                <w:bCs/>
                <w:color w:val="000000"/>
                <w:sz w:val="20"/>
                <w:szCs w:val="20"/>
              </w:rPr>
              <w:t>Education level</w:t>
            </w:r>
          </w:p>
        </w:tc>
        <w:tc>
          <w:tcPr>
            <w:tcW w:w="1408" w:type="pct"/>
            <w:tcBorders>
              <w:top w:val="single" w:sz="4" w:space="0" w:color="auto"/>
              <w:left w:val="single" w:sz="4" w:space="0" w:color="auto"/>
              <w:bottom w:val="single" w:sz="4" w:space="0" w:color="auto"/>
              <w:right w:val="single" w:sz="18" w:space="0" w:color="auto"/>
            </w:tcBorders>
            <w:vAlign w:val="center"/>
          </w:tcPr>
          <w:p w14:paraId="67BDC02E" w14:textId="77777777" w:rsidR="00FE3EAF" w:rsidRPr="00FE3EAF" w:rsidRDefault="00FE3EAF" w:rsidP="00FE3EAF">
            <w:pPr>
              <w:jc w:val="left"/>
              <w:rPr>
                <w:rFonts w:eastAsia="Calibri"/>
                <w:bCs/>
                <w:color w:val="000000"/>
                <w:sz w:val="20"/>
                <w:szCs w:val="20"/>
              </w:rPr>
            </w:pPr>
            <w:r w:rsidRPr="00FE3EAF">
              <w:rPr>
                <w:rFonts w:eastAsia="Calibri"/>
                <w:bCs/>
                <w:color w:val="000000"/>
                <w:sz w:val="20"/>
                <w:szCs w:val="20"/>
              </w:rPr>
              <w:t>Some college or less</w:t>
            </w:r>
          </w:p>
        </w:tc>
        <w:tc>
          <w:tcPr>
            <w:tcW w:w="597" w:type="pct"/>
            <w:tcBorders>
              <w:top w:val="single" w:sz="4" w:space="0" w:color="auto"/>
              <w:left w:val="single" w:sz="18" w:space="0" w:color="auto"/>
              <w:bottom w:val="single" w:sz="4" w:space="0" w:color="auto"/>
              <w:right w:val="single" w:sz="4" w:space="0" w:color="auto"/>
            </w:tcBorders>
            <w:vAlign w:val="bottom"/>
          </w:tcPr>
          <w:p w14:paraId="75829985" w14:textId="77777777" w:rsidR="00FE3EAF" w:rsidRPr="00FE3EAF" w:rsidRDefault="00FE3EAF" w:rsidP="00FE3EAF">
            <w:pPr>
              <w:jc w:val="center"/>
              <w:rPr>
                <w:rFonts w:eastAsia="Calibri"/>
                <w:sz w:val="20"/>
                <w:szCs w:val="20"/>
              </w:rPr>
            </w:pPr>
            <w:r w:rsidRPr="00FE3EAF">
              <w:rPr>
                <w:rFonts w:eastAsia="Calibri"/>
                <w:color w:val="000000"/>
                <w:sz w:val="20"/>
                <w:szCs w:val="20"/>
              </w:rPr>
              <w:t>16.1</w:t>
            </w:r>
          </w:p>
        </w:tc>
        <w:tc>
          <w:tcPr>
            <w:tcW w:w="597" w:type="pct"/>
            <w:tcBorders>
              <w:top w:val="single" w:sz="4" w:space="0" w:color="auto"/>
              <w:left w:val="single" w:sz="4" w:space="0" w:color="auto"/>
              <w:bottom w:val="single" w:sz="4" w:space="0" w:color="auto"/>
              <w:right w:val="single" w:sz="18" w:space="0" w:color="auto"/>
            </w:tcBorders>
            <w:vAlign w:val="bottom"/>
          </w:tcPr>
          <w:p w14:paraId="2E488A57" w14:textId="77777777" w:rsidR="00FE3EAF" w:rsidRPr="00FE3EAF" w:rsidRDefault="00FE3EAF" w:rsidP="00FE3EAF">
            <w:pPr>
              <w:jc w:val="center"/>
              <w:rPr>
                <w:rFonts w:eastAsia="Calibri"/>
                <w:sz w:val="20"/>
                <w:szCs w:val="20"/>
              </w:rPr>
            </w:pPr>
            <w:r w:rsidRPr="00FE3EAF">
              <w:rPr>
                <w:rFonts w:eastAsia="Calibri"/>
                <w:color w:val="000000"/>
                <w:sz w:val="20"/>
                <w:szCs w:val="20"/>
              </w:rPr>
              <w:t>16.2</w:t>
            </w:r>
          </w:p>
        </w:tc>
        <w:tc>
          <w:tcPr>
            <w:tcW w:w="597" w:type="pct"/>
            <w:tcBorders>
              <w:top w:val="single" w:sz="4" w:space="0" w:color="auto"/>
              <w:left w:val="single" w:sz="18" w:space="0" w:color="auto"/>
              <w:bottom w:val="single" w:sz="4" w:space="0" w:color="auto"/>
              <w:right w:val="single" w:sz="4" w:space="0" w:color="auto"/>
            </w:tcBorders>
            <w:vAlign w:val="bottom"/>
          </w:tcPr>
          <w:p w14:paraId="2FEFEB5F" w14:textId="77777777" w:rsidR="00FE3EAF" w:rsidRPr="00FE3EAF" w:rsidRDefault="00FE3EAF" w:rsidP="00FE3EAF">
            <w:pPr>
              <w:jc w:val="center"/>
              <w:rPr>
                <w:rFonts w:eastAsia="Calibri"/>
                <w:color w:val="000000"/>
                <w:sz w:val="20"/>
                <w:szCs w:val="20"/>
              </w:rPr>
            </w:pPr>
            <w:r w:rsidRPr="00FE3EAF">
              <w:rPr>
                <w:rFonts w:eastAsia="Calibri"/>
                <w:color w:val="000000"/>
                <w:sz w:val="20"/>
                <w:szCs w:val="20"/>
              </w:rPr>
              <w:t>20.5</w:t>
            </w:r>
          </w:p>
        </w:tc>
        <w:tc>
          <w:tcPr>
            <w:tcW w:w="597" w:type="pct"/>
            <w:tcBorders>
              <w:top w:val="single" w:sz="4" w:space="0" w:color="auto"/>
              <w:left w:val="single" w:sz="4" w:space="0" w:color="auto"/>
              <w:bottom w:val="single" w:sz="4" w:space="0" w:color="auto"/>
              <w:right w:val="single" w:sz="18" w:space="0" w:color="auto"/>
            </w:tcBorders>
            <w:vAlign w:val="bottom"/>
          </w:tcPr>
          <w:p w14:paraId="22256518" w14:textId="77777777" w:rsidR="00FE3EAF" w:rsidRPr="00FE3EAF" w:rsidRDefault="00FE3EAF" w:rsidP="00FE3EAF">
            <w:pPr>
              <w:jc w:val="center"/>
              <w:rPr>
                <w:rFonts w:eastAsia="Calibri"/>
                <w:color w:val="000000"/>
                <w:sz w:val="20"/>
                <w:szCs w:val="20"/>
              </w:rPr>
            </w:pPr>
            <w:r w:rsidRPr="00FE3EAF">
              <w:rPr>
                <w:rFonts w:eastAsia="Calibri"/>
                <w:color w:val="000000"/>
                <w:sz w:val="20"/>
                <w:szCs w:val="20"/>
              </w:rPr>
              <w:t>79.5</w:t>
            </w:r>
          </w:p>
        </w:tc>
        <w:tc>
          <w:tcPr>
            <w:tcW w:w="462" w:type="pct"/>
            <w:tcBorders>
              <w:top w:val="single" w:sz="4" w:space="0" w:color="auto"/>
              <w:left w:val="single" w:sz="4" w:space="0" w:color="auto"/>
              <w:bottom w:val="single" w:sz="4" w:space="0" w:color="auto"/>
              <w:right w:val="single" w:sz="18" w:space="0" w:color="auto"/>
            </w:tcBorders>
            <w:vAlign w:val="center"/>
          </w:tcPr>
          <w:p w14:paraId="0FA40B6F" w14:textId="77777777" w:rsidR="00FE3EAF" w:rsidRPr="00FE3EAF" w:rsidRDefault="00FE3EAF" w:rsidP="00FE3EAF">
            <w:pPr>
              <w:jc w:val="center"/>
              <w:rPr>
                <w:rFonts w:eastAsia="Calibri"/>
                <w:bCs/>
                <w:sz w:val="20"/>
                <w:szCs w:val="20"/>
              </w:rPr>
            </w:pPr>
            <w:r w:rsidRPr="00FE3EAF">
              <w:rPr>
                <w:rFonts w:eastAsia="Calibri"/>
                <w:bCs/>
                <w:sz w:val="20"/>
                <w:szCs w:val="20"/>
              </w:rPr>
              <w:t>16.1</w:t>
            </w:r>
          </w:p>
        </w:tc>
      </w:tr>
      <w:tr w:rsidR="00FE3EAF" w:rsidRPr="00FE3EAF" w14:paraId="354E686B" w14:textId="77777777" w:rsidTr="00640159">
        <w:tc>
          <w:tcPr>
            <w:tcW w:w="742" w:type="pct"/>
            <w:vMerge/>
            <w:tcBorders>
              <w:left w:val="single" w:sz="18" w:space="0" w:color="auto"/>
              <w:bottom w:val="single" w:sz="4" w:space="0" w:color="auto"/>
              <w:right w:val="single" w:sz="4" w:space="0" w:color="auto"/>
            </w:tcBorders>
            <w:vAlign w:val="center"/>
          </w:tcPr>
          <w:p w14:paraId="6A14DA5B" w14:textId="77777777" w:rsidR="00FE3EAF" w:rsidRPr="00FE3EAF" w:rsidRDefault="00FE3EAF" w:rsidP="00FE3EAF">
            <w:pPr>
              <w:jc w:val="left"/>
              <w:rPr>
                <w:rFonts w:eastAsia="Calibri"/>
                <w:bCs/>
                <w:color w:val="000000"/>
                <w:sz w:val="20"/>
                <w:szCs w:val="20"/>
              </w:rPr>
            </w:pPr>
          </w:p>
        </w:tc>
        <w:tc>
          <w:tcPr>
            <w:tcW w:w="1408" w:type="pct"/>
            <w:tcBorders>
              <w:top w:val="single" w:sz="4" w:space="0" w:color="auto"/>
              <w:left w:val="single" w:sz="4" w:space="0" w:color="auto"/>
              <w:bottom w:val="single" w:sz="4" w:space="0" w:color="auto"/>
              <w:right w:val="single" w:sz="18" w:space="0" w:color="auto"/>
            </w:tcBorders>
            <w:vAlign w:val="center"/>
          </w:tcPr>
          <w:p w14:paraId="3D09C41A" w14:textId="77777777" w:rsidR="00FE3EAF" w:rsidRPr="00FE3EAF" w:rsidRDefault="00FE3EAF" w:rsidP="00FE3EAF">
            <w:pPr>
              <w:jc w:val="left"/>
              <w:rPr>
                <w:rFonts w:eastAsia="Calibri"/>
                <w:bCs/>
                <w:color w:val="000000"/>
                <w:sz w:val="20"/>
                <w:szCs w:val="20"/>
              </w:rPr>
            </w:pPr>
            <w:r w:rsidRPr="00FE3EAF">
              <w:rPr>
                <w:rFonts w:eastAsia="Calibri"/>
                <w:bCs/>
                <w:sz w:val="20"/>
                <w:szCs w:val="20"/>
              </w:rPr>
              <w:t>Bachelor’s degree or higher</w:t>
            </w:r>
          </w:p>
        </w:tc>
        <w:tc>
          <w:tcPr>
            <w:tcW w:w="597" w:type="pct"/>
            <w:tcBorders>
              <w:top w:val="single" w:sz="4" w:space="0" w:color="auto"/>
              <w:left w:val="single" w:sz="18" w:space="0" w:color="auto"/>
              <w:bottom w:val="single" w:sz="4" w:space="0" w:color="auto"/>
              <w:right w:val="single" w:sz="4" w:space="0" w:color="auto"/>
            </w:tcBorders>
            <w:vAlign w:val="bottom"/>
          </w:tcPr>
          <w:p w14:paraId="3AB4FAA1" w14:textId="77777777" w:rsidR="00FE3EAF" w:rsidRPr="00FE3EAF" w:rsidRDefault="00FE3EAF" w:rsidP="00FE3EAF">
            <w:pPr>
              <w:jc w:val="center"/>
              <w:rPr>
                <w:rFonts w:eastAsia="Calibri"/>
                <w:sz w:val="20"/>
                <w:szCs w:val="20"/>
              </w:rPr>
            </w:pPr>
            <w:r w:rsidRPr="00FE3EAF">
              <w:rPr>
                <w:rFonts w:eastAsia="Calibri"/>
                <w:color w:val="000000"/>
                <w:sz w:val="20"/>
                <w:szCs w:val="20"/>
              </w:rPr>
              <w:t>83.9</w:t>
            </w:r>
          </w:p>
        </w:tc>
        <w:tc>
          <w:tcPr>
            <w:tcW w:w="597" w:type="pct"/>
            <w:tcBorders>
              <w:top w:val="single" w:sz="4" w:space="0" w:color="auto"/>
              <w:left w:val="single" w:sz="4" w:space="0" w:color="auto"/>
              <w:bottom w:val="single" w:sz="4" w:space="0" w:color="auto"/>
              <w:right w:val="single" w:sz="18" w:space="0" w:color="auto"/>
            </w:tcBorders>
            <w:vAlign w:val="bottom"/>
          </w:tcPr>
          <w:p w14:paraId="4BFFBC84" w14:textId="77777777" w:rsidR="00FE3EAF" w:rsidRPr="00FE3EAF" w:rsidRDefault="00FE3EAF" w:rsidP="00FE3EAF">
            <w:pPr>
              <w:jc w:val="center"/>
              <w:rPr>
                <w:rFonts w:eastAsia="Calibri"/>
                <w:sz w:val="20"/>
                <w:szCs w:val="20"/>
              </w:rPr>
            </w:pPr>
            <w:r w:rsidRPr="00FE3EAF">
              <w:rPr>
                <w:rFonts w:eastAsia="Calibri"/>
                <w:color w:val="000000"/>
                <w:sz w:val="20"/>
                <w:szCs w:val="20"/>
              </w:rPr>
              <w:t>83.8</w:t>
            </w:r>
          </w:p>
        </w:tc>
        <w:tc>
          <w:tcPr>
            <w:tcW w:w="597" w:type="pct"/>
            <w:tcBorders>
              <w:top w:val="single" w:sz="4" w:space="0" w:color="auto"/>
              <w:left w:val="single" w:sz="18" w:space="0" w:color="auto"/>
              <w:bottom w:val="single" w:sz="4" w:space="0" w:color="auto"/>
              <w:right w:val="single" w:sz="4" w:space="0" w:color="auto"/>
            </w:tcBorders>
            <w:vAlign w:val="bottom"/>
          </w:tcPr>
          <w:p w14:paraId="2CEFFF7A" w14:textId="77777777" w:rsidR="00FE3EAF" w:rsidRPr="00FE3EAF" w:rsidRDefault="00FE3EAF" w:rsidP="00FE3EAF">
            <w:pPr>
              <w:jc w:val="center"/>
              <w:rPr>
                <w:rFonts w:eastAsia="Calibri"/>
                <w:color w:val="000000"/>
                <w:sz w:val="20"/>
                <w:szCs w:val="20"/>
              </w:rPr>
            </w:pPr>
            <w:r w:rsidRPr="00FE3EAF">
              <w:rPr>
                <w:rFonts w:eastAsia="Calibri"/>
                <w:color w:val="000000"/>
                <w:sz w:val="20"/>
                <w:szCs w:val="20"/>
              </w:rPr>
              <w:t>20.3</w:t>
            </w:r>
          </w:p>
        </w:tc>
        <w:tc>
          <w:tcPr>
            <w:tcW w:w="597" w:type="pct"/>
            <w:tcBorders>
              <w:top w:val="single" w:sz="4" w:space="0" w:color="auto"/>
              <w:left w:val="single" w:sz="4" w:space="0" w:color="auto"/>
              <w:bottom w:val="single" w:sz="4" w:space="0" w:color="auto"/>
              <w:right w:val="single" w:sz="18" w:space="0" w:color="auto"/>
            </w:tcBorders>
            <w:vAlign w:val="bottom"/>
          </w:tcPr>
          <w:p w14:paraId="0E28B7E7" w14:textId="77777777" w:rsidR="00FE3EAF" w:rsidRPr="00FE3EAF" w:rsidRDefault="00FE3EAF" w:rsidP="00FE3EAF">
            <w:pPr>
              <w:jc w:val="center"/>
              <w:rPr>
                <w:rFonts w:eastAsia="Calibri"/>
                <w:color w:val="000000"/>
                <w:sz w:val="20"/>
                <w:szCs w:val="20"/>
              </w:rPr>
            </w:pPr>
            <w:r w:rsidRPr="00FE3EAF">
              <w:rPr>
                <w:rFonts w:eastAsia="Calibri"/>
                <w:color w:val="000000"/>
                <w:sz w:val="20"/>
                <w:szCs w:val="20"/>
              </w:rPr>
              <w:t>79.7</w:t>
            </w:r>
          </w:p>
        </w:tc>
        <w:tc>
          <w:tcPr>
            <w:tcW w:w="462" w:type="pct"/>
            <w:tcBorders>
              <w:top w:val="single" w:sz="4" w:space="0" w:color="auto"/>
              <w:left w:val="single" w:sz="4" w:space="0" w:color="auto"/>
              <w:bottom w:val="single" w:sz="4" w:space="0" w:color="auto"/>
              <w:right w:val="single" w:sz="18" w:space="0" w:color="auto"/>
            </w:tcBorders>
            <w:vAlign w:val="center"/>
          </w:tcPr>
          <w:p w14:paraId="4B23BE75" w14:textId="77777777" w:rsidR="00FE3EAF" w:rsidRPr="00FE3EAF" w:rsidRDefault="00FE3EAF" w:rsidP="00FE3EAF">
            <w:pPr>
              <w:jc w:val="center"/>
              <w:rPr>
                <w:rFonts w:eastAsia="Calibri"/>
                <w:bCs/>
                <w:sz w:val="20"/>
                <w:szCs w:val="20"/>
              </w:rPr>
            </w:pPr>
            <w:r w:rsidRPr="00FE3EAF">
              <w:rPr>
                <w:rFonts w:eastAsia="Calibri"/>
                <w:bCs/>
                <w:sz w:val="20"/>
                <w:szCs w:val="20"/>
              </w:rPr>
              <w:t>83.9</w:t>
            </w:r>
          </w:p>
        </w:tc>
      </w:tr>
      <w:tr w:rsidR="00FE3EAF" w:rsidRPr="00FE3EAF" w14:paraId="23598991" w14:textId="77777777" w:rsidTr="00640159">
        <w:tc>
          <w:tcPr>
            <w:tcW w:w="742" w:type="pct"/>
            <w:vMerge w:val="restart"/>
            <w:tcBorders>
              <w:top w:val="single" w:sz="4" w:space="0" w:color="auto"/>
              <w:left w:val="single" w:sz="18" w:space="0" w:color="auto"/>
              <w:right w:val="single" w:sz="4" w:space="0" w:color="auto"/>
            </w:tcBorders>
            <w:vAlign w:val="center"/>
            <w:hideMark/>
          </w:tcPr>
          <w:p w14:paraId="1C08A984" w14:textId="77777777" w:rsidR="00FE3EAF" w:rsidRPr="00FE3EAF" w:rsidRDefault="00FE3EAF" w:rsidP="00FE3EAF">
            <w:pPr>
              <w:jc w:val="left"/>
              <w:rPr>
                <w:rFonts w:eastAsia="Calibri"/>
                <w:bCs/>
                <w:color w:val="000000"/>
                <w:sz w:val="20"/>
                <w:szCs w:val="20"/>
              </w:rPr>
            </w:pPr>
            <w:r w:rsidRPr="00FE3EAF">
              <w:rPr>
                <w:rFonts w:eastAsia="Calibri"/>
                <w:bCs/>
                <w:color w:val="000000"/>
                <w:sz w:val="20"/>
                <w:szCs w:val="20"/>
              </w:rPr>
              <w:t>Household income</w:t>
            </w:r>
          </w:p>
        </w:tc>
        <w:tc>
          <w:tcPr>
            <w:tcW w:w="1408" w:type="pct"/>
            <w:tcBorders>
              <w:top w:val="single" w:sz="4" w:space="0" w:color="auto"/>
              <w:left w:val="single" w:sz="4" w:space="0" w:color="auto"/>
              <w:bottom w:val="single" w:sz="4" w:space="0" w:color="auto"/>
              <w:right w:val="single" w:sz="18" w:space="0" w:color="auto"/>
            </w:tcBorders>
            <w:vAlign w:val="center"/>
            <w:hideMark/>
          </w:tcPr>
          <w:p w14:paraId="135BDBDC" w14:textId="77777777" w:rsidR="00FE3EAF" w:rsidRPr="00FE3EAF" w:rsidRDefault="00FE3EAF" w:rsidP="00FE3EAF">
            <w:pPr>
              <w:jc w:val="left"/>
              <w:rPr>
                <w:rFonts w:eastAsia="Calibri"/>
                <w:bCs/>
                <w:color w:val="000000"/>
                <w:sz w:val="20"/>
                <w:szCs w:val="20"/>
              </w:rPr>
            </w:pPr>
            <w:r w:rsidRPr="00FE3EAF">
              <w:rPr>
                <w:rFonts w:eastAsia="Calibri"/>
                <w:bCs/>
                <w:color w:val="000000"/>
                <w:sz w:val="20"/>
                <w:szCs w:val="20"/>
              </w:rPr>
              <w:t>Up to $50,000</w:t>
            </w:r>
          </w:p>
        </w:tc>
        <w:tc>
          <w:tcPr>
            <w:tcW w:w="597" w:type="pct"/>
            <w:tcBorders>
              <w:top w:val="single" w:sz="4" w:space="0" w:color="auto"/>
              <w:left w:val="single" w:sz="18" w:space="0" w:color="auto"/>
              <w:bottom w:val="single" w:sz="4" w:space="0" w:color="auto"/>
              <w:right w:val="single" w:sz="4" w:space="0" w:color="auto"/>
            </w:tcBorders>
            <w:vAlign w:val="bottom"/>
          </w:tcPr>
          <w:p w14:paraId="460E5586" w14:textId="77777777" w:rsidR="00FE3EAF" w:rsidRPr="00FE3EAF" w:rsidRDefault="00FE3EAF" w:rsidP="00FE3EAF">
            <w:pPr>
              <w:jc w:val="center"/>
              <w:rPr>
                <w:rFonts w:eastAsia="Calibri"/>
                <w:sz w:val="20"/>
                <w:szCs w:val="20"/>
              </w:rPr>
            </w:pPr>
            <w:r w:rsidRPr="00FE3EAF">
              <w:rPr>
                <w:rFonts w:eastAsia="Calibri"/>
                <w:sz w:val="20"/>
                <w:szCs w:val="20"/>
              </w:rPr>
              <w:t xml:space="preserve">  7.1</w:t>
            </w:r>
          </w:p>
        </w:tc>
        <w:tc>
          <w:tcPr>
            <w:tcW w:w="597" w:type="pct"/>
            <w:tcBorders>
              <w:top w:val="single" w:sz="4" w:space="0" w:color="auto"/>
              <w:left w:val="single" w:sz="4" w:space="0" w:color="auto"/>
              <w:bottom w:val="single" w:sz="4" w:space="0" w:color="auto"/>
              <w:right w:val="single" w:sz="18" w:space="0" w:color="auto"/>
            </w:tcBorders>
            <w:vAlign w:val="bottom"/>
          </w:tcPr>
          <w:p w14:paraId="2EF3BDE9" w14:textId="77777777" w:rsidR="00FE3EAF" w:rsidRPr="00FE3EAF" w:rsidRDefault="00FE3EAF" w:rsidP="00FE3EAF">
            <w:pPr>
              <w:jc w:val="center"/>
              <w:rPr>
                <w:rFonts w:eastAsia="Calibri"/>
                <w:sz w:val="20"/>
                <w:szCs w:val="20"/>
              </w:rPr>
            </w:pPr>
            <w:r w:rsidRPr="00FE3EAF">
              <w:rPr>
                <w:rFonts w:eastAsia="Calibri"/>
                <w:sz w:val="20"/>
                <w:szCs w:val="20"/>
              </w:rPr>
              <w:t xml:space="preserve">  5.2</w:t>
            </w:r>
          </w:p>
        </w:tc>
        <w:tc>
          <w:tcPr>
            <w:tcW w:w="597" w:type="pct"/>
            <w:tcBorders>
              <w:top w:val="single" w:sz="4" w:space="0" w:color="auto"/>
              <w:left w:val="single" w:sz="18" w:space="0" w:color="auto"/>
              <w:bottom w:val="single" w:sz="4" w:space="0" w:color="auto"/>
              <w:right w:val="single" w:sz="4" w:space="0" w:color="auto"/>
            </w:tcBorders>
            <w:vAlign w:val="bottom"/>
          </w:tcPr>
          <w:p w14:paraId="57C97161" w14:textId="77777777" w:rsidR="00FE3EAF" w:rsidRPr="00FE3EAF" w:rsidRDefault="00FE3EAF" w:rsidP="00FE3EAF">
            <w:pPr>
              <w:jc w:val="center"/>
              <w:rPr>
                <w:rFonts w:eastAsia="Calibri"/>
                <w:sz w:val="20"/>
                <w:szCs w:val="20"/>
                <w:highlight w:val="yellow"/>
              </w:rPr>
            </w:pPr>
            <w:r w:rsidRPr="00FE3EAF">
              <w:rPr>
                <w:rFonts w:eastAsia="Calibri"/>
                <w:sz w:val="20"/>
                <w:szCs w:val="20"/>
              </w:rPr>
              <w:t>25.4</w:t>
            </w:r>
          </w:p>
        </w:tc>
        <w:tc>
          <w:tcPr>
            <w:tcW w:w="597" w:type="pct"/>
            <w:tcBorders>
              <w:top w:val="single" w:sz="4" w:space="0" w:color="auto"/>
              <w:left w:val="single" w:sz="4" w:space="0" w:color="auto"/>
              <w:bottom w:val="single" w:sz="4" w:space="0" w:color="auto"/>
              <w:right w:val="single" w:sz="18" w:space="0" w:color="auto"/>
            </w:tcBorders>
            <w:vAlign w:val="bottom"/>
          </w:tcPr>
          <w:p w14:paraId="660F78FE" w14:textId="77777777" w:rsidR="00FE3EAF" w:rsidRPr="00FE3EAF" w:rsidRDefault="00FE3EAF" w:rsidP="00FE3EAF">
            <w:pPr>
              <w:jc w:val="center"/>
              <w:rPr>
                <w:rFonts w:eastAsia="Calibri"/>
                <w:sz w:val="20"/>
                <w:szCs w:val="20"/>
                <w:highlight w:val="yellow"/>
              </w:rPr>
            </w:pPr>
            <w:r w:rsidRPr="00FE3EAF">
              <w:rPr>
                <w:rFonts w:eastAsia="Calibri"/>
                <w:sz w:val="20"/>
                <w:szCs w:val="20"/>
              </w:rPr>
              <w:t>74.6</w:t>
            </w:r>
          </w:p>
        </w:tc>
        <w:tc>
          <w:tcPr>
            <w:tcW w:w="462" w:type="pct"/>
            <w:tcBorders>
              <w:top w:val="single" w:sz="4" w:space="0" w:color="auto"/>
              <w:left w:val="single" w:sz="4" w:space="0" w:color="auto"/>
              <w:bottom w:val="single" w:sz="4" w:space="0" w:color="auto"/>
              <w:right w:val="single" w:sz="18" w:space="0" w:color="auto"/>
            </w:tcBorders>
            <w:vAlign w:val="center"/>
          </w:tcPr>
          <w:p w14:paraId="7AA1918B" w14:textId="77777777" w:rsidR="00FE3EAF" w:rsidRPr="00FE3EAF" w:rsidRDefault="00FE3EAF" w:rsidP="00FE3EAF">
            <w:pPr>
              <w:jc w:val="center"/>
              <w:rPr>
                <w:rFonts w:eastAsia="Calibri"/>
                <w:sz w:val="20"/>
                <w:szCs w:val="20"/>
              </w:rPr>
            </w:pPr>
            <w:r w:rsidRPr="00FE3EAF">
              <w:rPr>
                <w:rFonts w:eastAsia="Calibri"/>
                <w:sz w:val="20"/>
                <w:szCs w:val="20"/>
              </w:rPr>
              <w:t xml:space="preserve">  5.6</w:t>
            </w:r>
          </w:p>
        </w:tc>
      </w:tr>
      <w:tr w:rsidR="00FE3EAF" w:rsidRPr="00FE3EAF" w14:paraId="71199EC5" w14:textId="77777777" w:rsidTr="00640159">
        <w:tc>
          <w:tcPr>
            <w:tcW w:w="742" w:type="pct"/>
            <w:vMerge/>
            <w:tcBorders>
              <w:left w:val="single" w:sz="18" w:space="0" w:color="auto"/>
              <w:right w:val="single" w:sz="4" w:space="0" w:color="auto"/>
            </w:tcBorders>
            <w:vAlign w:val="center"/>
            <w:hideMark/>
          </w:tcPr>
          <w:p w14:paraId="3CFF541F" w14:textId="77777777" w:rsidR="00FE3EAF" w:rsidRPr="00FE3EAF" w:rsidRDefault="00FE3EAF" w:rsidP="00FE3EAF">
            <w:pPr>
              <w:jc w:val="left"/>
              <w:rPr>
                <w:rFonts w:eastAsia="Calibri"/>
                <w:bCs/>
                <w:color w:val="000000"/>
                <w:sz w:val="20"/>
                <w:szCs w:val="20"/>
              </w:rPr>
            </w:pPr>
          </w:p>
        </w:tc>
        <w:tc>
          <w:tcPr>
            <w:tcW w:w="1408" w:type="pct"/>
            <w:tcBorders>
              <w:top w:val="single" w:sz="4" w:space="0" w:color="auto"/>
              <w:left w:val="single" w:sz="4" w:space="0" w:color="auto"/>
              <w:bottom w:val="single" w:sz="4" w:space="0" w:color="auto"/>
              <w:right w:val="single" w:sz="18" w:space="0" w:color="auto"/>
            </w:tcBorders>
            <w:vAlign w:val="center"/>
            <w:hideMark/>
          </w:tcPr>
          <w:p w14:paraId="2A4AF7F0" w14:textId="77777777" w:rsidR="00FE3EAF" w:rsidRPr="00FE3EAF" w:rsidRDefault="00FE3EAF" w:rsidP="00FE3EAF">
            <w:pPr>
              <w:jc w:val="left"/>
              <w:rPr>
                <w:rFonts w:eastAsia="Calibri"/>
                <w:bCs/>
                <w:color w:val="000000"/>
                <w:sz w:val="20"/>
                <w:szCs w:val="20"/>
              </w:rPr>
            </w:pPr>
            <w:r w:rsidRPr="00FE3EAF">
              <w:rPr>
                <w:rFonts w:eastAsia="Calibri"/>
                <w:bCs/>
                <w:color w:val="000000"/>
                <w:sz w:val="20"/>
                <w:szCs w:val="20"/>
              </w:rPr>
              <w:t>$50,000 to $99,999</w:t>
            </w:r>
          </w:p>
        </w:tc>
        <w:tc>
          <w:tcPr>
            <w:tcW w:w="597" w:type="pct"/>
            <w:tcBorders>
              <w:top w:val="single" w:sz="4" w:space="0" w:color="auto"/>
              <w:left w:val="single" w:sz="18" w:space="0" w:color="auto"/>
              <w:bottom w:val="single" w:sz="4" w:space="0" w:color="auto"/>
              <w:right w:val="single" w:sz="4" w:space="0" w:color="auto"/>
            </w:tcBorders>
            <w:vAlign w:val="bottom"/>
          </w:tcPr>
          <w:p w14:paraId="19168164" w14:textId="77777777" w:rsidR="00FE3EAF" w:rsidRPr="00FE3EAF" w:rsidRDefault="00FE3EAF" w:rsidP="00FE3EAF">
            <w:pPr>
              <w:jc w:val="center"/>
              <w:rPr>
                <w:rFonts w:eastAsia="Calibri"/>
                <w:sz w:val="20"/>
                <w:szCs w:val="20"/>
              </w:rPr>
            </w:pPr>
            <w:r w:rsidRPr="00FE3EAF">
              <w:rPr>
                <w:rFonts w:eastAsia="Calibri"/>
                <w:color w:val="000000"/>
                <w:sz w:val="20"/>
                <w:szCs w:val="20"/>
              </w:rPr>
              <w:t>34.5</w:t>
            </w:r>
          </w:p>
        </w:tc>
        <w:tc>
          <w:tcPr>
            <w:tcW w:w="597" w:type="pct"/>
            <w:tcBorders>
              <w:top w:val="single" w:sz="4" w:space="0" w:color="auto"/>
              <w:left w:val="single" w:sz="4" w:space="0" w:color="auto"/>
              <w:bottom w:val="single" w:sz="4" w:space="0" w:color="auto"/>
              <w:right w:val="single" w:sz="18" w:space="0" w:color="auto"/>
            </w:tcBorders>
            <w:vAlign w:val="bottom"/>
          </w:tcPr>
          <w:p w14:paraId="0F6E8C95" w14:textId="77777777" w:rsidR="00FE3EAF" w:rsidRPr="00FE3EAF" w:rsidRDefault="00FE3EAF" w:rsidP="00FE3EAF">
            <w:pPr>
              <w:jc w:val="center"/>
              <w:rPr>
                <w:rFonts w:eastAsia="Calibri"/>
                <w:sz w:val="20"/>
                <w:szCs w:val="20"/>
              </w:rPr>
            </w:pPr>
            <w:r w:rsidRPr="00FE3EAF">
              <w:rPr>
                <w:rFonts w:eastAsia="Calibri"/>
                <w:color w:val="000000"/>
                <w:sz w:val="20"/>
                <w:szCs w:val="20"/>
              </w:rPr>
              <w:t>25.0</w:t>
            </w:r>
          </w:p>
        </w:tc>
        <w:tc>
          <w:tcPr>
            <w:tcW w:w="597" w:type="pct"/>
            <w:tcBorders>
              <w:top w:val="single" w:sz="4" w:space="0" w:color="auto"/>
              <w:left w:val="single" w:sz="18" w:space="0" w:color="auto"/>
              <w:bottom w:val="single" w:sz="4" w:space="0" w:color="auto"/>
              <w:right w:val="single" w:sz="4" w:space="0" w:color="auto"/>
            </w:tcBorders>
            <w:vAlign w:val="bottom"/>
          </w:tcPr>
          <w:p w14:paraId="1F13ECE6" w14:textId="77777777" w:rsidR="00FE3EAF" w:rsidRPr="00FE3EAF" w:rsidRDefault="00FE3EAF" w:rsidP="00FE3EAF">
            <w:pPr>
              <w:jc w:val="center"/>
              <w:rPr>
                <w:rFonts w:eastAsia="Calibri"/>
                <w:sz w:val="20"/>
                <w:szCs w:val="20"/>
                <w:highlight w:val="yellow"/>
              </w:rPr>
            </w:pPr>
            <w:r w:rsidRPr="00FE3EAF">
              <w:rPr>
                <w:rFonts w:eastAsia="Calibri"/>
                <w:sz w:val="20"/>
                <w:szCs w:val="20"/>
              </w:rPr>
              <w:t>26.1</w:t>
            </w:r>
          </w:p>
        </w:tc>
        <w:tc>
          <w:tcPr>
            <w:tcW w:w="597" w:type="pct"/>
            <w:tcBorders>
              <w:top w:val="single" w:sz="4" w:space="0" w:color="auto"/>
              <w:left w:val="single" w:sz="4" w:space="0" w:color="auto"/>
              <w:bottom w:val="single" w:sz="4" w:space="0" w:color="auto"/>
              <w:right w:val="single" w:sz="18" w:space="0" w:color="auto"/>
            </w:tcBorders>
            <w:vAlign w:val="bottom"/>
          </w:tcPr>
          <w:p w14:paraId="5A73F2F1" w14:textId="77777777" w:rsidR="00FE3EAF" w:rsidRPr="00FE3EAF" w:rsidRDefault="00FE3EAF" w:rsidP="00FE3EAF">
            <w:pPr>
              <w:jc w:val="center"/>
              <w:rPr>
                <w:rFonts w:eastAsia="Calibri"/>
                <w:sz w:val="20"/>
                <w:szCs w:val="20"/>
                <w:highlight w:val="yellow"/>
              </w:rPr>
            </w:pPr>
            <w:r w:rsidRPr="00FE3EAF">
              <w:rPr>
                <w:rFonts w:eastAsia="Calibri"/>
                <w:sz w:val="20"/>
                <w:szCs w:val="20"/>
              </w:rPr>
              <w:t>73.9</w:t>
            </w:r>
          </w:p>
        </w:tc>
        <w:tc>
          <w:tcPr>
            <w:tcW w:w="462" w:type="pct"/>
            <w:tcBorders>
              <w:top w:val="single" w:sz="4" w:space="0" w:color="auto"/>
              <w:left w:val="single" w:sz="4" w:space="0" w:color="auto"/>
              <w:bottom w:val="single" w:sz="4" w:space="0" w:color="auto"/>
              <w:right w:val="single" w:sz="18" w:space="0" w:color="auto"/>
            </w:tcBorders>
            <w:vAlign w:val="center"/>
          </w:tcPr>
          <w:p w14:paraId="2D3BFB04" w14:textId="77777777" w:rsidR="00FE3EAF" w:rsidRPr="00FE3EAF" w:rsidRDefault="00FE3EAF" w:rsidP="00FE3EAF">
            <w:pPr>
              <w:jc w:val="center"/>
              <w:rPr>
                <w:rFonts w:eastAsia="Calibri"/>
                <w:sz w:val="20"/>
                <w:szCs w:val="20"/>
              </w:rPr>
            </w:pPr>
            <w:r w:rsidRPr="00FE3EAF">
              <w:rPr>
                <w:rFonts w:eastAsia="Calibri"/>
                <w:sz w:val="20"/>
                <w:szCs w:val="20"/>
              </w:rPr>
              <w:t>26.9</w:t>
            </w:r>
          </w:p>
        </w:tc>
      </w:tr>
      <w:tr w:rsidR="00FE3EAF" w:rsidRPr="00FE3EAF" w14:paraId="69DF5A0B" w14:textId="77777777" w:rsidTr="00640159">
        <w:tc>
          <w:tcPr>
            <w:tcW w:w="742" w:type="pct"/>
            <w:vMerge/>
            <w:tcBorders>
              <w:left w:val="single" w:sz="18" w:space="0" w:color="auto"/>
              <w:bottom w:val="single" w:sz="4" w:space="0" w:color="auto"/>
              <w:right w:val="single" w:sz="4" w:space="0" w:color="auto"/>
            </w:tcBorders>
            <w:vAlign w:val="center"/>
          </w:tcPr>
          <w:p w14:paraId="7EECCEFE" w14:textId="77777777" w:rsidR="00FE3EAF" w:rsidRPr="00FE3EAF" w:rsidRDefault="00FE3EAF" w:rsidP="00FE3EAF">
            <w:pPr>
              <w:jc w:val="left"/>
              <w:rPr>
                <w:rFonts w:eastAsia="Calibri"/>
                <w:bCs/>
                <w:color w:val="000000"/>
                <w:sz w:val="20"/>
                <w:szCs w:val="20"/>
              </w:rPr>
            </w:pPr>
          </w:p>
        </w:tc>
        <w:tc>
          <w:tcPr>
            <w:tcW w:w="1408" w:type="pct"/>
            <w:tcBorders>
              <w:top w:val="single" w:sz="4" w:space="0" w:color="auto"/>
              <w:left w:val="single" w:sz="4" w:space="0" w:color="auto"/>
              <w:bottom w:val="single" w:sz="4" w:space="0" w:color="auto"/>
              <w:right w:val="single" w:sz="18" w:space="0" w:color="auto"/>
            </w:tcBorders>
            <w:vAlign w:val="center"/>
          </w:tcPr>
          <w:p w14:paraId="5DCDE7F9" w14:textId="77777777" w:rsidR="00FE3EAF" w:rsidRPr="00FE3EAF" w:rsidRDefault="00FE3EAF" w:rsidP="00FE3EAF">
            <w:pPr>
              <w:jc w:val="left"/>
              <w:rPr>
                <w:rFonts w:eastAsia="Calibri"/>
                <w:bCs/>
                <w:color w:val="000000"/>
                <w:sz w:val="20"/>
                <w:szCs w:val="20"/>
              </w:rPr>
            </w:pPr>
            <w:r w:rsidRPr="00FE3EAF">
              <w:rPr>
                <w:rFonts w:eastAsia="Calibri"/>
                <w:bCs/>
                <w:color w:val="000000"/>
                <w:sz w:val="20"/>
                <w:szCs w:val="20"/>
              </w:rPr>
              <w:t>$100,000 or more</w:t>
            </w:r>
          </w:p>
        </w:tc>
        <w:tc>
          <w:tcPr>
            <w:tcW w:w="597" w:type="pct"/>
            <w:tcBorders>
              <w:top w:val="single" w:sz="4" w:space="0" w:color="auto"/>
              <w:left w:val="single" w:sz="18" w:space="0" w:color="auto"/>
              <w:bottom w:val="single" w:sz="4" w:space="0" w:color="auto"/>
              <w:right w:val="single" w:sz="4" w:space="0" w:color="auto"/>
            </w:tcBorders>
            <w:vAlign w:val="bottom"/>
          </w:tcPr>
          <w:p w14:paraId="3F49257B" w14:textId="77777777" w:rsidR="00FE3EAF" w:rsidRPr="00FE3EAF" w:rsidRDefault="00FE3EAF" w:rsidP="00FE3EAF">
            <w:pPr>
              <w:jc w:val="center"/>
              <w:rPr>
                <w:rFonts w:eastAsia="Calibri"/>
                <w:sz w:val="20"/>
                <w:szCs w:val="20"/>
              </w:rPr>
            </w:pPr>
            <w:r w:rsidRPr="00FE3EAF">
              <w:rPr>
                <w:rFonts w:eastAsia="Calibri"/>
                <w:color w:val="000000"/>
                <w:sz w:val="20"/>
                <w:szCs w:val="20"/>
              </w:rPr>
              <w:t>58.3</w:t>
            </w:r>
          </w:p>
        </w:tc>
        <w:tc>
          <w:tcPr>
            <w:tcW w:w="597" w:type="pct"/>
            <w:tcBorders>
              <w:top w:val="single" w:sz="4" w:space="0" w:color="auto"/>
              <w:left w:val="single" w:sz="4" w:space="0" w:color="auto"/>
              <w:bottom w:val="single" w:sz="4" w:space="0" w:color="auto"/>
              <w:right w:val="single" w:sz="18" w:space="0" w:color="auto"/>
            </w:tcBorders>
            <w:vAlign w:val="bottom"/>
          </w:tcPr>
          <w:p w14:paraId="742FBA58" w14:textId="77777777" w:rsidR="00FE3EAF" w:rsidRPr="00FE3EAF" w:rsidRDefault="00FE3EAF" w:rsidP="00FE3EAF">
            <w:pPr>
              <w:jc w:val="center"/>
              <w:rPr>
                <w:rFonts w:eastAsia="Calibri"/>
                <w:sz w:val="20"/>
                <w:szCs w:val="20"/>
              </w:rPr>
            </w:pPr>
            <w:r w:rsidRPr="00FE3EAF">
              <w:rPr>
                <w:rFonts w:eastAsia="Calibri"/>
                <w:color w:val="000000"/>
                <w:sz w:val="20"/>
                <w:szCs w:val="20"/>
              </w:rPr>
              <w:t>69.8</w:t>
            </w:r>
          </w:p>
        </w:tc>
        <w:tc>
          <w:tcPr>
            <w:tcW w:w="597" w:type="pct"/>
            <w:tcBorders>
              <w:top w:val="single" w:sz="4" w:space="0" w:color="auto"/>
              <w:left w:val="single" w:sz="18" w:space="0" w:color="auto"/>
              <w:bottom w:val="single" w:sz="4" w:space="0" w:color="auto"/>
              <w:right w:val="single" w:sz="4" w:space="0" w:color="auto"/>
            </w:tcBorders>
            <w:vAlign w:val="bottom"/>
          </w:tcPr>
          <w:p w14:paraId="660CB9ED" w14:textId="77777777" w:rsidR="00FE3EAF" w:rsidRPr="00FE3EAF" w:rsidRDefault="00FE3EAF" w:rsidP="00FE3EAF">
            <w:pPr>
              <w:jc w:val="center"/>
              <w:rPr>
                <w:rFonts w:eastAsia="Calibri"/>
                <w:sz w:val="20"/>
                <w:szCs w:val="20"/>
              </w:rPr>
            </w:pPr>
            <w:r w:rsidRPr="00FE3EAF">
              <w:rPr>
                <w:rFonts w:eastAsia="Calibri"/>
                <w:sz w:val="20"/>
                <w:szCs w:val="20"/>
              </w:rPr>
              <w:t>17.6</w:t>
            </w:r>
          </w:p>
        </w:tc>
        <w:tc>
          <w:tcPr>
            <w:tcW w:w="597" w:type="pct"/>
            <w:tcBorders>
              <w:top w:val="single" w:sz="4" w:space="0" w:color="auto"/>
              <w:left w:val="single" w:sz="4" w:space="0" w:color="auto"/>
              <w:bottom w:val="single" w:sz="4" w:space="0" w:color="auto"/>
              <w:right w:val="single" w:sz="18" w:space="0" w:color="auto"/>
            </w:tcBorders>
            <w:vAlign w:val="bottom"/>
          </w:tcPr>
          <w:p w14:paraId="1145B1F6" w14:textId="77777777" w:rsidR="00FE3EAF" w:rsidRPr="00FE3EAF" w:rsidRDefault="00FE3EAF" w:rsidP="00FE3EAF">
            <w:pPr>
              <w:jc w:val="center"/>
              <w:rPr>
                <w:rFonts w:eastAsia="Calibri"/>
                <w:sz w:val="20"/>
                <w:szCs w:val="20"/>
              </w:rPr>
            </w:pPr>
            <w:r w:rsidRPr="00FE3EAF">
              <w:rPr>
                <w:rFonts w:eastAsia="Calibri"/>
                <w:sz w:val="20"/>
                <w:szCs w:val="20"/>
              </w:rPr>
              <w:t>82.4</w:t>
            </w:r>
          </w:p>
        </w:tc>
        <w:tc>
          <w:tcPr>
            <w:tcW w:w="462" w:type="pct"/>
            <w:tcBorders>
              <w:top w:val="single" w:sz="4" w:space="0" w:color="auto"/>
              <w:left w:val="single" w:sz="4" w:space="0" w:color="auto"/>
              <w:bottom w:val="single" w:sz="4" w:space="0" w:color="auto"/>
              <w:right w:val="single" w:sz="18" w:space="0" w:color="auto"/>
            </w:tcBorders>
            <w:vAlign w:val="center"/>
          </w:tcPr>
          <w:p w14:paraId="39C8DD52" w14:textId="77777777" w:rsidR="00FE3EAF" w:rsidRPr="00FE3EAF" w:rsidRDefault="00FE3EAF" w:rsidP="00FE3EAF">
            <w:pPr>
              <w:jc w:val="center"/>
              <w:rPr>
                <w:rFonts w:eastAsia="Calibri"/>
                <w:sz w:val="20"/>
                <w:szCs w:val="20"/>
              </w:rPr>
            </w:pPr>
            <w:r w:rsidRPr="00FE3EAF">
              <w:rPr>
                <w:rFonts w:eastAsia="Calibri"/>
                <w:sz w:val="20"/>
                <w:szCs w:val="20"/>
              </w:rPr>
              <w:t>67.5</w:t>
            </w:r>
          </w:p>
        </w:tc>
      </w:tr>
      <w:tr w:rsidR="00FE3EAF" w:rsidRPr="00FE3EAF" w14:paraId="465C1F66" w14:textId="77777777" w:rsidTr="00640159">
        <w:tc>
          <w:tcPr>
            <w:tcW w:w="5000" w:type="pct"/>
            <w:gridSpan w:val="7"/>
            <w:tcBorders>
              <w:top w:val="double" w:sz="4" w:space="0" w:color="auto"/>
              <w:left w:val="single" w:sz="18" w:space="0" w:color="auto"/>
              <w:bottom w:val="double" w:sz="4" w:space="0" w:color="auto"/>
              <w:right w:val="single" w:sz="18" w:space="0" w:color="auto"/>
            </w:tcBorders>
            <w:vAlign w:val="center"/>
            <w:hideMark/>
          </w:tcPr>
          <w:p w14:paraId="388E4E3C" w14:textId="77777777" w:rsidR="00FE3EAF" w:rsidRPr="00FE3EAF" w:rsidRDefault="00FE3EAF" w:rsidP="00FE3EAF">
            <w:pPr>
              <w:jc w:val="left"/>
              <w:rPr>
                <w:rFonts w:eastAsia="Calibri"/>
                <w:bCs/>
                <w:sz w:val="20"/>
                <w:szCs w:val="20"/>
              </w:rPr>
            </w:pPr>
            <w:r w:rsidRPr="00FE3EAF">
              <w:rPr>
                <w:rFonts w:eastAsia="Calibri"/>
                <w:b/>
                <w:i/>
                <w:iCs/>
                <w:sz w:val="20"/>
                <w:szCs w:val="20"/>
              </w:rPr>
              <w:t>Residential Characteristics</w:t>
            </w:r>
          </w:p>
        </w:tc>
      </w:tr>
      <w:tr w:rsidR="00FE3EAF" w:rsidRPr="00FE3EAF" w14:paraId="7A3D7258" w14:textId="77777777" w:rsidTr="00640159">
        <w:tc>
          <w:tcPr>
            <w:tcW w:w="742" w:type="pct"/>
            <w:vMerge w:val="restart"/>
            <w:tcBorders>
              <w:top w:val="single" w:sz="4" w:space="0" w:color="auto"/>
              <w:left w:val="single" w:sz="18" w:space="0" w:color="auto"/>
              <w:bottom w:val="single" w:sz="4" w:space="0" w:color="auto"/>
              <w:right w:val="single" w:sz="4" w:space="0" w:color="auto"/>
            </w:tcBorders>
            <w:vAlign w:val="center"/>
            <w:hideMark/>
          </w:tcPr>
          <w:p w14:paraId="572D7075" w14:textId="77777777" w:rsidR="00FE3EAF" w:rsidRPr="00FE3EAF" w:rsidRDefault="00FE3EAF" w:rsidP="00FE3EAF">
            <w:pPr>
              <w:jc w:val="left"/>
              <w:rPr>
                <w:rFonts w:eastAsia="Calibri"/>
                <w:bCs/>
                <w:color w:val="000000"/>
                <w:sz w:val="20"/>
                <w:szCs w:val="20"/>
              </w:rPr>
            </w:pPr>
            <w:r w:rsidRPr="00FE3EAF">
              <w:rPr>
                <w:rFonts w:eastAsia="Calibri"/>
                <w:bCs/>
                <w:color w:val="000000"/>
                <w:sz w:val="20"/>
                <w:szCs w:val="20"/>
              </w:rPr>
              <w:t>Population density</w:t>
            </w:r>
          </w:p>
        </w:tc>
        <w:tc>
          <w:tcPr>
            <w:tcW w:w="1408" w:type="pct"/>
            <w:tcBorders>
              <w:top w:val="single" w:sz="4" w:space="0" w:color="auto"/>
              <w:left w:val="single" w:sz="4" w:space="0" w:color="auto"/>
              <w:bottom w:val="single" w:sz="4" w:space="0" w:color="auto"/>
              <w:right w:val="single" w:sz="18" w:space="0" w:color="auto"/>
            </w:tcBorders>
            <w:vAlign w:val="bottom"/>
            <w:hideMark/>
          </w:tcPr>
          <w:p w14:paraId="054021A2" w14:textId="77777777" w:rsidR="00FE3EAF" w:rsidRPr="00FE3EAF" w:rsidRDefault="00FE3EAF" w:rsidP="00FE3EAF">
            <w:pPr>
              <w:jc w:val="left"/>
              <w:rPr>
                <w:rFonts w:eastAsia="Calibri"/>
                <w:color w:val="000000"/>
                <w:sz w:val="20"/>
                <w:szCs w:val="20"/>
              </w:rPr>
            </w:pPr>
            <w:r w:rsidRPr="00FE3EAF">
              <w:rPr>
                <w:rFonts w:eastAsia="Calibri"/>
                <w:color w:val="000000"/>
                <w:sz w:val="20"/>
                <w:szCs w:val="20"/>
              </w:rPr>
              <w:t>Rural</w:t>
            </w:r>
          </w:p>
        </w:tc>
        <w:tc>
          <w:tcPr>
            <w:tcW w:w="597" w:type="pct"/>
            <w:tcBorders>
              <w:top w:val="single" w:sz="4" w:space="0" w:color="auto"/>
              <w:left w:val="single" w:sz="18" w:space="0" w:color="auto"/>
              <w:bottom w:val="single" w:sz="4" w:space="0" w:color="auto"/>
              <w:right w:val="single" w:sz="4" w:space="0" w:color="auto"/>
            </w:tcBorders>
            <w:vAlign w:val="bottom"/>
          </w:tcPr>
          <w:p w14:paraId="0856F143" w14:textId="77777777" w:rsidR="00FE3EAF" w:rsidRPr="00FE3EAF" w:rsidRDefault="00FE3EAF" w:rsidP="00FE3EAF">
            <w:pPr>
              <w:jc w:val="center"/>
              <w:rPr>
                <w:rFonts w:eastAsia="Calibri"/>
                <w:sz w:val="20"/>
                <w:szCs w:val="20"/>
              </w:rPr>
            </w:pPr>
            <w:r w:rsidRPr="00FE3EAF">
              <w:rPr>
                <w:rFonts w:eastAsia="Calibri"/>
                <w:color w:val="000000"/>
                <w:sz w:val="20"/>
                <w:szCs w:val="20"/>
              </w:rPr>
              <w:t>27.3</w:t>
            </w:r>
          </w:p>
        </w:tc>
        <w:tc>
          <w:tcPr>
            <w:tcW w:w="597" w:type="pct"/>
            <w:tcBorders>
              <w:top w:val="single" w:sz="4" w:space="0" w:color="auto"/>
              <w:left w:val="single" w:sz="4" w:space="0" w:color="auto"/>
              <w:bottom w:val="single" w:sz="4" w:space="0" w:color="auto"/>
              <w:right w:val="single" w:sz="18" w:space="0" w:color="auto"/>
            </w:tcBorders>
            <w:vAlign w:val="bottom"/>
          </w:tcPr>
          <w:p w14:paraId="0A724DAB" w14:textId="77777777" w:rsidR="00FE3EAF" w:rsidRPr="00FE3EAF" w:rsidRDefault="00FE3EAF" w:rsidP="00FE3EAF">
            <w:pPr>
              <w:jc w:val="center"/>
              <w:rPr>
                <w:rFonts w:eastAsia="Calibri"/>
                <w:sz w:val="20"/>
                <w:szCs w:val="20"/>
              </w:rPr>
            </w:pPr>
            <w:r w:rsidRPr="00FE3EAF">
              <w:rPr>
                <w:rFonts w:eastAsia="Calibri"/>
                <w:color w:val="000000"/>
                <w:sz w:val="20"/>
                <w:szCs w:val="20"/>
              </w:rPr>
              <w:t>21.5</w:t>
            </w:r>
          </w:p>
        </w:tc>
        <w:tc>
          <w:tcPr>
            <w:tcW w:w="597" w:type="pct"/>
            <w:tcBorders>
              <w:top w:val="single" w:sz="4" w:space="0" w:color="auto"/>
              <w:left w:val="single" w:sz="18" w:space="0" w:color="auto"/>
              <w:bottom w:val="single" w:sz="4" w:space="0" w:color="auto"/>
              <w:right w:val="single" w:sz="4" w:space="0" w:color="auto"/>
            </w:tcBorders>
            <w:vAlign w:val="bottom"/>
          </w:tcPr>
          <w:p w14:paraId="5E1A40AF" w14:textId="77777777" w:rsidR="00FE3EAF" w:rsidRPr="00FE3EAF" w:rsidRDefault="00FE3EAF" w:rsidP="00FE3EAF">
            <w:pPr>
              <w:jc w:val="center"/>
              <w:rPr>
                <w:rFonts w:eastAsia="Calibri"/>
                <w:sz w:val="20"/>
                <w:szCs w:val="20"/>
              </w:rPr>
            </w:pPr>
            <w:r w:rsidRPr="00FE3EAF">
              <w:rPr>
                <w:rFonts w:eastAsia="Calibri"/>
                <w:color w:val="000000"/>
                <w:sz w:val="20"/>
                <w:szCs w:val="20"/>
              </w:rPr>
              <w:t>24.5</w:t>
            </w:r>
          </w:p>
        </w:tc>
        <w:tc>
          <w:tcPr>
            <w:tcW w:w="597" w:type="pct"/>
            <w:tcBorders>
              <w:top w:val="single" w:sz="4" w:space="0" w:color="auto"/>
              <w:left w:val="single" w:sz="4" w:space="0" w:color="auto"/>
              <w:bottom w:val="single" w:sz="4" w:space="0" w:color="auto"/>
              <w:right w:val="single" w:sz="18" w:space="0" w:color="auto"/>
            </w:tcBorders>
            <w:vAlign w:val="bottom"/>
          </w:tcPr>
          <w:p w14:paraId="30304FD1" w14:textId="77777777" w:rsidR="00FE3EAF" w:rsidRPr="00FE3EAF" w:rsidRDefault="00FE3EAF" w:rsidP="00FE3EAF">
            <w:pPr>
              <w:jc w:val="center"/>
              <w:rPr>
                <w:rFonts w:eastAsia="Calibri"/>
                <w:sz w:val="20"/>
                <w:szCs w:val="20"/>
              </w:rPr>
            </w:pPr>
            <w:r w:rsidRPr="00FE3EAF">
              <w:rPr>
                <w:rFonts w:eastAsia="Calibri"/>
                <w:color w:val="000000"/>
                <w:sz w:val="20"/>
                <w:szCs w:val="20"/>
              </w:rPr>
              <w:t>75.5</w:t>
            </w:r>
          </w:p>
        </w:tc>
        <w:tc>
          <w:tcPr>
            <w:tcW w:w="462" w:type="pct"/>
            <w:tcBorders>
              <w:top w:val="single" w:sz="4" w:space="0" w:color="auto"/>
              <w:left w:val="single" w:sz="4" w:space="0" w:color="auto"/>
              <w:bottom w:val="single" w:sz="4" w:space="0" w:color="auto"/>
              <w:right w:val="single" w:sz="18" w:space="0" w:color="auto"/>
            </w:tcBorders>
            <w:vAlign w:val="center"/>
          </w:tcPr>
          <w:p w14:paraId="4872E163" w14:textId="77777777" w:rsidR="00FE3EAF" w:rsidRPr="00FE3EAF" w:rsidRDefault="00FE3EAF" w:rsidP="00FE3EAF">
            <w:pPr>
              <w:jc w:val="center"/>
              <w:rPr>
                <w:rFonts w:eastAsia="Calibri"/>
                <w:sz w:val="20"/>
                <w:szCs w:val="20"/>
              </w:rPr>
            </w:pPr>
            <w:r w:rsidRPr="00FE3EAF">
              <w:rPr>
                <w:rFonts w:eastAsia="Calibri"/>
                <w:color w:val="000000"/>
                <w:sz w:val="20"/>
                <w:szCs w:val="20"/>
              </w:rPr>
              <w:t>22.7</w:t>
            </w:r>
          </w:p>
        </w:tc>
      </w:tr>
      <w:tr w:rsidR="00FE3EAF" w:rsidRPr="00FE3EAF" w14:paraId="27C1DA07" w14:textId="77777777" w:rsidTr="00640159">
        <w:tc>
          <w:tcPr>
            <w:tcW w:w="742" w:type="pct"/>
            <w:vMerge/>
            <w:tcBorders>
              <w:top w:val="single" w:sz="4" w:space="0" w:color="auto"/>
              <w:left w:val="single" w:sz="18" w:space="0" w:color="auto"/>
              <w:bottom w:val="single" w:sz="4" w:space="0" w:color="auto"/>
              <w:right w:val="single" w:sz="4" w:space="0" w:color="auto"/>
            </w:tcBorders>
            <w:vAlign w:val="center"/>
          </w:tcPr>
          <w:p w14:paraId="2258A2F1" w14:textId="77777777" w:rsidR="00FE3EAF" w:rsidRPr="00FE3EAF" w:rsidRDefault="00FE3EAF" w:rsidP="00FE3EAF">
            <w:pPr>
              <w:jc w:val="left"/>
              <w:rPr>
                <w:rFonts w:eastAsia="Calibri"/>
                <w:bCs/>
                <w:color w:val="000000"/>
                <w:sz w:val="20"/>
                <w:szCs w:val="20"/>
              </w:rPr>
            </w:pPr>
          </w:p>
        </w:tc>
        <w:tc>
          <w:tcPr>
            <w:tcW w:w="1408" w:type="pct"/>
            <w:tcBorders>
              <w:top w:val="single" w:sz="4" w:space="0" w:color="auto"/>
              <w:left w:val="single" w:sz="4" w:space="0" w:color="auto"/>
              <w:bottom w:val="single" w:sz="4" w:space="0" w:color="auto"/>
              <w:right w:val="single" w:sz="18" w:space="0" w:color="auto"/>
            </w:tcBorders>
            <w:vAlign w:val="bottom"/>
          </w:tcPr>
          <w:p w14:paraId="3D6FAC87" w14:textId="77777777" w:rsidR="00FE3EAF" w:rsidRPr="00FE3EAF" w:rsidRDefault="00FE3EAF" w:rsidP="00FE3EAF">
            <w:pPr>
              <w:jc w:val="left"/>
              <w:rPr>
                <w:rFonts w:eastAsia="Times New Roman"/>
                <w:color w:val="000000"/>
                <w:sz w:val="20"/>
                <w:szCs w:val="20"/>
              </w:rPr>
            </w:pPr>
            <w:r w:rsidRPr="00FE3EAF">
              <w:rPr>
                <w:rFonts w:eastAsia="Times New Roman"/>
                <w:color w:val="000000"/>
                <w:sz w:val="20"/>
                <w:szCs w:val="20"/>
              </w:rPr>
              <w:t>Suburban</w:t>
            </w:r>
          </w:p>
        </w:tc>
        <w:tc>
          <w:tcPr>
            <w:tcW w:w="597" w:type="pct"/>
            <w:tcBorders>
              <w:top w:val="single" w:sz="4" w:space="0" w:color="auto"/>
              <w:left w:val="single" w:sz="18" w:space="0" w:color="auto"/>
              <w:bottom w:val="single" w:sz="4" w:space="0" w:color="auto"/>
              <w:right w:val="single" w:sz="4" w:space="0" w:color="auto"/>
            </w:tcBorders>
            <w:vAlign w:val="bottom"/>
          </w:tcPr>
          <w:p w14:paraId="003A7AA2" w14:textId="77777777" w:rsidR="00FE3EAF" w:rsidRPr="00FE3EAF" w:rsidRDefault="00FE3EAF" w:rsidP="00FE3EAF">
            <w:pPr>
              <w:jc w:val="center"/>
              <w:rPr>
                <w:rFonts w:eastAsia="Calibri"/>
                <w:sz w:val="20"/>
                <w:szCs w:val="20"/>
              </w:rPr>
            </w:pPr>
            <w:r w:rsidRPr="00FE3EAF">
              <w:rPr>
                <w:rFonts w:eastAsia="Calibri"/>
                <w:color w:val="000000"/>
                <w:sz w:val="20"/>
                <w:szCs w:val="20"/>
              </w:rPr>
              <w:t>42.9</w:t>
            </w:r>
          </w:p>
        </w:tc>
        <w:tc>
          <w:tcPr>
            <w:tcW w:w="597" w:type="pct"/>
            <w:tcBorders>
              <w:top w:val="single" w:sz="4" w:space="0" w:color="auto"/>
              <w:left w:val="single" w:sz="4" w:space="0" w:color="auto"/>
              <w:bottom w:val="single" w:sz="4" w:space="0" w:color="auto"/>
              <w:right w:val="single" w:sz="18" w:space="0" w:color="auto"/>
            </w:tcBorders>
            <w:vAlign w:val="bottom"/>
          </w:tcPr>
          <w:p w14:paraId="5E7F462F" w14:textId="77777777" w:rsidR="00FE3EAF" w:rsidRPr="00FE3EAF" w:rsidRDefault="00FE3EAF" w:rsidP="00FE3EAF">
            <w:pPr>
              <w:jc w:val="center"/>
              <w:rPr>
                <w:rFonts w:eastAsia="Calibri"/>
                <w:sz w:val="20"/>
                <w:szCs w:val="20"/>
              </w:rPr>
            </w:pPr>
            <w:r w:rsidRPr="00FE3EAF">
              <w:rPr>
                <w:rFonts w:eastAsia="Calibri"/>
                <w:color w:val="000000"/>
                <w:sz w:val="20"/>
                <w:szCs w:val="20"/>
              </w:rPr>
              <w:t>60.8</w:t>
            </w:r>
          </w:p>
        </w:tc>
        <w:tc>
          <w:tcPr>
            <w:tcW w:w="597" w:type="pct"/>
            <w:tcBorders>
              <w:top w:val="single" w:sz="4" w:space="0" w:color="auto"/>
              <w:left w:val="single" w:sz="18" w:space="0" w:color="auto"/>
              <w:bottom w:val="single" w:sz="4" w:space="0" w:color="auto"/>
              <w:right w:val="single" w:sz="4" w:space="0" w:color="auto"/>
            </w:tcBorders>
            <w:vAlign w:val="bottom"/>
          </w:tcPr>
          <w:p w14:paraId="53B44ECB" w14:textId="77777777" w:rsidR="00FE3EAF" w:rsidRPr="00FE3EAF" w:rsidRDefault="00FE3EAF" w:rsidP="00FE3EAF">
            <w:pPr>
              <w:jc w:val="center"/>
              <w:rPr>
                <w:rFonts w:eastAsia="Calibri"/>
                <w:sz w:val="20"/>
                <w:szCs w:val="20"/>
              </w:rPr>
            </w:pPr>
            <w:r w:rsidRPr="00FE3EAF">
              <w:rPr>
                <w:rFonts w:eastAsia="Calibri"/>
                <w:color w:val="000000"/>
                <w:sz w:val="20"/>
                <w:szCs w:val="20"/>
              </w:rPr>
              <w:t>15.2</w:t>
            </w:r>
          </w:p>
        </w:tc>
        <w:tc>
          <w:tcPr>
            <w:tcW w:w="597" w:type="pct"/>
            <w:tcBorders>
              <w:top w:val="single" w:sz="4" w:space="0" w:color="auto"/>
              <w:left w:val="single" w:sz="4" w:space="0" w:color="auto"/>
              <w:bottom w:val="single" w:sz="4" w:space="0" w:color="auto"/>
              <w:right w:val="single" w:sz="18" w:space="0" w:color="auto"/>
            </w:tcBorders>
            <w:vAlign w:val="bottom"/>
          </w:tcPr>
          <w:p w14:paraId="473FA22E" w14:textId="77777777" w:rsidR="00FE3EAF" w:rsidRPr="00FE3EAF" w:rsidRDefault="00FE3EAF" w:rsidP="00FE3EAF">
            <w:pPr>
              <w:jc w:val="center"/>
              <w:rPr>
                <w:rFonts w:eastAsia="Calibri"/>
                <w:sz w:val="20"/>
                <w:szCs w:val="20"/>
              </w:rPr>
            </w:pPr>
            <w:r w:rsidRPr="00FE3EAF">
              <w:rPr>
                <w:rFonts w:eastAsia="Calibri"/>
                <w:color w:val="000000"/>
                <w:sz w:val="20"/>
                <w:szCs w:val="20"/>
              </w:rPr>
              <w:t>84.8</w:t>
            </w:r>
          </w:p>
        </w:tc>
        <w:tc>
          <w:tcPr>
            <w:tcW w:w="462" w:type="pct"/>
            <w:tcBorders>
              <w:top w:val="single" w:sz="4" w:space="0" w:color="auto"/>
              <w:left w:val="single" w:sz="4" w:space="0" w:color="auto"/>
              <w:bottom w:val="single" w:sz="4" w:space="0" w:color="auto"/>
              <w:right w:val="single" w:sz="18" w:space="0" w:color="auto"/>
            </w:tcBorders>
            <w:vAlign w:val="center"/>
          </w:tcPr>
          <w:p w14:paraId="6F3D8FC8" w14:textId="77777777" w:rsidR="00FE3EAF" w:rsidRPr="00FE3EAF" w:rsidRDefault="00FE3EAF" w:rsidP="00FE3EAF">
            <w:pPr>
              <w:jc w:val="center"/>
              <w:rPr>
                <w:rFonts w:eastAsia="Calibri"/>
                <w:sz w:val="20"/>
                <w:szCs w:val="20"/>
              </w:rPr>
            </w:pPr>
            <w:r w:rsidRPr="00FE3EAF">
              <w:rPr>
                <w:rFonts w:eastAsia="Calibri"/>
                <w:color w:val="000000"/>
                <w:sz w:val="20"/>
                <w:szCs w:val="20"/>
              </w:rPr>
              <w:t>57.2</w:t>
            </w:r>
          </w:p>
        </w:tc>
      </w:tr>
      <w:tr w:rsidR="00FE3EAF" w:rsidRPr="00FE3EAF" w14:paraId="39604DD8" w14:textId="77777777" w:rsidTr="00640159">
        <w:tc>
          <w:tcPr>
            <w:tcW w:w="742" w:type="pct"/>
            <w:vMerge/>
            <w:tcBorders>
              <w:top w:val="single" w:sz="4" w:space="0" w:color="auto"/>
              <w:left w:val="single" w:sz="18" w:space="0" w:color="auto"/>
              <w:bottom w:val="single" w:sz="4" w:space="0" w:color="auto"/>
              <w:right w:val="single" w:sz="4" w:space="0" w:color="auto"/>
            </w:tcBorders>
            <w:vAlign w:val="center"/>
            <w:hideMark/>
          </w:tcPr>
          <w:p w14:paraId="52D60773" w14:textId="77777777" w:rsidR="00FE3EAF" w:rsidRPr="00FE3EAF" w:rsidRDefault="00FE3EAF" w:rsidP="00FE3EAF">
            <w:pPr>
              <w:jc w:val="left"/>
              <w:rPr>
                <w:rFonts w:eastAsia="Calibri"/>
                <w:bCs/>
                <w:color w:val="000000"/>
                <w:sz w:val="20"/>
                <w:szCs w:val="20"/>
              </w:rPr>
            </w:pPr>
          </w:p>
        </w:tc>
        <w:tc>
          <w:tcPr>
            <w:tcW w:w="1408" w:type="pct"/>
            <w:tcBorders>
              <w:top w:val="single" w:sz="4" w:space="0" w:color="auto"/>
              <w:left w:val="single" w:sz="4" w:space="0" w:color="auto"/>
              <w:bottom w:val="single" w:sz="4" w:space="0" w:color="auto"/>
              <w:right w:val="single" w:sz="18" w:space="0" w:color="auto"/>
            </w:tcBorders>
            <w:vAlign w:val="bottom"/>
            <w:hideMark/>
          </w:tcPr>
          <w:p w14:paraId="77E8967F" w14:textId="77777777" w:rsidR="00FE3EAF" w:rsidRPr="00FE3EAF" w:rsidRDefault="00FE3EAF" w:rsidP="00FE3EAF">
            <w:pPr>
              <w:jc w:val="left"/>
              <w:rPr>
                <w:rFonts w:eastAsia="Calibri"/>
                <w:color w:val="000000"/>
                <w:sz w:val="20"/>
                <w:szCs w:val="20"/>
              </w:rPr>
            </w:pPr>
            <w:r w:rsidRPr="00FE3EAF">
              <w:rPr>
                <w:rFonts w:eastAsia="Times New Roman"/>
                <w:color w:val="000000"/>
                <w:sz w:val="20"/>
                <w:szCs w:val="20"/>
              </w:rPr>
              <w:t>Urban</w:t>
            </w:r>
          </w:p>
        </w:tc>
        <w:tc>
          <w:tcPr>
            <w:tcW w:w="597" w:type="pct"/>
            <w:tcBorders>
              <w:top w:val="single" w:sz="4" w:space="0" w:color="auto"/>
              <w:left w:val="single" w:sz="18" w:space="0" w:color="auto"/>
              <w:bottom w:val="single" w:sz="4" w:space="0" w:color="auto"/>
              <w:right w:val="single" w:sz="4" w:space="0" w:color="auto"/>
            </w:tcBorders>
            <w:vAlign w:val="bottom"/>
          </w:tcPr>
          <w:p w14:paraId="30E29088" w14:textId="77777777" w:rsidR="00FE3EAF" w:rsidRPr="00FE3EAF" w:rsidRDefault="00FE3EAF" w:rsidP="00FE3EAF">
            <w:pPr>
              <w:jc w:val="center"/>
              <w:rPr>
                <w:rFonts w:eastAsia="Calibri"/>
                <w:sz w:val="20"/>
                <w:szCs w:val="20"/>
              </w:rPr>
            </w:pPr>
            <w:r w:rsidRPr="00FE3EAF">
              <w:rPr>
                <w:rFonts w:eastAsia="Calibri"/>
                <w:color w:val="000000"/>
                <w:sz w:val="20"/>
                <w:szCs w:val="20"/>
              </w:rPr>
              <w:t>29.8</w:t>
            </w:r>
          </w:p>
        </w:tc>
        <w:tc>
          <w:tcPr>
            <w:tcW w:w="597" w:type="pct"/>
            <w:tcBorders>
              <w:top w:val="single" w:sz="4" w:space="0" w:color="auto"/>
              <w:left w:val="single" w:sz="4" w:space="0" w:color="auto"/>
              <w:bottom w:val="single" w:sz="4" w:space="0" w:color="auto"/>
              <w:right w:val="single" w:sz="18" w:space="0" w:color="auto"/>
            </w:tcBorders>
            <w:vAlign w:val="bottom"/>
          </w:tcPr>
          <w:p w14:paraId="7ECF77C3" w14:textId="77777777" w:rsidR="00FE3EAF" w:rsidRPr="00FE3EAF" w:rsidRDefault="00FE3EAF" w:rsidP="00FE3EAF">
            <w:pPr>
              <w:jc w:val="center"/>
              <w:rPr>
                <w:rFonts w:eastAsia="Calibri"/>
                <w:sz w:val="20"/>
                <w:szCs w:val="20"/>
              </w:rPr>
            </w:pPr>
            <w:r w:rsidRPr="00FE3EAF">
              <w:rPr>
                <w:rFonts w:eastAsia="Calibri"/>
                <w:color w:val="000000"/>
                <w:sz w:val="20"/>
                <w:szCs w:val="20"/>
              </w:rPr>
              <w:t>17.7</w:t>
            </w:r>
          </w:p>
        </w:tc>
        <w:tc>
          <w:tcPr>
            <w:tcW w:w="597" w:type="pct"/>
            <w:tcBorders>
              <w:top w:val="single" w:sz="4" w:space="0" w:color="auto"/>
              <w:left w:val="single" w:sz="18" w:space="0" w:color="auto"/>
              <w:bottom w:val="single" w:sz="4" w:space="0" w:color="auto"/>
              <w:right w:val="single" w:sz="4" w:space="0" w:color="auto"/>
            </w:tcBorders>
            <w:vAlign w:val="bottom"/>
          </w:tcPr>
          <w:p w14:paraId="7832632E" w14:textId="77777777" w:rsidR="00FE3EAF" w:rsidRPr="00FE3EAF" w:rsidRDefault="00FE3EAF" w:rsidP="00FE3EAF">
            <w:pPr>
              <w:jc w:val="center"/>
              <w:rPr>
                <w:rFonts w:eastAsia="Calibri"/>
                <w:sz w:val="20"/>
                <w:szCs w:val="20"/>
              </w:rPr>
            </w:pPr>
            <w:r w:rsidRPr="00FE3EAF">
              <w:rPr>
                <w:rFonts w:eastAsia="Calibri"/>
                <w:color w:val="000000"/>
                <w:sz w:val="20"/>
                <w:szCs w:val="20"/>
              </w:rPr>
              <w:t>30.1</w:t>
            </w:r>
          </w:p>
        </w:tc>
        <w:tc>
          <w:tcPr>
            <w:tcW w:w="597" w:type="pct"/>
            <w:tcBorders>
              <w:top w:val="single" w:sz="4" w:space="0" w:color="auto"/>
              <w:left w:val="single" w:sz="4" w:space="0" w:color="auto"/>
              <w:bottom w:val="single" w:sz="4" w:space="0" w:color="auto"/>
              <w:right w:val="single" w:sz="18" w:space="0" w:color="auto"/>
            </w:tcBorders>
            <w:vAlign w:val="bottom"/>
          </w:tcPr>
          <w:p w14:paraId="4013D8EB" w14:textId="77777777" w:rsidR="00FE3EAF" w:rsidRPr="00FE3EAF" w:rsidRDefault="00FE3EAF" w:rsidP="00FE3EAF">
            <w:pPr>
              <w:jc w:val="center"/>
              <w:rPr>
                <w:rFonts w:eastAsia="Calibri"/>
                <w:sz w:val="20"/>
                <w:szCs w:val="20"/>
              </w:rPr>
            </w:pPr>
            <w:r w:rsidRPr="00FE3EAF">
              <w:rPr>
                <w:rFonts w:eastAsia="Calibri"/>
                <w:color w:val="000000"/>
                <w:sz w:val="20"/>
                <w:szCs w:val="20"/>
              </w:rPr>
              <w:t>69.9</w:t>
            </w:r>
          </w:p>
        </w:tc>
        <w:tc>
          <w:tcPr>
            <w:tcW w:w="462" w:type="pct"/>
            <w:tcBorders>
              <w:top w:val="single" w:sz="4" w:space="0" w:color="auto"/>
              <w:left w:val="single" w:sz="4" w:space="0" w:color="auto"/>
              <w:bottom w:val="single" w:sz="4" w:space="0" w:color="auto"/>
              <w:right w:val="single" w:sz="18" w:space="0" w:color="auto"/>
            </w:tcBorders>
            <w:vAlign w:val="center"/>
          </w:tcPr>
          <w:p w14:paraId="547576ED" w14:textId="77777777" w:rsidR="00FE3EAF" w:rsidRPr="00FE3EAF" w:rsidRDefault="00FE3EAF" w:rsidP="00FE3EAF">
            <w:pPr>
              <w:jc w:val="center"/>
              <w:rPr>
                <w:rFonts w:eastAsia="Calibri"/>
                <w:sz w:val="20"/>
                <w:szCs w:val="20"/>
              </w:rPr>
            </w:pPr>
            <w:r w:rsidRPr="00FE3EAF">
              <w:rPr>
                <w:rFonts w:eastAsia="Calibri"/>
                <w:color w:val="000000"/>
                <w:sz w:val="20"/>
                <w:szCs w:val="20"/>
              </w:rPr>
              <w:t>20.1</w:t>
            </w:r>
          </w:p>
        </w:tc>
      </w:tr>
      <w:tr w:rsidR="00FE3EAF" w:rsidRPr="00FE3EAF" w14:paraId="5B4D800B" w14:textId="77777777" w:rsidTr="00640159">
        <w:tc>
          <w:tcPr>
            <w:tcW w:w="742" w:type="pct"/>
            <w:vMerge w:val="restart"/>
            <w:tcBorders>
              <w:top w:val="single" w:sz="4" w:space="0" w:color="auto"/>
              <w:left w:val="single" w:sz="18" w:space="0" w:color="auto"/>
              <w:right w:val="single" w:sz="4" w:space="0" w:color="auto"/>
            </w:tcBorders>
            <w:vAlign w:val="center"/>
          </w:tcPr>
          <w:p w14:paraId="3E9738F3" w14:textId="77777777" w:rsidR="00FE3EAF" w:rsidRPr="00FE3EAF" w:rsidRDefault="00FE3EAF" w:rsidP="00FE3EAF">
            <w:pPr>
              <w:jc w:val="left"/>
              <w:rPr>
                <w:rFonts w:eastAsia="Calibri"/>
                <w:bCs/>
                <w:color w:val="000000"/>
                <w:sz w:val="20"/>
                <w:szCs w:val="20"/>
              </w:rPr>
            </w:pPr>
            <w:r w:rsidRPr="00FE3EAF">
              <w:rPr>
                <w:rFonts w:eastAsia="Calibri"/>
                <w:bCs/>
                <w:color w:val="000000"/>
                <w:sz w:val="20"/>
                <w:szCs w:val="20"/>
              </w:rPr>
              <w:t>Private study</w:t>
            </w:r>
          </w:p>
        </w:tc>
        <w:tc>
          <w:tcPr>
            <w:tcW w:w="1408" w:type="pct"/>
            <w:tcBorders>
              <w:top w:val="single" w:sz="4" w:space="0" w:color="auto"/>
              <w:left w:val="single" w:sz="4" w:space="0" w:color="auto"/>
              <w:bottom w:val="single" w:sz="4" w:space="0" w:color="auto"/>
              <w:right w:val="single" w:sz="18" w:space="0" w:color="auto"/>
            </w:tcBorders>
            <w:vAlign w:val="bottom"/>
          </w:tcPr>
          <w:p w14:paraId="4A70A82E" w14:textId="77777777" w:rsidR="00FE3EAF" w:rsidRPr="00FE3EAF" w:rsidRDefault="00FE3EAF" w:rsidP="00FE3EAF">
            <w:pPr>
              <w:jc w:val="left"/>
              <w:rPr>
                <w:rFonts w:eastAsia="Times New Roman"/>
                <w:color w:val="000000"/>
                <w:sz w:val="20"/>
                <w:szCs w:val="20"/>
              </w:rPr>
            </w:pPr>
            <w:r w:rsidRPr="00FE3EAF">
              <w:rPr>
                <w:rFonts w:eastAsia="Times New Roman"/>
                <w:color w:val="000000"/>
                <w:sz w:val="20"/>
                <w:szCs w:val="20"/>
              </w:rPr>
              <w:t>Yes</w:t>
            </w:r>
          </w:p>
        </w:tc>
        <w:tc>
          <w:tcPr>
            <w:tcW w:w="597" w:type="pct"/>
            <w:tcBorders>
              <w:top w:val="single" w:sz="4" w:space="0" w:color="auto"/>
              <w:left w:val="single" w:sz="18" w:space="0" w:color="auto"/>
              <w:bottom w:val="single" w:sz="4" w:space="0" w:color="auto"/>
              <w:right w:val="single" w:sz="4" w:space="0" w:color="auto"/>
            </w:tcBorders>
            <w:vAlign w:val="bottom"/>
          </w:tcPr>
          <w:p w14:paraId="5EF0C7BF" w14:textId="77777777" w:rsidR="00FE3EAF" w:rsidRPr="00FE3EAF" w:rsidRDefault="00FE3EAF" w:rsidP="00FE3EAF">
            <w:pPr>
              <w:jc w:val="center"/>
              <w:rPr>
                <w:rFonts w:eastAsia="Calibri"/>
                <w:sz w:val="20"/>
                <w:szCs w:val="20"/>
              </w:rPr>
            </w:pPr>
            <w:r w:rsidRPr="00FE3EAF">
              <w:rPr>
                <w:rFonts w:eastAsia="Calibri"/>
                <w:color w:val="000000"/>
                <w:sz w:val="20"/>
                <w:szCs w:val="20"/>
              </w:rPr>
              <w:t>66.7</w:t>
            </w:r>
          </w:p>
        </w:tc>
        <w:tc>
          <w:tcPr>
            <w:tcW w:w="597" w:type="pct"/>
            <w:tcBorders>
              <w:top w:val="single" w:sz="4" w:space="0" w:color="auto"/>
              <w:left w:val="single" w:sz="4" w:space="0" w:color="auto"/>
              <w:bottom w:val="single" w:sz="4" w:space="0" w:color="auto"/>
              <w:right w:val="single" w:sz="18" w:space="0" w:color="auto"/>
            </w:tcBorders>
            <w:vAlign w:val="bottom"/>
          </w:tcPr>
          <w:p w14:paraId="562BDED3" w14:textId="77777777" w:rsidR="00FE3EAF" w:rsidRPr="00FE3EAF" w:rsidRDefault="00FE3EAF" w:rsidP="00FE3EAF">
            <w:pPr>
              <w:jc w:val="center"/>
              <w:rPr>
                <w:rFonts w:eastAsia="Calibri"/>
                <w:sz w:val="20"/>
                <w:szCs w:val="20"/>
              </w:rPr>
            </w:pPr>
            <w:r w:rsidRPr="00FE3EAF">
              <w:rPr>
                <w:rFonts w:eastAsia="Calibri"/>
                <w:color w:val="000000"/>
                <w:sz w:val="20"/>
                <w:szCs w:val="20"/>
              </w:rPr>
              <w:t>74.5</w:t>
            </w:r>
          </w:p>
        </w:tc>
        <w:tc>
          <w:tcPr>
            <w:tcW w:w="597" w:type="pct"/>
            <w:tcBorders>
              <w:top w:val="single" w:sz="4" w:space="0" w:color="auto"/>
              <w:left w:val="single" w:sz="18" w:space="0" w:color="auto"/>
              <w:bottom w:val="single" w:sz="4" w:space="0" w:color="auto"/>
              <w:right w:val="single" w:sz="4" w:space="0" w:color="auto"/>
            </w:tcBorders>
            <w:vAlign w:val="bottom"/>
          </w:tcPr>
          <w:p w14:paraId="6C1028D4" w14:textId="77777777" w:rsidR="00FE3EAF" w:rsidRPr="00FE3EAF" w:rsidRDefault="00FE3EAF" w:rsidP="00FE3EAF">
            <w:pPr>
              <w:jc w:val="center"/>
              <w:rPr>
                <w:rFonts w:eastAsia="Calibri"/>
                <w:color w:val="000000"/>
                <w:sz w:val="20"/>
                <w:szCs w:val="20"/>
              </w:rPr>
            </w:pPr>
            <w:r w:rsidRPr="00FE3EAF">
              <w:rPr>
                <w:rFonts w:eastAsia="Calibri"/>
                <w:color w:val="000000"/>
                <w:sz w:val="20"/>
                <w:szCs w:val="20"/>
              </w:rPr>
              <w:t>18.6</w:t>
            </w:r>
          </w:p>
        </w:tc>
        <w:tc>
          <w:tcPr>
            <w:tcW w:w="597" w:type="pct"/>
            <w:tcBorders>
              <w:top w:val="single" w:sz="4" w:space="0" w:color="auto"/>
              <w:left w:val="single" w:sz="4" w:space="0" w:color="auto"/>
              <w:bottom w:val="single" w:sz="4" w:space="0" w:color="auto"/>
              <w:right w:val="single" w:sz="18" w:space="0" w:color="auto"/>
            </w:tcBorders>
            <w:vAlign w:val="bottom"/>
          </w:tcPr>
          <w:p w14:paraId="42FB4799" w14:textId="77777777" w:rsidR="00FE3EAF" w:rsidRPr="00FE3EAF" w:rsidRDefault="00FE3EAF" w:rsidP="00FE3EAF">
            <w:pPr>
              <w:jc w:val="center"/>
              <w:rPr>
                <w:rFonts w:eastAsia="Calibri"/>
                <w:color w:val="000000"/>
                <w:sz w:val="20"/>
                <w:szCs w:val="20"/>
              </w:rPr>
            </w:pPr>
            <w:r w:rsidRPr="00FE3EAF">
              <w:rPr>
                <w:rFonts w:eastAsia="Calibri"/>
                <w:color w:val="000000"/>
                <w:sz w:val="20"/>
                <w:szCs w:val="20"/>
              </w:rPr>
              <w:t>81.4</w:t>
            </w:r>
          </w:p>
        </w:tc>
        <w:tc>
          <w:tcPr>
            <w:tcW w:w="462" w:type="pct"/>
            <w:tcBorders>
              <w:top w:val="single" w:sz="4" w:space="0" w:color="auto"/>
              <w:left w:val="single" w:sz="4" w:space="0" w:color="auto"/>
              <w:bottom w:val="single" w:sz="4" w:space="0" w:color="auto"/>
              <w:right w:val="single" w:sz="18" w:space="0" w:color="auto"/>
            </w:tcBorders>
            <w:vAlign w:val="center"/>
          </w:tcPr>
          <w:p w14:paraId="3CF698B7" w14:textId="77777777" w:rsidR="00FE3EAF" w:rsidRPr="00FE3EAF" w:rsidRDefault="00FE3EAF" w:rsidP="00FE3EAF">
            <w:pPr>
              <w:jc w:val="center"/>
              <w:rPr>
                <w:rFonts w:eastAsia="Calibri"/>
                <w:sz w:val="20"/>
                <w:szCs w:val="20"/>
              </w:rPr>
            </w:pPr>
            <w:r w:rsidRPr="00FE3EAF">
              <w:rPr>
                <w:rFonts w:eastAsia="Times New Roman"/>
                <w:sz w:val="20"/>
                <w:szCs w:val="20"/>
              </w:rPr>
              <w:t>72.8</w:t>
            </w:r>
          </w:p>
        </w:tc>
      </w:tr>
      <w:tr w:rsidR="00FE3EAF" w:rsidRPr="00FE3EAF" w14:paraId="4F29F2A9" w14:textId="77777777" w:rsidTr="00640159">
        <w:tc>
          <w:tcPr>
            <w:tcW w:w="742" w:type="pct"/>
            <w:vMerge/>
            <w:tcBorders>
              <w:left w:val="single" w:sz="18" w:space="0" w:color="auto"/>
              <w:bottom w:val="single" w:sz="4" w:space="0" w:color="auto"/>
              <w:right w:val="single" w:sz="4" w:space="0" w:color="auto"/>
            </w:tcBorders>
            <w:vAlign w:val="center"/>
          </w:tcPr>
          <w:p w14:paraId="4735FE7C" w14:textId="77777777" w:rsidR="00FE3EAF" w:rsidRPr="00FE3EAF" w:rsidRDefault="00FE3EAF" w:rsidP="00FE3EAF">
            <w:pPr>
              <w:jc w:val="left"/>
              <w:rPr>
                <w:rFonts w:eastAsia="Calibri"/>
                <w:bCs/>
                <w:color w:val="000000"/>
                <w:sz w:val="20"/>
                <w:szCs w:val="20"/>
              </w:rPr>
            </w:pPr>
          </w:p>
        </w:tc>
        <w:tc>
          <w:tcPr>
            <w:tcW w:w="1408" w:type="pct"/>
            <w:tcBorders>
              <w:top w:val="single" w:sz="4" w:space="0" w:color="auto"/>
              <w:left w:val="single" w:sz="4" w:space="0" w:color="auto"/>
              <w:bottom w:val="single" w:sz="4" w:space="0" w:color="auto"/>
              <w:right w:val="single" w:sz="18" w:space="0" w:color="auto"/>
            </w:tcBorders>
            <w:vAlign w:val="bottom"/>
          </w:tcPr>
          <w:p w14:paraId="7D70C8BD" w14:textId="77777777" w:rsidR="00FE3EAF" w:rsidRPr="00FE3EAF" w:rsidRDefault="00FE3EAF" w:rsidP="00FE3EAF">
            <w:pPr>
              <w:jc w:val="left"/>
              <w:rPr>
                <w:rFonts w:eastAsia="Times New Roman"/>
                <w:color w:val="000000"/>
                <w:sz w:val="20"/>
                <w:szCs w:val="20"/>
              </w:rPr>
            </w:pPr>
            <w:r w:rsidRPr="00FE3EAF">
              <w:rPr>
                <w:rFonts w:eastAsia="Times New Roman"/>
                <w:color w:val="000000"/>
                <w:sz w:val="20"/>
                <w:szCs w:val="20"/>
              </w:rPr>
              <w:t>No</w:t>
            </w:r>
          </w:p>
        </w:tc>
        <w:tc>
          <w:tcPr>
            <w:tcW w:w="597" w:type="pct"/>
            <w:tcBorders>
              <w:top w:val="single" w:sz="4" w:space="0" w:color="auto"/>
              <w:left w:val="single" w:sz="18" w:space="0" w:color="auto"/>
              <w:bottom w:val="single" w:sz="4" w:space="0" w:color="auto"/>
              <w:right w:val="single" w:sz="4" w:space="0" w:color="auto"/>
            </w:tcBorders>
            <w:vAlign w:val="bottom"/>
          </w:tcPr>
          <w:p w14:paraId="6AD1F7DD" w14:textId="77777777" w:rsidR="00FE3EAF" w:rsidRPr="00FE3EAF" w:rsidRDefault="00FE3EAF" w:rsidP="00FE3EAF">
            <w:pPr>
              <w:jc w:val="center"/>
              <w:rPr>
                <w:rFonts w:eastAsia="Calibri"/>
                <w:sz w:val="20"/>
                <w:szCs w:val="20"/>
              </w:rPr>
            </w:pPr>
            <w:r w:rsidRPr="00FE3EAF">
              <w:rPr>
                <w:rFonts w:eastAsia="Calibri"/>
                <w:color w:val="000000"/>
                <w:sz w:val="20"/>
                <w:szCs w:val="20"/>
              </w:rPr>
              <w:t>33.3</w:t>
            </w:r>
          </w:p>
        </w:tc>
        <w:tc>
          <w:tcPr>
            <w:tcW w:w="597" w:type="pct"/>
            <w:tcBorders>
              <w:top w:val="single" w:sz="4" w:space="0" w:color="auto"/>
              <w:left w:val="single" w:sz="4" w:space="0" w:color="auto"/>
              <w:bottom w:val="single" w:sz="4" w:space="0" w:color="auto"/>
              <w:right w:val="single" w:sz="18" w:space="0" w:color="auto"/>
            </w:tcBorders>
            <w:vAlign w:val="bottom"/>
          </w:tcPr>
          <w:p w14:paraId="141EC735" w14:textId="77777777" w:rsidR="00FE3EAF" w:rsidRPr="00FE3EAF" w:rsidRDefault="00FE3EAF" w:rsidP="00FE3EAF">
            <w:pPr>
              <w:jc w:val="center"/>
              <w:rPr>
                <w:rFonts w:eastAsia="Calibri"/>
                <w:sz w:val="20"/>
                <w:szCs w:val="20"/>
              </w:rPr>
            </w:pPr>
            <w:r w:rsidRPr="00FE3EAF">
              <w:rPr>
                <w:rFonts w:eastAsia="Calibri"/>
                <w:color w:val="000000"/>
                <w:sz w:val="20"/>
                <w:szCs w:val="20"/>
              </w:rPr>
              <w:t>25.5</w:t>
            </w:r>
          </w:p>
        </w:tc>
        <w:tc>
          <w:tcPr>
            <w:tcW w:w="597" w:type="pct"/>
            <w:tcBorders>
              <w:top w:val="single" w:sz="4" w:space="0" w:color="auto"/>
              <w:left w:val="single" w:sz="18" w:space="0" w:color="auto"/>
              <w:bottom w:val="single" w:sz="4" w:space="0" w:color="auto"/>
              <w:right w:val="single" w:sz="4" w:space="0" w:color="auto"/>
            </w:tcBorders>
            <w:vAlign w:val="bottom"/>
          </w:tcPr>
          <w:p w14:paraId="7BCD01B6" w14:textId="77777777" w:rsidR="00FE3EAF" w:rsidRPr="00FE3EAF" w:rsidRDefault="00FE3EAF" w:rsidP="00FE3EAF">
            <w:pPr>
              <w:jc w:val="center"/>
              <w:rPr>
                <w:rFonts w:eastAsia="Calibri"/>
                <w:color w:val="000000"/>
                <w:sz w:val="20"/>
                <w:szCs w:val="20"/>
              </w:rPr>
            </w:pPr>
            <w:r w:rsidRPr="00FE3EAF">
              <w:rPr>
                <w:rFonts w:eastAsia="Calibri"/>
                <w:color w:val="000000"/>
                <w:sz w:val="20"/>
                <w:szCs w:val="20"/>
              </w:rPr>
              <w:t>25.0</w:t>
            </w:r>
          </w:p>
        </w:tc>
        <w:tc>
          <w:tcPr>
            <w:tcW w:w="597" w:type="pct"/>
            <w:tcBorders>
              <w:top w:val="single" w:sz="4" w:space="0" w:color="auto"/>
              <w:left w:val="single" w:sz="4" w:space="0" w:color="auto"/>
              <w:bottom w:val="single" w:sz="4" w:space="0" w:color="auto"/>
              <w:right w:val="single" w:sz="18" w:space="0" w:color="auto"/>
            </w:tcBorders>
            <w:vAlign w:val="bottom"/>
          </w:tcPr>
          <w:p w14:paraId="02C78B92" w14:textId="77777777" w:rsidR="00FE3EAF" w:rsidRPr="00FE3EAF" w:rsidRDefault="00FE3EAF" w:rsidP="00FE3EAF">
            <w:pPr>
              <w:jc w:val="center"/>
              <w:rPr>
                <w:rFonts w:eastAsia="Calibri"/>
                <w:color w:val="000000"/>
                <w:sz w:val="20"/>
                <w:szCs w:val="20"/>
              </w:rPr>
            </w:pPr>
            <w:r w:rsidRPr="00FE3EAF">
              <w:rPr>
                <w:rFonts w:eastAsia="Calibri"/>
                <w:color w:val="000000"/>
                <w:sz w:val="20"/>
                <w:szCs w:val="20"/>
              </w:rPr>
              <w:t>75.0</w:t>
            </w:r>
          </w:p>
        </w:tc>
        <w:tc>
          <w:tcPr>
            <w:tcW w:w="462" w:type="pct"/>
            <w:tcBorders>
              <w:top w:val="single" w:sz="4" w:space="0" w:color="auto"/>
              <w:left w:val="single" w:sz="4" w:space="0" w:color="auto"/>
              <w:bottom w:val="single" w:sz="4" w:space="0" w:color="auto"/>
              <w:right w:val="single" w:sz="18" w:space="0" w:color="auto"/>
            </w:tcBorders>
            <w:vAlign w:val="center"/>
          </w:tcPr>
          <w:p w14:paraId="3C421B9C" w14:textId="77777777" w:rsidR="00FE3EAF" w:rsidRPr="00FE3EAF" w:rsidRDefault="00FE3EAF" w:rsidP="00FE3EAF">
            <w:pPr>
              <w:jc w:val="center"/>
              <w:rPr>
                <w:rFonts w:eastAsia="Calibri"/>
                <w:sz w:val="20"/>
                <w:szCs w:val="20"/>
              </w:rPr>
            </w:pPr>
            <w:r w:rsidRPr="00FE3EAF">
              <w:rPr>
                <w:rFonts w:eastAsia="Times New Roman"/>
                <w:sz w:val="20"/>
                <w:szCs w:val="20"/>
              </w:rPr>
              <w:t>27.2</w:t>
            </w:r>
          </w:p>
        </w:tc>
      </w:tr>
      <w:tr w:rsidR="00FE3EAF" w:rsidRPr="00FE3EAF" w14:paraId="50270B60" w14:textId="77777777" w:rsidTr="00640159">
        <w:tc>
          <w:tcPr>
            <w:tcW w:w="5000" w:type="pct"/>
            <w:gridSpan w:val="7"/>
            <w:tcBorders>
              <w:top w:val="double" w:sz="4" w:space="0" w:color="auto"/>
              <w:left w:val="single" w:sz="18" w:space="0" w:color="auto"/>
              <w:bottom w:val="double" w:sz="4" w:space="0" w:color="auto"/>
              <w:right w:val="single" w:sz="18" w:space="0" w:color="auto"/>
            </w:tcBorders>
            <w:vAlign w:val="center"/>
          </w:tcPr>
          <w:p w14:paraId="174F16B6" w14:textId="77777777" w:rsidR="00FE3EAF" w:rsidRPr="00FE3EAF" w:rsidRDefault="00FE3EAF" w:rsidP="00FE3EAF">
            <w:pPr>
              <w:jc w:val="left"/>
              <w:rPr>
                <w:rFonts w:eastAsia="Calibri"/>
                <w:sz w:val="20"/>
                <w:szCs w:val="20"/>
              </w:rPr>
            </w:pPr>
            <w:r w:rsidRPr="00FE3EAF">
              <w:rPr>
                <w:rFonts w:eastAsia="Calibri"/>
                <w:b/>
                <w:i/>
                <w:sz w:val="20"/>
                <w:szCs w:val="20"/>
              </w:rPr>
              <w:t>In-Person Workplace Characteristic</w:t>
            </w:r>
          </w:p>
        </w:tc>
      </w:tr>
      <w:tr w:rsidR="00FE3EAF" w:rsidRPr="00FE3EAF" w14:paraId="566605D9" w14:textId="77777777" w:rsidTr="00640159">
        <w:tc>
          <w:tcPr>
            <w:tcW w:w="742" w:type="pct"/>
            <w:vMerge w:val="restart"/>
            <w:tcBorders>
              <w:top w:val="double" w:sz="4" w:space="0" w:color="auto"/>
              <w:left w:val="single" w:sz="18" w:space="0" w:color="auto"/>
              <w:right w:val="single" w:sz="4" w:space="0" w:color="auto"/>
            </w:tcBorders>
            <w:vAlign w:val="center"/>
          </w:tcPr>
          <w:p w14:paraId="04EC31C1" w14:textId="77777777" w:rsidR="00FE3EAF" w:rsidRPr="00FE3EAF" w:rsidRDefault="00FE3EAF" w:rsidP="00FE3EAF">
            <w:pPr>
              <w:jc w:val="left"/>
              <w:rPr>
                <w:rFonts w:eastAsia="Calibri"/>
                <w:bCs/>
                <w:color w:val="000000"/>
                <w:sz w:val="20"/>
                <w:szCs w:val="20"/>
              </w:rPr>
            </w:pPr>
            <w:r w:rsidRPr="00FE3EAF">
              <w:rPr>
                <w:rFonts w:eastAsia="Calibri"/>
                <w:bCs/>
                <w:color w:val="000000"/>
                <w:sz w:val="20"/>
                <w:szCs w:val="20"/>
              </w:rPr>
              <w:t>Employment density</w:t>
            </w:r>
          </w:p>
        </w:tc>
        <w:tc>
          <w:tcPr>
            <w:tcW w:w="1408" w:type="pct"/>
            <w:tcBorders>
              <w:top w:val="double" w:sz="4" w:space="0" w:color="auto"/>
              <w:left w:val="single" w:sz="4" w:space="0" w:color="auto"/>
              <w:bottom w:val="single" w:sz="4" w:space="0" w:color="auto"/>
              <w:right w:val="single" w:sz="18" w:space="0" w:color="auto"/>
            </w:tcBorders>
            <w:vAlign w:val="bottom"/>
          </w:tcPr>
          <w:p w14:paraId="743D5E5A" w14:textId="77777777" w:rsidR="00FE3EAF" w:rsidRPr="00FE3EAF" w:rsidRDefault="00FE3EAF" w:rsidP="00FE3EAF">
            <w:pPr>
              <w:jc w:val="left"/>
              <w:rPr>
                <w:rFonts w:eastAsia="Calibri"/>
                <w:color w:val="000000"/>
                <w:sz w:val="20"/>
                <w:szCs w:val="20"/>
              </w:rPr>
            </w:pPr>
            <w:r w:rsidRPr="00FE3EAF">
              <w:rPr>
                <w:rFonts w:eastAsia="Calibri"/>
                <w:color w:val="000000"/>
                <w:sz w:val="20"/>
                <w:szCs w:val="20"/>
              </w:rPr>
              <w:t>Low</w:t>
            </w:r>
          </w:p>
        </w:tc>
        <w:tc>
          <w:tcPr>
            <w:tcW w:w="597" w:type="pct"/>
            <w:tcBorders>
              <w:top w:val="double" w:sz="4" w:space="0" w:color="auto"/>
              <w:left w:val="single" w:sz="18" w:space="0" w:color="auto"/>
              <w:bottom w:val="single" w:sz="4" w:space="0" w:color="auto"/>
              <w:right w:val="single" w:sz="4" w:space="0" w:color="auto"/>
            </w:tcBorders>
            <w:vAlign w:val="bottom"/>
          </w:tcPr>
          <w:p w14:paraId="71598719" w14:textId="77777777" w:rsidR="00FE3EAF" w:rsidRPr="00FE3EAF" w:rsidRDefault="00FE3EAF" w:rsidP="00FE3EAF">
            <w:pPr>
              <w:jc w:val="center"/>
              <w:rPr>
                <w:rFonts w:eastAsia="Calibri"/>
                <w:sz w:val="20"/>
                <w:szCs w:val="20"/>
              </w:rPr>
            </w:pPr>
            <w:r w:rsidRPr="00FE3EAF">
              <w:rPr>
                <w:rFonts w:eastAsia="Calibri"/>
                <w:color w:val="000000"/>
                <w:sz w:val="20"/>
                <w:szCs w:val="20"/>
              </w:rPr>
              <w:t>26.7</w:t>
            </w:r>
          </w:p>
        </w:tc>
        <w:tc>
          <w:tcPr>
            <w:tcW w:w="597" w:type="pct"/>
            <w:tcBorders>
              <w:top w:val="double" w:sz="4" w:space="0" w:color="auto"/>
              <w:left w:val="single" w:sz="4" w:space="0" w:color="auto"/>
              <w:bottom w:val="single" w:sz="4" w:space="0" w:color="auto"/>
              <w:right w:val="single" w:sz="18" w:space="0" w:color="auto"/>
            </w:tcBorders>
            <w:vAlign w:val="bottom"/>
          </w:tcPr>
          <w:p w14:paraId="12A0B336" w14:textId="77777777" w:rsidR="00FE3EAF" w:rsidRPr="00FE3EAF" w:rsidRDefault="00FE3EAF" w:rsidP="00FE3EAF">
            <w:pPr>
              <w:jc w:val="center"/>
              <w:rPr>
                <w:rFonts w:eastAsia="Calibri"/>
                <w:sz w:val="20"/>
                <w:szCs w:val="20"/>
              </w:rPr>
            </w:pPr>
            <w:r w:rsidRPr="00FE3EAF">
              <w:rPr>
                <w:rFonts w:eastAsia="Calibri"/>
                <w:color w:val="000000"/>
                <w:sz w:val="20"/>
                <w:szCs w:val="20"/>
              </w:rPr>
              <w:t>22.7</w:t>
            </w:r>
          </w:p>
        </w:tc>
        <w:tc>
          <w:tcPr>
            <w:tcW w:w="597" w:type="pct"/>
            <w:tcBorders>
              <w:top w:val="double" w:sz="4" w:space="0" w:color="auto"/>
              <w:left w:val="single" w:sz="18" w:space="0" w:color="auto"/>
              <w:bottom w:val="single" w:sz="4" w:space="0" w:color="auto"/>
              <w:right w:val="single" w:sz="4" w:space="0" w:color="auto"/>
            </w:tcBorders>
            <w:vAlign w:val="bottom"/>
          </w:tcPr>
          <w:p w14:paraId="3A07CC19" w14:textId="77777777" w:rsidR="00FE3EAF" w:rsidRPr="00FE3EAF" w:rsidRDefault="00FE3EAF" w:rsidP="00FE3EAF">
            <w:pPr>
              <w:jc w:val="center"/>
              <w:rPr>
                <w:rFonts w:eastAsia="Calibri"/>
                <w:sz w:val="20"/>
                <w:szCs w:val="20"/>
              </w:rPr>
            </w:pPr>
            <w:r w:rsidRPr="00FE3EAF">
              <w:rPr>
                <w:rFonts w:eastAsia="Calibri"/>
                <w:color w:val="000000"/>
                <w:sz w:val="20"/>
                <w:szCs w:val="20"/>
              </w:rPr>
              <w:t>22.7</w:t>
            </w:r>
          </w:p>
        </w:tc>
        <w:tc>
          <w:tcPr>
            <w:tcW w:w="597" w:type="pct"/>
            <w:tcBorders>
              <w:top w:val="double" w:sz="4" w:space="0" w:color="auto"/>
              <w:left w:val="single" w:sz="4" w:space="0" w:color="auto"/>
              <w:bottom w:val="single" w:sz="4" w:space="0" w:color="auto"/>
              <w:right w:val="single" w:sz="18" w:space="0" w:color="auto"/>
            </w:tcBorders>
            <w:vAlign w:val="bottom"/>
          </w:tcPr>
          <w:p w14:paraId="582DBEBC" w14:textId="77777777" w:rsidR="00FE3EAF" w:rsidRPr="00FE3EAF" w:rsidRDefault="00FE3EAF" w:rsidP="00FE3EAF">
            <w:pPr>
              <w:jc w:val="center"/>
              <w:rPr>
                <w:rFonts w:eastAsia="Calibri"/>
                <w:sz w:val="20"/>
                <w:szCs w:val="20"/>
              </w:rPr>
            </w:pPr>
            <w:r w:rsidRPr="00FE3EAF">
              <w:rPr>
                <w:rFonts w:eastAsia="Calibri"/>
                <w:color w:val="000000"/>
                <w:sz w:val="20"/>
                <w:szCs w:val="20"/>
              </w:rPr>
              <w:t>77.3</w:t>
            </w:r>
          </w:p>
        </w:tc>
        <w:tc>
          <w:tcPr>
            <w:tcW w:w="462" w:type="pct"/>
            <w:tcBorders>
              <w:top w:val="double" w:sz="4" w:space="0" w:color="auto"/>
              <w:left w:val="single" w:sz="4" w:space="0" w:color="auto"/>
              <w:bottom w:val="single" w:sz="4" w:space="0" w:color="auto"/>
              <w:right w:val="single" w:sz="18" w:space="0" w:color="auto"/>
            </w:tcBorders>
            <w:vAlign w:val="center"/>
          </w:tcPr>
          <w:p w14:paraId="6DFB2276" w14:textId="77777777" w:rsidR="00FE3EAF" w:rsidRPr="00FE3EAF" w:rsidRDefault="00FE3EAF" w:rsidP="00FE3EAF">
            <w:pPr>
              <w:jc w:val="center"/>
              <w:rPr>
                <w:rFonts w:eastAsia="Calibri"/>
                <w:sz w:val="20"/>
                <w:szCs w:val="20"/>
              </w:rPr>
            </w:pPr>
            <w:r w:rsidRPr="00FE3EAF">
              <w:rPr>
                <w:rFonts w:eastAsia="Times New Roman"/>
                <w:sz w:val="20"/>
                <w:szCs w:val="20"/>
              </w:rPr>
              <w:t>23.4</w:t>
            </w:r>
          </w:p>
        </w:tc>
      </w:tr>
      <w:tr w:rsidR="00FE3EAF" w:rsidRPr="00FE3EAF" w14:paraId="5E272C7D" w14:textId="77777777" w:rsidTr="00640159">
        <w:tc>
          <w:tcPr>
            <w:tcW w:w="742" w:type="pct"/>
            <w:vMerge/>
            <w:tcBorders>
              <w:left w:val="single" w:sz="18" w:space="0" w:color="auto"/>
              <w:bottom w:val="double" w:sz="4" w:space="0" w:color="auto"/>
              <w:right w:val="single" w:sz="4" w:space="0" w:color="auto"/>
            </w:tcBorders>
            <w:vAlign w:val="center"/>
          </w:tcPr>
          <w:p w14:paraId="22FB2EC6" w14:textId="77777777" w:rsidR="00FE3EAF" w:rsidRPr="00FE3EAF" w:rsidRDefault="00FE3EAF" w:rsidP="00FE3EAF">
            <w:pPr>
              <w:jc w:val="left"/>
              <w:rPr>
                <w:rFonts w:eastAsia="Calibri"/>
                <w:bCs/>
                <w:color w:val="000000"/>
                <w:sz w:val="20"/>
                <w:szCs w:val="20"/>
              </w:rPr>
            </w:pPr>
          </w:p>
        </w:tc>
        <w:tc>
          <w:tcPr>
            <w:tcW w:w="1408" w:type="pct"/>
            <w:tcBorders>
              <w:top w:val="single" w:sz="4" w:space="0" w:color="auto"/>
              <w:left w:val="single" w:sz="4" w:space="0" w:color="auto"/>
              <w:bottom w:val="single" w:sz="4" w:space="0" w:color="auto"/>
              <w:right w:val="single" w:sz="18" w:space="0" w:color="auto"/>
            </w:tcBorders>
            <w:vAlign w:val="bottom"/>
          </w:tcPr>
          <w:p w14:paraId="193E2CB6" w14:textId="77777777" w:rsidR="00FE3EAF" w:rsidRPr="00FE3EAF" w:rsidRDefault="00FE3EAF" w:rsidP="00FE3EAF">
            <w:pPr>
              <w:jc w:val="left"/>
              <w:rPr>
                <w:rFonts w:eastAsia="Calibri"/>
                <w:color w:val="000000"/>
                <w:sz w:val="20"/>
                <w:szCs w:val="20"/>
              </w:rPr>
            </w:pPr>
            <w:r w:rsidRPr="00FE3EAF">
              <w:rPr>
                <w:rFonts w:eastAsia="Calibri"/>
                <w:color w:val="000000"/>
                <w:sz w:val="20"/>
                <w:szCs w:val="20"/>
              </w:rPr>
              <w:t>Medium</w:t>
            </w:r>
          </w:p>
        </w:tc>
        <w:tc>
          <w:tcPr>
            <w:tcW w:w="597" w:type="pct"/>
            <w:tcBorders>
              <w:top w:val="single" w:sz="4" w:space="0" w:color="auto"/>
              <w:left w:val="single" w:sz="18" w:space="0" w:color="auto"/>
              <w:bottom w:val="single" w:sz="4" w:space="0" w:color="auto"/>
              <w:right w:val="single" w:sz="4" w:space="0" w:color="auto"/>
            </w:tcBorders>
            <w:vAlign w:val="bottom"/>
          </w:tcPr>
          <w:p w14:paraId="0146003D" w14:textId="77777777" w:rsidR="00FE3EAF" w:rsidRPr="00FE3EAF" w:rsidRDefault="00FE3EAF" w:rsidP="00FE3EAF">
            <w:pPr>
              <w:jc w:val="center"/>
              <w:rPr>
                <w:rFonts w:eastAsia="Calibri"/>
                <w:sz w:val="20"/>
                <w:szCs w:val="20"/>
              </w:rPr>
            </w:pPr>
            <w:r w:rsidRPr="00FE3EAF">
              <w:rPr>
                <w:rFonts w:eastAsia="Calibri"/>
                <w:color w:val="000000"/>
                <w:sz w:val="20"/>
                <w:szCs w:val="20"/>
              </w:rPr>
              <w:t xml:space="preserve">  5.4</w:t>
            </w:r>
          </w:p>
        </w:tc>
        <w:tc>
          <w:tcPr>
            <w:tcW w:w="597" w:type="pct"/>
            <w:tcBorders>
              <w:top w:val="single" w:sz="4" w:space="0" w:color="auto"/>
              <w:left w:val="single" w:sz="4" w:space="0" w:color="auto"/>
              <w:bottom w:val="single" w:sz="4" w:space="0" w:color="auto"/>
              <w:right w:val="single" w:sz="18" w:space="0" w:color="auto"/>
            </w:tcBorders>
            <w:vAlign w:val="bottom"/>
          </w:tcPr>
          <w:p w14:paraId="7583C786" w14:textId="77777777" w:rsidR="00FE3EAF" w:rsidRPr="00FE3EAF" w:rsidRDefault="00FE3EAF" w:rsidP="00FE3EAF">
            <w:pPr>
              <w:jc w:val="center"/>
              <w:rPr>
                <w:rFonts w:eastAsia="Calibri"/>
                <w:sz w:val="20"/>
                <w:szCs w:val="20"/>
              </w:rPr>
            </w:pPr>
            <w:r w:rsidRPr="00FE3EAF">
              <w:rPr>
                <w:rFonts w:eastAsia="Calibri"/>
                <w:color w:val="000000"/>
                <w:sz w:val="20"/>
                <w:szCs w:val="20"/>
              </w:rPr>
              <w:t xml:space="preserve">  5.5</w:t>
            </w:r>
          </w:p>
        </w:tc>
        <w:tc>
          <w:tcPr>
            <w:tcW w:w="597" w:type="pct"/>
            <w:tcBorders>
              <w:top w:val="single" w:sz="4" w:space="0" w:color="auto"/>
              <w:left w:val="single" w:sz="18" w:space="0" w:color="auto"/>
              <w:bottom w:val="single" w:sz="4" w:space="0" w:color="auto"/>
              <w:right w:val="single" w:sz="4" w:space="0" w:color="auto"/>
            </w:tcBorders>
            <w:vAlign w:val="bottom"/>
          </w:tcPr>
          <w:p w14:paraId="5B8A55B1" w14:textId="77777777" w:rsidR="00FE3EAF" w:rsidRPr="00FE3EAF" w:rsidRDefault="00FE3EAF" w:rsidP="00FE3EAF">
            <w:pPr>
              <w:jc w:val="center"/>
              <w:rPr>
                <w:rFonts w:eastAsia="Calibri"/>
                <w:sz w:val="20"/>
                <w:szCs w:val="20"/>
              </w:rPr>
            </w:pPr>
            <w:r w:rsidRPr="00FE3EAF">
              <w:rPr>
                <w:rFonts w:eastAsia="Calibri"/>
                <w:color w:val="000000"/>
                <w:sz w:val="20"/>
                <w:szCs w:val="20"/>
              </w:rPr>
              <w:t>20.6</w:t>
            </w:r>
          </w:p>
        </w:tc>
        <w:tc>
          <w:tcPr>
            <w:tcW w:w="597" w:type="pct"/>
            <w:tcBorders>
              <w:top w:val="single" w:sz="4" w:space="0" w:color="auto"/>
              <w:left w:val="single" w:sz="4" w:space="0" w:color="auto"/>
              <w:bottom w:val="single" w:sz="4" w:space="0" w:color="auto"/>
              <w:right w:val="single" w:sz="18" w:space="0" w:color="auto"/>
            </w:tcBorders>
            <w:vAlign w:val="bottom"/>
          </w:tcPr>
          <w:p w14:paraId="65064FF9" w14:textId="77777777" w:rsidR="00FE3EAF" w:rsidRPr="00FE3EAF" w:rsidRDefault="00FE3EAF" w:rsidP="00FE3EAF">
            <w:pPr>
              <w:jc w:val="center"/>
              <w:rPr>
                <w:rFonts w:eastAsia="Calibri"/>
                <w:sz w:val="20"/>
                <w:szCs w:val="20"/>
              </w:rPr>
            </w:pPr>
            <w:r w:rsidRPr="00FE3EAF">
              <w:rPr>
                <w:rFonts w:eastAsia="Calibri"/>
                <w:color w:val="000000"/>
                <w:sz w:val="20"/>
                <w:szCs w:val="20"/>
              </w:rPr>
              <w:t>79.4</w:t>
            </w:r>
          </w:p>
        </w:tc>
        <w:tc>
          <w:tcPr>
            <w:tcW w:w="462" w:type="pct"/>
            <w:tcBorders>
              <w:top w:val="single" w:sz="4" w:space="0" w:color="auto"/>
              <w:left w:val="single" w:sz="4" w:space="0" w:color="auto"/>
              <w:bottom w:val="single" w:sz="4" w:space="0" w:color="auto"/>
              <w:right w:val="single" w:sz="18" w:space="0" w:color="auto"/>
            </w:tcBorders>
            <w:vAlign w:val="center"/>
          </w:tcPr>
          <w:p w14:paraId="3E36FA25" w14:textId="77777777" w:rsidR="00FE3EAF" w:rsidRPr="00FE3EAF" w:rsidRDefault="00FE3EAF" w:rsidP="00FE3EAF">
            <w:pPr>
              <w:jc w:val="center"/>
              <w:rPr>
                <w:rFonts w:eastAsia="Calibri"/>
                <w:sz w:val="20"/>
                <w:szCs w:val="20"/>
              </w:rPr>
            </w:pPr>
            <w:r w:rsidRPr="00FE3EAF">
              <w:rPr>
                <w:rFonts w:eastAsia="Times New Roman"/>
                <w:sz w:val="20"/>
                <w:szCs w:val="20"/>
              </w:rPr>
              <w:t xml:space="preserve">  5.5</w:t>
            </w:r>
          </w:p>
        </w:tc>
      </w:tr>
      <w:tr w:rsidR="00FE3EAF" w:rsidRPr="00FE3EAF" w14:paraId="7722E5B0" w14:textId="77777777" w:rsidTr="00640159">
        <w:tc>
          <w:tcPr>
            <w:tcW w:w="742" w:type="pct"/>
            <w:vMerge/>
            <w:tcBorders>
              <w:left w:val="single" w:sz="18" w:space="0" w:color="auto"/>
              <w:bottom w:val="double" w:sz="4" w:space="0" w:color="auto"/>
              <w:right w:val="single" w:sz="4" w:space="0" w:color="auto"/>
            </w:tcBorders>
            <w:vAlign w:val="center"/>
          </w:tcPr>
          <w:p w14:paraId="1FE2A974" w14:textId="77777777" w:rsidR="00FE3EAF" w:rsidRPr="00FE3EAF" w:rsidRDefault="00FE3EAF" w:rsidP="00FE3EAF">
            <w:pPr>
              <w:jc w:val="left"/>
              <w:rPr>
                <w:rFonts w:eastAsia="Calibri"/>
                <w:bCs/>
                <w:color w:val="000000"/>
                <w:sz w:val="20"/>
                <w:szCs w:val="20"/>
              </w:rPr>
            </w:pPr>
          </w:p>
        </w:tc>
        <w:tc>
          <w:tcPr>
            <w:tcW w:w="1408" w:type="pct"/>
            <w:tcBorders>
              <w:top w:val="single" w:sz="4" w:space="0" w:color="auto"/>
              <w:left w:val="single" w:sz="4" w:space="0" w:color="auto"/>
              <w:bottom w:val="double" w:sz="4" w:space="0" w:color="auto"/>
              <w:right w:val="single" w:sz="18" w:space="0" w:color="auto"/>
            </w:tcBorders>
            <w:vAlign w:val="bottom"/>
          </w:tcPr>
          <w:p w14:paraId="558B8C26" w14:textId="77777777" w:rsidR="00FE3EAF" w:rsidRPr="00FE3EAF" w:rsidRDefault="00FE3EAF" w:rsidP="00FE3EAF">
            <w:pPr>
              <w:jc w:val="left"/>
              <w:rPr>
                <w:rFonts w:eastAsia="Calibri"/>
                <w:color w:val="000000"/>
                <w:sz w:val="20"/>
                <w:szCs w:val="20"/>
              </w:rPr>
            </w:pPr>
            <w:r w:rsidRPr="00FE3EAF">
              <w:rPr>
                <w:rFonts w:eastAsia="Calibri"/>
                <w:color w:val="000000"/>
                <w:sz w:val="20"/>
                <w:szCs w:val="20"/>
              </w:rPr>
              <w:t>High</w:t>
            </w:r>
          </w:p>
        </w:tc>
        <w:tc>
          <w:tcPr>
            <w:tcW w:w="597" w:type="pct"/>
            <w:tcBorders>
              <w:top w:val="single" w:sz="4" w:space="0" w:color="auto"/>
              <w:left w:val="single" w:sz="18" w:space="0" w:color="auto"/>
              <w:bottom w:val="double" w:sz="4" w:space="0" w:color="auto"/>
              <w:right w:val="single" w:sz="4" w:space="0" w:color="auto"/>
            </w:tcBorders>
            <w:vAlign w:val="bottom"/>
          </w:tcPr>
          <w:p w14:paraId="658C72CE" w14:textId="77777777" w:rsidR="00FE3EAF" w:rsidRPr="00FE3EAF" w:rsidRDefault="00FE3EAF" w:rsidP="00FE3EAF">
            <w:pPr>
              <w:jc w:val="center"/>
              <w:rPr>
                <w:rFonts w:eastAsia="Calibri"/>
                <w:sz w:val="20"/>
                <w:szCs w:val="20"/>
              </w:rPr>
            </w:pPr>
            <w:r w:rsidRPr="00FE3EAF">
              <w:rPr>
                <w:rFonts w:eastAsia="Calibri"/>
                <w:color w:val="000000"/>
                <w:sz w:val="20"/>
                <w:szCs w:val="20"/>
              </w:rPr>
              <w:t>67.9</w:t>
            </w:r>
          </w:p>
        </w:tc>
        <w:tc>
          <w:tcPr>
            <w:tcW w:w="597" w:type="pct"/>
            <w:tcBorders>
              <w:top w:val="single" w:sz="4" w:space="0" w:color="auto"/>
              <w:left w:val="single" w:sz="4" w:space="0" w:color="auto"/>
              <w:bottom w:val="double" w:sz="4" w:space="0" w:color="auto"/>
              <w:right w:val="single" w:sz="18" w:space="0" w:color="auto"/>
            </w:tcBorders>
            <w:vAlign w:val="bottom"/>
          </w:tcPr>
          <w:p w14:paraId="581D4358" w14:textId="77777777" w:rsidR="00FE3EAF" w:rsidRPr="00FE3EAF" w:rsidRDefault="00FE3EAF" w:rsidP="00FE3EAF">
            <w:pPr>
              <w:jc w:val="center"/>
              <w:rPr>
                <w:rFonts w:eastAsia="Calibri"/>
                <w:sz w:val="20"/>
                <w:szCs w:val="20"/>
              </w:rPr>
            </w:pPr>
            <w:r w:rsidRPr="00FE3EAF">
              <w:rPr>
                <w:rFonts w:eastAsia="Calibri"/>
                <w:color w:val="000000"/>
                <w:sz w:val="20"/>
                <w:szCs w:val="20"/>
              </w:rPr>
              <w:t>71.8</w:t>
            </w:r>
          </w:p>
        </w:tc>
        <w:tc>
          <w:tcPr>
            <w:tcW w:w="597" w:type="pct"/>
            <w:tcBorders>
              <w:top w:val="single" w:sz="4" w:space="0" w:color="auto"/>
              <w:left w:val="single" w:sz="18" w:space="0" w:color="auto"/>
              <w:bottom w:val="double" w:sz="4" w:space="0" w:color="auto"/>
              <w:right w:val="single" w:sz="4" w:space="0" w:color="auto"/>
            </w:tcBorders>
            <w:vAlign w:val="bottom"/>
          </w:tcPr>
          <w:p w14:paraId="75AD6021" w14:textId="77777777" w:rsidR="00FE3EAF" w:rsidRPr="00FE3EAF" w:rsidRDefault="00FE3EAF" w:rsidP="00FE3EAF">
            <w:pPr>
              <w:jc w:val="center"/>
              <w:rPr>
                <w:rFonts w:eastAsia="Calibri"/>
                <w:sz w:val="20"/>
                <w:szCs w:val="20"/>
              </w:rPr>
            </w:pPr>
            <w:r w:rsidRPr="00FE3EAF">
              <w:rPr>
                <w:rFonts w:eastAsia="Calibri"/>
                <w:color w:val="000000"/>
                <w:sz w:val="20"/>
                <w:szCs w:val="20"/>
              </w:rPr>
              <w:t>19.5</w:t>
            </w:r>
          </w:p>
        </w:tc>
        <w:tc>
          <w:tcPr>
            <w:tcW w:w="597" w:type="pct"/>
            <w:tcBorders>
              <w:top w:val="single" w:sz="4" w:space="0" w:color="auto"/>
              <w:left w:val="single" w:sz="4" w:space="0" w:color="auto"/>
              <w:bottom w:val="double" w:sz="4" w:space="0" w:color="auto"/>
              <w:right w:val="single" w:sz="18" w:space="0" w:color="auto"/>
            </w:tcBorders>
            <w:vAlign w:val="bottom"/>
          </w:tcPr>
          <w:p w14:paraId="174DD80A" w14:textId="77777777" w:rsidR="00FE3EAF" w:rsidRPr="00FE3EAF" w:rsidRDefault="00FE3EAF" w:rsidP="00FE3EAF">
            <w:pPr>
              <w:jc w:val="center"/>
              <w:rPr>
                <w:rFonts w:eastAsia="Calibri"/>
                <w:sz w:val="20"/>
                <w:szCs w:val="20"/>
              </w:rPr>
            </w:pPr>
            <w:r w:rsidRPr="00FE3EAF">
              <w:rPr>
                <w:rFonts w:eastAsia="Calibri"/>
                <w:color w:val="000000"/>
                <w:sz w:val="20"/>
                <w:szCs w:val="20"/>
              </w:rPr>
              <w:t>80.5</w:t>
            </w:r>
          </w:p>
        </w:tc>
        <w:tc>
          <w:tcPr>
            <w:tcW w:w="462" w:type="pct"/>
            <w:tcBorders>
              <w:top w:val="single" w:sz="4" w:space="0" w:color="auto"/>
              <w:left w:val="single" w:sz="4" w:space="0" w:color="auto"/>
              <w:bottom w:val="double" w:sz="4" w:space="0" w:color="auto"/>
              <w:right w:val="single" w:sz="18" w:space="0" w:color="auto"/>
            </w:tcBorders>
            <w:vAlign w:val="center"/>
          </w:tcPr>
          <w:p w14:paraId="2065A976" w14:textId="77777777" w:rsidR="00FE3EAF" w:rsidRPr="00FE3EAF" w:rsidRDefault="00FE3EAF" w:rsidP="00FE3EAF">
            <w:pPr>
              <w:jc w:val="center"/>
              <w:rPr>
                <w:rFonts w:eastAsia="Calibri"/>
                <w:sz w:val="20"/>
                <w:szCs w:val="20"/>
              </w:rPr>
            </w:pPr>
            <w:r w:rsidRPr="00FE3EAF">
              <w:rPr>
                <w:rFonts w:eastAsia="Times New Roman"/>
                <w:sz w:val="20"/>
                <w:szCs w:val="20"/>
              </w:rPr>
              <w:t>71.1</w:t>
            </w:r>
          </w:p>
        </w:tc>
      </w:tr>
      <w:tr w:rsidR="00FE3EAF" w:rsidRPr="00FE3EAF" w14:paraId="755C8EC2" w14:textId="77777777" w:rsidTr="00640159">
        <w:tc>
          <w:tcPr>
            <w:tcW w:w="5000" w:type="pct"/>
            <w:gridSpan w:val="7"/>
            <w:tcBorders>
              <w:left w:val="single" w:sz="18" w:space="0" w:color="auto"/>
              <w:bottom w:val="double" w:sz="4" w:space="0" w:color="auto"/>
              <w:right w:val="single" w:sz="18" w:space="0" w:color="auto"/>
            </w:tcBorders>
            <w:vAlign w:val="center"/>
          </w:tcPr>
          <w:p w14:paraId="10D27844" w14:textId="77777777" w:rsidR="00FE3EAF" w:rsidRPr="00FE3EAF" w:rsidRDefault="00FE3EAF" w:rsidP="00FE3EAF">
            <w:pPr>
              <w:jc w:val="left"/>
              <w:rPr>
                <w:rFonts w:eastAsia="Calibri"/>
                <w:sz w:val="20"/>
                <w:szCs w:val="20"/>
              </w:rPr>
            </w:pPr>
            <w:r w:rsidRPr="00FE3EAF">
              <w:rPr>
                <w:rFonts w:eastAsia="Calibri"/>
                <w:b/>
                <w:i/>
                <w:sz w:val="20"/>
                <w:szCs w:val="20"/>
              </w:rPr>
              <w:t>Job-level Characteristics</w:t>
            </w:r>
          </w:p>
        </w:tc>
      </w:tr>
      <w:tr w:rsidR="00FE3EAF" w:rsidRPr="00FE3EAF" w14:paraId="5C880E6E" w14:textId="77777777" w:rsidTr="00640159">
        <w:tc>
          <w:tcPr>
            <w:tcW w:w="742" w:type="pct"/>
            <w:vMerge w:val="restart"/>
            <w:tcBorders>
              <w:left w:val="single" w:sz="18" w:space="0" w:color="auto"/>
              <w:right w:val="single" w:sz="4" w:space="0" w:color="auto"/>
            </w:tcBorders>
            <w:vAlign w:val="center"/>
          </w:tcPr>
          <w:p w14:paraId="7ADDA24F" w14:textId="77777777" w:rsidR="00FE3EAF" w:rsidRPr="00FE3EAF" w:rsidRDefault="00FE3EAF" w:rsidP="00FE3EAF">
            <w:pPr>
              <w:jc w:val="left"/>
              <w:rPr>
                <w:rFonts w:eastAsia="Calibri"/>
                <w:bCs/>
                <w:color w:val="000000"/>
                <w:sz w:val="20"/>
                <w:szCs w:val="20"/>
              </w:rPr>
            </w:pPr>
            <w:r w:rsidRPr="00FE3EAF">
              <w:rPr>
                <w:rFonts w:eastAsia="Calibri"/>
                <w:bCs/>
                <w:color w:val="000000"/>
                <w:sz w:val="20"/>
                <w:szCs w:val="20"/>
              </w:rPr>
              <w:t>Employment status</w:t>
            </w:r>
          </w:p>
        </w:tc>
        <w:tc>
          <w:tcPr>
            <w:tcW w:w="1408" w:type="pct"/>
            <w:tcBorders>
              <w:top w:val="single" w:sz="4" w:space="0" w:color="auto"/>
              <w:left w:val="single" w:sz="4" w:space="0" w:color="auto"/>
              <w:bottom w:val="single" w:sz="4" w:space="0" w:color="auto"/>
              <w:right w:val="single" w:sz="18" w:space="0" w:color="auto"/>
            </w:tcBorders>
            <w:vAlign w:val="bottom"/>
          </w:tcPr>
          <w:p w14:paraId="23A89807" w14:textId="77777777" w:rsidR="00FE3EAF" w:rsidRPr="00FE3EAF" w:rsidRDefault="00FE3EAF" w:rsidP="00FE3EAF">
            <w:pPr>
              <w:jc w:val="left"/>
              <w:rPr>
                <w:rFonts w:eastAsia="Calibri"/>
                <w:sz w:val="20"/>
                <w:szCs w:val="20"/>
              </w:rPr>
            </w:pPr>
            <w:r w:rsidRPr="00FE3EAF">
              <w:rPr>
                <w:rFonts w:eastAsia="Calibri"/>
                <w:sz w:val="20"/>
                <w:szCs w:val="20"/>
              </w:rPr>
              <w:t>Employed part-time</w:t>
            </w:r>
          </w:p>
        </w:tc>
        <w:tc>
          <w:tcPr>
            <w:tcW w:w="597" w:type="pct"/>
            <w:tcBorders>
              <w:top w:val="single" w:sz="4" w:space="0" w:color="auto"/>
              <w:left w:val="single" w:sz="18" w:space="0" w:color="auto"/>
              <w:bottom w:val="single" w:sz="4" w:space="0" w:color="auto"/>
              <w:right w:val="single" w:sz="4" w:space="0" w:color="auto"/>
            </w:tcBorders>
            <w:vAlign w:val="bottom"/>
          </w:tcPr>
          <w:p w14:paraId="15DD0A9B" w14:textId="77777777" w:rsidR="00FE3EAF" w:rsidRPr="00FE3EAF" w:rsidRDefault="00FE3EAF" w:rsidP="00FE3EAF">
            <w:pPr>
              <w:jc w:val="center"/>
              <w:rPr>
                <w:rFonts w:eastAsia="Calibri"/>
                <w:sz w:val="20"/>
                <w:szCs w:val="20"/>
              </w:rPr>
            </w:pPr>
            <w:r w:rsidRPr="00FE3EAF">
              <w:rPr>
                <w:rFonts w:eastAsia="Calibri"/>
                <w:color w:val="000000"/>
                <w:sz w:val="20"/>
                <w:szCs w:val="20"/>
              </w:rPr>
              <w:t xml:space="preserve">  4.2</w:t>
            </w:r>
          </w:p>
        </w:tc>
        <w:tc>
          <w:tcPr>
            <w:tcW w:w="597" w:type="pct"/>
            <w:tcBorders>
              <w:top w:val="single" w:sz="4" w:space="0" w:color="auto"/>
              <w:left w:val="single" w:sz="4" w:space="0" w:color="auto"/>
              <w:bottom w:val="single" w:sz="4" w:space="0" w:color="auto"/>
              <w:right w:val="single" w:sz="18" w:space="0" w:color="auto"/>
            </w:tcBorders>
            <w:vAlign w:val="bottom"/>
          </w:tcPr>
          <w:p w14:paraId="5BEC896A" w14:textId="77777777" w:rsidR="00FE3EAF" w:rsidRPr="00FE3EAF" w:rsidRDefault="00FE3EAF" w:rsidP="00FE3EAF">
            <w:pPr>
              <w:jc w:val="center"/>
              <w:rPr>
                <w:rFonts w:eastAsia="Calibri"/>
                <w:sz w:val="20"/>
                <w:szCs w:val="20"/>
              </w:rPr>
            </w:pPr>
            <w:r w:rsidRPr="00FE3EAF">
              <w:rPr>
                <w:rFonts w:eastAsia="Calibri"/>
                <w:color w:val="000000"/>
                <w:sz w:val="20"/>
                <w:szCs w:val="20"/>
              </w:rPr>
              <w:t xml:space="preserve">  2.7</w:t>
            </w:r>
          </w:p>
        </w:tc>
        <w:tc>
          <w:tcPr>
            <w:tcW w:w="597" w:type="pct"/>
            <w:tcBorders>
              <w:top w:val="single" w:sz="4" w:space="0" w:color="auto"/>
              <w:left w:val="single" w:sz="18" w:space="0" w:color="auto"/>
              <w:bottom w:val="single" w:sz="4" w:space="0" w:color="auto"/>
              <w:right w:val="single" w:sz="4" w:space="0" w:color="auto"/>
            </w:tcBorders>
            <w:vAlign w:val="bottom"/>
          </w:tcPr>
          <w:p w14:paraId="1C608EB0" w14:textId="77777777" w:rsidR="00FE3EAF" w:rsidRPr="00FE3EAF" w:rsidRDefault="00FE3EAF" w:rsidP="00FE3EAF">
            <w:pPr>
              <w:jc w:val="center"/>
              <w:rPr>
                <w:rFonts w:eastAsia="Calibri"/>
                <w:sz w:val="20"/>
                <w:szCs w:val="20"/>
              </w:rPr>
            </w:pPr>
            <w:r w:rsidRPr="00FE3EAF">
              <w:rPr>
                <w:rFonts w:eastAsia="Calibri"/>
                <w:color w:val="000000"/>
                <w:sz w:val="20"/>
                <w:szCs w:val="20"/>
              </w:rPr>
              <w:t>26.5</w:t>
            </w:r>
          </w:p>
        </w:tc>
        <w:tc>
          <w:tcPr>
            <w:tcW w:w="597" w:type="pct"/>
            <w:tcBorders>
              <w:top w:val="single" w:sz="4" w:space="0" w:color="auto"/>
              <w:left w:val="single" w:sz="4" w:space="0" w:color="auto"/>
              <w:bottom w:val="single" w:sz="4" w:space="0" w:color="auto"/>
              <w:right w:val="single" w:sz="18" w:space="0" w:color="auto"/>
            </w:tcBorders>
            <w:vAlign w:val="bottom"/>
          </w:tcPr>
          <w:p w14:paraId="3F4EADFC" w14:textId="77777777" w:rsidR="00FE3EAF" w:rsidRPr="00FE3EAF" w:rsidRDefault="00FE3EAF" w:rsidP="00FE3EAF">
            <w:pPr>
              <w:jc w:val="center"/>
              <w:rPr>
                <w:rFonts w:eastAsia="Calibri"/>
                <w:sz w:val="20"/>
                <w:szCs w:val="20"/>
              </w:rPr>
            </w:pPr>
            <w:r w:rsidRPr="00FE3EAF">
              <w:rPr>
                <w:rFonts w:eastAsia="Calibri"/>
                <w:color w:val="000000"/>
                <w:sz w:val="20"/>
                <w:szCs w:val="20"/>
              </w:rPr>
              <w:t>73.5</w:t>
            </w:r>
          </w:p>
        </w:tc>
        <w:tc>
          <w:tcPr>
            <w:tcW w:w="462" w:type="pct"/>
            <w:tcBorders>
              <w:top w:val="double" w:sz="4" w:space="0" w:color="auto"/>
              <w:left w:val="single" w:sz="4" w:space="0" w:color="auto"/>
              <w:bottom w:val="single" w:sz="4" w:space="0" w:color="auto"/>
              <w:right w:val="single" w:sz="18" w:space="0" w:color="auto"/>
            </w:tcBorders>
            <w:vAlign w:val="center"/>
          </w:tcPr>
          <w:p w14:paraId="4875714A" w14:textId="77777777" w:rsidR="00FE3EAF" w:rsidRPr="00FE3EAF" w:rsidRDefault="00FE3EAF" w:rsidP="00FE3EAF">
            <w:pPr>
              <w:jc w:val="center"/>
              <w:rPr>
                <w:rFonts w:eastAsia="Calibri"/>
                <w:sz w:val="20"/>
                <w:szCs w:val="20"/>
              </w:rPr>
            </w:pPr>
            <w:r w:rsidRPr="00FE3EAF">
              <w:rPr>
                <w:rFonts w:eastAsia="Calibri"/>
                <w:sz w:val="20"/>
                <w:szCs w:val="20"/>
              </w:rPr>
              <w:t xml:space="preserve">  4.3</w:t>
            </w:r>
          </w:p>
        </w:tc>
      </w:tr>
      <w:tr w:rsidR="00FE3EAF" w:rsidRPr="00FE3EAF" w14:paraId="32E29AB0" w14:textId="77777777" w:rsidTr="00640159">
        <w:tc>
          <w:tcPr>
            <w:tcW w:w="742" w:type="pct"/>
            <w:vMerge/>
            <w:tcBorders>
              <w:left w:val="single" w:sz="18" w:space="0" w:color="auto"/>
              <w:right w:val="single" w:sz="4" w:space="0" w:color="auto"/>
            </w:tcBorders>
            <w:vAlign w:val="center"/>
          </w:tcPr>
          <w:p w14:paraId="6A9E7709" w14:textId="77777777" w:rsidR="00FE3EAF" w:rsidRPr="00FE3EAF" w:rsidRDefault="00FE3EAF" w:rsidP="00FE3EAF">
            <w:pPr>
              <w:jc w:val="left"/>
              <w:rPr>
                <w:rFonts w:eastAsia="Calibri"/>
                <w:bCs/>
                <w:color w:val="000000"/>
                <w:sz w:val="20"/>
                <w:szCs w:val="20"/>
              </w:rPr>
            </w:pPr>
          </w:p>
        </w:tc>
        <w:tc>
          <w:tcPr>
            <w:tcW w:w="1408" w:type="pct"/>
            <w:tcBorders>
              <w:top w:val="single" w:sz="4" w:space="0" w:color="auto"/>
              <w:left w:val="single" w:sz="4" w:space="0" w:color="auto"/>
              <w:bottom w:val="single" w:sz="4" w:space="0" w:color="auto"/>
              <w:right w:val="single" w:sz="18" w:space="0" w:color="auto"/>
            </w:tcBorders>
            <w:vAlign w:val="bottom"/>
          </w:tcPr>
          <w:p w14:paraId="5C4995BF" w14:textId="77777777" w:rsidR="00FE3EAF" w:rsidRPr="00FE3EAF" w:rsidRDefault="00FE3EAF" w:rsidP="00FE3EAF">
            <w:pPr>
              <w:jc w:val="left"/>
              <w:rPr>
                <w:rFonts w:eastAsia="Calibri"/>
                <w:sz w:val="20"/>
                <w:szCs w:val="20"/>
              </w:rPr>
            </w:pPr>
            <w:r w:rsidRPr="00FE3EAF">
              <w:rPr>
                <w:rFonts w:eastAsia="Calibri"/>
                <w:sz w:val="20"/>
                <w:szCs w:val="20"/>
              </w:rPr>
              <w:t>Employed full-time</w:t>
            </w:r>
          </w:p>
        </w:tc>
        <w:tc>
          <w:tcPr>
            <w:tcW w:w="597" w:type="pct"/>
            <w:tcBorders>
              <w:top w:val="single" w:sz="4" w:space="0" w:color="auto"/>
              <w:left w:val="single" w:sz="18" w:space="0" w:color="auto"/>
              <w:bottom w:val="single" w:sz="4" w:space="0" w:color="auto"/>
              <w:right w:val="single" w:sz="4" w:space="0" w:color="auto"/>
            </w:tcBorders>
            <w:vAlign w:val="bottom"/>
          </w:tcPr>
          <w:p w14:paraId="0E02956F" w14:textId="77777777" w:rsidR="00FE3EAF" w:rsidRPr="00FE3EAF" w:rsidRDefault="00FE3EAF" w:rsidP="00FE3EAF">
            <w:pPr>
              <w:jc w:val="center"/>
              <w:rPr>
                <w:rFonts w:eastAsia="Calibri"/>
                <w:sz w:val="20"/>
                <w:szCs w:val="20"/>
              </w:rPr>
            </w:pPr>
            <w:r w:rsidRPr="00FE3EAF">
              <w:rPr>
                <w:rFonts w:eastAsia="Calibri"/>
                <w:color w:val="000000"/>
                <w:sz w:val="20"/>
                <w:szCs w:val="20"/>
              </w:rPr>
              <w:t>95.8</w:t>
            </w:r>
          </w:p>
        </w:tc>
        <w:tc>
          <w:tcPr>
            <w:tcW w:w="597" w:type="pct"/>
            <w:tcBorders>
              <w:top w:val="single" w:sz="4" w:space="0" w:color="auto"/>
              <w:left w:val="single" w:sz="4" w:space="0" w:color="auto"/>
              <w:bottom w:val="single" w:sz="4" w:space="0" w:color="auto"/>
              <w:right w:val="single" w:sz="18" w:space="0" w:color="auto"/>
            </w:tcBorders>
            <w:vAlign w:val="bottom"/>
          </w:tcPr>
          <w:p w14:paraId="142B7D06" w14:textId="77777777" w:rsidR="00FE3EAF" w:rsidRPr="00FE3EAF" w:rsidRDefault="00FE3EAF" w:rsidP="00FE3EAF">
            <w:pPr>
              <w:jc w:val="center"/>
              <w:rPr>
                <w:rFonts w:eastAsia="Calibri"/>
                <w:sz w:val="20"/>
                <w:szCs w:val="20"/>
              </w:rPr>
            </w:pPr>
            <w:r w:rsidRPr="00FE3EAF">
              <w:rPr>
                <w:rFonts w:eastAsia="Calibri"/>
                <w:color w:val="000000"/>
                <w:sz w:val="20"/>
                <w:szCs w:val="20"/>
              </w:rPr>
              <w:t>97.3</w:t>
            </w:r>
          </w:p>
        </w:tc>
        <w:tc>
          <w:tcPr>
            <w:tcW w:w="597" w:type="pct"/>
            <w:tcBorders>
              <w:top w:val="single" w:sz="4" w:space="0" w:color="auto"/>
              <w:left w:val="single" w:sz="18" w:space="0" w:color="auto"/>
              <w:bottom w:val="single" w:sz="4" w:space="0" w:color="auto"/>
              <w:right w:val="single" w:sz="4" w:space="0" w:color="auto"/>
            </w:tcBorders>
            <w:vAlign w:val="bottom"/>
          </w:tcPr>
          <w:p w14:paraId="6367FD69" w14:textId="77777777" w:rsidR="00FE3EAF" w:rsidRPr="00FE3EAF" w:rsidRDefault="00FE3EAF" w:rsidP="00FE3EAF">
            <w:pPr>
              <w:jc w:val="center"/>
              <w:rPr>
                <w:rFonts w:eastAsia="Calibri"/>
                <w:sz w:val="20"/>
                <w:szCs w:val="20"/>
              </w:rPr>
            </w:pPr>
            <w:r w:rsidRPr="00FE3EAF">
              <w:rPr>
                <w:rFonts w:eastAsia="Calibri"/>
                <w:color w:val="000000"/>
                <w:sz w:val="20"/>
                <w:szCs w:val="20"/>
              </w:rPr>
              <w:t>20.1</w:t>
            </w:r>
          </w:p>
        </w:tc>
        <w:tc>
          <w:tcPr>
            <w:tcW w:w="597" w:type="pct"/>
            <w:tcBorders>
              <w:top w:val="single" w:sz="4" w:space="0" w:color="auto"/>
              <w:left w:val="single" w:sz="4" w:space="0" w:color="auto"/>
              <w:bottom w:val="single" w:sz="4" w:space="0" w:color="auto"/>
              <w:right w:val="single" w:sz="18" w:space="0" w:color="auto"/>
            </w:tcBorders>
            <w:vAlign w:val="bottom"/>
          </w:tcPr>
          <w:p w14:paraId="277181C2" w14:textId="77777777" w:rsidR="00FE3EAF" w:rsidRPr="00FE3EAF" w:rsidRDefault="00FE3EAF" w:rsidP="00FE3EAF">
            <w:pPr>
              <w:jc w:val="center"/>
              <w:rPr>
                <w:rFonts w:eastAsia="Calibri"/>
                <w:sz w:val="20"/>
                <w:szCs w:val="20"/>
              </w:rPr>
            </w:pPr>
            <w:r w:rsidRPr="00FE3EAF">
              <w:rPr>
                <w:rFonts w:eastAsia="Calibri"/>
                <w:color w:val="000000"/>
                <w:sz w:val="20"/>
                <w:szCs w:val="20"/>
              </w:rPr>
              <w:t>79.9</w:t>
            </w:r>
          </w:p>
        </w:tc>
        <w:tc>
          <w:tcPr>
            <w:tcW w:w="462" w:type="pct"/>
            <w:tcBorders>
              <w:top w:val="single" w:sz="4" w:space="0" w:color="auto"/>
              <w:left w:val="single" w:sz="4" w:space="0" w:color="auto"/>
              <w:bottom w:val="single" w:sz="4" w:space="0" w:color="auto"/>
              <w:right w:val="single" w:sz="18" w:space="0" w:color="auto"/>
            </w:tcBorders>
            <w:vAlign w:val="center"/>
          </w:tcPr>
          <w:p w14:paraId="488BB66F" w14:textId="77777777" w:rsidR="00FE3EAF" w:rsidRPr="00FE3EAF" w:rsidRDefault="00FE3EAF" w:rsidP="00FE3EAF">
            <w:pPr>
              <w:jc w:val="center"/>
              <w:rPr>
                <w:rFonts w:eastAsia="Calibri"/>
                <w:sz w:val="20"/>
                <w:szCs w:val="20"/>
              </w:rPr>
            </w:pPr>
            <w:r w:rsidRPr="00FE3EAF">
              <w:rPr>
                <w:rFonts w:eastAsia="Calibri"/>
                <w:sz w:val="20"/>
                <w:szCs w:val="20"/>
              </w:rPr>
              <w:t>95.7</w:t>
            </w:r>
          </w:p>
        </w:tc>
      </w:tr>
      <w:tr w:rsidR="00FE3EAF" w:rsidRPr="00FE3EAF" w14:paraId="03B29900" w14:textId="77777777" w:rsidTr="00640159">
        <w:tc>
          <w:tcPr>
            <w:tcW w:w="742" w:type="pct"/>
            <w:vMerge w:val="restart"/>
            <w:tcBorders>
              <w:left w:val="single" w:sz="18" w:space="0" w:color="auto"/>
              <w:right w:val="single" w:sz="4" w:space="0" w:color="auto"/>
            </w:tcBorders>
            <w:vAlign w:val="center"/>
          </w:tcPr>
          <w:p w14:paraId="3A552E06" w14:textId="77777777" w:rsidR="00FE3EAF" w:rsidRPr="00FE3EAF" w:rsidRDefault="00FE3EAF" w:rsidP="00FE3EAF">
            <w:pPr>
              <w:jc w:val="left"/>
              <w:rPr>
                <w:rFonts w:eastAsia="Calibri"/>
                <w:bCs/>
                <w:color w:val="000000"/>
                <w:sz w:val="20"/>
                <w:szCs w:val="20"/>
              </w:rPr>
            </w:pPr>
            <w:r w:rsidRPr="00FE3EAF">
              <w:rPr>
                <w:rFonts w:eastAsia="Calibri"/>
                <w:bCs/>
                <w:color w:val="000000"/>
                <w:sz w:val="20"/>
                <w:szCs w:val="20"/>
              </w:rPr>
              <w:t xml:space="preserve">Occupation </w:t>
            </w:r>
          </w:p>
        </w:tc>
        <w:tc>
          <w:tcPr>
            <w:tcW w:w="1408" w:type="pct"/>
            <w:tcBorders>
              <w:top w:val="single" w:sz="4" w:space="0" w:color="auto"/>
              <w:left w:val="single" w:sz="4" w:space="0" w:color="auto"/>
              <w:bottom w:val="single" w:sz="4" w:space="0" w:color="auto"/>
              <w:right w:val="single" w:sz="18" w:space="0" w:color="auto"/>
            </w:tcBorders>
            <w:vAlign w:val="bottom"/>
          </w:tcPr>
          <w:p w14:paraId="70D37F15" w14:textId="77777777" w:rsidR="00FE3EAF" w:rsidRPr="00FE3EAF" w:rsidRDefault="00FE3EAF" w:rsidP="00FE3EAF">
            <w:pPr>
              <w:jc w:val="left"/>
              <w:rPr>
                <w:rFonts w:eastAsia="Calibri"/>
                <w:color w:val="000000"/>
                <w:sz w:val="20"/>
                <w:szCs w:val="20"/>
              </w:rPr>
            </w:pPr>
            <w:r w:rsidRPr="00FE3EAF">
              <w:rPr>
                <w:rFonts w:eastAsia="Calibri"/>
                <w:sz w:val="20"/>
                <w:szCs w:val="20"/>
              </w:rPr>
              <w:t>Managerial or technical job</w:t>
            </w:r>
          </w:p>
        </w:tc>
        <w:tc>
          <w:tcPr>
            <w:tcW w:w="597" w:type="pct"/>
            <w:tcBorders>
              <w:top w:val="single" w:sz="4" w:space="0" w:color="auto"/>
              <w:left w:val="single" w:sz="18" w:space="0" w:color="auto"/>
              <w:bottom w:val="single" w:sz="4" w:space="0" w:color="auto"/>
              <w:right w:val="single" w:sz="4" w:space="0" w:color="auto"/>
            </w:tcBorders>
            <w:vAlign w:val="bottom"/>
          </w:tcPr>
          <w:p w14:paraId="7CBF3FD6" w14:textId="77777777" w:rsidR="00FE3EAF" w:rsidRPr="00FE3EAF" w:rsidRDefault="00FE3EAF" w:rsidP="00FE3EAF">
            <w:pPr>
              <w:jc w:val="center"/>
              <w:rPr>
                <w:rFonts w:eastAsia="Calibri"/>
                <w:sz w:val="20"/>
                <w:szCs w:val="20"/>
              </w:rPr>
            </w:pPr>
            <w:r w:rsidRPr="00FE3EAF">
              <w:rPr>
                <w:rFonts w:eastAsia="Calibri"/>
                <w:color w:val="000000"/>
                <w:sz w:val="20"/>
                <w:szCs w:val="20"/>
              </w:rPr>
              <w:t>77.9</w:t>
            </w:r>
          </w:p>
        </w:tc>
        <w:tc>
          <w:tcPr>
            <w:tcW w:w="597" w:type="pct"/>
            <w:tcBorders>
              <w:top w:val="single" w:sz="4" w:space="0" w:color="auto"/>
              <w:left w:val="single" w:sz="4" w:space="0" w:color="auto"/>
              <w:bottom w:val="single" w:sz="4" w:space="0" w:color="auto"/>
              <w:right w:val="single" w:sz="18" w:space="0" w:color="auto"/>
            </w:tcBorders>
            <w:vAlign w:val="bottom"/>
          </w:tcPr>
          <w:p w14:paraId="5000F4A5" w14:textId="77777777" w:rsidR="00FE3EAF" w:rsidRPr="00FE3EAF" w:rsidRDefault="00FE3EAF" w:rsidP="00FE3EAF">
            <w:pPr>
              <w:jc w:val="center"/>
              <w:rPr>
                <w:rFonts w:eastAsia="Calibri"/>
                <w:sz w:val="20"/>
                <w:szCs w:val="20"/>
              </w:rPr>
            </w:pPr>
            <w:r w:rsidRPr="00FE3EAF">
              <w:rPr>
                <w:rFonts w:eastAsia="Calibri"/>
                <w:color w:val="000000"/>
                <w:sz w:val="20"/>
                <w:szCs w:val="20"/>
              </w:rPr>
              <w:t>76.4</w:t>
            </w:r>
          </w:p>
        </w:tc>
        <w:tc>
          <w:tcPr>
            <w:tcW w:w="597" w:type="pct"/>
            <w:tcBorders>
              <w:top w:val="single" w:sz="4" w:space="0" w:color="auto"/>
              <w:left w:val="single" w:sz="18" w:space="0" w:color="auto"/>
              <w:bottom w:val="single" w:sz="4" w:space="0" w:color="auto"/>
              <w:right w:val="single" w:sz="4" w:space="0" w:color="auto"/>
            </w:tcBorders>
            <w:vAlign w:val="bottom"/>
          </w:tcPr>
          <w:p w14:paraId="4FB63A2D" w14:textId="77777777" w:rsidR="00FE3EAF" w:rsidRPr="00FE3EAF" w:rsidRDefault="00FE3EAF" w:rsidP="00FE3EAF">
            <w:pPr>
              <w:jc w:val="center"/>
              <w:rPr>
                <w:rFonts w:eastAsia="Calibri"/>
                <w:sz w:val="20"/>
                <w:szCs w:val="20"/>
              </w:rPr>
            </w:pPr>
            <w:r w:rsidRPr="00FE3EAF">
              <w:rPr>
                <w:rFonts w:eastAsia="Calibri"/>
                <w:color w:val="000000"/>
                <w:sz w:val="20"/>
                <w:szCs w:val="20"/>
              </w:rPr>
              <w:t>20.6</w:t>
            </w:r>
          </w:p>
        </w:tc>
        <w:tc>
          <w:tcPr>
            <w:tcW w:w="597" w:type="pct"/>
            <w:tcBorders>
              <w:top w:val="single" w:sz="4" w:space="0" w:color="auto"/>
              <w:left w:val="single" w:sz="4" w:space="0" w:color="auto"/>
              <w:bottom w:val="single" w:sz="4" w:space="0" w:color="auto"/>
              <w:right w:val="single" w:sz="18" w:space="0" w:color="auto"/>
            </w:tcBorders>
            <w:vAlign w:val="bottom"/>
          </w:tcPr>
          <w:p w14:paraId="1CE2C131" w14:textId="77777777" w:rsidR="00FE3EAF" w:rsidRPr="00FE3EAF" w:rsidRDefault="00FE3EAF" w:rsidP="00FE3EAF">
            <w:pPr>
              <w:jc w:val="center"/>
              <w:rPr>
                <w:rFonts w:eastAsia="Calibri"/>
                <w:sz w:val="20"/>
                <w:szCs w:val="20"/>
              </w:rPr>
            </w:pPr>
            <w:r w:rsidRPr="00FE3EAF">
              <w:rPr>
                <w:rFonts w:eastAsia="Calibri"/>
                <w:color w:val="000000"/>
                <w:sz w:val="20"/>
                <w:szCs w:val="20"/>
              </w:rPr>
              <w:t>79.4</w:t>
            </w:r>
          </w:p>
        </w:tc>
        <w:tc>
          <w:tcPr>
            <w:tcW w:w="462" w:type="pct"/>
            <w:tcBorders>
              <w:top w:val="single" w:sz="4" w:space="0" w:color="auto"/>
              <w:left w:val="single" w:sz="4" w:space="0" w:color="auto"/>
              <w:bottom w:val="single" w:sz="4" w:space="0" w:color="auto"/>
              <w:right w:val="single" w:sz="18" w:space="0" w:color="auto"/>
            </w:tcBorders>
            <w:vAlign w:val="center"/>
          </w:tcPr>
          <w:p w14:paraId="421A3D68" w14:textId="77777777" w:rsidR="00FE3EAF" w:rsidRPr="00FE3EAF" w:rsidRDefault="00FE3EAF" w:rsidP="00FE3EAF">
            <w:pPr>
              <w:jc w:val="center"/>
              <w:rPr>
                <w:rFonts w:eastAsia="Calibri"/>
                <w:sz w:val="20"/>
                <w:szCs w:val="20"/>
              </w:rPr>
            </w:pPr>
            <w:r w:rsidRPr="00FE3EAF">
              <w:rPr>
                <w:rFonts w:eastAsia="Calibri"/>
                <w:sz w:val="20"/>
                <w:szCs w:val="20"/>
              </w:rPr>
              <w:t>75.6</w:t>
            </w:r>
          </w:p>
        </w:tc>
      </w:tr>
      <w:tr w:rsidR="00FE3EAF" w:rsidRPr="00FE3EAF" w14:paraId="3B4D551D" w14:textId="77777777" w:rsidTr="00640159">
        <w:tc>
          <w:tcPr>
            <w:tcW w:w="742" w:type="pct"/>
            <w:vMerge/>
            <w:tcBorders>
              <w:left w:val="single" w:sz="18" w:space="0" w:color="auto"/>
              <w:right w:val="single" w:sz="4" w:space="0" w:color="auto"/>
            </w:tcBorders>
            <w:vAlign w:val="center"/>
          </w:tcPr>
          <w:p w14:paraId="75A43CC9" w14:textId="77777777" w:rsidR="00FE3EAF" w:rsidRPr="00FE3EAF" w:rsidRDefault="00FE3EAF" w:rsidP="00FE3EAF">
            <w:pPr>
              <w:jc w:val="left"/>
              <w:rPr>
                <w:rFonts w:eastAsia="Calibri"/>
                <w:bCs/>
                <w:color w:val="000000"/>
                <w:sz w:val="20"/>
                <w:szCs w:val="20"/>
              </w:rPr>
            </w:pPr>
          </w:p>
        </w:tc>
        <w:tc>
          <w:tcPr>
            <w:tcW w:w="1408" w:type="pct"/>
            <w:tcBorders>
              <w:top w:val="single" w:sz="4" w:space="0" w:color="auto"/>
              <w:left w:val="single" w:sz="4" w:space="0" w:color="auto"/>
              <w:bottom w:val="single" w:sz="4" w:space="0" w:color="auto"/>
              <w:right w:val="single" w:sz="18" w:space="0" w:color="auto"/>
            </w:tcBorders>
            <w:vAlign w:val="bottom"/>
          </w:tcPr>
          <w:p w14:paraId="38BCD62B" w14:textId="77777777" w:rsidR="00FE3EAF" w:rsidRPr="00FE3EAF" w:rsidRDefault="00FE3EAF" w:rsidP="00FE3EAF">
            <w:pPr>
              <w:jc w:val="left"/>
              <w:rPr>
                <w:rFonts w:eastAsia="Calibri"/>
                <w:color w:val="000000"/>
                <w:sz w:val="20"/>
                <w:szCs w:val="20"/>
              </w:rPr>
            </w:pPr>
            <w:r w:rsidRPr="00FE3EAF">
              <w:rPr>
                <w:rFonts w:eastAsia="Calibri"/>
                <w:color w:val="000000"/>
                <w:sz w:val="20"/>
                <w:szCs w:val="20"/>
              </w:rPr>
              <w:t>Healthcare</w:t>
            </w:r>
          </w:p>
        </w:tc>
        <w:tc>
          <w:tcPr>
            <w:tcW w:w="597" w:type="pct"/>
            <w:tcBorders>
              <w:top w:val="single" w:sz="4" w:space="0" w:color="auto"/>
              <w:left w:val="single" w:sz="18" w:space="0" w:color="auto"/>
              <w:bottom w:val="single" w:sz="4" w:space="0" w:color="auto"/>
              <w:right w:val="single" w:sz="4" w:space="0" w:color="auto"/>
            </w:tcBorders>
            <w:vAlign w:val="bottom"/>
          </w:tcPr>
          <w:p w14:paraId="3F70FFDF" w14:textId="77777777" w:rsidR="00FE3EAF" w:rsidRPr="00FE3EAF" w:rsidRDefault="00FE3EAF" w:rsidP="00FE3EAF">
            <w:pPr>
              <w:jc w:val="center"/>
              <w:rPr>
                <w:rFonts w:eastAsia="Calibri"/>
                <w:sz w:val="20"/>
                <w:szCs w:val="20"/>
              </w:rPr>
            </w:pPr>
            <w:r w:rsidRPr="00FE3EAF">
              <w:rPr>
                <w:rFonts w:eastAsia="Calibri"/>
                <w:color w:val="000000"/>
                <w:sz w:val="20"/>
                <w:szCs w:val="20"/>
              </w:rPr>
              <w:t xml:space="preserve">  4.8</w:t>
            </w:r>
          </w:p>
        </w:tc>
        <w:tc>
          <w:tcPr>
            <w:tcW w:w="597" w:type="pct"/>
            <w:tcBorders>
              <w:top w:val="single" w:sz="4" w:space="0" w:color="auto"/>
              <w:left w:val="single" w:sz="4" w:space="0" w:color="auto"/>
              <w:bottom w:val="single" w:sz="4" w:space="0" w:color="auto"/>
              <w:right w:val="single" w:sz="18" w:space="0" w:color="auto"/>
            </w:tcBorders>
            <w:vAlign w:val="bottom"/>
          </w:tcPr>
          <w:p w14:paraId="6D14D617" w14:textId="77777777" w:rsidR="00FE3EAF" w:rsidRPr="00FE3EAF" w:rsidRDefault="00FE3EAF" w:rsidP="00FE3EAF">
            <w:pPr>
              <w:jc w:val="center"/>
              <w:rPr>
                <w:rFonts w:eastAsia="Calibri"/>
                <w:sz w:val="20"/>
                <w:szCs w:val="20"/>
              </w:rPr>
            </w:pPr>
            <w:r w:rsidRPr="00FE3EAF">
              <w:rPr>
                <w:rFonts w:eastAsia="Calibri"/>
                <w:color w:val="000000"/>
                <w:sz w:val="20"/>
                <w:szCs w:val="20"/>
              </w:rPr>
              <w:t xml:space="preserve">  5.3</w:t>
            </w:r>
          </w:p>
        </w:tc>
        <w:tc>
          <w:tcPr>
            <w:tcW w:w="597" w:type="pct"/>
            <w:tcBorders>
              <w:top w:val="single" w:sz="4" w:space="0" w:color="auto"/>
              <w:left w:val="single" w:sz="18" w:space="0" w:color="auto"/>
              <w:bottom w:val="single" w:sz="4" w:space="0" w:color="auto"/>
              <w:right w:val="single" w:sz="4" w:space="0" w:color="auto"/>
            </w:tcBorders>
            <w:vAlign w:val="bottom"/>
          </w:tcPr>
          <w:p w14:paraId="53662684" w14:textId="77777777" w:rsidR="00FE3EAF" w:rsidRPr="00FE3EAF" w:rsidRDefault="00FE3EAF" w:rsidP="00FE3EAF">
            <w:pPr>
              <w:jc w:val="center"/>
              <w:rPr>
                <w:rFonts w:eastAsia="Calibri"/>
                <w:color w:val="000000"/>
                <w:sz w:val="20"/>
                <w:szCs w:val="20"/>
              </w:rPr>
            </w:pPr>
            <w:r w:rsidRPr="00FE3EAF">
              <w:rPr>
                <w:rFonts w:eastAsia="Calibri"/>
                <w:color w:val="000000"/>
                <w:sz w:val="20"/>
                <w:szCs w:val="20"/>
              </w:rPr>
              <w:t>19.6</w:t>
            </w:r>
          </w:p>
        </w:tc>
        <w:tc>
          <w:tcPr>
            <w:tcW w:w="597" w:type="pct"/>
            <w:tcBorders>
              <w:top w:val="single" w:sz="4" w:space="0" w:color="auto"/>
              <w:left w:val="single" w:sz="4" w:space="0" w:color="auto"/>
              <w:bottom w:val="single" w:sz="4" w:space="0" w:color="auto"/>
              <w:right w:val="single" w:sz="18" w:space="0" w:color="auto"/>
            </w:tcBorders>
            <w:vAlign w:val="bottom"/>
          </w:tcPr>
          <w:p w14:paraId="10E08107" w14:textId="77777777" w:rsidR="00FE3EAF" w:rsidRPr="00FE3EAF" w:rsidRDefault="00FE3EAF" w:rsidP="00FE3EAF">
            <w:pPr>
              <w:jc w:val="center"/>
              <w:rPr>
                <w:rFonts w:eastAsia="Calibri"/>
                <w:color w:val="000000"/>
                <w:sz w:val="20"/>
                <w:szCs w:val="20"/>
              </w:rPr>
            </w:pPr>
            <w:r w:rsidRPr="00FE3EAF">
              <w:rPr>
                <w:rFonts w:eastAsia="Calibri"/>
                <w:color w:val="000000"/>
                <w:sz w:val="20"/>
                <w:szCs w:val="20"/>
              </w:rPr>
              <w:t>80.4</w:t>
            </w:r>
          </w:p>
        </w:tc>
        <w:tc>
          <w:tcPr>
            <w:tcW w:w="462" w:type="pct"/>
            <w:tcBorders>
              <w:top w:val="single" w:sz="4" w:space="0" w:color="auto"/>
              <w:left w:val="single" w:sz="4" w:space="0" w:color="auto"/>
              <w:bottom w:val="single" w:sz="4" w:space="0" w:color="auto"/>
              <w:right w:val="single" w:sz="18" w:space="0" w:color="auto"/>
            </w:tcBorders>
            <w:vAlign w:val="center"/>
          </w:tcPr>
          <w:p w14:paraId="0FC2B2AD" w14:textId="77777777" w:rsidR="00FE3EAF" w:rsidRPr="00FE3EAF" w:rsidRDefault="00FE3EAF" w:rsidP="00FE3EAF">
            <w:pPr>
              <w:jc w:val="center"/>
              <w:rPr>
                <w:rFonts w:eastAsia="Calibri"/>
                <w:color w:val="000000"/>
                <w:sz w:val="20"/>
                <w:szCs w:val="20"/>
              </w:rPr>
            </w:pPr>
            <w:r w:rsidRPr="00FE3EAF">
              <w:rPr>
                <w:rFonts w:eastAsia="Calibri"/>
                <w:color w:val="000000"/>
                <w:sz w:val="20"/>
                <w:szCs w:val="20"/>
              </w:rPr>
              <w:t xml:space="preserve">  5.2</w:t>
            </w:r>
          </w:p>
        </w:tc>
      </w:tr>
      <w:tr w:rsidR="00FE3EAF" w:rsidRPr="00FE3EAF" w14:paraId="0878CD84" w14:textId="77777777" w:rsidTr="00640159">
        <w:tc>
          <w:tcPr>
            <w:tcW w:w="742" w:type="pct"/>
            <w:vMerge/>
            <w:tcBorders>
              <w:left w:val="single" w:sz="18" w:space="0" w:color="auto"/>
              <w:right w:val="single" w:sz="4" w:space="0" w:color="auto"/>
            </w:tcBorders>
            <w:vAlign w:val="center"/>
          </w:tcPr>
          <w:p w14:paraId="20C71134" w14:textId="77777777" w:rsidR="00FE3EAF" w:rsidRPr="00FE3EAF" w:rsidRDefault="00FE3EAF" w:rsidP="00FE3EAF">
            <w:pPr>
              <w:jc w:val="left"/>
              <w:rPr>
                <w:rFonts w:eastAsia="Calibri"/>
                <w:bCs/>
                <w:color w:val="000000"/>
                <w:sz w:val="20"/>
                <w:szCs w:val="20"/>
              </w:rPr>
            </w:pPr>
          </w:p>
        </w:tc>
        <w:tc>
          <w:tcPr>
            <w:tcW w:w="1408" w:type="pct"/>
            <w:tcBorders>
              <w:top w:val="single" w:sz="4" w:space="0" w:color="auto"/>
              <w:left w:val="single" w:sz="4" w:space="0" w:color="auto"/>
              <w:bottom w:val="single" w:sz="4" w:space="0" w:color="auto"/>
              <w:right w:val="single" w:sz="18" w:space="0" w:color="auto"/>
            </w:tcBorders>
            <w:vAlign w:val="center"/>
          </w:tcPr>
          <w:p w14:paraId="0FEBBF4D" w14:textId="77777777" w:rsidR="00FE3EAF" w:rsidRPr="00FE3EAF" w:rsidRDefault="00FE3EAF" w:rsidP="00FE3EAF">
            <w:pPr>
              <w:jc w:val="left"/>
              <w:rPr>
                <w:rFonts w:eastAsia="Calibri"/>
                <w:color w:val="000000"/>
                <w:sz w:val="20"/>
                <w:szCs w:val="20"/>
              </w:rPr>
            </w:pPr>
            <w:r w:rsidRPr="00FE3EAF">
              <w:rPr>
                <w:rFonts w:eastAsia="Calibri"/>
                <w:sz w:val="20"/>
                <w:szCs w:val="20"/>
              </w:rPr>
              <w:t>Professional Services</w:t>
            </w:r>
          </w:p>
        </w:tc>
        <w:tc>
          <w:tcPr>
            <w:tcW w:w="597" w:type="pct"/>
            <w:tcBorders>
              <w:top w:val="single" w:sz="4" w:space="0" w:color="auto"/>
              <w:left w:val="single" w:sz="18" w:space="0" w:color="auto"/>
              <w:bottom w:val="single" w:sz="4" w:space="0" w:color="auto"/>
              <w:right w:val="single" w:sz="4" w:space="0" w:color="auto"/>
            </w:tcBorders>
            <w:vAlign w:val="bottom"/>
          </w:tcPr>
          <w:p w14:paraId="6216A46B" w14:textId="77777777" w:rsidR="00FE3EAF" w:rsidRPr="00FE3EAF" w:rsidRDefault="00FE3EAF" w:rsidP="00FE3EAF">
            <w:pPr>
              <w:jc w:val="center"/>
              <w:rPr>
                <w:rFonts w:eastAsia="Calibri"/>
                <w:sz w:val="20"/>
                <w:szCs w:val="20"/>
              </w:rPr>
            </w:pPr>
            <w:r w:rsidRPr="00FE3EAF">
              <w:rPr>
                <w:rFonts w:eastAsia="Calibri"/>
                <w:color w:val="000000"/>
                <w:sz w:val="20"/>
                <w:szCs w:val="20"/>
              </w:rPr>
              <w:t>12.5</w:t>
            </w:r>
          </w:p>
        </w:tc>
        <w:tc>
          <w:tcPr>
            <w:tcW w:w="597" w:type="pct"/>
            <w:tcBorders>
              <w:top w:val="single" w:sz="4" w:space="0" w:color="auto"/>
              <w:left w:val="single" w:sz="4" w:space="0" w:color="auto"/>
              <w:bottom w:val="single" w:sz="4" w:space="0" w:color="auto"/>
              <w:right w:val="single" w:sz="18" w:space="0" w:color="auto"/>
            </w:tcBorders>
            <w:vAlign w:val="bottom"/>
          </w:tcPr>
          <w:p w14:paraId="19AE8699" w14:textId="77777777" w:rsidR="00FE3EAF" w:rsidRPr="00FE3EAF" w:rsidRDefault="00FE3EAF" w:rsidP="00FE3EAF">
            <w:pPr>
              <w:jc w:val="center"/>
              <w:rPr>
                <w:rFonts w:eastAsia="Calibri"/>
                <w:sz w:val="20"/>
                <w:szCs w:val="20"/>
              </w:rPr>
            </w:pPr>
            <w:r w:rsidRPr="00FE3EAF">
              <w:rPr>
                <w:rFonts w:eastAsia="Calibri"/>
                <w:color w:val="000000"/>
                <w:sz w:val="20"/>
                <w:szCs w:val="20"/>
              </w:rPr>
              <w:t>13.3</w:t>
            </w:r>
          </w:p>
        </w:tc>
        <w:tc>
          <w:tcPr>
            <w:tcW w:w="597" w:type="pct"/>
            <w:tcBorders>
              <w:top w:val="single" w:sz="4" w:space="0" w:color="auto"/>
              <w:left w:val="single" w:sz="18" w:space="0" w:color="auto"/>
              <w:bottom w:val="single" w:sz="4" w:space="0" w:color="auto"/>
              <w:right w:val="single" w:sz="4" w:space="0" w:color="auto"/>
            </w:tcBorders>
            <w:vAlign w:val="bottom"/>
          </w:tcPr>
          <w:p w14:paraId="576E5A5F" w14:textId="77777777" w:rsidR="00FE3EAF" w:rsidRPr="00FE3EAF" w:rsidRDefault="00FE3EAF" w:rsidP="00FE3EAF">
            <w:pPr>
              <w:jc w:val="center"/>
              <w:rPr>
                <w:rFonts w:eastAsia="Calibri"/>
                <w:color w:val="000000"/>
                <w:sz w:val="20"/>
                <w:szCs w:val="20"/>
              </w:rPr>
            </w:pPr>
            <w:r w:rsidRPr="00FE3EAF">
              <w:rPr>
                <w:rFonts w:eastAsia="Calibri"/>
                <w:color w:val="000000"/>
                <w:sz w:val="20"/>
                <w:szCs w:val="20"/>
              </w:rPr>
              <w:t>19.2</w:t>
            </w:r>
          </w:p>
        </w:tc>
        <w:tc>
          <w:tcPr>
            <w:tcW w:w="597" w:type="pct"/>
            <w:tcBorders>
              <w:top w:val="single" w:sz="4" w:space="0" w:color="auto"/>
              <w:left w:val="single" w:sz="4" w:space="0" w:color="auto"/>
              <w:bottom w:val="single" w:sz="4" w:space="0" w:color="auto"/>
              <w:right w:val="single" w:sz="18" w:space="0" w:color="auto"/>
            </w:tcBorders>
            <w:vAlign w:val="bottom"/>
          </w:tcPr>
          <w:p w14:paraId="3F8DD098" w14:textId="77777777" w:rsidR="00FE3EAF" w:rsidRPr="00FE3EAF" w:rsidRDefault="00FE3EAF" w:rsidP="00FE3EAF">
            <w:pPr>
              <w:jc w:val="center"/>
              <w:rPr>
                <w:rFonts w:eastAsia="Calibri"/>
                <w:color w:val="000000"/>
                <w:sz w:val="20"/>
                <w:szCs w:val="20"/>
              </w:rPr>
            </w:pPr>
            <w:r w:rsidRPr="00FE3EAF">
              <w:rPr>
                <w:rFonts w:eastAsia="Calibri"/>
                <w:color w:val="000000"/>
                <w:sz w:val="20"/>
                <w:szCs w:val="20"/>
              </w:rPr>
              <w:t>80.8</w:t>
            </w:r>
          </w:p>
        </w:tc>
        <w:tc>
          <w:tcPr>
            <w:tcW w:w="462" w:type="pct"/>
            <w:tcBorders>
              <w:top w:val="single" w:sz="4" w:space="0" w:color="auto"/>
              <w:left w:val="single" w:sz="4" w:space="0" w:color="auto"/>
              <w:bottom w:val="single" w:sz="4" w:space="0" w:color="auto"/>
              <w:right w:val="single" w:sz="18" w:space="0" w:color="auto"/>
            </w:tcBorders>
            <w:vAlign w:val="center"/>
          </w:tcPr>
          <w:p w14:paraId="3E882824" w14:textId="77777777" w:rsidR="00FE3EAF" w:rsidRPr="00FE3EAF" w:rsidRDefault="00FE3EAF" w:rsidP="00FE3EAF">
            <w:pPr>
              <w:jc w:val="center"/>
              <w:rPr>
                <w:rFonts w:eastAsia="Calibri"/>
                <w:color w:val="000000"/>
                <w:sz w:val="20"/>
                <w:szCs w:val="20"/>
              </w:rPr>
            </w:pPr>
            <w:r w:rsidRPr="00FE3EAF">
              <w:rPr>
                <w:rFonts w:eastAsia="Calibri"/>
                <w:color w:val="000000"/>
                <w:sz w:val="20"/>
                <w:szCs w:val="20"/>
              </w:rPr>
              <w:t>13.2</w:t>
            </w:r>
          </w:p>
        </w:tc>
      </w:tr>
      <w:tr w:rsidR="00FE3EAF" w:rsidRPr="00FE3EAF" w14:paraId="29C474A1" w14:textId="77777777" w:rsidTr="00810642">
        <w:tc>
          <w:tcPr>
            <w:tcW w:w="742" w:type="pct"/>
            <w:vMerge/>
            <w:tcBorders>
              <w:left w:val="single" w:sz="18" w:space="0" w:color="auto"/>
              <w:bottom w:val="single" w:sz="12" w:space="0" w:color="auto"/>
              <w:right w:val="single" w:sz="4" w:space="0" w:color="auto"/>
            </w:tcBorders>
            <w:vAlign w:val="center"/>
          </w:tcPr>
          <w:p w14:paraId="1D70EBAA" w14:textId="77777777" w:rsidR="00FE3EAF" w:rsidRPr="00FE3EAF" w:rsidRDefault="00FE3EAF" w:rsidP="00FE3EAF">
            <w:pPr>
              <w:jc w:val="left"/>
              <w:rPr>
                <w:rFonts w:eastAsia="Calibri"/>
                <w:bCs/>
                <w:color w:val="000000"/>
                <w:sz w:val="20"/>
                <w:szCs w:val="20"/>
              </w:rPr>
            </w:pPr>
          </w:p>
        </w:tc>
        <w:tc>
          <w:tcPr>
            <w:tcW w:w="1408" w:type="pct"/>
            <w:tcBorders>
              <w:top w:val="single" w:sz="4" w:space="0" w:color="auto"/>
              <w:left w:val="single" w:sz="4" w:space="0" w:color="auto"/>
              <w:bottom w:val="single" w:sz="12" w:space="0" w:color="auto"/>
              <w:right w:val="single" w:sz="18" w:space="0" w:color="auto"/>
            </w:tcBorders>
            <w:vAlign w:val="center"/>
          </w:tcPr>
          <w:p w14:paraId="100DA0C4" w14:textId="77777777" w:rsidR="00FE3EAF" w:rsidRPr="00FE3EAF" w:rsidRDefault="00FE3EAF" w:rsidP="00FE3EAF">
            <w:pPr>
              <w:jc w:val="left"/>
              <w:rPr>
                <w:rFonts w:eastAsia="Calibri"/>
                <w:color w:val="000000"/>
                <w:sz w:val="20"/>
                <w:szCs w:val="20"/>
              </w:rPr>
            </w:pPr>
            <w:r w:rsidRPr="00FE3EAF">
              <w:rPr>
                <w:rFonts w:eastAsia="Calibri"/>
                <w:sz w:val="20"/>
                <w:szCs w:val="20"/>
              </w:rPr>
              <w:t>Public Administration</w:t>
            </w:r>
          </w:p>
        </w:tc>
        <w:tc>
          <w:tcPr>
            <w:tcW w:w="597" w:type="pct"/>
            <w:tcBorders>
              <w:top w:val="single" w:sz="4" w:space="0" w:color="auto"/>
              <w:left w:val="single" w:sz="18" w:space="0" w:color="auto"/>
              <w:bottom w:val="single" w:sz="4" w:space="0" w:color="auto"/>
              <w:right w:val="single" w:sz="4" w:space="0" w:color="auto"/>
            </w:tcBorders>
            <w:vAlign w:val="bottom"/>
          </w:tcPr>
          <w:p w14:paraId="75DD4808" w14:textId="77777777" w:rsidR="00FE3EAF" w:rsidRPr="00FE3EAF" w:rsidRDefault="00FE3EAF" w:rsidP="00FE3EAF">
            <w:pPr>
              <w:jc w:val="center"/>
              <w:rPr>
                <w:rFonts w:eastAsia="Calibri"/>
                <w:sz w:val="20"/>
                <w:szCs w:val="20"/>
              </w:rPr>
            </w:pPr>
            <w:r w:rsidRPr="00FE3EAF">
              <w:rPr>
                <w:rFonts w:eastAsia="Calibri"/>
                <w:color w:val="000000"/>
                <w:sz w:val="20"/>
                <w:szCs w:val="20"/>
              </w:rPr>
              <w:t xml:space="preserve">  4.8</w:t>
            </w:r>
          </w:p>
        </w:tc>
        <w:tc>
          <w:tcPr>
            <w:tcW w:w="597" w:type="pct"/>
            <w:tcBorders>
              <w:top w:val="single" w:sz="4" w:space="0" w:color="auto"/>
              <w:left w:val="single" w:sz="4" w:space="0" w:color="auto"/>
              <w:bottom w:val="single" w:sz="4" w:space="0" w:color="auto"/>
              <w:right w:val="single" w:sz="18" w:space="0" w:color="auto"/>
            </w:tcBorders>
            <w:vAlign w:val="bottom"/>
          </w:tcPr>
          <w:p w14:paraId="45214A06" w14:textId="77777777" w:rsidR="00FE3EAF" w:rsidRPr="00FE3EAF" w:rsidRDefault="00FE3EAF" w:rsidP="00FE3EAF">
            <w:pPr>
              <w:jc w:val="center"/>
              <w:rPr>
                <w:rFonts w:eastAsia="Calibri"/>
                <w:sz w:val="20"/>
                <w:szCs w:val="20"/>
              </w:rPr>
            </w:pPr>
            <w:r w:rsidRPr="00FE3EAF">
              <w:rPr>
                <w:rFonts w:eastAsia="Calibri"/>
                <w:color w:val="000000"/>
                <w:sz w:val="20"/>
                <w:szCs w:val="20"/>
              </w:rPr>
              <w:t xml:space="preserve">  5.0</w:t>
            </w:r>
          </w:p>
        </w:tc>
        <w:tc>
          <w:tcPr>
            <w:tcW w:w="597" w:type="pct"/>
            <w:tcBorders>
              <w:top w:val="single" w:sz="4" w:space="0" w:color="auto"/>
              <w:left w:val="single" w:sz="18" w:space="0" w:color="auto"/>
              <w:bottom w:val="single" w:sz="4" w:space="0" w:color="auto"/>
              <w:right w:val="single" w:sz="4" w:space="0" w:color="auto"/>
            </w:tcBorders>
            <w:vAlign w:val="bottom"/>
          </w:tcPr>
          <w:p w14:paraId="2921B068" w14:textId="77777777" w:rsidR="00FE3EAF" w:rsidRPr="00FE3EAF" w:rsidRDefault="00FE3EAF" w:rsidP="00FE3EAF">
            <w:pPr>
              <w:jc w:val="center"/>
              <w:rPr>
                <w:rFonts w:eastAsia="Calibri"/>
                <w:color w:val="000000"/>
                <w:sz w:val="20"/>
                <w:szCs w:val="20"/>
              </w:rPr>
            </w:pPr>
            <w:r w:rsidRPr="00FE3EAF">
              <w:rPr>
                <w:rFonts w:eastAsia="Calibri"/>
                <w:color w:val="000000"/>
                <w:sz w:val="20"/>
                <w:szCs w:val="20"/>
              </w:rPr>
              <w:t>19.9</w:t>
            </w:r>
          </w:p>
        </w:tc>
        <w:tc>
          <w:tcPr>
            <w:tcW w:w="597" w:type="pct"/>
            <w:tcBorders>
              <w:top w:val="single" w:sz="4" w:space="0" w:color="auto"/>
              <w:left w:val="single" w:sz="4" w:space="0" w:color="auto"/>
              <w:bottom w:val="single" w:sz="4" w:space="0" w:color="auto"/>
              <w:right w:val="single" w:sz="18" w:space="0" w:color="auto"/>
            </w:tcBorders>
            <w:vAlign w:val="bottom"/>
          </w:tcPr>
          <w:p w14:paraId="0C7952A9" w14:textId="77777777" w:rsidR="00FE3EAF" w:rsidRPr="00FE3EAF" w:rsidRDefault="00FE3EAF" w:rsidP="00FE3EAF">
            <w:pPr>
              <w:jc w:val="center"/>
              <w:rPr>
                <w:rFonts w:eastAsia="Calibri"/>
                <w:color w:val="000000"/>
                <w:sz w:val="20"/>
                <w:szCs w:val="20"/>
              </w:rPr>
            </w:pPr>
            <w:r w:rsidRPr="00FE3EAF">
              <w:rPr>
                <w:rFonts w:eastAsia="Calibri"/>
                <w:color w:val="000000"/>
                <w:sz w:val="20"/>
                <w:szCs w:val="20"/>
              </w:rPr>
              <w:t>80.1</w:t>
            </w:r>
          </w:p>
        </w:tc>
        <w:tc>
          <w:tcPr>
            <w:tcW w:w="462" w:type="pct"/>
            <w:tcBorders>
              <w:top w:val="single" w:sz="4" w:space="0" w:color="auto"/>
              <w:left w:val="single" w:sz="4" w:space="0" w:color="auto"/>
              <w:bottom w:val="single" w:sz="4" w:space="0" w:color="auto"/>
              <w:right w:val="single" w:sz="18" w:space="0" w:color="auto"/>
            </w:tcBorders>
            <w:vAlign w:val="center"/>
          </w:tcPr>
          <w:p w14:paraId="2564DECF" w14:textId="77777777" w:rsidR="00FE3EAF" w:rsidRPr="00FE3EAF" w:rsidRDefault="00FE3EAF" w:rsidP="00FE3EAF">
            <w:pPr>
              <w:jc w:val="center"/>
              <w:rPr>
                <w:rFonts w:eastAsia="Calibri"/>
                <w:color w:val="000000"/>
                <w:sz w:val="20"/>
                <w:szCs w:val="20"/>
              </w:rPr>
            </w:pPr>
            <w:r w:rsidRPr="00FE3EAF">
              <w:rPr>
                <w:rFonts w:eastAsia="Calibri"/>
                <w:color w:val="000000"/>
                <w:sz w:val="20"/>
                <w:szCs w:val="20"/>
              </w:rPr>
              <w:t xml:space="preserve">  5.0</w:t>
            </w:r>
          </w:p>
        </w:tc>
      </w:tr>
      <w:tr w:rsidR="00FE3EAF" w:rsidRPr="00FE3EAF" w14:paraId="3E2C248B" w14:textId="77777777" w:rsidTr="00810642">
        <w:tc>
          <w:tcPr>
            <w:tcW w:w="2150" w:type="pct"/>
            <w:gridSpan w:val="2"/>
            <w:vMerge w:val="restart"/>
            <w:tcBorders>
              <w:top w:val="single" w:sz="12" w:space="0" w:color="auto"/>
              <w:left w:val="single" w:sz="18" w:space="0" w:color="auto"/>
              <w:bottom w:val="single" w:sz="18" w:space="0" w:color="auto"/>
              <w:right w:val="single" w:sz="4" w:space="0" w:color="auto"/>
            </w:tcBorders>
            <w:vAlign w:val="center"/>
            <w:hideMark/>
          </w:tcPr>
          <w:p w14:paraId="70BB1EA0" w14:textId="77777777" w:rsidR="00FE3EAF" w:rsidRPr="00FE3EAF" w:rsidRDefault="00FE3EAF" w:rsidP="00FE3EAF">
            <w:pPr>
              <w:jc w:val="center"/>
              <w:rPr>
                <w:rFonts w:eastAsia="Calibri"/>
                <w:b/>
                <w:color w:val="000000"/>
                <w:sz w:val="20"/>
                <w:szCs w:val="20"/>
              </w:rPr>
            </w:pPr>
            <w:r w:rsidRPr="00FE3EAF">
              <w:rPr>
                <w:rFonts w:eastAsia="Calibri"/>
                <w:b/>
                <w:color w:val="000000"/>
                <w:sz w:val="20"/>
                <w:szCs w:val="20"/>
              </w:rPr>
              <w:t>Segment size</w:t>
            </w:r>
          </w:p>
        </w:tc>
        <w:tc>
          <w:tcPr>
            <w:tcW w:w="1194" w:type="pct"/>
            <w:gridSpan w:val="2"/>
            <w:tcBorders>
              <w:top w:val="single" w:sz="12" w:space="0" w:color="auto"/>
              <w:left w:val="single" w:sz="18" w:space="0" w:color="auto"/>
              <w:bottom w:val="single" w:sz="4" w:space="0" w:color="auto"/>
              <w:right w:val="single" w:sz="18" w:space="0" w:color="auto"/>
            </w:tcBorders>
            <w:vAlign w:val="center"/>
            <w:hideMark/>
          </w:tcPr>
          <w:p w14:paraId="5592CDAB" w14:textId="77777777" w:rsidR="00FE3EAF" w:rsidRPr="00FE3EAF" w:rsidRDefault="00FE3EAF" w:rsidP="00FE3EAF">
            <w:pPr>
              <w:jc w:val="center"/>
              <w:rPr>
                <w:rFonts w:eastAsia="Calibri"/>
                <w:b/>
                <w:color w:val="000000"/>
                <w:sz w:val="20"/>
                <w:szCs w:val="20"/>
              </w:rPr>
            </w:pPr>
            <w:r w:rsidRPr="00FE3EAF">
              <w:rPr>
                <w:rFonts w:eastAsia="Calibri"/>
                <w:b/>
                <w:color w:val="000000"/>
                <w:sz w:val="20"/>
                <w:szCs w:val="20"/>
              </w:rPr>
              <w:t>Percent (%)</w:t>
            </w:r>
          </w:p>
        </w:tc>
        <w:tc>
          <w:tcPr>
            <w:tcW w:w="597" w:type="pct"/>
            <w:tcBorders>
              <w:top w:val="single" w:sz="12" w:space="0" w:color="auto"/>
              <w:left w:val="single" w:sz="18" w:space="0" w:color="auto"/>
              <w:bottom w:val="single" w:sz="8" w:space="0" w:color="auto"/>
              <w:right w:val="single" w:sz="8" w:space="0" w:color="auto"/>
            </w:tcBorders>
            <w:vAlign w:val="center"/>
            <w:hideMark/>
          </w:tcPr>
          <w:p w14:paraId="7BE90889" w14:textId="77777777" w:rsidR="00FE3EAF" w:rsidRPr="00FE3EAF" w:rsidRDefault="00FE3EAF" w:rsidP="00FE3EAF">
            <w:pPr>
              <w:jc w:val="center"/>
              <w:rPr>
                <w:rFonts w:eastAsia="Calibri"/>
                <w:b/>
                <w:color w:val="000000"/>
                <w:sz w:val="20"/>
                <w:szCs w:val="20"/>
              </w:rPr>
            </w:pPr>
            <w:r w:rsidRPr="00FE3EAF">
              <w:rPr>
                <w:rFonts w:eastAsia="Calibri"/>
                <w:b/>
                <w:color w:val="000000"/>
                <w:sz w:val="20"/>
                <w:szCs w:val="20"/>
              </w:rPr>
              <w:t>20.3</w:t>
            </w:r>
          </w:p>
        </w:tc>
        <w:tc>
          <w:tcPr>
            <w:tcW w:w="597" w:type="pct"/>
            <w:tcBorders>
              <w:top w:val="single" w:sz="12" w:space="0" w:color="auto"/>
              <w:left w:val="single" w:sz="8" w:space="0" w:color="auto"/>
              <w:bottom w:val="single" w:sz="8" w:space="0" w:color="auto"/>
              <w:right w:val="single" w:sz="18" w:space="0" w:color="auto"/>
            </w:tcBorders>
            <w:vAlign w:val="center"/>
            <w:hideMark/>
          </w:tcPr>
          <w:p w14:paraId="35F973CB" w14:textId="77777777" w:rsidR="00FE3EAF" w:rsidRPr="00FE3EAF" w:rsidRDefault="00FE3EAF" w:rsidP="00FE3EAF">
            <w:pPr>
              <w:jc w:val="center"/>
              <w:rPr>
                <w:rFonts w:eastAsia="Calibri"/>
                <w:b/>
                <w:color w:val="000000"/>
                <w:sz w:val="20"/>
                <w:szCs w:val="20"/>
              </w:rPr>
            </w:pPr>
            <w:r w:rsidRPr="00FE3EAF">
              <w:rPr>
                <w:rFonts w:eastAsia="Calibri"/>
                <w:b/>
                <w:color w:val="000000"/>
                <w:sz w:val="20"/>
                <w:szCs w:val="20"/>
              </w:rPr>
              <w:t>79.7</w:t>
            </w:r>
          </w:p>
        </w:tc>
        <w:tc>
          <w:tcPr>
            <w:tcW w:w="462" w:type="pct"/>
            <w:tcBorders>
              <w:top w:val="single" w:sz="12" w:space="0" w:color="auto"/>
              <w:left w:val="single" w:sz="4" w:space="0" w:color="auto"/>
              <w:bottom w:val="single" w:sz="8" w:space="0" w:color="auto"/>
              <w:right w:val="single" w:sz="18" w:space="0" w:color="auto"/>
            </w:tcBorders>
            <w:hideMark/>
          </w:tcPr>
          <w:p w14:paraId="3DDC0EAF" w14:textId="77777777" w:rsidR="00FE3EAF" w:rsidRPr="00FE3EAF" w:rsidRDefault="00FE3EAF" w:rsidP="00FE3EAF">
            <w:pPr>
              <w:jc w:val="center"/>
              <w:rPr>
                <w:rFonts w:eastAsia="Calibri"/>
                <w:b/>
                <w:color w:val="000000"/>
                <w:sz w:val="20"/>
                <w:szCs w:val="20"/>
              </w:rPr>
            </w:pPr>
            <w:r w:rsidRPr="00FE3EAF">
              <w:rPr>
                <w:rFonts w:eastAsia="Calibri"/>
                <w:b/>
                <w:color w:val="000000"/>
                <w:sz w:val="20"/>
                <w:szCs w:val="20"/>
              </w:rPr>
              <w:t>100</w:t>
            </w:r>
          </w:p>
        </w:tc>
      </w:tr>
      <w:tr w:rsidR="00FE3EAF" w:rsidRPr="00FE3EAF" w14:paraId="5B96698E" w14:textId="77777777" w:rsidTr="00640159">
        <w:tc>
          <w:tcPr>
            <w:tcW w:w="0" w:type="auto"/>
            <w:gridSpan w:val="2"/>
            <w:vMerge/>
            <w:tcBorders>
              <w:top w:val="single" w:sz="18" w:space="0" w:color="auto"/>
              <w:left w:val="single" w:sz="18" w:space="0" w:color="auto"/>
              <w:bottom w:val="single" w:sz="18" w:space="0" w:color="auto"/>
              <w:right w:val="single" w:sz="4" w:space="0" w:color="auto"/>
            </w:tcBorders>
            <w:vAlign w:val="center"/>
            <w:hideMark/>
          </w:tcPr>
          <w:p w14:paraId="3E82C196" w14:textId="77777777" w:rsidR="00FE3EAF" w:rsidRPr="00FE3EAF" w:rsidRDefault="00FE3EAF" w:rsidP="00FE3EAF">
            <w:pPr>
              <w:jc w:val="left"/>
              <w:rPr>
                <w:rFonts w:eastAsia="Calibri"/>
                <w:b/>
                <w:color w:val="000000"/>
                <w:sz w:val="20"/>
                <w:szCs w:val="20"/>
              </w:rPr>
            </w:pPr>
          </w:p>
        </w:tc>
        <w:tc>
          <w:tcPr>
            <w:tcW w:w="1194" w:type="pct"/>
            <w:gridSpan w:val="2"/>
            <w:tcBorders>
              <w:top w:val="single" w:sz="4" w:space="0" w:color="auto"/>
              <w:left w:val="single" w:sz="18" w:space="0" w:color="auto"/>
              <w:bottom w:val="single" w:sz="18" w:space="0" w:color="auto"/>
              <w:right w:val="single" w:sz="18" w:space="0" w:color="auto"/>
            </w:tcBorders>
            <w:vAlign w:val="center"/>
            <w:hideMark/>
          </w:tcPr>
          <w:p w14:paraId="39497035" w14:textId="77777777" w:rsidR="00FE3EAF" w:rsidRPr="00FE3EAF" w:rsidRDefault="00FE3EAF" w:rsidP="00FE3EAF">
            <w:pPr>
              <w:jc w:val="center"/>
              <w:rPr>
                <w:rFonts w:eastAsia="Calibri"/>
                <w:b/>
                <w:color w:val="000000"/>
                <w:sz w:val="20"/>
                <w:szCs w:val="20"/>
              </w:rPr>
            </w:pPr>
            <w:r w:rsidRPr="00FE3EAF">
              <w:rPr>
                <w:rFonts w:eastAsia="Calibri"/>
                <w:b/>
                <w:color w:val="000000"/>
                <w:sz w:val="20"/>
                <w:szCs w:val="20"/>
              </w:rPr>
              <w:t>N</w:t>
            </w:r>
          </w:p>
        </w:tc>
        <w:tc>
          <w:tcPr>
            <w:tcW w:w="597" w:type="pct"/>
            <w:tcBorders>
              <w:top w:val="single" w:sz="8" w:space="0" w:color="auto"/>
              <w:left w:val="single" w:sz="18" w:space="0" w:color="auto"/>
              <w:bottom w:val="single" w:sz="18" w:space="0" w:color="auto"/>
              <w:right w:val="single" w:sz="8" w:space="0" w:color="auto"/>
            </w:tcBorders>
            <w:vAlign w:val="center"/>
            <w:hideMark/>
          </w:tcPr>
          <w:p w14:paraId="51627D7D" w14:textId="77777777" w:rsidR="00FE3EAF" w:rsidRPr="00FE3EAF" w:rsidRDefault="00FE3EAF" w:rsidP="00FE3EAF">
            <w:pPr>
              <w:jc w:val="center"/>
              <w:rPr>
                <w:rFonts w:eastAsia="Calibri"/>
                <w:b/>
                <w:color w:val="000000"/>
                <w:sz w:val="20"/>
                <w:szCs w:val="20"/>
              </w:rPr>
            </w:pPr>
            <w:r w:rsidRPr="00FE3EAF">
              <w:rPr>
                <w:rFonts w:eastAsia="Calibri"/>
                <w:b/>
                <w:color w:val="000000"/>
                <w:sz w:val="20"/>
                <w:szCs w:val="20"/>
              </w:rPr>
              <w:t>168</w:t>
            </w:r>
          </w:p>
        </w:tc>
        <w:tc>
          <w:tcPr>
            <w:tcW w:w="597" w:type="pct"/>
            <w:tcBorders>
              <w:top w:val="single" w:sz="8" w:space="0" w:color="auto"/>
              <w:left w:val="single" w:sz="8" w:space="0" w:color="auto"/>
              <w:bottom w:val="single" w:sz="18" w:space="0" w:color="auto"/>
              <w:right w:val="single" w:sz="18" w:space="0" w:color="auto"/>
            </w:tcBorders>
            <w:vAlign w:val="center"/>
            <w:hideMark/>
          </w:tcPr>
          <w:p w14:paraId="4A751540" w14:textId="77777777" w:rsidR="00FE3EAF" w:rsidRPr="00FE3EAF" w:rsidRDefault="00FE3EAF" w:rsidP="00FE3EAF">
            <w:pPr>
              <w:jc w:val="center"/>
              <w:rPr>
                <w:rFonts w:eastAsia="Calibri"/>
                <w:b/>
                <w:color w:val="000000"/>
                <w:sz w:val="20"/>
                <w:szCs w:val="20"/>
              </w:rPr>
            </w:pPr>
            <w:r w:rsidRPr="00FE3EAF">
              <w:rPr>
                <w:rFonts w:eastAsia="Calibri"/>
                <w:b/>
                <w:color w:val="000000"/>
                <w:sz w:val="20"/>
                <w:szCs w:val="20"/>
              </w:rPr>
              <w:t>656</w:t>
            </w:r>
          </w:p>
        </w:tc>
        <w:tc>
          <w:tcPr>
            <w:tcW w:w="462" w:type="pct"/>
            <w:tcBorders>
              <w:top w:val="single" w:sz="8" w:space="0" w:color="auto"/>
              <w:left w:val="single" w:sz="4" w:space="0" w:color="auto"/>
              <w:bottom w:val="single" w:sz="18" w:space="0" w:color="auto"/>
              <w:right w:val="single" w:sz="18" w:space="0" w:color="auto"/>
            </w:tcBorders>
            <w:hideMark/>
          </w:tcPr>
          <w:p w14:paraId="08BD2739" w14:textId="77777777" w:rsidR="00FE3EAF" w:rsidRPr="00FE3EAF" w:rsidRDefault="00FE3EAF" w:rsidP="00FE3EAF">
            <w:pPr>
              <w:jc w:val="center"/>
              <w:rPr>
                <w:rFonts w:eastAsia="Calibri"/>
                <w:b/>
                <w:color w:val="000000"/>
                <w:sz w:val="20"/>
                <w:szCs w:val="20"/>
              </w:rPr>
            </w:pPr>
            <w:r w:rsidRPr="00FE3EAF">
              <w:rPr>
                <w:rFonts w:eastAsia="Calibri"/>
                <w:b/>
                <w:color w:val="000000"/>
                <w:sz w:val="20"/>
                <w:szCs w:val="20"/>
              </w:rPr>
              <w:t>824</w:t>
            </w:r>
          </w:p>
        </w:tc>
      </w:tr>
    </w:tbl>
    <w:p w14:paraId="345C611A" w14:textId="77777777" w:rsidR="00FE3EAF" w:rsidRPr="00FE3EAF" w:rsidRDefault="00FE3EAF" w:rsidP="00FE3EAF">
      <w:pPr>
        <w:spacing w:after="0" w:line="240" w:lineRule="auto"/>
        <w:jc w:val="left"/>
        <w:rPr>
          <w:rFonts w:eastAsia="Calibri"/>
          <w:sz w:val="20"/>
          <w:szCs w:val="18"/>
        </w:rPr>
      </w:pPr>
      <w:r w:rsidRPr="00FE3EAF">
        <w:rPr>
          <w:rFonts w:eastAsia="Calibri"/>
          <w:sz w:val="20"/>
          <w:szCs w:val="18"/>
        </w:rPr>
        <w:t>WPL: Workplace Location; CD: Commute Distance</w:t>
      </w:r>
    </w:p>
    <w:p w14:paraId="56C2C591" w14:textId="77777777" w:rsidR="009979FE" w:rsidRDefault="00FE3EAF" w:rsidP="00055B8A">
      <w:pPr>
        <w:spacing w:after="0" w:line="240" w:lineRule="auto"/>
        <w:rPr>
          <w:rFonts w:eastAsia="Calibri"/>
          <w:sz w:val="20"/>
          <w:szCs w:val="18"/>
        </w:rPr>
        <w:sectPr w:rsidR="009979FE" w:rsidSect="00055B8A">
          <w:pgSz w:w="12240" w:h="15840"/>
          <w:pgMar w:top="1152" w:right="1440" w:bottom="1152" w:left="1440" w:header="720" w:footer="720" w:gutter="0"/>
          <w:cols w:space="720"/>
          <w:docGrid w:linePitch="360"/>
        </w:sectPr>
      </w:pPr>
      <w:r w:rsidRPr="00FE3EAF">
        <w:rPr>
          <w:rFonts w:eastAsia="Calibri"/>
          <w:sz w:val="20"/>
          <w:szCs w:val="18"/>
        </w:rPr>
        <w:t>*We did not include the individual segment profiles for all household structures, as the ones excluded were all fairly equivalent to the overall sample and segment size across all metrics (as the “lives with a partner” structure is). Household structures under the term “other” include: live alone, lives with partner with no children, live with parents, and live with unrelated roommates.</w:t>
      </w:r>
    </w:p>
    <w:p w14:paraId="09221DBA" w14:textId="77777777" w:rsidR="009979FE" w:rsidRDefault="009979FE" w:rsidP="009979FE">
      <w:pPr>
        <w:spacing w:after="0" w:line="240" w:lineRule="auto"/>
        <w:jc w:val="left"/>
        <w:rPr>
          <w:rFonts w:eastAsia="Calibri"/>
          <w:b/>
          <w:bCs/>
        </w:rPr>
      </w:pPr>
      <w:r w:rsidRPr="00FE3EAF">
        <w:rPr>
          <w:rFonts w:eastAsia="Calibri"/>
          <w:b/>
          <w:bCs/>
        </w:rPr>
        <w:lastRenderedPageBreak/>
        <w:t xml:space="preserve">Table </w:t>
      </w:r>
      <w:r>
        <w:rPr>
          <w:rFonts w:eastAsia="Calibri"/>
          <w:b/>
          <w:bCs/>
        </w:rPr>
        <w:t>5</w:t>
      </w:r>
      <w:r w:rsidRPr="00FE3EAF">
        <w:rPr>
          <w:rFonts w:eastAsia="Calibri"/>
          <w:b/>
          <w:bCs/>
        </w:rPr>
        <w:t xml:space="preserve">: Data Fit Measures </w:t>
      </w:r>
    </w:p>
    <w:tbl>
      <w:tblPr>
        <w:tblW w:w="4936"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1330"/>
        <w:gridCol w:w="4146"/>
        <w:gridCol w:w="1800"/>
        <w:gridCol w:w="1723"/>
        <w:gridCol w:w="1810"/>
        <w:gridCol w:w="23"/>
        <w:gridCol w:w="1932"/>
      </w:tblGrid>
      <w:tr w:rsidR="00C33455" w:rsidRPr="004A639D" w14:paraId="03292EA5" w14:textId="77777777" w:rsidTr="00C33455">
        <w:trPr>
          <w:trHeight w:val="288"/>
        </w:trPr>
        <w:tc>
          <w:tcPr>
            <w:tcW w:w="521" w:type="pct"/>
            <w:tcBorders>
              <w:top w:val="double" w:sz="4" w:space="0" w:color="auto"/>
              <w:bottom w:val="double" w:sz="4" w:space="0" w:color="auto"/>
            </w:tcBorders>
            <w:tcMar>
              <w:left w:w="58" w:type="dxa"/>
              <w:right w:w="58" w:type="dxa"/>
            </w:tcMar>
            <w:vAlign w:val="center"/>
          </w:tcPr>
          <w:p w14:paraId="7CDB1812" w14:textId="77777777" w:rsidR="009979FE" w:rsidRPr="00EC4B38" w:rsidRDefault="009979FE" w:rsidP="00C33455">
            <w:pPr>
              <w:spacing w:after="0" w:line="240" w:lineRule="auto"/>
              <w:jc w:val="center"/>
              <w:rPr>
                <w:rFonts w:eastAsia="Calibri"/>
                <w:b/>
                <w:bCs/>
                <w:sz w:val="20"/>
                <w:szCs w:val="20"/>
              </w:rPr>
            </w:pPr>
            <w:r w:rsidRPr="00EC4B38">
              <w:rPr>
                <w:rFonts w:eastAsia="Calibri"/>
                <w:b/>
                <w:bCs/>
                <w:sz w:val="20"/>
                <w:szCs w:val="20"/>
              </w:rPr>
              <w:t>Measure Type</w:t>
            </w:r>
          </w:p>
        </w:tc>
        <w:tc>
          <w:tcPr>
            <w:tcW w:w="1624" w:type="pct"/>
            <w:tcBorders>
              <w:top w:val="double" w:sz="4" w:space="0" w:color="auto"/>
              <w:bottom w:val="double" w:sz="4" w:space="0" w:color="auto"/>
            </w:tcBorders>
            <w:shd w:val="clear" w:color="auto" w:fill="auto"/>
            <w:noWrap/>
            <w:tcMar>
              <w:left w:w="58" w:type="dxa"/>
              <w:right w:w="58" w:type="dxa"/>
            </w:tcMar>
            <w:vAlign w:val="center"/>
            <w:hideMark/>
          </w:tcPr>
          <w:p w14:paraId="7C3770E2" w14:textId="77777777" w:rsidR="009979FE" w:rsidRPr="00EC4B38" w:rsidRDefault="009979FE" w:rsidP="005A7DD2">
            <w:pPr>
              <w:spacing w:after="0" w:line="240" w:lineRule="auto"/>
              <w:jc w:val="center"/>
              <w:rPr>
                <w:rFonts w:eastAsia="Times New Roman"/>
                <w:b/>
                <w:bCs/>
                <w:color w:val="000000"/>
                <w:sz w:val="20"/>
                <w:szCs w:val="20"/>
              </w:rPr>
            </w:pPr>
            <w:r w:rsidRPr="00EC4B38">
              <w:rPr>
                <w:rFonts w:eastAsia="Calibri"/>
                <w:b/>
                <w:bCs/>
                <w:sz w:val="20"/>
                <w:szCs w:val="20"/>
              </w:rPr>
              <w:br w:type="page"/>
            </w:r>
            <w:r w:rsidRPr="00EC4B38">
              <w:rPr>
                <w:rFonts w:eastAsia="Times New Roman"/>
                <w:b/>
                <w:bCs/>
                <w:color w:val="000000"/>
                <w:sz w:val="20"/>
                <w:szCs w:val="20"/>
              </w:rPr>
              <w:t>Metric</w:t>
            </w:r>
          </w:p>
        </w:tc>
        <w:tc>
          <w:tcPr>
            <w:tcW w:w="705" w:type="pct"/>
            <w:tcBorders>
              <w:top w:val="double" w:sz="4" w:space="0" w:color="auto"/>
              <w:bottom w:val="double" w:sz="4" w:space="0" w:color="auto"/>
            </w:tcBorders>
            <w:shd w:val="clear" w:color="auto" w:fill="auto"/>
            <w:noWrap/>
            <w:tcMar>
              <w:left w:w="58" w:type="dxa"/>
              <w:right w:w="58" w:type="dxa"/>
            </w:tcMar>
            <w:vAlign w:val="bottom"/>
            <w:hideMark/>
          </w:tcPr>
          <w:p w14:paraId="75F2822A" w14:textId="77777777" w:rsidR="009979FE" w:rsidRPr="004A639D" w:rsidRDefault="009979FE" w:rsidP="005A7DD2">
            <w:pPr>
              <w:spacing w:after="0" w:line="240" w:lineRule="auto"/>
              <w:jc w:val="center"/>
              <w:rPr>
                <w:rFonts w:eastAsia="Times New Roman"/>
                <w:b/>
                <w:bCs/>
                <w:color w:val="000000"/>
                <w:sz w:val="20"/>
                <w:szCs w:val="20"/>
              </w:rPr>
            </w:pPr>
            <w:r w:rsidRPr="004A639D">
              <w:rPr>
                <w:rFonts w:eastAsia="Times New Roman"/>
                <w:b/>
                <w:bCs/>
                <w:color w:val="000000"/>
                <w:sz w:val="20"/>
                <w:szCs w:val="20"/>
              </w:rPr>
              <w:t>Proposed Joint Segmented Model</w:t>
            </w:r>
          </w:p>
        </w:tc>
        <w:tc>
          <w:tcPr>
            <w:tcW w:w="675" w:type="pct"/>
            <w:tcBorders>
              <w:top w:val="double" w:sz="4" w:space="0" w:color="auto"/>
              <w:bottom w:val="double" w:sz="4" w:space="0" w:color="auto"/>
            </w:tcBorders>
            <w:shd w:val="clear" w:color="auto" w:fill="auto"/>
            <w:noWrap/>
            <w:tcMar>
              <w:left w:w="58" w:type="dxa"/>
              <w:right w:w="58" w:type="dxa"/>
            </w:tcMar>
            <w:vAlign w:val="bottom"/>
            <w:hideMark/>
          </w:tcPr>
          <w:p w14:paraId="73786D08" w14:textId="77777777" w:rsidR="009979FE" w:rsidRPr="004A639D" w:rsidRDefault="009979FE" w:rsidP="005A7DD2">
            <w:pPr>
              <w:spacing w:after="0" w:line="240" w:lineRule="auto"/>
              <w:jc w:val="center"/>
              <w:rPr>
                <w:rFonts w:eastAsia="Times New Roman"/>
                <w:b/>
                <w:bCs/>
                <w:color w:val="000000"/>
                <w:sz w:val="20"/>
                <w:szCs w:val="20"/>
              </w:rPr>
            </w:pPr>
            <w:r>
              <w:rPr>
                <w:rFonts w:eastAsia="Times New Roman"/>
                <w:b/>
                <w:bCs/>
                <w:color w:val="000000"/>
                <w:sz w:val="20"/>
                <w:szCs w:val="20"/>
              </w:rPr>
              <w:t>Independent S</w:t>
            </w:r>
            <w:r w:rsidRPr="004A639D">
              <w:rPr>
                <w:rFonts w:eastAsia="Times New Roman"/>
                <w:b/>
                <w:bCs/>
                <w:color w:val="000000"/>
                <w:sz w:val="20"/>
                <w:szCs w:val="20"/>
              </w:rPr>
              <w:t>egmented Model</w:t>
            </w:r>
          </w:p>
        </w:tc>
        <w:tc>
          <w:tcPr>
            <w:tcW w:w="718" w:type="pct"/>
            <w:gridSpan w:val="2"/>
            <w:tcBorders>
              <w:top w:val="double" w:sz="4" w:space="0" w:color="auto"/>
              <w:bottom w:val="double" w:sz="4" w:space="0" w:color="auto"/>
            </w:tcBorders>
            <w:tcMar>
              <w:left w:w="58" w:type="dxa"/>
              <w:right w:w="58" w:type="dxa"/>
            </w:tcMar>
            <w:vAlign w:val="bottom"/>
          </w:tcPr>
          <w:p w14:paraId="6DFBBBC6" w14:textId="6EB92685" w:rsidR="009979FE" w:rsidRPr="004A639D" w:rsidRDefault="009979FE" w:rsidP="005A7DD2">
            <w:pPr>
              <w:spacing w:after="0" w:line="240" w:lineRule="auto"/>
              <w:jc w:val="center"/>
              <w:rPr>
                <w:rFonts w:eastAsia="Times New Roman"/>
                <w:b/>
                <w:bCs/>
                <w:color w:val="000000"/>
                <w:sz w:val="20"/>
                <w:szCs w:val="20"/>
              </w:rPr>
            </w:pPr>
            <w:r>
              <w:rPr>
                <w:rFonts w:eastAsia="Times New Roman"/>
                <w:b/>
                <w:bCs/>
                <w:color w:val="000000"/>
                <w:sz w:val="20"/>
                <w:szCs w:val="20"/>
              </w:rPr>
              <w:t>Joint Uns</w:t>
            </w:r>
            <w:r w:rsidRPr="004A639D">
              <w:rPr>
                <w:rFonts w:eastAsia="Times New Roman"/>
                <w:b/>
                <w:bCs/>
                <w:color w:val="000000"/>
                <w:sz w:val="20"/>
                <w:szCs w:val="20"/>
              </w:rPr>
              <w:t>egment</w:t>
            </w:r>
            <w:r>
              <w:rPr>
                <w:rFonts w:eastAsia="Times New Roman"/>
                <w:b/>
                <w:bCs/>
                <w:color w:val="000000"/>
                <w:sz w:val="20"/>
                <w:szCs w:val="20"/>
              </w:rPr>
              <w:t>ed</w:t>
            </w:r>
            <w:r w:rsidR="00784D3F">
              <w:rPr>
                <w:rFonts w:eastAsia="Times New Roman"/>
                <w:b/>
                <w:bCs/>
                <w:color w:val="000000"/>
                <w:sz w:val="20"/>
                <w:szCs w:val="20"/>
              </w:rPr>
              <w:t xml:space="preserve"> </w:t>
            </w:r>
            <w:r w:rsidRPr="004A639D">
              <w:rPr>
                <w:rFonts w:eastAsia="Times New Roman"/>
                <w:b/>
                <w:bCs/>
                <w:color w:val="000000"/>
                <w:sz w:val="20"/>
                <w:szCs w:val="20"/>
              </w:rPr>
              <w:t>Model</w:t>
            </w:r>
          </w:p>
        </w:tc>
        <w:tc>
          <w:tcPr>
            <w:tcW w:w="759" w:type="pct"/>
            <w:tcBorders>
              <w:top w:val="double" w:sz="4" w:space="0" w:color="auto"/>
              <w:bottom w:val="double" w:sz="4" w:space="0" w:color="auto"/>
            </w:tcBorders>
            <w:tcMar>
              <w:left w:w="58" w:type="dxa"/>
              <w:right w:w="58" w:type="dxa"/>
            </w:tcMar>
            <w:vAlign w:val="bottom"/>
          </w:tcPr>
          <w:p w14:paraId="6D5F7C1C" w14:textId="77777777" w:rsidR="009979FE" w:rsidRPr="004A639D" w:rsidRDefault="009979FE" w:rsidP="005A7DD2">
            <w:pPr>
              <w:spacing w:after="0" w:line="240" w:lineRule="auto"/>
              <w:jc w:val="center"/>
              <w:rPr>
                <w:rFonts w:eastAsia="Times New Roman"/>
                <w:b/>
                <w:bCs/>
                <w:color w:val="000000"/>
                <w:sz w:val="20"/>
                <w:szCs w:val="20"/>
              </w:rPr>
            </w:pPr>
            <w:r w:rsidRPr="004A639D">
              <w:rPr>
                <w:rFonts w:eastAsia="Times New Roman"/>
                <w:b/>
                <w:bCs/>
                <w:color w:val="000000"/>
                <w:sz w:val="20"/>
                <w:szCs w:val="20"/>
              </w:rPr>
              <w:t>Independent Unsegmented Model</w:t>
            </w:r>
          </w:p>
        </w:tc>
      </w:tr>
      <w:tr w:rsidR="00C33455" w:rsidRPr="004A639D" w14:paraId="4A4CA200" w14:textId="77777777" w:rsidTr="00C33455">
        <w:trPr>
          <w:trHeight w:val="504"/>
        </w:trPr>
        <w:tc>
          <w:tcPr>
            <w:tcW w:w="521" w:type="pct"/>
            <w:vMerge w:val="restart"/>
            <w:tcBorders>
              <w:top w:val="double" w:sz="4" w:space="0" w:color="auto"/>
            </w:tcBorders>
            <w:vAlign w:val="center"/>
          </w:tcPr>
          <w:p w14:paraId="41AD17DE" w14:textId="77777777" w:rsidR="009979FE" w:rsidRDefault="009979FE" w:rsidP="00C33455">
            <w:pPr>
              <w:spacing w:after="0" w:line="240" w:lineRule="auto"/>
              <w:jc w:val="left"/>
              <w:rPr>
                <w:rFonts w:eastAsia="Times New Roman"/>
                <w:b/>
                <w:bCs/>
                <w:color w:val="000000"/>
                <w:sz w:val="20"/>
                <w:szCs w:val="20"/>
              </w:rPr>
            </w:pPr>
            <w:r>
              <w:rPr>
                <w:rFonts w:eastAsia="Times New Roman"/>
                <w:b/>
                <w:bCs/>
                <w:color w:val="000000"/>
                <w:sz w:val="20"/>
                <w:szCs w:val="20"/>
              </w:rPr>
              <w:t>Likelihood</w:t>
            </w:r>
          </w:p>
          <w:p w14:paraId="28796675" w14:textId="77777777" w:rsidR="009979FE" w:rsidRPr="004A639D" w:rsidRDefault="009979FE" w:rsidP="00C33455">
            <w:pPr>
              <w:spacing w:after="0" w:line="240" w:lineRule="auto"/>
              <w:jc w:val="left"/>
              <w:rPr>
                <w:rFonts w:eastAsia="Times New Roman"/>
                <w:b/>
                <w:bCs/>
                <w:color w:val="000000"/>
                <w:sz w:val="20"/>
                <w:szCs w:val="20"/>
              </w:rPr>
            </w:pPr>
            <w:r>
              <w:rPr>
                <w:rFonts w:eastAsia="Times New Roman"/>
                <w:b/>
                <w:bCs/>
                <w:color w:val="000000"/>
                <w:sz w:val="20"/>
                <w:szCs w:val="20"/>
              </w:rPr>
              <w:t>Based Measures</w:t>
            </w:r>
          </w:p>
        </w:tc>
        <w:tc>
          <w:tcPr>
            <w:tcW w:w="1624" w:type="pct"/>
            <w:tcBorders>
              <w:top w:val="double" w:sz="4" w:space="0" w:color="auto"/>
            </w:tcBorders>
            <w:shd w:val="clear" w:color="auto" w:fill="auto"/>
            <w:noWrap/>
            <w:vAlign w:val="center"/>
            <w:hideMark/>
          </w:tcPr>
          <w:p w14:paraId="545C62EE" w14:textId="77777777" w:rsidR="009979FE" w:rsidRPr="004817C2" w:rsidRDefault="009979FE" w:rsidP="005A7DD2">
            <w:pPr>
              <w:spacing w:after="0" w:line="240" w:lineRule="auto"/>
              <w:jc w:val="left"/>
              <w:rPr>
                <w:rFonts w:eastAsia="Times New Roman"/>
                <w:color w:val="000000"/>
                <w:sz w:val="20"/>
                <w:szCs w:val="20"/>
              </w:rPr>
            </w:pPr>
            <w:r w:rsidRPr="004817C2">
              <w:rPr>
                <w:rFonts w:eastAsia="Times New Roman"/>
                <w:color w:val="000000"/>
                <w:sz w:val="20"/>
                <w:szCs w:val="20"/>
              </w:rPr>
              <w:t>Log-likelihood at convergence</w:t>
            </w:r>
          </w:p>
        </w:tc>
        <w:tc>
          <w:tcPr>
            <w:tcW w:w="705" w:type="pct"/>
            <w:tcBorders>
              <w:top w:val="double" w:sz="4" w:space="0" w:color="auto"/>
            </w:tcBorders>
            <w:shd w:val="clear" w:color="auto" w:fill="auto"/>
            <w:noWrap/>
            <w:vAlign w:val="center"/>
            <w:hideMark/>
          </w:tcPr>
          <w:p w14:paraId="774C28C9" w14:textId="77777777" w:rsidR="009979FE" w:rsidRPr="004A639D" w:rsidRDefault="009979FE" w:rsidP="005A7DD2">
            <w:pPr>
              <w:spacing w:after="0" w:line="240" w:lineRule="auto"/>
              <w:jc w:val="right"/>
              <w:rPr>
                <w:rFonts w:eastAsia="Calibri"/>
                <w:color w:val="000000"/>
                <w:sz w:val="20"/>
                <w:szCs w:val="20"/>
              </w:rPr>
            </w:pPr>
            <w:r w:rsidRPr="004A639D">
              <w:rPr>
                <w:rFonts w:eastAsia="Calibri"/>
                <w:color w:val="000000"/>
                <w:sz w:val="20"/>
                <w:szCs w:val="20"/>
              </w:rPr>
              <w:t>-1793.74</w:t>
            </w:r>
          </w:p>
        </w:tc>
        <w:tc>
          <w:tcPr>
            <w:tcW w:w="675" w:type="pct"/>
            <w:tcBorders>
              <w:top w:val="double" w:sz="4" w:space="0" w:color="auto"/>
            </w:tcBorders>
            <w:shd w:val="clear" w:color="auto" w:fill="auto"/>
            <w:noWrap/>
            <w:vAlign w:val="center"/>
            <w:hideMark/>
          </w:tcPr>
          <w:p w14:paraId="3FC5AF8A" w14:textId="77777777" w:rsidR="009979FE" w:rsidRPr="004A639D" w:rsidRDefault="009979FE" w:rsidP="005A7DD2">
            <w:pPr>
              <w:spacing w:after="0" w:line="240" w:lineRule="auto"/>
              <w:jc w:val="right"/>
              <w:rPr>
                <w:rFonts w:eastAsia="Calibri"/>
                <w:color w:val="000000"/>
                <w:sz w:val="20"/>
                <w:szCs w:val="20"/>
              </w:rPr>
            </w:pPr>
            <w:r w:rsidRPr="004A639D">
              <w:rPr>
                <w:rFonts w:eastAsia="Calibri"/>
                <w:color w:val="000000"/>
                <w:sz w:val="20"/>
                <w:szCs w:val="20"/>
              </w:rPr>
              <w:t>-18</w:t>
            </w:r>
            <w:r>
              <w:rPr>
                <w:rFonts w:eastAsia="Calibri"/>
                <w:color w:val="000000"/>
                <w:sz w:val="20"/>
                <w:szCs w:val="20"/>
              </w:rPr>
              <w:t>24.29</w:t>
            </w:r>
          </w:p>
        </w:tc>
        <w:tc>
          <w:tcPr>
            <w:tcW w:w="718" w:type="pct"/>
            <w:gridSpan w:val="2"/>
            <w:tcBorders>
              <w:top w:val="double" w:sz="4" w:space="0" w:color="auto"/>
            </w:tcBorders>
            <w:vAlign w:val="center"/>
          </w:tcPr>
          <w:p w14:paraId="1DEC192D" w14:textId="77777777" w:rsidR="009979FE" w:rsidRPr="004A639D" w:rsidRDefault="009979FE" w:rsidP="005A7DD2">
            <w:pPr>
              <w:spacing w:after="0" w:line="240" w:lineRule="auto"/>
              <w:jc w:val="right"/>
              <w:rPr>
                <w:rFonts w:eastAsia="Calibri"/>
                <w:color w:val="000000"/>
                <w:sz w:val="20"/>
                <w:szCs w:val="20"/>
              </w:rPr>
            </w:pPr>
            <w:r w:rsidRPr="004A639D">
              <w:rPr>
                <w:rFonts w:eastAsia="Calibri"/>
                <w:color w:val="000000"/>
                <w:sz w:val="20"/>
                <w:szCs w:val="20"/>
              </w:rPr>
              <w:t>-18</w:t>
            </w:r>
            <w:r>
              <w:rPr>
                <w:rFonts w:eastAsia="Calibri"/>
                <w:color w:val="000000"/>
                <w:sz w:val="20"/>
                <w:szCs w:val="20"/>
              </w:rPr>
              <w:t>39.61</w:t>
            </w:r>
          </w:p>
        </w:tc>
        <w:tc>
          <w:tcPr>
            <w:tcW w:w="759" w:type="pct"/>
            <w:tcBorders>
              <w:top w:val="double" w:sz="4" w:space="0" w:color="auto"/>
            </w:tcBorders>
            <w:vAlign w:val="center"/>
          </w:tcPr>
          <w:p w14:paraId="058E973D" w14:textId="77777777" w:rsidR="009979FE" w:rsidRPr="004A639D" w:rsidRDefault="009979FE" w:rsidP="005A7DD2">
            <w:pPr>
              <w:spacing w:after="0" w:line="240" w:lineRule="auto"/>
              <w:jc w:val="right"/>
              <w:rPr>
                <w:rFonts w:eastAsia="Calibri"/>
                <w:color w:val="000000"/>
                <w:sz w:val="20"/>
                <w:szCs w:val="20"/>
              </w:rPr>
            </w:pPr>
            <w:r w:rsidRPr="004A639D">
              <w:rPr>
                <w:rFonts w:eastAsia="Calibri"/>
                <w:color w:val="000000"/>
                <w:sz w:val="20"/>
                <w:szCs w:val="20"/>
              </w:rPr>
              <w:t>-1847.44</w:t>
            </w:r>
          </w:p>
        </w:tc>
      </w:tr>
      <w:tr w:rsidR="00C33455" w:rsidRPr="004A639D" w14:paraId="78E40437" w14:textId="77777777" w:rsidTr="00C33455">
        <w:trPr>
          <w:trHeight w:val="504"/>
        </w:trPr>
        <w:tc>
          <w:tcPr>
            <w:tcW w:w="521" w:type="pct"/>
            <w:vMerge/>
            <w:vAlign w:val="center"/>
          </w:tcPr>
          <w:p w14:paraId="78EFC598" w14:textId="77777777" w:rsidR="009979FE" w:rsidRPr="004A639D" w:rsidRDefault="009979FE" w:rsidP="00C33455">
            <w:pPr>
              <w:spacing w:after="0" w:line="240" w:lineRule="auto"/>
              <w:jc w:val="left"/>
              <w:rPr>
                <w:rFonts w:eastAsia="Times New Roman"/>
                <w:b/>
                <w:bCs/>
                <w:color w:val="000000"/>
                <w:sz w:val="20"/>
                <w:szCs w:val="20"/>
              </w:rPr>
            </w:pPr>
          </w:p>
        </w:tc>
        <w:tc>
          <w:tcPr>
            <w:tcW w:w="1624" w:type="pct"/>
            <w:shd w:val="clear" w:color="auto" w:fill="auto"/>
            <w:noWrap/>
            <w:vAlign w:val="center"/>
            <w:hideMark/>
          </w:tcPr>
          <w:p w14:paraId="217C5221" w14:textId="77777777" w:rsidR="009979FE" w:rsidRPr="004817C2" w:rsidRDefault="009979FE" w:rsidP="005A7DD2">
            <w:pPr>
              <w:spacing w:after="0" w:line="240" w:lineRule="auto"/>
              <w:jc w:val="left"/>
              <w:rPr>
                <w:rFonts w:eastAsia="Times New Roman"/>
                <w:color w:val="000000"/>
                <w:sz w:val="20"/>
                <w:szCs w:val="20"/>
              </w:rPr>
            </w:pPr>
            <w:r w:rsidRPr="004817C2">
              <w:rPr>
                <w:rFonts w:eastAsia="Times New Roman"/>
                <w:color w:val="000000"/>
                <w:sz w:val="20"/>
                <w:szCs w:val="20"/>
              </w:rPr>
              <w:t>Number of non-constant parameters</w:t>
            </w:r>
          </w:p>
        </w:tc>
        <w:tc>
          <w:tcPr>
            <w:tcW w:w="705" w:type="pct"/>
            <w:shd w:val="clear" w:color="auto" w:fill="auto"/>
            <w:noWrap/>
            <w:vAlign w:val="center"/>
            <w:hideMark/>
          </w:tcPr>
          <w:p w14:paraId="396783D8" w14:textId="77777777" w:rsidR="009979FE" w:rsidRPr="004A639D" w:rsidRDefault="009979FE" w:rsidP="005A7DD2">
            <w:pPr>
              <w:spacing w:after="0" w:line="240" w:lineRule="auto"/>
              <w:jc w:val="right"/>
              <w:rPr>
                <w:rFonts w:eastAsia="Calibri"/>
                <w:color w:val="000000"/>
                <w:sz w:val="20"/>
                <w:szCs w:val="20"/>
              </w:rPr>
            </w:pPr>
            <w:r w:rsidRPr="004A639D">
              <w:rPr>
                <w:rFonts w:eastAsia="Calibri"/>
                <w:color w:val="000000"/>
                <w:sz w:val="20"/>
                <w:szCs w:val="20"/>
              </w:rPr>
              <w:t>43</w:t>
            </w:r>
          </w:p>
        </w:tc>
        <w:tc>
          <w:tcPr>
            <w:tcW w:w="675" w:type="pct"/>
            <w:shd w:val="clear" w:color="auto" w:fill="auto"/>
            <w:noWrap/>
            <w:vAlign w:val="center"/>
            <w:hideMark/>
          </w:tcPr>
          <w:p w14:paraId="5339D6BA" w14:textId="77777777" w:rsidR="009979FE" w:rsidRPr="004A639D" w:rsidRDefault="009979FE" w:rsidP="005A7DD2">
            <w:pPr>
              <w:spacing w:after="0" w:line="240" w:lineRule="auto"/>
              <w:jc w:val="right"/>
              <w:rPr>
                <w:rFonts w:eastAsia="Calibri"/>
                <w:color w:val="000000"/>
                <w:sz w:val="20"/>
                <w:szCs w:val="20"/>
              </w:rPr>
            </w:pPr>
            <w:r w:rsidRPr="004A639D">
              <w:rPr>
                <w:rFonts w:eastAsia="Calibri"/>
                <w:color w:val="000000"/>
                <w:sz w:val="20"/>
                <w:szCs w:val="20"/>
              </w:rPr>
              <w:t>38</w:t>
            </w:r>
          </w:p>
        </w:tc>
        <w:tc>
          <w:tcPr>
            <w:tcW w:w="718" w:type="pct"/>
            <w:gridSpan w:val="2"/>
            <w:vAlign w:val="center"/>
          </w:tcPr>
          <w:p w14:paraId="6CEF6E91" w14:textId="77777777" w:rsidR="009979FE" w:rsidRPr="004A639D" w:rsidRDefault="009979FE" w:rsidP="005A7DD2">
            <w:pPr>
              <w:spacing w:after="0" w:line="240" w:lineRule="auto"/>
              <w:jc w:val="right"/>
              <w:rPr>
                <w:rFonts w:eastAsia="Calibri"/>
                <w:color w:val="000000"/>
                <w:sz w:val="20"/>
                <w:szCs w:val="20"/>
              </w:rPr>
            </w:pPr>
            <w:r w:rsidRPr="004A639D">
              <w:rPr>
                <w:rFonts w:eastAsia="Calibri"/>
                <w:color w:val="000000"/>
                <w:sz w:val="20"/>
                <w:szCs w:val="20"/>
              </w:rPr>
              <w:t>38</w:t>
            </w:r>
          </w:p>
        </w:tc>
        <w:tc>
          <w:tcPr>
            <w:tcW w:w="759" w:type="pct"/>
            <w:vAlign w:val="center"/>
          </w:tcPr>
          <w:p w14:paraId="38719814" w14:textId="77777777" w:rsidR="009979FE" w:rsidRPr="004A639D" w:rsidRDefault="009979FE" w:rsidP="005A7DD2">
            <w:pPr>
              <w:spacing w:after="0" w:line="240" w:lineRule="auto"/>
              <w:jc w:val="right"/>
              <w:rPr>
                <w:rFonts w:eastAsia="Calibri"/>
                <w:color w:val="000000"/>
                <w:sz w:val="20"/>
                <w:szCs w:val="20"/>
              </w:rPr>
            </w:pPr>
            <w:r w:rsidRPr="004A639D">
              <w:rPr>
                <w:rFonts w:eastAsia="Calibri"/>
                <w:color w:val="000000"/>
                <w:sz w:val="20"/>
                <w:szCs w:val="20"/>
              </w:rPr>
              <w:t>31</w:t>
            </w:r>
          </w:p>
        </w:tc>
      </w:tr>
      <w:tr w:rsidR="00C33455" w:rsidRPr="004A639D" w14:paraId="28B140A9" w14:textId="77777777" w:rsidTr="00C33455">
        <w:trPr>
          <w:trHeight w:val="504"/>
        </w:trPr>
        <w:tc>
          <w:tcPr>
            <w:tcW w:w="521" w:type="pct"/>
            <w:vMerge/>
            <w:vAlign w:val="center"/>
          </w:tcPr>
          <w:p w14:paraId="5E82A0B9" w14:textId="77777777" w:rsidR="009979FE" w:rsidRPr="004A639D" w:rsidRDefault="009979FE" w:rsidP="00C33455">
            <w:pPr>
              <w:spacing w:after="0" w:line="240" w:lineRule="auto"/>
              <w:jc w:val="left"/>
              <w:rPr>
                <w:rFonts w:eastAsia="Times New Roman"/>
                <w:b/>
                <w:bCs/>
                <w:color w:val="000000"/>
                <w:sz w:val="20"/>
                <w:szCs w:val="20"/>
              </w:rPr>
            </w:pPr>
          </w:p>
        </w:tc>
        <w:tc>
          <w:tcPr>
            <w:tcW w:w="1624" w:type="pct"/>
            <w:shd w:val="clear" w:color="auto" w:fill="auto"/>
            <w:noWrap/>
            <w:vAlign w:val="center"/>
            <w:hideMark/>
          </w:tcPr>
          <w:p w14:paraId="545CC507" w14:textId="77777777" w:rsidR="009979FE" w:rsidRPr="004817C2" w:rsidRDefault="009979FE" w:rsidP="005A7DD2">
            <w:pPr>
              <w:spacing w:after="0" w:line="240" w:lineRule="auto"/>
              <w:jc w:val="left"/>
              <w:rPr>
                <w:rFonts w:eastAsia="Times New Roman"/>
                <w:color w:val="000000"/>
                <w:sz w:val="20"/>
                <w:szCs w:val="20"/>
              </w:rPr>
            </w:pPr>
            <w:r w:rsidRPr="004817C2">
              <w:rPr>
                <w:rFonts w:eastAsia="Times New Roman"/>
                <w:color w:val="000000"/>
                <w:sz w:val="20"/>
                <w:szCs w:val="20"/>
              </w:rPr>
              <w:t xml:space="preserve">Log-likelihood at constants-only </w:t>
            </w:r>
          </w:p>
        </w:tc>
        <w:tc>
          <w:tcPr>
            <w:tcW w:w="705" w:type="pct"/>
            <w:shd w:val="clear" w:color="auto" w:fill="auto"/>
            <w:noWrap/>
            <w:vAlign w:val="center"/>
            <w:hideMark/>
          </w:tcPr>
          <w:p w14:paraId="05FF85FF" w14:textId="77777777" w:rsidR="009979FE" w:rsidRPr="004A639D" w:rsidRDefault="009979FE" w:rsidP="005A7DD2">
            <w:pPr>
              <w:spacing w:after="0" w:line="240" w:lineRule="auto"/>
              <w:jc w:val="right"/>
              <w:rPr>
                <w:rFonts w:eastAsia="Calibri"/>
                <w:color w:val="000000"/>
                <w:sz w:val="20"/>
                <w:szCs w:val="20"/>
              </w:rPr>
            </w:pPr>
            <w:r w:rsidRPr="004A639D">
              <w:rPr>
                <w:rFonts w:eastAsia="Calibri"/>
                <w:color w:val="000000"/>
                <w:sz w:val="20"/>
                <w:szCs w:val="20"/>
              </w:rPr>
              <w:t>-1960.87</w:t>
            </w:r>
          </w:p>
        </w:tc>
        <w:tc>
          <w:tcPr>
            <w:tcW w:w="675" w:type="pct"/>
            <w:shd w:val="clear" w:color="auto" w:fill="auto"/>
            <w:noWrap/>
            <w:vAlign w:val="center"/>
            <w:hideMark/>
          </w:tcPr>
          <w:p w14:paraId="36C4430E" w14:textId="77777777" w:rsidR="009979FE" w:rsidRPr="004A639D" w:rsidRDefault="009979FE" w:rsidP="005A7DD2">
            <w:pPr>
              <w:spacing w:after="0" w:line="240" w:lineRule="auto"/>
              <w:jc w:val="right"/>
              <w:rPr>
                <w:rFonts w:eastAsia="Calibri"/>
                <w:color w:val="000000"/>
                <w:sz w:val="20"/>
                <w:szCs w:val="20"/>
              </w:rPr>
            </w:pPr>
            <w:r w:rsidRPr="004A639D">
              <w:rPr>
                <w:rFonts w:eastAsia="Calibri"/>
                <w:color w:val="000000"/>
                <w:sz w:val="20"/>
                <w:szCs w:val="20"/>
              </w:rPr>
              <w:t>-1960.87</w:t>
            </w:r>
          </w:p>
        </w:tc>
        <w:tc>
          <w:tcPr>
            <w:tcW w:w="718" w:type="pct"/>
            <w:gridSpan w:val="2"/>
            <w:vAlign w:val="center"/>
          </w:tcPr>
          <w:p w14:paraId="224D4B80" w14:textId="77777777" w:rsidR="009979FE" w:rsidRPr="004A639D" w:rsidRDefault="009979FE" w:rsidP="005A7DD2">
            <w:pPr>
              <w:spacing w:after="0" w:line="240" w:lineRule="auto"/>
              <w:jc w:val="right"/>
              <w:rPr>
                <w:rFonts w:eastAsia="Calibri"/>
                <w:color w:val="000000"/>
                <w:sz w:val="20"/>
                <w:szCs w:val="20"/>
              </w:rPr>
            </w:pPr>
            <w:r w:rsidRPr="004A639D">
              <w:rPr>
                <w:rFonts w:eastAsia="Calibri"/>
                <w:color w:val="000000"/>
                <w:sz w:val="20"/>
                <w:szCs w:val="20"/>
              </w:rPr>
              <w:t>-1960.87</w:t>
            </w:r>
          </w:p>
        </w:tc>
        <w:tc>
          <w:tcPr>
            <w:tcW w:w="759" w:type="pct"/>
            <w:vAlign w:val="center"/>
          </w:tcPr>
          <w:p w14:paraId="0A56380F" w14:textId="77777777" w:rsidR="009979FE" w:rsidRPr="004A639D" w:rsidRDefault="009979FE" w:rsidP="005A7DD2">
            <w:pPr>
              <w:spacing w:after="0" w:line="240" w:lineRule="auto"/>
              <w:jc w:val="right"/>
              <w:rPr>
                <w:rFonts w:eastAsia="Calibri"/>
                <w:color w:val="000000"/>
                <w:sz w:val="20"/>
                <w:szCs w:val="20"/>
              </w:rPr>
            </w:pPr>
            <w:r w:rsidRPr="004A639D">
              <w:rPr>
                <w:rFonts w:eastAsia="Calibri"/>
                <w:color w:val="000000"/>
                <w:sz w:val="20"/>
                <w:szCs w:val="20"/>
              </w:rPr>
              <w:t>-1960.87</w:t>
            </w:r>
          </w:p>
        </w:tc>
      </w:tr>
      <w:tr w:rsidR="00C33455" w:rsidRPr="004A639D" w14:paraId="26B6EB62" w14:textId="77777777" w:rsidTr="00C33455">
        <w:trPr>
          <w:trHeight w:val="504"/>
        </w:trPr>
        <w:tc>
          <w:tcPr>
            <w:tcW w:w="521" w:type="pct"/>
            <w:vMerge/>
            <w:vAlign w:val="center"/>
          </w:tcPr>
          <w:p w14:paraId="330A697D" w14:textId="77777777" w:rsidR="009979FE" w:rsidRPr="004A639D" w:rsidRDefault="009979FE" w:rsidP="00C33455">
            <w:pPr>
              <w:spacing w:after="0" w:line="240" w:lineRule="auto"/>
              <w:jc w:val="left"/>
              <w:rPr>
                <w:rFonts w:eastAsia="Times New Roman"/>
                <w:b/>
                <w:bCs/>
                <w:color w:val="000000"/>
                <w:sz w:val="20"/>
                <w:szCs w:val="20"/>
              </w:rPr>
            </w:pPr>
          </w:p>
        </w:tc>
        <w:tc>
          <w:tcPr>
            <w:tcW w:w="1624" w:type="pct"/>
            <w:shd w:val="clear" w:color="auto" w:fill="auto"/>
            <w:noWrap/>
            <w:vAlign w:val="center"/>
            <w:hideMark/>
          </w:tcPr>
          <w:p w14:paraId="317DAEF0" w14:textId="77777777" w:rsidR="009979FE" w:rsidRPr="004817C2" w:rsidRDefault="009979FE" w:rsidP="005A7DD2">
            <w:pPr>
              <w:spacing w:after="0" w:line="240" w:lineRule="auto"/>
              <w:jc w:val="left"/>
              <w:rPr>
                <w:rFonts w:eastAsia="Times New Roman"/>
                <w:color w:val="000000"/>
                <w:sz w:val="20"/>
                <w:szCs w:val="20"/>
              </w:rPr>
            </w:pPr>
            <w:r w:rsidRPr="004817C2">
              <w:rPr>
                <w:rFonts w:eastAsia="Times New Roman"/>
                <w:color w:val="000000"/>
                <w:sz w:val="20"/>
                <w:szCs w:val="20"/>
              </w:rPr>
              <w:t>Adjusted Rho-squared value</w:t>
            </w:r>
          </w:p>
        </w:tc>
        <w:tc>
          <w:tcPr>
            <w:tcW w:w="705" w:type="pct"/>
            <w:shd w:val="clear" w:color="auto" w:fill="auto"/>
            <w:noWrap/>
            <w:vAlign w:val="center"/>
            <w:hideMark/>
          </w:tcPr>
          <w:p w14:paraId="3DACEE73" w14:textId="77777777" w:rsidR="009979FE" w:rsidRPr="004A639D" w:rsidRDefault="009979FE" w:rsidP="005A7DD2">
            <w:pPr>
              <w:spacing w:after="0" w:line="240" w:lineRule="auto"/>
              <w:jc w:val="right"/>
              <w:rPr>
                <w:rFonts w:eastAsia="Calibri"/>
                <w:color w:val="000000"/>
                <w:sz w:val="20"/>
                <w:szCs w:val="20"/>
              </w:rPr>
            </w:pPr>
            <w:r w:rsidRPr="004A639D">
              <w:rPr>
                <w:rFonts w:eastAsia="Calibri"/>
                <w:color w:val="000000"/>
                <w:sz w:val="20"/>
                <w:szCs w:val="20"/>
              </w:rPr>
              <w:t>0.0623</w:t>
            </w:r>
          </w:p>
        </w:tc>
        <w:tc>
          <w:tcPr>
            <w:tcW w:w="675" w:type="pct"/>
            <w:shd w:val="clear" w:color="auto" w:fill="auto"/>
            <w:noWrap/>
            <w:vAlign w:val="center"/>
            <w:hideMark/>
          </w:tcPr>
          <w:p w14:paraId="2E4493A3" w14:textId="77777777" w:rsidR="009979FE" w:rsidRPr="004A639D" w:rsidRDefault="009979FE" w:rsidP="005A7DD2">
            <w:pPr>
              <w:spacing w:after="0" w:line="240" w:lineRule="auto"/>
              <w:jc w:val="right"/>
              <w:rPr>
                <w:rFonts w:eastAsia="Calibri"/>
                <w:color w:val="000000"/>
                <w:sz w:val="20"/>
                <w:szCs w:val="20"/>
              </w:rPr>
            </w:pPr>
            <w:r w:rsidRPr="004A639D">
              <w:rPr>
                <w:rFonts w:eastAsia="Calibri"/>
                <w:color w:val="000000"/>
                <w:sz w:val="20"/>
                <w:szCs w:val="20"/>
              </w:rPr>
              <w:t>0.0</w:t>
            </w:r>
            <w:r>
              <w:rPr>
                <w:rFonts w:eastAsia="Calibri"/>
                <w:color w:val="000000"/>
                <w:sz w:val="20"/>
                <w:szCs w:val="20"/>
              </w:rPr>
              <w:t>503</w:t>
            </w:r>
          </w:p>
        </w:tc>
        <w:tc>
          <w:tcPr>
            <w:tcW w:w="718" w:type="pct"/>
            <w:gridSpan w:val="2"/>
            <w:vAlign w:val="center"/>
          </w:tcPr>
          <w:p w14:paraId="17E0903C" w14:textId="77777777" w:rsidR="009979FE" w:rsidRPr="004A639D" w:rsidRDefault="009979FE" w:rsidP="005A7DD2">
            <w:pPr>
              <w:spacing w:after="0" w:line="240" w:lineRule="auto"/>
              <w:jc w:val="right"/>
              <w:rPr>
                <w:rFonts w:eastAsia="Calibri"/>
                <w:color w:val="000000"/>
                <w:sz w:val="20"/>
                <w:szCs w:val="20"/>
              </w:rPr>
            </w:pPr>
            <w:r w:rsidRPr="004A639D">
              <w:rPr>
                <w:rFonts w:eastAsia="Calibri"/>
                <w:color w:val="000000"/>
                <w:sz w:val="20"/>
                <w:szCs w:val="20"/>
              </w:rPr>
              <w:t>0.04</w:t>
            </w:r>
            <w:r>
              <w:rPr>
                <w:rFonts w:eastAsia="Calibri"/>
                <w:color w:val="000000"/>
                <w:sz w:val="20"/>
                <w:szCs w:val="20"/>
              </w:rPr>
              <w:t>25</w:t>
            </w:r>
          </w:p>
        </w:tc>
        <w:tc>
          <w:tcPr>
            <w:tcW w:w="759" w:type="pct"/>
            <w:vAlign w:val="center"/>
          </w:tcPr>
          <w:p w14:paraId="1D0A143B" w14:textId="77777777" w:rsidR="009979FE" w:rsidRPr="004A639D" w:rsidRDefault="009979FE" w:rsidP="005A7DD2">
            <w:pPr>
              <w:spacing w:after="0" w:line="240" w:lineRule="auto"/>
              <w:jc w:val="right"/>
              <w:rPr>
                <w:rFonts w:eastAsia="Calibri"/>
                <w:color w:val="000000"/>
                <w:sz w:val="20"/>
                <w:szCs w:val="20"/>
              </w:rPr>
            </w:pPr>
            <w:r w:rsidRPr="004A639D">
              <w:rPr>
                <w:rFonts w:eastAsia="Calibri"/>
                <w:color w:val="000000"/>
                <w:sz w:val="20"/>
                <w:szCs w:val="20"/>
              </w:rPr>
              <w:t>0.0420</w:t>
            </w:r>
          </w:p>
        </w:tc>
      </w:tr>
      <w:tr w:rsidR="00C33455" w:rsidRPr="004A639D" w14:paraId="4932AA23" w14:textId="77777777" w:rsidTr="00C33455">
        <w:trPr>
          <w:trHeight w:val="504"/>
        </w:trPr>
        <w:tc>
          <w:tcPr>
            <w:tcW w:w="521" w:type="pct"/>
            <w:vMerge/>
            <w:vAlign w:val="center"/>
          </w:tcPr>
          <w:p w14:paraId="5270E12C" w14:textId="77777777" w:rsidR="009979FE" w:rsidRPr="004A639D" w:rsidRDefault="009979FE" w:rsidP="00C33455">
            <w:pPr>
              <w:spacing w:after="0" w:line="240" w:lineRule="auto"/>
              <w:jc w:val="left"/>
              <w:rPr>
                <w:rFonts w:eastAsia="Times New Roman"/>
                <w:b/>
                <w:bCs/>
                <w:color w:val="000000"/>
                <w:sz w:val="20"/>
                <w:szCs w:val="20"/>
              </w:rPr>
            </w:pPr>
          </w:p>
        </w:tc>
        <w:tc>
          <w:tcPr>
            <w:tcW w:w="1624" w:type="pct"/>
            <w:shd w:val="clear" w:color="auto" w:fill="auto"/>
            <w:noWrap/>
            <w:vAlign w:val="center"/>
            <w:hideMark/>
          </w:tcPr>
          <w:p w14:paraId="4F7B3544" w14:textId="77777777" w:rsidR="009979FE" w:rsidRPr="004817C2" w:rsidRDefault="009979FE" w:rsidP="005A7DD2">
            <w:pPr>
              <w:spacing w:after="0" w:line="240" w:lineRule="auto"/>
              <w:jc w:val="left"/>
              <w:rPr>
                <w:rFonts w:eastAsia="Times New Roman"/>
                <w:color w:val="000000"/>
                <w:sz w:val="20"/>
                <w:szCs w:val="20"/>
              </w:rPr>
            </w:pPr>
            <w:r w:rsidRPr="004817C2">
              <w:rPr>
                <w:rFonts w:eastAsia="Times New Roman"/>
                <w:color w:val="000000"/>
                <w:sz w:val="20"/>
                <w:szCs w:val="20"/>
              </w:rPr>
              <w:t xml:space="preserve">Likelihood ratio (LR) test: Proposed vs </w:t>
            </w:r>
            <w:r>
              <w:rPr>
                <w:rFonts w:eastAsia="Times New Roman"/>
                <w:color w:val="000000"/>
                <w:sz w:val="20"/>
                <w:szCs w:val="20"/>
              </w:rPr>
              <w:t>Independent Segmented</w:t>
            </w:r>
          </w:p>
        </w:tc>
        <w:tc>
          <w:tcPr>
            <w:tcW w:w="2855" w:type="pct"/>
            <w:gridSpan w:val="5"/>
            <w:shd w:val="clear" w:color="auto" w:fill="auto"/>
            <w:noWrap/>
            <w:vAlign w:val="center"/>
          </w:tcPr>
          <w:p w14:paraId="44B75B34" w14:textId="77777777" w:rsidR="009979FE" w:rsidRPr="004A639D" w:rsidRDefault="009979FE" w:rsidP="005A7DD2">
            <w:pPr>
              <w:spacing w:after="0" w:line="240" w:lineRule="auto"/>
              <w:jc w:val="center"/>
              <w:rPr>
                <w:rFonts w:eastAsia="Times New Roman"/>
                <w:i/>
                <w:color w:val="000000"/>
                <w:sz w:val="20"/>
                <w:szCs w:val="20"/>
              </w:rPr>
            </w:pPr>
            <w:r w:rsidRPr="004A639D">
              <w:rPr>
                <w:rFonts w:eastAsia="Calibri"/>
                <w:sz w:val="20"/>
                <w:szCs w:val="20"/>
              </w:rPr>
              <w:t xml:space="preserve">LR = </w:t>
            </w:r>
            <w:r>
              <w:rPr>
                <w:rFonts w:eastAsia="Calibri"/>
                <w:sz w:val="20"/>
                <w:szCs w:val="20"/>
              </w:rPr>
              <w:t>64</w:t>
            </w:r>
            <w:r w:rsidRPr="004A639D">
              <w:rPr>
                <w:rFonts w:eastAsia="Calibri"/>
                <w:sz w:val="20"/>
                <w:szCs w:val="20"/>
              </w:rPr>
              <w:t>.</w:t>
            </w:r>
            <w:r>
              <w:rPr>
                <w:rFonts w:eastAsia="Calibri"/>
                <w:sz w:val="20"/>
                <w:szCs w:val="20"/>
              </w:rPr>
              <w:t>54</w:t>
            </w:r>
            <w:r w:rsidRPr="004A639D">
              <w:rPr>
                <w:rFonts w:eastAsia="Calibri"/>
                <w:sz w:val="20"/>
                <w:szCs w:val="20"/>
              </w:rPr>
              <w:t xml:space="preserve">&gt; </w:t>
            </w:r>
            <m:oMath>
              <m:sSubSup>
                <m:sSubSupPr>
                  <m:ctrlPr>
                    <w:rPr>
                      <w:rFonts w:ascii="Cambria Math" w:eastAsia="Calibri" w:hAnsi="Cambria Math"/>
                      <w:i/>
                      <w:sz w:val="20"/>
                      <w:szCs w:val="20"/>
                    </w:rPr>
                  </m:ctrlPr>
                </m:sSubSupPr>
                <m:e>
                  <m:r>
                    <w:rPr>
                      <w:rFonts w:ascii="Cambria Math" w:eastAsia="Calibri" w:hAnsi="Cambria Math"/>
                      <w:sz w:val="20"/>
                      <w:szCs w:val="20"/>
                    </w:rPr>
                    <m:t>χ</m:t>
                  </m:r>
                </m:e>
                <m:sub>
                  <m:r>
                    <w:rPr>
                      <w:rFonts w:ascii="Cambria Math" w:eastAsia="Calibri" w:hAnsi="Cambria Math"/>
                      <w:sz w:val="20"/>
                      <w:szCs w:val="20"/>
                    </w:rPr>
                    <m:t>(7,  0.05)</m:t>
                  </m:r>
                </m:sub>
                <m:sup>
                  <m:r>
                    <w:rPr>
                      <w:rFonts w:ascii="Cambria Math" w:eastAsia="Calibri" w:hAnsi="Cambria Math"/>
                      <w:sz w:val="20"/>
                      <w:szCs w:val="20"/>
                    </w:rPr>
                    <m:t>2</m:t>
                  </m:r>
                </m:sup>
              </m:sSubSup>
              <m:r>
                <w:rPr>
                  <w:rFonts w:ascii="Cambria Math" w:eastAsia="Calibri" w:hAnsi="Cambria Math"/>
                  <w:sz w:val="20"/>
                  <w:szCs w:val="20"/>
                </w:rPr>
                <m:t>=</m:t>
              </m:r>
            </m:oMath>
            <w:r w:rsidRPr="004A639D">
              <w:rPr>
                <w:rFonts w:eastAsia="Times New Roman"/>
                <w:sz w:val="20"/>
                <w:szCs w:val="20"/>
              </w:rPr>
              <w:t>14.07</w:t>
            </w:r>
          </w:p>
        </w:tc>
      </w:tr>
      <w:tr w:rsidR="00C33455" w:rsidRPr="004A639D" w14:paraId="557D9822" w14:textId="77777777" w:rsidTr="00C33455">
        <w:trPr>
          <w:trHeight w:val="504"/>
        </w:trPr>
        <w:tc>
          <w:tcPr>
            <w:tcW w:w="521" w:type="pct"/>
            <w:vMerge/>
            <w:vAlign w:val="center"/>
          </w:tcPr>
          <w:p w14:paraId="37B5EF29" w14:textId="77777777" w:rsidR="009979FE" w:rsidRPr="004A639D" w:rsidRDefault="009979FE" w:rsidP="00C33455">
            <w:pPr>
              <w:spacing w:after="0" w:line="240" w:lineRule="auto"/>
              <w:jc w:val="left"/>
              <w:rPr>
                <w:rFonts w:eastAsia="Times New Roman"/>
                <w:b/>
                <w:bCs/>
                <w:color w:val="000000"/>
                <w:sz w:val="20"/>
                <w:szCs w:val="20"/>
              </w:rPr>
            </w:pPr>
          </w:p>
        </w:tc>
        <w:tc>
          <w:tcPr>
            <w:tcW w:w="1624" w:type="pct"/>
            <w:shd w:val="clear" w:color="auto" w:fill="auto"/>
            <w:noWrap/>
            <w:vAlign w:val="center"/>
          </w:tcPr>
          <w:p w14:paraId="59A4C7B1" w14:textId="77777777" w:rsidR="009979FE" w:rsidRPr="004817C2" w:rsidRDefault="009979FE" w:rsidP="00C33455">
            <w:pPr>
              <w:spacing w:after="0" w:line="240" w:lineRule="auto"/>
              <w:ind w:right="433"/>
              <w:jc w:val="left"/>
              <w:rPr>
                <w:rFonts w:eastAsia="Times New Roman"/>
                <w:color w:val="000000"/>
                <w:sz w:val="20"/>
                <w:szCs w:val="20"/>
              </w:rPr>
            </w:pPr>
            <w:r w:rsidRPr="004817C2">
              <w:rPr>
                <w:rFonts w:eastAsia="Times New Roman"/>
                <w:color w:val="000000"/>
                <w:sz w:val="20"/>
                <w:szCs w:val="20"/>
              </w:rPr>
              <w:t xml:space="preserve">Likelihood ratio (LR) test: Proposed vs </w:t>
            </w:r>
            <w:r>
              <w:rPr>
                <w:rFonts w:eastAsia="Times New Roman"/>
                <w:color w:val="000000"/>
                <w:sz w:val="20"/>
                <w:szCs w:val="20"/>
              </w:rPr>
              <w:t>Joint Unsegmented</w:t>
            </w:r>
          </w:p>
        </w:tc>
        <w:tc>
          <w:tcPr>
            <w:tcW w:w="2855" w:type="pct"/>
            <w:gridSpan w:val="5"/>
            <w:shd w:val="clear" w:color="auto" w:fill="auto"/>
            <w:noWrap/>
            <w:vAlign w:val="center"/>
          </w:tcPr>
          <w:p w14:paraId="218DBC4D" w14:textId="77777777" w:rsidR="009979FE" w:rsidRPr="004A639D" w:rsidRDefault="009979FE" w:rsidP="005A7DD2">
            <w:pPr>
              <w:spacing w:after="0" w:line="240" w:lineRule="auto"/>
              <w:jc w:val="center"/>
              <w:rPr>
                <w:rFonts w:eastAsia="Times New Roman"/>
                <w:i/>
                <w:color w:val="000000"/>
                <w:sz w:val="20"/>
                <w:szCs w:val="20"/>
              </w:rPr>
            </w:pPr>
            <w:r w:rsidRPr="004A639D">
              <w:rPr>
                <w:rFonts w:eastAsia="Calibri"/>
                <w:sz w:val="20"/>
                <w:szCs w:val="20"/>
              </w:rPr>
              <w:t xml:space="preserve">LR = </w:t>
            </w:r>
            <w:r>
              <w:rPr>
                <w:rFonts w:eastAsia="Calibri"/>
                <w:sz w:val="20"/>
                <w:szCs w:val="20"/>
              </w:rPr>
              <w:t>91.76</w:t>
            </w:r>
            <w:r w:rsidRPr="004A639D">
              <w:rPr>
                <w:rFonts w:eastAsia="Calibri"/>
                <w:sz w:val="20"/>
                <w:szCs w:val="20"/>
              </w:rPr>
              <w:t xml:space="preserve">&gt; </w:t>
            </w:r>
            <m:oMath>
              <m:sSubSup>
                <m:sSubSupPr>
                  <m:ctrlPr>
                    <w:rPr>
                      <w:rFonts w:ascii="Cambria Math" w:eastAsia="Calibri" w:hAnsi="Cambria Math"/>
                      <w:i/>
                      <w:sz w:val="20"/>
                      <w:szCs w:val="20"/>
                    </w:rPr>
                  </m:ctrlPr>
                </m:sSubSupPr>
                <m:e>
                  <m:r>
                    <w:rPr>
                      <w:rFonts w:ascii="Cambria Math" w:eastAsia="Calibri" w:hAnsi="Cambria Math"/>
                      <w:sz w:val="20"/>
                      <w:szCs w:val="20"/>
                    </w:rPr>
                    <m:t>χ</m:t>
                  </m:r>
                </m:e>
                <m:sub>
                  <m:r>
                    <w:rPr>
                      <w:rFonts w:ascii="Cambria Math" w:eastAsia="Calibri" w:hAnsi="Cambria Math"/>
                      <w:sz w:val="20"/>
                      <w:szCs w:val="20"/>
                    </w:rPr>
                    <m:t>(7,  0.05)</m:t>
                  </m:r>
                </m:sub>
                <m:sup>
                  <m:r>
                    <w:rPr>
                      <w:rFonts w:ascii="Cambria Math" w:eastAsia="Calibri" w:hAnsi="Cambria Math"/>
                      <w:sz w:val="20"/>
                      <w:szCs w:val="20"/>
                    </w:rPr>
                    <m:t>2</m:t>
                  </m:r>
                </m:sup>
              </m:sSubSup>
              <m:r>
                <w:rPr>
                  <w:rFonts w:ascii="Cambria Math" w:eastAsia="Calibri" w:hAnsi="Cambria Math"/>
                  <w:sz w:val="20"/>
                  <w:szCs w:val="20"/>
                </w:rPr>
                <m:t>=</m:t>
              </m:r>
            </m:oMath>
            <w:r w:rsidRPr="004A639D">
              <w:rPr>
                <w:rFonts w:eastAsia="Times New Roman"/>
                <w:sz w:val="20"/>
                <w:szCs w:val="20"/>
              </w:rPr>
              <w:t>14.07</w:t>
            </w:r>
          </w:p>
        </w:tc>
      </w:tr>
      <w:tr w:rsidR="00C33455" w:rsidRPr="004A639D" w14:paraId="3123AEE9" w14:textId="77777777" w:rsidTr="00C33455">
        <w:trPr>
          <w:trHeight w:val="504"/>
        </w:trPr>
        <w:tc>
          <w:tcPr>
            <w:tcW w:w="521" w:type="pct"/>
            <w:vMerge/>
            <w:vAlign w:val="center"/>
          </w:tcPr>
          <w:p w14:paraId="4E42391A" w14:textId="77777777" w:rsidR="009979FE" w:rsidRPr="004A639D" w:rsidRDefault="009979FE" w:rsidP="00C33455">
            <w:pPr>
              <w:spacing w:after="0" w:line="240" w:lineRule="auto"/>
              <w:jc w:val="left"/>
              <w:rPr>
                <w:rFonts w:eastAsia="Times New Roman"/>
                <w:b/>
                <w:bCs/>
                <w:color w:val="000000"/>
                <w:sz w:val="20"/>
                <w:szCs w:val="20"/>
              </w:rPr>
            </w:pPr>
          </w:p>
        </w:tc>
        <w:tc>
          <w:tcPr>
            <w:tcW w:w="1624" w:type="pct"/>
            <w:shd w:val="clear" w:color="auto" w:fill="auto"/>
            <w:noWrap/>
            <w:vAlign w:val="center"/>
            <w:hideMark/>
          </w:tcPr>
          <w:p w14:paraId="5D9571BC" w14:textId="77777777" w:rsidR="009979FE" w:rsidRPr="004817C2" w:rsidRDefault="009979FE" w:rsidP="005A7DD2">
            <w:pPr>
              <w:spacing w:after="0" w:line="240" w:lineRule="auto"/>
              <w:jc w:val="left"/>
              <w:rPr>
                <w:rFonts w:eastAsia="Times New Roman"/>
                <w:color w:val="000000"/>
                <w:sz w:val="20"/>
                <w:szCs w:val="20"/>
              </w:rPr>
            </w:pPr>
            <w:r w:rsidRPr="004817C2">
              <w:rPr>
                <w:rFonts w:eastAsia="Times New Roman"/>
                <w:color w:val="000000"/>
                <w:sz w:val="20"/>
                <w:szCs w:val="20"/>
              </w:rPr>
              <w:t>Likelihood ratio (LR) test: Proposed vs Independent Unsegmented</w:t>
            </w:r>
          </w:p>
        </w:tc>
        <w:tc>
          <w:tcPr>
            <w:tcW w:w="2855" w:type="pct"/>
            <w:gridSpan w:val="5"/>
            <w:vAlign w:val="center"/>
          </w:tcPr>
          <w:p w14:paraId="49392A97" w14:textId="77777777" w:rsidR="009979FE" w:rsidRPr="004A639D" w:rsidRDefault="009979FE" w:rsidP="005A7DD2">
            <w:pPr>
              <w:spacing w:after="0" w:line="240" w:lineRule="auto"/>
              <w:jc w:val="center"/>
              <w:rPr>
                <w:rFonts w:eastAsia="Calibri"/>
                <w:sz w:val="20"/>
                <w:szCs w:val="20"/>
              </w:rPr>
            </w:pPr>
            <w:r w:rsidRPr="004A639D">
              <w:rPr>
                <w:rFonts w:eastAsia="Calibri"/>
                <w:sz w:val="20"/>
                <w:szCs w:val="20"/>
              </w:rPr>
              <w:t xml:space="preserve">LR = 107.40&gt; </w:t>
            </w:r>
            <m:oMath>
              <m:sSubSup>
                <m:sSubSupPr>
                  <m:ctrlPr>
                    <w:rPr>
                      <w:rFonts w:ascii="Cambria Math" w:eastAsia="Calibri" w:hAnsi="Cambria Math"/>
                      <w:i/>
                      <w:sz w:val="20"/>
                      <w:szCs w:val="20"/>
                    </w:rPr>
                  </m:ctrlPr>
                </m:sSubSupPr>
                <m:e>
                  <m:r>
                    <w:rPr>
                      <w:rFonts w:ascii="Cambria Math" w:eastAsia="Calibri" w:hAnsi="Cambria Math"/>
                      <w:sz w:val="20"/>
                      <w:szCs w:val="20"/>
                    </w:rPr>
                    <m:t>χ</m:t>
                  </m:r>
                </m:e>
                <m:sub>
                  <m:r>
                    <w:rPr>
                      <w:rFonts w:ascii="Cambria Math" w:eastAsia="Calibri" w:hAnsi="Cambria Math"/>
                      <w:sz w:val="20"/>
                      <w:szCs w:val="20"/>
                    </w:rPr>
                    <m:t>(14,  0.05)</m:t>
                  </m:r>
                </m:sub>
                <m:sup>
                  <m:r>
                    <w:rPr>
                      <w:rFonts w:ascii="Cambria Math" w:eastAsia="Calibri" w:hAnsi="Cambria Math"/>
                      <w:sz w:val="20"/>
                      <w:szCs w:val="20"/>
                    </w:rPr>
                    <m:t>2</m:t>
                  </m:r>
                </m:sup>
              </m:sSubSup>
              <m:r>
                <w:rPr>
                  <w:rFonts w:ascii="Cambria Math" w:eastAsia="Calibri" w:hAnsi="Cambria Math"/>
                  <w:sz w:val="20"/>
                  <w:szCs w:val="20"/>
                </w:rPr>
                <m:t>=</m:t>
              </m:r>
            </m:oMath>
            <w:r w:rsidRPr="004A639D">
              <w:rPr>
                <w:rFonts w:eastAsia="Times New Roman"/>
                <w:sz w:val="20"/>
                <w:szCs w:val="20"/>
              </w:rPr>
              <w:t>23.68</w:t>
            </w:r>
          </w:p>
        </w:tc>
      </w:tr>
      <w:tr w:rsidR="00C33455" w:rsidRPr="004A639D" w14:paraId="68649042" w14:textId="77777777" w:rsidTr="00C33455">
        <w:trPr>
          <w:trHeight w:val="504"/>
        </w:trPr>
        <w:tc>
          <w:tcPr>
            <w:tcW w:w="521" w:type="pct"/>
            <w:vMerge w:val="restart"/>
            <w:vAlign w:val="center"/>
          </w:tcPr>
          <w:p w14:paraId="372755C5" w14:textId="123F5D42" w:rsidR="009979FE" w:rsidRPr="004A639D" w:rsidRDefault="009979FE" w:rsidP="00C33455">
            <w:pPr>
              <w:spacing w:after="0" w:line="240" w:lineRule="auto"/>
              <w:jc w:val="left"/>
              <w:rPr>
                <w:rFonts w:eastAsia="Times New Roman"/>
                <w:b/>
                <w:bCs/>
                <w:color w:val="000000"/>
                <w:sz w:val="20"/>
                <w:szCs w:val="20"/>
              </w:rPr>
            </w:pPr>
            <w:r>
              <w:rPr>
                <w:rFonts w:eastAsia="Times New Roman"/>
                <w:b/>
                <w:bCs/>
                <w:color w:val="000000"/>
                <w:sz w:val="20"/>
                <w:szCs w:val="20"/>
              </w:rPr>
              <w:t>Non-likelihood Based Measures</w:t>
            </w:r>
          </w:p>
        </w:tc>
        <w:tc>
          <w:tcPr>
            <w:tcW w:w="1624" w:type="pct"/>
            <w:shd w:val="clear" w:color="auto" w:fill="auto"/>
            <w:noWrap/>
            <w:vAlign w:val="center"/>
          </w:tcPr>
          <w:p w14:paraId="7B122E1F" w14:textId="77777777" w:rsidR="009979FE" w:rsidRPr="004817C2" w:rsidRDefault="009979FE" w:rsidP="005A7DD2">
            <w:pPr>
              <w:spacing w:after="0" w:line="240" w:lineRule="auto"/>
              <w:jc w:val="left"/>
              <w:rPr>
                <w:rFonts w:eastAsia="Times New Roman"/>
                <w:color w:val="000000"/>
                <w:sz w:val="20"/>
                <w:szCs w:val="20"/>
              </w:rPr>
            </w:pPr>
            <w:r w:rsidRPr="004817C2">
              <w:rPr>
                <w:rFonts w:eastAsia="Times New Roman"/>
                <w:color w:val="000000"/>
                <w:sz w:val="20"/>
                <w:szCs w:val="20"/>
              </w:rPr>
              <w:t xml:space="preserve">Discrete Participation </w:t>
            </w:r>
            <w:r>
              <w:rPr>
                <w:rFonts w:eastAsia="Times New Roman"/>
                <w:color w:val="000000"/>
                <w:sz w:val="20"/>
                <w:szCs w:val="20"/>
              </w:rPr>
              <w:t>W</w:t>
            </w:r>
            <w:r w:rsidRPr="004817C2">
              <w:rPr>
                <w:rFonts w:eastAsia="Times New Roman"/>
                <w:color w:val="000000"/>
                <w:sz w:val="20"/>
                <w:szCs w:val="20"/>
              </w:rPr>
              <w:t>APE</w:t>
            </w:r>
          </w:p>
        </w:tc>
        <w:tc>
          <w:tcPr>
            <w:tcW w:w="705" w:type="pct"/>
            <w:vAlign w:val="center"/>
          </w:tcPr>
          <w:p w14:paraId="03804703" w14:textId="77777777" w:rsidR="009979FE" w:rsidRPr="004A639D" w:rsidRDefault="009979FE" w:rsidP="005A7DD2">
            <w:pPr>
              <w:spacing w:after="0" w:line="240" w:lineRule="auto"/>
              <w:jc w:val="right"/>
              <w:rPr>
                <w:rFonts w:eastAsia="Calibri"/>
                <w:sz w:val="20"/>
                <w:szCs w:val="20"/>
              </w:rPr>
            </w:pPr>
            <w:r>
              <w:rPr>
                <w:rFonts w:eastAsia="Calibri"/>
                <w:sz w:val="20"/>
                <w:szCs w:val="20"/>
              </w:rPr>
              <w:t>9.83%</w:t>
            </w:r>
          </w:p>
        </w:tc>
        <w:tc>
          <w:tcPr>
            <w:tcW w:w="675" w:type="pct"/>
            <w:vAlign w:val="center"/>
          </w:tcPr>
          <w:p w14:paraId="6B30F95B" w14:textId="77777777" w:rsidR="009979FE" w:rsidRPr="004A639D" w:rsidRDefault="009979FE" w:rsidP="005A7DD2">
            <w:pPr>
              <w:spacing w:after="0" w:line="240" w:lineRule="auto"/>
              <w:jc w:val="right"/>
              <w:rPr>
                <w:rFonts w:eastAsia="Calibri"/>
                <w:sz w:val="20"/>
                <w:szCs w:val="20"/>
              </w:rPr>
            </w:pPr>
            <w:r>
              <w:rPr>
                <w:rFonts w:eastAsia="Calibri"/>
                <w:sz w:val="20"/>
                <w:szCs w:val="20"/>
              </w:rPr>
              <w:t>11.65%</w:t>
            </w:r>
          </w:p>
        </w:tc>
        <w:tc>
          <w:tcPr>
            <w:tcW w:w="709" w:type="pct"/>
            <w:vAlign w:val="center"/>
          </w:tcPr>
          <w:p w14:paraId="50DB0BE6" w14:textId="77777777" w:rsidR="009979FE" w:rsidRPr="004A639D" w:rsidRDefault="009979FE" w:rsidP="005A7DD2">
            <w:pPr>
              <w:spacing w:after="0" w:line="240" w:lineRule="auto"/>
              <w:jc w:val="right"/>
              <w:rPr>
                <w:rFonts w:eastAsia="Calibri"/>
                <w:sz w:val="20"/>
                <w:szCs w:val="20"/>
              </w:rPr>
            </w:pPr>
            <w:r>
              <w:rPr>
                <w:rFonts w:eastAsia="Calibri"/>
                <w:sz w:val="20"/>
                <w:szCs w:val="20"/>
              </w:rPr>
              <w:t>14.32%</w:t>
            </w:r>
          </w:p>
        </w:tc>
        <w:tc>
          <w:tcPr>
            <w:tcW w:w="768" w:type="pct"/>
            <w:gridSpan w:val="2"/>
            <w:vAlign w:val="center"/>
          </w:tcPr>
          <w:p w14:paraId="7E64497F" w14:textId="77777777" w:rsidR="009979FE" w:rsidRPr="004A639D" w:rsidRDefault="009979FE" w:rsidP="005A7DD2">
            <w:pPr>
              <w:spacing w:after="0" w:line="240" w:lineRule="auto"/>
              <w:jc w:val="right"/>
              <w:rPr>
                <w:rFonts w:eastAsia="Calibri"/>
                <w:sz w:val="20"/>
                <w:szCs w:val="20"/>
              </w:rPr>
            </w:pPr>
            <w:r>
              <w:rPr>
                <w:rFonts w:eastAsia="Calibri"/>
                <w:sz w:val="20"/>
                <w:szCs w:val="20"/>
              </w:rPr>
              <w:t>16.26%</w:t>
            </w:r>
          </w:p>
        </w:tc>
      </w:tr>
      <w:tr w:rsidR="00C33455" w:rsidRPr="004A639D" w14:paraId="026875DF" w14:textId="77777777" w:rsidTr="00C33455">
        <w:trPr>
          <w:trHeight w:val="504"/>
        </w:trPr>
        <w:tc>
          <w:tcPr>
            <w:tcW w:w="521" w:type="pct"/>
            <w:vMerge/>
          </w:tcPr>
          <w:p w14:paraId="74FF2F61" w14:textId="77777777" w:rsidR="009979FE" w:rsidRPr="004A639D" w:rsidRDefault="009979FE" w:rsidP="005A7DD2">
            <w:pPr>
              <w:spacing w:after="0" w:line="240" w:lineRule="auto"/>
              <w:jc w:val="left"/>
              <w:rPr>
                <w:rFonts w:eastAsia="Times New Roman"/>
                <w:b/>
                <w:bCs/>
                <w:color w:val="000000"/>
                <w:sz w:val="20"/>
                <w:szCs w:val="20"/>
              </w:rPr>
            </w:pPr>
          </w:p>
        </w:tc>
        <w:tc>
          <w:tcPr>
            <w:tcW w:w="1624" w:type="pct"/>
            <w:shd w:val="clear" w:color="auto" w:fill="auto"/>
            <w:noWrap/>
            <w:vAlign w:val="center"/>
          </w:tcPr>
          <w:p w14:paraId="7CC9A2A8" w14:textId="3E17F684" w:rsidR="009979FE" w:rsidRPr="004817C2" w:rsidRDefault="007E752C" w:rsidP="005A7DD2">
            <w:pPr>
              <w:spacing w:after="0" w:line="240" w:lineRule="auto"/>
              <w:jc w:val="left"/>
              <w:rPr>
                <w:rFonts w:eastAsia="Times New Roman"/>
                <w:color w:val="000000"/>
                <w:sz w:val="20"/>
                <w:szCs w:val="20"/>
              </w:rPr>
            </w:pPr>
            <w:r>
              <w:rPr>
                <w:rFonts w:eastAsia="Times New Roman"/>
                <w:color w:val="000000"/>
                <w:sz w:val="20"/>
                <w:szCs w:val="20"/>
              </w:rPr>
              <w:t xml:space="preserve">Weighted </w:t>
            </w:r>
            <w:r w:rsidR="009979FE" w:rsidRPr="004817C2">
              <w:rPr>
                <w:rFonts w:eastAsia="Times New Roman"/>
                <w:color w:val="000000"/>
                <w:sz w:val="20"/>
                <w:szCs w:val="20"/>
              </w:rPr>
              <w:t xml:space="preserve">Average Probability of Correct Prediction </w:t>
            </w:r>
            <w:r>
              <w:rPr>
                <w:rFonts w:eastAsia="Times New Roman"/>
                <w:color w:val="000000"/>
                <w:sz w:val="20"/>
                <w:szCs w:val="20"/>
              </w:rPr>
              <w:t xml:space="preserve">(WAPCP) </w:t>
            </w:r>
            <w:r w:rsidR="009979FE" w:rsidRPr="004817C2">
              <w:rPr>
                <w:rFonts w:eastAsia="Times New Roman"/>
                <w:color w:val="000000"/>
                <w:sz w:val="20"/>
                <w:szCs w:val="20"/>
              </w:rPr>
              <w:t>for Discrete Combinations</w:t>
            </w:r>
          </w:p>
        </w:tc>
        <w:tc>
          <w:tcPr>
            <w:tcW w:w="705" w:type="pct"/>
            <w:vAlign w:val="center"/>
          </w:tcPr>
          <w:p w14:paraId="5E720223" w14:textId="77777777" w:rsidR="009979FE" w:rsidRPr="004A639D" w:rsidRDefault="009979FE" w:rsidP="005A7DD2">
            <w:pPr>
              <w:spacing w:after="0" w:line="240" w:lineRule="auto"/>
              <w:jc w:val="right"/>
              <w:rPr>
                <w:rFonts w:eastAsia="Calibri"/>
                <w:sz w:val="20"/>
                <w:szCs w:val="20"/>
              </w:rPr>
            </w:pPr>
            <w:r>
              <w:rPr>
                <w:rFonts w:eastAsia="Calibri"/>
                <w:sz w:val="20"/>
                <w:szCs w:val="20"/>
              </w:rPr>
              <w:t>0.504</w:t>
            </w:r>
          </w:p>
        </w:tc>
        <w:tc>
          <w:tcPr>
            <w:tcW w:w="675" w:type="pct"/>
            <w:vAlign w:val="center"/>
          </w:tcPr>
          <w:p w14:paraId="56C8E356" w14:textId="77777777" w:rsidR="009979FE" w:rsidRPr="004A639D" w:rsidRDefault="009979FE" w:rsidP="005A7DD2">
            <w:pPr>
              <w:spacing w:after="0" w:line="240" w:lineRule="auto"/>
              <w:jc w:val="right"/>
              <w:rPr>
                <w:rFonts w:eastAsia="Calibri"/>
                <w:sz w:val="20"/>
                <w:szCs w:val="20"/>
              </w:rPr>
            </w:pPr>
            <w:r>
              <w:rPr>
                <w:rFonts w:eastAsia="Calibri"/>
                <w:sz w:val="20"/>
                <w:szCs w:val="20"/>
              </w:rPr>
              <w:t>0.494</w:t>
            </w:r>
          </w:p>
        </w:tc>
        <w:tc>
          <w:tcPr>
            <w:tcW w:w="709" w:type="pct"/>
            <w:vAlign w:val="center"/>
          </w:tcPr>
          <w:p w14:paraId="73C64649" w14:textId="77777777" w:rsidR="009979FE" w:rsidRPr="004A639D" w:rsidRDefault="009979FE" w:rsidP="005A7DD2">
            <w:pPr>
              <w:spacing w:after="0" w:line="240" w:lineRule="auto"/>
              <w:jc w:val="right"/>
              <w:rPr>
                <w:rFonts w:eastAsia="Calibri"/>
                <w:sz w:val="20"/>
                <w:szCs w:val="20"/>
              </w:rPr>
            </w:pPr>
            <w:r>
              <w:rPr>
                <w:rFonts w:eastAsia="Calibri"/>
                <w:sz w:val="20"/>
                <w:szCs w:val="20"/>
              </w:rPr>
              <w:t>0.464</w:t>
            </w:r>
          </w:p>
        </w:tc>
        <w:tc>
          <w:tcPr>
            <w:tcW w:w="768" w:type="pct"/>
            <w:gridSpan w:val="2"/>
            <w:vAlign w:val="center"/>
          </w:tcPr>
          <w:p w14:paraId="18835BE1" w14:textId="77777777" w:rsidR="009979FE" w:rsidRPr="004A639D" w:rsidRDefault="009979FE" w:rsidP="005A7DD2">
            <w:pPr>
              <w:spacing w:after="0" w:line="240" w:lineRule="auto"/>
              <w:jc w:val="right"/>
              <w:rPr>
                <w:rFonts w:eastAsia="Calibri"/>
                <w:sz w:val="20"/>
                <w:szCs w:val="20"/>
              </w:rPr>
            </w:pPr>
            <w:r>
              <w:rPr>
                <w:rFonts w:eastAsia="Calibri"/>
                <w:sz w:val="20"/>
                <w:szCs w:val="20"/>
              </w:rPr>
              <w:t>0.458</w:t>
            </w:r>
          </w:p>
        </w:tc>
      </w:tr>
      <w:tr w:rsidR="00C33455" w:rsidRPr="004A639D" w14:paraId="260E45A9" w14:textId="77777777" w:rsidTr="00C33455">
        <w:trPr>
          <w:trHeight w:val="504"/>
        </w:trPr>
        <w:tc>
          <w:tcPr>
            <w:tcW w:w="521" w:type="pct"/>
            <w:vMerge/>
          </w:tcPr>
          <w:p w14:paraId="7C7EA926" w14:textId="77777777" w:rsidR="009979FE" w:rsidRPr="004A639D" w:rsidRDefault="009979FE" w:rsidP="005A7DD2">
            <w:pPr>
              <w:spacing w:after="0" w:line="240" w:lineRule="auto"/>
              <w:jc w:val="left"/>
              <w:rPr>
                <w:rFonts w:eastAsia="Times New Roman"/>
                <w:b/>
                <w:bCs/>
                <w:color w:val="000000"/>
                <w:sz w:val="20"/>
                <w:szCs w:val="20"/>
              </w:rPr>
            </w:pPr>
          </w:p>
        </w:tc>
        <w:tc>
          <w:tcPr>
            <w:tcW w:w="1624" w:type="pct"/>
            <w:shd w:val="clear" w:color="auto" w:fill="auto"/>
            <w:noWrap/>
            <w:vAlign w:val="center"/>
          </w:tcPr>
          <w:p w14:paraId="222C1F67" w14:textId="77777777" w:rsidR="009979FE" w:rsidRPr="004817C2" w:rsidRDefault="009979FE" w:rsidP="005A7DD2">
            <w:pPr>
              <w:spacing w:after="0" w:line="240" w:lineRule="auto"/>
              <w:jc w:val="left"/>
              <w:rPr>
                <w:rFonts w:eastAsia="Times New Roman"/>
                <w:color w:val="000000"/>
                <w:sz w:val="20"/>
                <w:szCs w:val="20"/>
              </w:rPr>
            </w:pPr>
            <w:r w:rsidRPr="004817C2">
              <w:rPr>
                <w:rFonts w:eastAsia="Times New Roman"/>
                <w:color w:val="000000"/>
                <w:sz w:val="20"/>
                <w:szCs w:val="20"/>
              </w:rPr>
              <w:t>Average Fractional Split of Days Worked from Each Workplace Location</w:t>
            </w:r>
            <w:r>
              <w:rPr>
                <w:rFonts w:eastAsia="Times New Roman"/>
                <w:color w:val="000000"/>
                <w:sz w:val="20"/>
                <w:szCs w:val="20"/>
              </w:rPr>
              <w:t xml:space="preserve"> WAPE</w:t>
            </w:r>
          </w:p>
        </w:tc>
        <w:tc>
          <w:tcPr>
            <w:tcW w:w="705" w:type="pct"/>
            <w:vAlign w:val="center"/>
          </w:tcPr>
          <w:p w14:paraId="11BD81EC" w14:textId="77777777" w:rsidR="009979FE" w:rsidRPr="004A639D" w:rsidRDefault="009979FE" w:rsidP="005A7DD2">
            <w:pPr>
              <w:spacing w:after="0" w:line="240" w:lineRule="auto"/>
              <w:jc w:val="right"/>
              <w:rPr>
                <w:rFonts w:eastAsia="Calibri"/>
                <w:sz w:val="20"/>
                <w:szCs w:val="20"/>
              </w:rPr>
            </w:pPr>
            <w:r>
              <w:rPr>
                <w:rFonts w:eastAsia="Calibri"/>
                <w:sz w:val="20"/>
                <w:szCs w:val="20"/>
              </w:rPr>
              <w:t>1.80%</w:t>
            </w:r>
          </w:p>
        </w:tc>
        <w:tc>
          <w:tcPr>
            <w:tcW w:w="675" w:type="pct"/>
            <w:vAlign w:val="center"/>
          </w:tcPr>
          <w:p w14:paraId="2E2DE37F" w14:textId="77777777" w:rsidR="009979FE" w:rsidRPr="004A639D" w:rsidRDefault="009979FE" w:rsidP="005A7DD2">
            <w:pPr>
              <w:spacing w:after="0" w:line="240" w:lineRule="auto"/>
              <w:jc w:val="right"/>
              <w:rPr>
                <w:rFonts w:eastAsia="Calibri"/>
                <w:sz w:val="20"/>
                <w:szCs w:val="20"/>
              </w:rPr>
            </w:pPr>
            <w:r>
              <w:rPr>
                <w:rFonts w:eastAsia="Calibri"/>
                <w:sz w:val="20"/>
                <w:szCs w:val="20"/>
              </w:rPr>
              <w:t>2.20%</w:t>
            </w:r>
          </w:p>
        </w:tc>
        <w:tc>
          <w:tcPr>
            <w:tcW w:w="709" w:type="pct"/>
            <w:vAlign w:val="center"/>
          </w:tcPr>
          <w:p w14:paraId="317D51C9" w14:textId="77777777" w:rsidR="009979FE" w:rsidRPr="004A639D" w:rsidRDefault="009979FE" w:rsidP="005A7DD2">
            <w:pPr>
              <w:spacing w:after="0" w:line="240" w:lineRule="auto"/>
              <w:jc w:val="right"/>
              <w:rPr>
                <w:rFonts w:eastAsia="Calibri"/>
                <w:sz w:val="20"/>
                <w:szCs w:val="20"/>
              </w:rPr>
            </w:pPr>
            <w:r>
              <w:rPr>
                <w:rFonts w:eastAsia="Calibri"/>
                <w:sz w:val="20"/>
                <w:szCs w:val="20"/>
              </w:rPr>
              <w:t>4.60%</w:t>
            </w:r>
          </w:p>
        </w:tc>
        <w:tc>
          <w:tcPr>
            <w:tcW w:w="768" w:type="pct"/>
            <w:gridSpan w:val="2"/>
            <w:vAlign w:val="center"/>
          </w:tcPr>
          <w:p w14:paraId="2FB74CE9" w14:textId="77777777" w:rsidR="009979FE" w:rsidRPr="004A639D" w:rsidRDefault="009979FE" w:rsidP="005A7DD2">
            <w:pPr>
              <w:spacing w:after="0" w:line="240" w:lineRule="auto"/>
              <w:jc w:val="right"/>
              <w:rPr>
                <w:rFonts w:eastAsia="Calibri"/>
                <w:sz w:val="20"/>
                <w:szCs w:val="20"/>
              </w:rPr>
            </w:pPr>
            <w:r>
              <w:rPr>
                <w:rFonts w:eastAsia="Calibri"/>
                <w:sz w:val="20"/>
                <w:szCs w:val="20"/>
              </w:rPr>
              <w:t>5.40%</w:t>
            </w:r>
          </w:p>
        </w:tc>
      </w:tr>
      <w:tr w:rsidR="00C33455" w:rsidRPr="004A639D" w14:paraId="0AF8892F" w14:textId="77777777" w:rsidTr="00C33455">
        <w:trPr>
          <w:trHeight w:val="504"/>
        </w:trPr>
        <w:tc>
          <w:tcPr>
            <w:tcW w:w="521" w:type="pct"/>
            <w:vMerge/>
          </w:tcPr>
          <w:p w14:paraId="0C933505" w14:textId="77777777" w:rsidR="009979FE" w:rsidRPr="004A639D" w:rsidRDefault="009979FE" w:rsidP="005A7DD2">
            <w:pPr>
              <w:spacing w:after="0" w:line="240" w:lineRule="auto"/>
              <w:jc w:val="left"/>
              <w:rPr>
                <w:rFonts w:eastAsia="Times New Roman"/>
                <w:b/>
                <w:bCs/>
                <w:color w:val="000000"/>
                <w:sz w:val="20"/>
                <w:szCs w:val="20"/>
              </w:rPr>
            </w:pPr>
          </w:p>
        </w:tc>
        <w:tc>
          <w:tcPr>
            <w:tcW w:w="1624" w:type="pct"/>
            <w:shd w:val="clear" w:color="auto" w:fill="auto"/>
            <w:noWrap/>
            <w:vAlign w:val="center"/>
          </w:tcPr>
          <w:p w14:paraId="0665C561" w14:textId="77777777" w:rsidR="009979FE" w:rsidRPr="004817C2" w:rsidRDefault="009979FE" w:rsidP="005A7DD2">
            <w:pPr>
              <w:spacing w:after="0" w:line="240" w:lineRule="auto"/>
              <w:jc w:val="left"/>
              <w:rPr>
                <w:rFonts w:eastAsia="Times New Roman"/>
                <w:color w:val="000000"/>
                <w:sz w:val="20"/>
                <w:szCs w:val="20"/>
              </w:rPr>
            </w:pPr>
            <w:r w:rsidRPr="004817C2">
              <w:rPr>
                <w:rFonts w:eastAsia="Times New Roman"/>
                <w:color w:val="000000"/>
                <w:sz w:val="20"/>
                <w:szCs w:val="20"/>
              </w:rPr>
              <w:t xml:space="preserve">Average </w:t>
            </w:r>
            <w:r>
              <w:rPr>
                <w:rFonts w:eastAsia="Times New Roman"/>
                <w:color w:val="000000"/>
                <w:sz w:val="20"/>
                <w:szCs w:val="20"/>
              </w:rPr>
              <w:t>ln(</w:t>
            </w:r>
            <w:r w:rsidRPr="004817C2">
              <w:rPr>
                <w:rFonts w:eastAsia="Times New Roman"/>
                <w:color w:val="000000"/>
                <w:sz w:val="20"/>
                <w:szCs w:val="20"/>
              </w:rPr>
              <w:t>Commute Distance</w:t>
            </w:r>
            <w:r>
              <w:rPr>
                <w:rFonts w:eastAsia="Times New Roman"/>
                <w:color w:val="000000"/>
                <w:sz w:val="20"/>
                <w:szCs w:val="20"/>
              </w:rPr>
              <w:t>) WAPE</w:t>
            </w:r>
          </w:p>
        </w:tc>
        <w:tc>
          <w:tcPr>
            <w:tcW w:w="705" w:type="pct"/>
            <w:vAlign w:val="center"/>
          </w:tcPr>
          <w:p w14:paraId="0951D56F" w14:textId="77777777" w:rsidR="009979FE" w:rsidRPr="004A639D" w:rsidRDefault="009979FE" w:rsidP="005A7DD2">
            <w:pPr>
              <w:spacing w:after="0" w:line="240" w:lineRule="auto"/>
              <w:jc w:val="right"/>
              <w:rPr>
                <w:rFonts w:eastAsia="Calibri"/>
                <w:sz w:val="20"/>
                <w:szCs w:val="20"/>
              </w:rPr>
            </w:pPr>
            <w:r>
              <w:rPr>
                <w:rFonts w:eastAsia="Calibri"/>
                <w:sz w:val="20"/>
                <w:szCs w:val="20"/>
              </w:rPr>
              <w:t>18.75%</w:t>
            </w:r>
          </w:p>
        </w:tc>
        <w:tc>
          <w:tcPr>
            <w:tcW w:w="675" w:type="pct"/>
            <w:vAlign w:val="center"/>
          </w:tcPr>
          <w:p w14:paraId="2375C9D5" w14:textId="77777777" w:rsidR="009979FE" w:rsidRPr="004A639D" w:rsidRDefault="009979FE" w:rsidP="005A7DD2">
            <w:pPr>
              <w:spacing w:after="0" w:line="240" w:lineRule="auto"/>
              <w:jc w:val="right"/>
              <w:rPr>
                <w:rFonts w:eastAsia="Calibri"/>
                <w:sz w:val="20"/>
                <w:szCs w:val="20"/>
              </w:rPr>
            </w:pPr>
            <w:r>
              <w:rPr>
                <w:rFonts w:eastAsia="Calibri"/>
                <w:sz w:val="20"/>
                <w:szCs w:val="20"/>
              </w:rPr>
              <w:t>20.81%</w:t>
            </w:r>
          </w:p>
        </w:tc>
        <w:tc>
          <w:tcPr>
            <w:tcW w:w="709" w:type="pct"/>
            <w:vAlign w:val="center"/>
          </w:tcPr>
          <w:p w14:paraId="78CCC74B" w14:textId="77777777" w:rsidR="009979FE" w:rsidRPr="004A639D" w:rsidRDefault="009979FE" w:rsidP="005A7DD2">
            <w:pPr>
              <w:spacing w:after="0" w:line="240" w:lineRule="auto"/>
              <w:jc w:val="right"/>
              <w:rPr>
                <w:rFonts w:eastAsia="Calibri"/>
                <w:sz w:val="20"/>
                <w:szCs w:val="20"/>
              </w:rPr>
            </w:pPr>
            <w:r>
              <w:rPr>
                <w:rFonts w:eastAsia="Calibri"/>
                <w:sz w:val="20"/>
                <w:szCs w:val="20"/>
              </w:rPr>
              <w:t>26.4%</w:t>
            </w:r>
          </w:p>
        </w:tc>
        <w:tc>
          <w:tcPr>
            <w:tcW w:w="768" w:type="pct"/>
            <w:gridSpan w:val="2"/>
            <w:vAlign w:val="center"/>
          </w:tcPr>
          <w:p w14:paraId="63067D0F" w14:textId="77777777" w:rsidR="009979FE" w:rsidRPr="004A639D" w:rsidRDefault="009979FE" w:rsidP="005A7DD2">
            <w:pPr>
              <w:spacing w:after="0" w:line="240" w:lineRule="auto"/>
              <w:jc w:val="right"/>
              <w:rPr>
                <w:rFonts w:eastAsia="Calibri"/>
                <w:sz w:val="20"/>
                <w:szCs w:val="20"/>
              </w:rPr>
            </w:pPr>
            <w:r>
              <w:rPr>
                <w:rFonts w:eastAsia="Calibri"/>
                <w:sz w:val="20"/>
                <w:szCs w:val="20"/>
              </w:rPr>
              <w:t>28.34%</w:t>
            </w:r>
          </w:p>
        </w:tc>
      </w:tr>
    </w:tbl>
    <w:p w14:paraId="7BB396A7" w14:textId="77777777" w:rsidR="009979FE" w:rsidRPr="00163851" w:rsidRDefault="009979FE" w:rsidP="009979FE">
      <w:pPr>
        <w:jc w:val="left"/>
        <w:rPr>
          <w:szCs w:val="24"/>
        </w:rPr>
      </w:pPr>
    </w:p>
    <w:p w14:paraId="3648C1DA" w14:textId="77777777" w:rsidR="00FE3EAF" w:rsidRPr="00FE3EAF" w:rsidRDefault="00FE3EAF" w:rsidP="00FE3EAF">
      <w:pPr>
        <w:jc w:val="left"/>
        <w:rPr>
          <w:rFonts w:eastAsia="Calibri"/>
          <w:sz w:val="20"/>
          <w:szCs w:val="18"/>
        </w:rPr>
        <w:sectPr w:rsidR="00FE3EAF" w:rsidRPr="00FE3EAF" w:rsidSect="00C33455">
          <w:pgSz w:w="15840" w:h="12240" w:orient="landscape"/>
          <w:pgMar w:top="1440" w:right="1440" w:bottom="1440" w:left="1440" w:header="720" w:footer="720" w:gutter="0"/>
          <w:cols w:space="720"/>
          <w:docGrid w:linePitch="360"/>
        </w:sectPr>
      </w:pPr>
    </w:p>
    <w:p w14:paraId="5F10EB22" w14:textId="4447741D" w:rsidR="00FE3EAF" w:rsidRPr="003613B6" w:rsidRDefault="00FE3EAF" w:rsidP="00734FB5">
      <w:pPr>
        <w:spacing w:after="0"/>
        <w:rPr>
          <w:b/>
          <w:bCs/>
        </w:rPr>
      </w:pPr>
      <w:bookmarkStart w:id="66" w:name="_Hlk139351615"/>
      <w:r w:rsidRPr="003613B6">
        <w:rPr>
          <w:b/>
          <w:bCs/>
        </w:rPr>
        <w:lastRenderedPageBreak/>
        <w:t xml:space="preserve">Table </w:t>
      </w:r>
      <w:r w:rsidR="00EC4B38">
        <w:rPr>
          <w:b/>
          <w:bCs/>
        </w:rPr>
        <w:t>6</w:t>
      </w:r>
      <w:r w:rsidRPr="003613B6">
        <w:rPr>
          <w:b/>
          <w:bCs/>
        </w:rPr>
        <w:t>: Effect of WPL Arrangement on Commute Distance</w:t>
      </w:r>
    </w:p>
    <w:tbl>
      <w:tblPr>
        <w:tblStyle w:val="TableGrid"/>
        <w:tblW w:w="4930" w:type="pct"/>
        <w:tblLayout w:type="fixed"/>
        <w:tblLook w:val="04A0" w:firstRow="1" w:lastRow="0" w:firstColumn="1" w:lastColumn="0" w:noHBand="0" w:noVBand="1"/>
      </w:tblPr>
      <w:tblGrid>
        <w:gridCol w:w="705"/>
        <w:gridCol w:w="812"/>
        <w:gridCol w:w="870"/>
        <w:gridCol w:w="842"/>
        <w:gridCol w:w="1530"/>
        <w:gridCol w:w="1400"/>
        <w:gridCol w:w="1430"/>
        <w:gridCol w:w="1986"/>
        <w:gridCol w:w="1866"/>
        <w:gridCol w:w="1308"/>
      </w:tblGrid>
      <w:tr w:rsidR="00FE3EAF" w:rsidRPr="00F03BDE" w14:paraId="33784083" w14:textId="77777777" w:rsidTr="00311783">
        <w:trPr>
          <w:trHeight w:val="1050"/>
        </w:trPr>
        <w:tc>
          <w:tcPr>
            <w:tcW w:w="1265" w:type="pct"/>
            <w:gridSpan w:val="4"/>
            <w:tcBorders>
              <w:top w:val="double" w:sz="4" w:space="0" w:color="auto"/>
              <w:left w:val="double" w:sz="4" w:space="0" w:color="auto"/>
              <w:bottom w:val="single" w:sz="4" w:space="0" w:color="auto"/>
              <w:right w:val="double" w:sz="4" w:space="0" w:color="auto"/>
            </w:tcBorders>
            <w:vAlign w:val="center"/>
          </w:tcPr>
          <w:p w14:paraId="2719590F" w14:textId="77777777" w:rsidR="00FE3EAF" w:rsidRPr="00F03BDE" w:rsidRDefault="00FE3EAF" w:rsidP="00640159">
            <w:pPr>
              <w:jc w:val="center"/>
              <w:rPr>
                <w:rFonts w:eastAsia="Times New Roman"/>
                <w:b/>
                <w:bCs/>
                <w:color w:val="000000"/>
                <w:sz w:val="22"/>
              </w:rPr>
            </w:pPr>
            <w:r w:rsidRPr="00F03BDE">
              <w:rPr>
                <w:rFonts w:eastAsia="Times New Roman"/>
                <w:b/>
                <w:bCs/>
                <w:color w:val="000000"/>
                <w:sz w:val="22"/>
              </w:rPr>
              <w:t>Workplace Location Arrangement</w:t>
            </w:r>
          </w:p>
          <w:p w14:paraId="127A68E6" w14:textId="77777777" w:rsidR="00FE3EAF" w:rsidRPr="00F03BDE" w:rsidRDefault="00FE3EAF" w:rsidP="00640159">
            <w:pPr>
              <w:jc w:val="center"/>
              <w:rPr>
                <w:rFonts w:eastAsia="Times New Roman"/>
                <w:color w:val="000000"/>
                <w:sz w:val="22"/>
              </w:rPr>
            </w:pPr>
            <w:r w:rsidRPr="00F03BDE">
              <w:rPr>
                <w:rFonts w:eastAsia="Times New Roman"/>
                <w:b/>
                <w:bCs/>
                <w:color w:val="000000"/>
                <w:sz w:val="22"/>
              </w:rPr>
              <w:t>(across an entire month)</w:t>
            </w:r>
          </w:p>
        </w:tc>
        <w:tc>
          <w:tcPr>
            <w:tcW w:w="600" w:type="pct"/>
            <w:vMerge w:val="restart"/>
            <w:tcBorders>
              <w:top w:val="double" w:sz="4" w:space="0" w:color="auto"/>
              <w:left w:val="double" w:sz="4" w:space="0" w:color="auto"/>
              <w:right w:val="single" w:sz="4" w:space="0" w:color="auto"/>
            </w:tcBorders>
            <w:vAlign w:val="bottom"/>
          </w:tcPr>
          <w:p w14:paraId="7D16E7DD" w14:textId="77777777" w:rsidR="00FE3EAF" w:rsidRPr="00F03BDE" w:rsidRDefault="00FE3EAF" w:rsidP="00640159">
            <w:pPr>
              <w:jc w:val="center"/>
              <w:rPr>
                <w:rFonts w:eastAsia="Times New Roman"/>
                <w:b/>
                <w:bCs/>
                <w:color w:val="000000"/>
                <w:sz w:val="22"/>
              </w:rPr>
            </w:pPr>
            <w:r w:rsidRPr="00F03BDE">
              <w:rPr>
                <w:rFonts w:eastAsia="Times New Roman"/>
                <w:b/>
                <w:bCs/>
                <w:color w:val="000000"/>
                <w:sz w:val="22"/>
              </w:rPr>
              <w:t>Expected Commute Distance for Given Combination</w:t>
            </w:r>
          </w:p>
          <w:p w14:paraId="72C9FED8" w14:textId="77777777" w:rsidR="00FE3EAF" w:rsidRPr="00F03BDE" w:rsidRDefault="00FE3EAF" w:rsidP="00640159">
            <w:pPr>
              <w:jc w:val="center"/>
              <w:rPr>
                <w:rFonts w:eastAsia="Times New Roman"/>
                <w:color w:val="000000"/>
                <w:sz w:val="22"/>
              </w:rPr>
            </w:pPr>
            <w:r w:rsidRPr="00F03BDE">
              <w:rPr>
                <w:rFonts w:eastAsia="Times New Roman"/>
                <w:color w:val="000000"/>
                <w:sz w:val="22"/>
              </w:rPr>
              <w:t>(A)</w:t>
            </w:r>
          </w:p>
        </w:tc>
        <w:tc>
          <w:tcPr>
            <w:tcW w:w="549" w:type="pct"/>
            <w:vMerge w:val="restart"/>
            <w:tcBorders>
              <w:top w:val="double" w:sz="4" w:space="0" w:color="auto"/>
              <w:left w:val="single" w:sz="4" w:space="0" w:color="auto"/>
              <w:right w:val="single" w:sz="4" w:space="0" w:color="auto"/>
            </w:tcBorders>
            <w:vAlign w:val="bottom"/>
          </w:tcPr>
          <w:p w14:paraId="4A42A485" w14:textId="77777777" w:rsidR="00FE3EAF" w:rsidRPr="00F03BDE" w:rsidRDefault="00FE3EAF" w:rsidP="00640159">
            <w:pPr>
              <w:jc w:val="center"/>
              <w:rPr>
                <w:rFonts w:eastAsia="Times New Roman"/>
                <w:color w:val="000000"/>
                <w:sz w:val="22"/>
              </w:rPr>
            </w:pPr>
            <w:r w:rsidRPr="00F03BDE">
              <w:rPr>
                <w:rFonts w:eastAsia="Times New Roman"/>
                <w:b/>
                <w:bCs/>
                <w:color w:val="000000"/>
                <w:sz w:val="22"/>
              </w:rPr>
              <w:t>Expected Commute Distance for 100% Work from Office</w:t>
            </w:r>
          </w:p>
          <w:p w14:paraId="79AE6C7D" w14:textId="77777777" w:rsidR="00FE3EAF" w:rsidRPr="00F03BDE" w:rsidRDefault="00FE3EAF" w:rsidP="00640159">
            <w:pPr>
              <w:jc w:val="center"/>
              <w:rPr>
                <w:rFonts w:eastAsia="Times New Roman"/>
                <w:color w:val="000000"/>
                <w:sz w:val="22"/>
              </w:rPr>
            </w:pPr>
            <w:r w:rsidRPr="00F03BDE">
              <w:rPr>
                <w:rFonts w:eastAsia="Times New Roman"/>
                <w:color w:val="000000"/>
                <w:sz w:val="22"/>
              </w:rPr>
              <w:t>(B)</w:t>
            </w:r>
          </w:p>
        </w:tc>
        <w:tc>
          <w:tcPr>
            <w:tcW w:w="561" w:type="pct"/>
            <w:vMerge w:val="restart"/>
            <w:tcBorders>
              <w:top w:val="double" w:sz="4" w:space="0" w:color="auto"/>
              <w:left w:val="single" w:sz="4" w:space="0" w:color="auto"/>
              <w:right w:val="double" w:sz="4" w:space="0" w:color="auto"/>
            </w:tcBorders>
            <w:vAlign w:val="bottom"/>
          </w:tcPr>
          <w:p w14:paraId="3384E003" w14:textId="77777777" w:rsidR="00FE3EAF" w:rsidRPr="00F03BDE" w:rsidRDefault="00FE3EAF" w:rsidP="00640159">
            <w:pPr>
              <w:jc w:val="center"/>
              <w:rPr>
                <w:rFonts w:eastAsia="Times New Roman"/>
                <w:b/>
                <w:bCs/>
                <w:color w:val="000000"/>
                <w:sz w:val="22"/>
              </w:rPr>
            </w:pPr>
            <w:r w:rsidRPr="00F03BDE">
              <w:rPr>
                <w:rFonts w:eastAsia="Times New Roman"/>
                <w:b/>
                <w:bCs/>
                <w:color w:val="000000"/>
                <w:sz w:val="22"/>
              </w:rPr>
              <w:t>Percentage Increase in Expected Commute Distance</w:t>
            </w:r>
          </w:p>
          <w:p w14:paraId="0B929C73" w14:textId="77777777" w:rsidR="00FE3EAF" w:rsidRPr="00F03BDE" w:rsidRDefault="00FE3EAF" w:rsidP="00640159">
            <w:pPr>
              <w:jc w:val="center"/>
              <w:rPr>
                <w:rFonts w:eastAsia="Times New Roman"/>
                <w:color w:val="000000"/>
                <w:sz w:val="22"/>
              </w:rPr>
            </w:pPr>
            <w:r w:rsidRPr="00F03BDE">
              <w:rPr>
                <w:rFonts w:eastAsia="Times New Roman"/>
                <w:color w:val="000000"/>
                <w:sz w:val="22"/>
              </w:rPr>
              <w:t>100*[A-B]/B</w:t>
            </w:r>
          </w:p>
        </w:tc>
        <w:tc>
          <w:tcPr>
            <w:tcW w:w="779" w:type="pct"/>
            <w:vMerge w:val="restart"/>
            <w:tcBorders>
              <w:top w:val="double" w:sz="4" w:space="0" w:color="auto"/>
              <w:left w:val="single" w:sz="12" w:space="0" w:color="auto"/>
              <w:right w:val="single" w:sz="4" w:space="0" w:color="auto"/>
            </w:tcBorders>
            <w:vAlign w:val="bottom"/>
          </w:tcPr>
          <w:p w14:paraId="1CB909CC" w14:textId="6BFA0D7C" w:rsidR="00FE3EAF" w:rsidRPr="00F03BDE" w:rsidRDefault="00FE3EAF" w:rsidP="00416197">
            <w:pPr>
              <w:jc w:val="center"/>
              <w:rPr>
                <w:rFonts w:eastAsia="Times New Roman"/>
                <w:color w:val="000000"/>
                <w:sz w:val="22"/>
              </w:rPr>
            </w:pPr>
            <w:r w:rsidRPr="00F03BDE">
              <w:rPr>
                <w:rFonts w:eastAsia="Times New Roman"/>
                <w:b/>
                <w:bCs/>
                <w:color w:val="000000"/>
                <w:sz w:val="22"/>
              </w:rPr>
              <w:t xml:space="preserve">Average (across workers) of Expected Monthly 2-way Commute VMT per </w:t>
            </w:r>
            <w:r w:rsidR="005A682A">
              <w:rPr>
                <w:rFonts w:eastAsia="Times New Roman"/>
                <w:b/>
                <w:bCs/>
                <w:color w:val="000000"/>
                <w:sz w:val="22"/>
              </w:rPr>
              <w:t>W</w:t>
            </w:r>
            <w:r w:rsidRPr="00F03BDE">
              <w:rPr>
                <w:rFonts w:eastAsia="Times New Roman"/>
                <w:b/>
                <w:bCs/>
                <w:color w:val="000000"/>
                <w:sz w:val="22"/>
              </w:rPr>
              <w:t>orker for Given Combination</w:t>
            </w:r>
          </w:p>
        </w:tc>
        <w:tc>
          <w:tcPr>
            <w:tcW w:w="732" w:type="pct"/>
            <w:vMerge w:val="restart"/>
            <w:tcBorders>
              <w:top w:val="double" w:sz="4" w:space="0" w:color="auto"/>
              <w:left w:val="single" w:sz="4" w:space="0" w:color="auto"/>
              <w:right w:val="single" w:sz="4" w:space="0" w:color="auto"/>
            </w:tcBorders>
          </w:tcPr>
          <w:p w14:paraId="492E29D3" w14:textId="3989D6CB" w:rsidR="00FE3EAF" w:rsidRPr="00F03BDE" w:rsidRDefault="00FE3EAF" w:rsidP="00416197">
            <w:pPr>
              <w:jc w:val="center"/>
              <w:rPr>
                <w:rFonts w:eastAsia="Times New Roman"/>
                <w:b/>
                <w:bCs/>
                <w:color w:val="000000"/>
                <w:sz w:val="22"/>
              </w:rPr>
            </w:pPr>
            <w:r w:rsidRPr="00F03BDE">
              <w:rPr>
                <w:rFonts w:eastAsia="Times New Roman"/>
                <w:b/>
                <w:bCs/>
                <w:color w:val="000000"/>
                <w:sz w:val="22"/>
              </w:rPr>
              <w:t xml:space="preserve">Average (across workers) of Expected Monthly 2-way Commute VMT per </w:t>
            </w:r>
            <w:r w:rsidR="005A682A">
              <w:rPr>
                <w:rFonts w:eastAsia="Times New Roman"/>
                <w:b/>
                <w:bCs/>
                <w:color w:val="000000"/>
                <w:sz w:val="22"/>
              </w:rPr>
              <w:t>W</w:t>
            </w:r>
            <w:r w:rsidRPr="00F03BDE">
              <w:rPr>
                <w:rFonts w:eastAsia="Times New Roman"/>
                <w:b/>
                <w:bCs/>
                <w:color w:val="000000"/>
                <w:sz w:val="22"/>
              </w:rPr>
              <w:t>orker for 100% Work from Office</w:t>
            </w:r>
            <w:r w:rsidRPr="00F03BDE">
              <w:rPr>
                <w:rFonts w:eastAsia="Times New Roman"/>
                <w:color w:val="000000"/>
                <w:sz w:val="22"/>
              </w:rPr>
              <w:t xml:space="preserve"> </w:t>
            </w:r>
          </w:p>
        </w:tc>
        <w:tc>
          <w:tcPr>
            <w:tcW w:w="513" w:type="pct"/>
            <w:vMerge w:val="restart"/>
            <w:tcBorders>
              <w:top w:val="double" w:sz="4" w:space="0" w:color="auto"/>
              <w:left w:val="single" w:sz="4" w:space="0" w:color="auto"/>
              <w:right w:val="double" w:sz="4" w:space="0" w:color="auto"/>
            </w:tcBorders>
            <w:vAlign w:val="bottom"/>
          </w:tcPr>
          <w:p w14:paraId="0B0755EE" w14:textId="77777777" w:rsidR="00FE3EAF" w:rsidRPr="00F03BDE" w:rsidRDefault="00FE3EAF" w:rsidP="00640159">
            <w:pPr>
              <w:jc w:val="center"/>
              <w:rPr>
                <w:rFonts w:eastAsia="Times New Roman"/>
                <w:b/>
                <w:bCs/>
                <w:color w:val="000000"/>
                <w:sz w:val="22"/>
              </w:rPr>
            </w:pPr>
            <w:r w:rsidRPr="00F03BDE">
              <w:rPr>
                <w:rFonts w:eastAsia="Times New Roman"/>
                <w:b/>
                <w:bCs/>
                <w:color w:val="000000"/>
                <w:sz w:val="22"/>
              </w:rPr>
              <w:t>Percentage Increase in 2-way Commute VMT</w:t>
            </w:r>
          </w:p>
        </w:tc>
      </w:tr>
      <w:tr w:rsidR="00311783" w:rsidRPr="00F03BDE" w14:paraId="6A33A6A4" w14:textId="77777777" w:rsidTr="00311783">
        <w:trPr>
          <w:trHeight w:val="288"/>
        </w:trPr>
        <w:tc>
          <w:tcPr>
            <w:tcW w:w="276" w:type="pct"/>
            <w:tcBorders>
              <w:top w:val="single" w:sz="4" w:space="0" w:color="auto"/>
              <w:left w:val="double" w:sz="4" w:space="0" w:color="auto"/>
              <w:bottom w:val="double" w:sz="4" w:space="0" w:color="auto"/>
              <w:right w:val="single" w:sz="4" w:space="0" w:color="auto"/>
            </w:tcBorders>
            <w:vAlign w:val="bottom"/>
          </w:tcPr>
          <w:p w14:paraId="274FAC25" w14:textId="77777777" w:rsidR="00FE3EAF" w:rsidRPr="00F03BDE" w:rsidRDefault="00FE3EAF" w:rsidP="00640159">
            <w:pPr>
              <w:jc w:val="center"/>
              <w:rPr>
                <w:rFonts w:eastAsia="Times New Roman"/>
                <w:b/>
                <w:bCs/>
                <w:color w:val="000000"/>
                <w:sz w:val="22"/>
              </w:rPr>
            </w:pPr>
            <w:r w:rsidRPr="00F03BDE">
              <w:rPr>
                <w:rFonts w:eastAsia="Times New Roman"/>
                <w:b/>
                <w:bCs/>
                <w:color w:val="000000"/>
                <w:sz w:val="22"/>
              </w:rPr>
              <w:t>Num</w:t>
            </w:r>
          </w:p>
        </w:tc>
        <w:tc>
          <w:tcPr>
            <w:tcW w:w="318" w:type="pct"/>
            <w:tcBorders>
              <w:top w:val="single" w:sz="4" w:space="0" w:color="auto"/>
              <w:left w:val="single" w:sz="4" w:space="0" w:color="auto"/>
              <w:bottom w:val="double" w:sz="4" w:space="0" w:color="auto"/>
              <w:right w:val="single" w:sz="4" w:space="0" w:color="auto"/>
            </w:tcBorders>
            <w:noWrap/>
            <w:vAlign w:val="bottom"/>
          </w:tcPr>
          <w:p w14:paraId="368BD704" w14:textId="77777777" w:rsidR="00FE3EAF" w:rsidRPr="00F03BDE" w:rsidRDefault="00FE3EAF" w:rsidP="00640159">
            <w:pPr>
              <w:jc w:val="center"/>
              <w:rPr>
                <w:rFonts w:eastAsia="Times New Roman"/>
                <w:b/>
                <w:bCs/>
                <w:color w:val="000000"/>
                <w:sz w:val="22"/>
              </w:rPr>
            </w:pPr>
            <w:r w:rsidRPr="00F03BDE">
              <w:rPr>
                <w:rFonts w:eastAsia="Times New Roman"/>
                <w:b/>
                <w:bCs/>
                <w:color w:val="000000"/>
                <w:sz w:val="22"/>
              </w:rPr>
              <w:t>Home</w:t>
            </w:r>
          </w:p>
        </w:tc>
        <w:tc>
          <w:tcPr>
            <w:tcW w:w="341" w:type="pct"/>
            <w:tcBorders>
              <w:top w:val="single" w:sz="4" w:space="0" w:color="auto"/>
              <w:left w:val="single" w:sz="4" w:space="0" w:color="auto"/>
              <w:bottom w:val="double" w:sz="4" w:space="0" w:color="auto"/>
              <w:right w:val="single" w:sz="4" w:space="0" w:color="auto"/>
            </w:tcBorders>
            <w:noWrap/>
            <w:vAlign w:val="bottom"/>
          </w:tcPr>
          <w:p w14:paraId="2DC48A8C" w14:textId="77777777" w:rsidR="00FE3EAF" w:rsidRPr="00F03BDE" w:rsidRDefault="00FE3EAF" w:rsidP="00640159">
            <w:pPr>
              <w:jc w:val="center"/>
              <w:rPr>
                <w:rFonts w:eastAsia="Times New Roman"/>
                <w:b/>
                <w:bCs/>
                <w:color w:val="000000"/>
                <w:sz w:val="22"/>
              </w:rPr>
            </w:pPr>
            <w:r w:rsidRPr="00F03BDE">
              <w:rPr>
                <w:rFonts w:eastAsia="Times New Roman"/>
                <w:b/>
                <w:bCs/>
                <w:color w:val="000000"/>
                <w:sz w:val="22"/>
              </w:rPr>
              <w:t>Office</w:t>
            </w:r>
          </w:p>
        </w:tc>
        <w:tc>
          <w:tcPr>
            <w:tcW w:w="329" w:type="pct"/>
            <w:tcBorders>
              <w:top w:val="single" w:sz="4" w:space="0" w:color="auto"/>
              <w:left w:val="single" w:sz="4" w:space="0" w:color="auto"/>
              <w:bottom w:val="double" w:sz="4" w:space="0" w:color="auto"/>
              <w:right w:val="double" w:sz="4" w:space="0" w:color="auto"/>
            </w:tcBorders>
            <w:noWrap/>
            <w:vAlign w:val="bottom"/>
          </w:tcPr>
          <w:p w14:paraId="6803EB62" w14:textId="77777777" w:rsidR="00FE3EAF" w:rsidRPr="00F03BDE" w:rsidRDefault="00FE3EAF" w:rsidP="00640159">
            <w:pPr>
              <w:jc w:val="center"/>
              <w:rPr>
                <w:rFonts w:eastAsia="Times New Roman"/>
                <w:b/>
                <w:bCs/>
                <w:color w:val="000000"/>
                <w:sz w:val="22"/>
              </w:rPr>
            </w:pPr>
            <w:r w:rsidRPr="00F03BDE">
              <w:rPr>
                <w:rFonts w:eastAsia="Times New Roman"/>
                <w:b/>
                <w:bCs/>
                <w:color w:val="000000"/>
                <w:sz w:val="22"/>
              </w:rPr>
              <w:t>Third</w:t>
            </w:r>
          </w:p>
        </w:tc>
        <w:tc>
          <w:tcPr>
            <w:tcW w:w="600" w:type="pct"/>
            <w:vMerge/>
            <w:tcBorders>
              <w:left w:val="double" w:sz="4" w:space="0" w:color="auto"/>
              <w:bottom w:val="double" w:sz="4" w:space="0" w:color="auto"/>
              <w:right w:val="single" w:sz="4" w:space="0" w:color="auto"/>
            </w:tcBorders>
          </w:tcPr>
          <w:p w14:paraId="7969F639" w14:textId="77777777" w:rsidR="00FE3EAF" w:rsidRPr="00F03BDE" w:rsidRDefault="00FE3EAF" w:rsidP="00640159">
            <w:pPr>
              <w:rPr>
                <w:rFonts w:eastAsia="Times New Roman"/>
                <w:color w:val="000000"/>
                <w:sz w:val="22"/>
              </w:rPr>
            </w:pPr>
          </w:p>
        </w:tc>
        <w:tc>
          <w:tcPr>
            <w:tcW w:w="549" w:type="pct"/>
            <w:vMerge/>
            <w:tcBorders>
              <w:left w:val="single" w:sz="4" w:space="0" w:color="auto"/>
              <w:bottom w:val="single" w:sz="4" w:space="0" w:color="auto"/>
              <w:right w:val="single" w:sz="4" w:space="0" w:color="auto"/>
            </w:tcBorders>
            <w:vAlign w:val="center"/>
          </w:tcPr>
          <w:p w14:paraId="7117F0ED" w14:textId="77777777" w:rsidR="00FE3EAF" w:rsidRPr="00F03BDE" w:rsidRDefault="00FE3EAF" w:rsidP="00640159">
            <w:pPr>
              <w:jc w:val="center"/>
              <w:rPr>
                <w:rFonts w:eastAsia="Times New Roman"/>
                <w:color w:val="000000"/>
                <w:sz w:val="22"/>
              </w:rPr>
            </w:pPr>
          </w:p>
        </w:tc>
        <w:tc>
          <w:tcPr>
            <w:tcW w:w="561" w:type="pct"/>
            <w:vMerge/>
            <w:tcBorders>
              <w:left w:val="single" w:sz="4" w:space="0" w:color="auto"/>
              <w:bottom w:val="double" w:sz="4" w:space="0" w:color="auto"/>
              <w:right w:val="double" w:sz="4" w:space="0" w:color="auto"/>
            </w:tcBorders>
          </w:tcPr>
          <w:p w14:paraId="3E8296A1" w14:textId="77777777" w:rsidR="00FE3EAF" w:rsidRPr="00F03BDE" w:rsidRDefault="00FE3EAF" w:rsidP="00640159">
            <w:pPr>
              <w:rPr>
                <w:rFonts w:eastAsia="Times New Roman"/>
                <w:color w:val="000000"/>
                <w:sz w:val="22"/>
              </w:rPr>
            </w:pPr>
          </w:p>
        </w:tc>
        <w:tc>
          <w:tcPr>
            <w:tcW w:w="779" w:type="pct"/>
            <w:vMerge/>
            <w:tcBorders>
              <w:left w:val="single" w:sz="12" w:space="0" w:color="auto"/>
              <w:bottom w:val="double" w:sz="4" w:space="0" w:color="auto"/>
              <w:right w:val="single" w:sz="4" w:space="0" w:color="auto"/>
            </w:tcBorders>
          </w:tcPr>
          <w:p w14:paraId="32D972EF" w14:textId="77777777" w:rsidR="00FE3EAF" w:rsidRPr="00F03BDE" w:rsidRDefault="00FE3EAF" w:rsidP="00640159">
            <w:pPr>
              <w:rPr>
                <w:rFonts w:eastAsia="Times New Roman"/>
                <w:color w:val="000000"/>
                <w:sz w:val="22"/>
              </w:rPr>
            </w:pPr>
          </w:p>
        </w:tc>
        <w:tc>
          <w:tcPr>
            <w:tcW w:w="732" w:type="pct"/>
            <w:vMerge/>
            <w:tcBorders>
              <w:left w:val="single" w:sz="4" w:space="0" w:color="auto"/>
              <w:bottom w:val="single" w:sz="4" w:space="0" w:color="auto"/>
              <w:right w:val="single" w:sz="4" w:space="0" w:color="auto"/>
            </w:tcBorders>
          </w:tcPr>
          <w:p w14:paraId="5B1B097F" w14:textId="77777777" w:rsidR="00FE3EAF" w:rsidRPr="00F03BDE" w:rsidRDefault="00FE3EAF" w:rsidP="00640159">
            <w:pPr>
              <w:rPr>
                <w:rFonts w:eastAsia="Times New Roman"/>
                <w:color w:val="000000"/>
                <w:sz w:val="22"/>
              </w:rPr>
            </w:pPr>
          </w:p>
        </w:tc>
        <w:tc>
          <w:tcPr>
            <w:tcW w:w="513" w:type="pct"/>
            <w:vMerge/>
            <w:tcBorders>
              <w:left w:val="single" w:sz="4" w:space="0" w:color="auto"/>
              <w:bottom w:val="double" w:sz="4" w:space="0" w:color="auto"/>
              <w:right w:val="double" w:sz="4" w:space="0" w:color="auto"/>
            </w:tcBorders>
          </w:tcPr>
          <w:p w14:paraId="374842B3" w14:textId="77777777" w:rsidR="00FE3EAF" w:rsidRPr="00F03BDE" w:rsidRDefault="00FE3EAF" w:rsidP="00640159">
            <w:pPr>
              <w:rPr>
                <w:rFonts w:eastAsia="Times New Roman"/>
                <w:color w:val="000000"/>
                <w:sz w:val="22"/>
              </w:rPr>
            </w:pPr>
          </w:p>
        </w:tc>
      </w:tr>
      <w:tr w:rsidR="00311783" w:rsidRPr="00F03BDE" w14:paraId="57A9D77C" w14:textId="77777777" w:rsidTr="00311783">
        <w:trPr>
          <w:trHeight w:val="360"/>
        </w:trPr>
        <w:tc>
          <w:tcPr>
            <w:tcW w:w="276" w:type="pct"/>
            <w:tcBorders>
              <w:top w:val="double" w:sz="4" w:space="0" w:color="auto"/>
              <w:left w:val="double" w:sz="4" w:space="0" w:color="auto"/>
              <w:right w:val="single" w:sz="4" w:space="0" w:color="auto"/>
            </w:tcBorders>
            <w:vAlign w:val="center"/>
          </w:tcPr>
          <w:p w14:paraId="5A8CC4B5" w14:textId="7B74B248" w:rsidR="007D3317" w:rsidRPr="00F03BDE" w:rsidRDefault="007D3317" w:rsidP="007D3317">
            <w:pPr>
              <w:jc w:val="right"/>
              <w:rPr>
                <w:rFonts w:eastAsia="Times New Roman"/>
                <w:b/>
                <w:bCs/>
                <w:color w:val="000000"/>
                <w:sz w:val="22"/>
              </w:rPr>
            </w:pPr>
            <w:r>
              <w:rPr>
                <w:b/>
                <w:bCs/>
                <w:color w:val="000000"/>
                <w:sz w:val="22"/>
              </w:rPr>
              <w:t>1</w:t>
            </w:r>
          </w:p>
        </w:tc>
        <w:tc>
          <w:tcPr>
            <w:tcW w:w="318" w:type="pct"/>
            <w:tcBorders>
              <w:top w:val="double" w:sz="4" w:space="0" w:color="auto"/>
              <w:left w:val="single" w:sz="4" w:space="0" w:color="auto"/>
              <w:right w:val="single" w:sz="4" w:space="0" w:color="auto"/>
            </w:tcBorders>
            <w:noWrap/>
            <w:vAlign w:val="center"/>
            <w:hideMark/>
          </w:tcPr>
          <w:p w14:paraId="65633981" w14:textId="34F902F6" w:rsidR="007D3317" w:rsidRPr="00F03BDE" w:rsidRDefault="007D3317" w:rsidP="007D3317">
            <w:pPr>
              <w:jc w:val="right"/>
              <w:rPr>
                <w:color w:val="000000"/>
                <w:sz w:val="22"/>
              </w:rPr>
            </w:pPr>
            <w:r>
              <w:rPr>
                <w:color w:val="000000"/>
                <w:sz w:val="22"/>
              </w:rPr>
              <w:t>10%</w:t>
            </w:r>
          </w:p>
        </w:tc>
        <w:tc>
          <w:tcPr>
            <w:tcW w:w="341" w:type="pct"/>
            <w:tcBorders>
              <w:top w:val="double" w:sz="4" w:space="0" w:color="auto"/>
              <w:left w:val="single" w:sz="4" w:space="0" w:color="auto"/>
              <w:right w:val="single" w:sz="4" w:space="0" w:color="auto"/>
            </w:tcBorders>
            <w:noWrap/>
            <w:vAlign w:val="center"/>
            <w:hideMark/>
          </w:tcPr>
          <w:p w14:paraId="2AA1FD54" w14:textId="2CE01C2B" w:rsidR="007D3317" w:rsidRPr="00F03BDE" w:rsidRDefault="007D3317" w:rsidP="007D3317">
            <w:pPr>
              <w:jc w:val="right"/>
              <w:rPr>
                <w:color w:val="000000"/>
                <w:sz w:val="22"/>
              </w:rPr>
            </w:pPr>
            <w:r>
              <w:rPr>
                <w:color w:val="000000"/>
                <w:sz w:val="22"/>
              </w:rPr>
              <w:t>90%</w:t>
            </w:r>
          </w:p>
        </w:tc>
        <w:tc>
          <w:tcPr>
            <w:tcW w:w="329" w:type="pct"/>
            <w:tcBorders>
              <w:top w:val="double" w:sz="4" w:space="0" w:color="auto"/>
              <w:left w:val="single" w:sz="4" w:space="0" w:color="auto"/>
              <w:right w:val="double" w:sz="4" w:space="0" w:color="auto"/>
            </w:tcBorders>
            <w:noWrap/>
            <w:vAlign w:val="center"/>
            <w:hideMark/>
          </w:tcPr>
          <w:p w14:paraId="238055D6" w14:textId="4025B95B" w:rsidR="007D3317" w:rsidRPr="00F03BDE" w:rsidRDefault="007D3317" w:rsidP="007D3317">
            <w:pPr>
              <w:jc w:val="right"/>
              <w:rPr>
                <w:color w:val="000000"/>
                <w:sz w:val="22"/>
              </w:rPr>
            </w:pPr>
            <w:r>
              <w:rPr>
                <w:color w:val="000000"/>
                <w:sz w:val="22"/>
              </w:rPr>
              <w:t>0%</w:t>
            </w:r>
          </w:p>
        </w:tc>
        <w:tc>
          <w:tcPr>
            <w:tcW w:w="600" w:type="pct"/>
            <w:tcBorders>
              <w:top w:val="double" w:sz="4" w:space="0" w:color="auto"/>
              <w:left w:val="double" w:sz="4" w:space="0" w:color="auto"/>
              <w:right w:val="single" w:sz="4" w:space="0" w:color="auto"/>
            </w:tcBorders>
            <w:vAlign w:val="center"/>
          </w:tcPr>
          <w:p w14:paraId="0D69AFD0" w14:textId="2A6F3680" w:rsidR="007D3317" w:rsidRPr="00F03BDE" w:rsidRDefault="007D3317" w:rsidP="007D3317">
            <w:pPr>
              <w:jc w:val="right"/>
              <w:rPr>
                <w:rFonts w:eastAsia="Times New Roman"/>
                <w:color w:val="000000"/>
                <w:sz w:val="22"/>
              </w:rPr>
            </w:pPr>
            <w:r>
              <w:rPr>
                <w:color w:val="000000"/>
                <w:sz w:val="22"/>
              </w:rPr>
              <w:t>14.7 miles</w:t>
            </w:r>
          </w:p>
        </w:tc>
        <w:tc>
          <w:tcPr>
            <w:tcW w:w="549" w:type="pct"/>
            <w:vMerge w:val="restart"/>
            <w:tcBorders>
              <w:top w:val="double" w:sz="4" w:space="0" w:color="auto"/>
              <w:left w:val="single" w:sz="4" w:space="0" w:color="auto"/>
              <w:right w:val="single" w:sz="4" w:space="0" w:color="auto"/>
            </w:tcBorders>
            <w:vAlign w:val="center"/>
          </w:tcPr>
          <w:p w14:paraId="2A8A7377" w14:textId="5D6F4A1E" w:rsidR="007D3317" w:rsidRPr="00F03BDE" w:rsidRDefault="007D3317" w:rsidP="007D3317">
            <w:pPr>
              <w:jc w:val="center"/>
              <w:rPr>
                <w:rFonts w:eastAsia="Times New Roman"/>
                <w:color w:val="000000"/>
                <w:sz w:val="22"/>
              </w:rPr>
            </w:pPr>
            <w:r>
              <w:rPr>
                <w:color w:val="000000"/>
                <w:sz w:val="22"/>
              </w:rPr>
              <w:t>12.5 miles</w:t>
            </w:r>
          </w:p>
        </w:tc>
        <w:tc>
          <w:tcPr>
            <w:tcW w:w="561" w:type="pct"/>
            <w:tcBorders>
              <w:top w:val="double" w:sz="4" w:space="0" w:color="auto"/>
              <w:left w:val="single" w:sz="4" w:space="0" w:color="auto"/>
              <w:right w:val="double" w:sz="4" w:space="0" w:color="auto"/>
            </w:tcBorders>
            <w:vAlign w:val="center"/>
          </w:tcPr>
          <w:p w14:paraId="1C7C58DA" w14:textId="42ACF61D" w:rsidR="007D3317" w:rsidRPr="00F03BDE" w:rsidRDefault="007D3317" w:rsidP="007D3317">
            <w:pPr>
              <w:jc w:val="right"/>
              <w:rPr>
                <w:color w:val="000000"/>
                <w:sz w:val="22"/>
              </w:rPr>
            </w:pPr>
            <w:r>
              <w:rPr>
                <w:color w:val="000000"/>
                <w:sz w:val="22"/>
              </w:rPr>
              <w:t>17.6%</w:t>
            </w:r>
          </w:p>
        </w:tc>
        <w:tc>
          <w:tcPr>
            <w:tcW w:w="779" w:type="pct"/>
            <w:tcBorders>
              <w:top w:val="double" w:sz="4" w:space="0" w:color="auto"/>
              <w:left w:val="single" w:sz="12" w:space="0" w:color="auto"/>
              <w:right w:val="single" w:sz="4" w:space="0" w:color="auto"/>
            </w:tcBorders>
            <w:vAlign w:val="center"/>
          </w:tcPr>
          <w:p w14:paraId="696954A5" w14:textId="29F14A4D" w:rsidR="007D3317" w:rsidRPr="00F03BDE" w:rsidRDefault="007D3317" w:rsidP="007D3317">
            <w:pPr>
              <w:jc w:val="right"/>
              <w:rPr>
                <w:color w:val="000000"/>
                <w:sz w:val="22"/>
              </w:rPr>
            </w:pPr>
            <w:r>
              <w:rPr>
                <w:color w:val="000000"/>
                <w:sz w:val="22"/>
              </w:rPr>
              <w:t>572.6 miles</w:t>
            </w:r>
          </w:p>
        </w:tc>
        <w:tc>
          <w:tcPr>
            <w:tcW w:w="732" w:type="pct"/>
            <w:vMerge w:val="restart"/>
            <w:tcBorders>
              <w:top w:val="double" w:sz="4" w:space="0" w:color="auto"/>
              <w:left w:val="single" w:sz="4" w:space="0" w:color="auto"/>
              <w:right w:val="single" w:sz="4" w:space="0" w:color="auto"/>
            </w:tcBorders>
            <w:vAlign w:val="center"/>
          </w:tcPr>
          <w:p w14:paraId="08E139A7" w14:textId="7D405A94" w:rsidR="007D3317" w:rsidRPr="00F03BDE" w:rsidRDefault="007D3317" w:rsidP="007D3317">
            <w:pPr>
              <w:jc w:val="center"/>
              <w:rPr>
                <w:color w:val="000000"/>
                <w:sz w:val="22"/>
              </w:rPr>
            </w:pPr>
            <w:r>
              <w:rPr>
                <w:color w:val="000000"/>
                <w:sz w:val="22"/>
              </w:rPr>
              <w:t>541.0 miles</w:t>
            </w:r>
          </w:p>
        </w:tc>
        <w:tc>
          <w:tcPr>
            <w:tcW w:w="513" w:type="pct"/>
            <w:tcBorders>
              <w:top w:val="double" w:sz="4" w:space="0" w:color="auto"/>
              <w:left w:val="single" w:sz="4" w:space="0" w:color="auto"/>
              <w:right w:val="double" w:sz="4" w:space="0" w:color="auto"/>
            </w:tcBorders>
            <w:vAlign w:val="center"/>
          </w:tcPr>
          <w:p w14:paraId="436D6ADF" w14:textId="599310B3" w:rsidR="007D3317" w:rsidRPr="00F03BDE" w:rsidRDefault="007D3317" w:rsidP="007D3317">
            <w:pPr>
              <w:jc w:val="right"/>
              <w:rPr>
                <w:color w:val="000000"/>
                <w:sz w:val="22"/>
              </w:rPr>
            </w:pPr>
            <w:r>
              <w:rPr>
                <w:color w:val="000000"/>
                <w:sz w:val="22"/>
              </w:rPr>
              <w:t>5.8%</w:t>
            </w:r>
          </w:p>
        </w:tc>
      </w:tr>
      <w:tr w:rsidR="00311783" w:rsidRPr="00F03BDE" w14:paraId="5A040A9B" w14:textId="77777777" w:rsidTr="00311783">
        <w:trPr>
          <w:trHeight w:val="360"/>
        </w:trPr>
        <w:tc>
          <w:tcPr>
            <w:tcW w:w="276" w:type="pct"/>
            <w:tcBorders>
              <w:left w:val="double" w:sz="4" w:space="0" w:color="auto"/>
              <w:right w:val="single" w:sz="4" w:space="0" w:color="auto"/>
            </w:tcBorders>
            <w:vAlign w:val="center"/>
          </w:tcPr>
          <w:p w14:paraId="29BC8E29" w14:textId="29DFC163" w:rsidR="007D3317" w:rsidRPr="00F03BDE" w:rsidRDefault="007D3317" w:rsidP="007D3317">
            <w:pPr>
              <w:jc w:val="right"/>
              <w:rPr>
                <w:rFonts w:eastAsia="Times New Roman"/>
                <w:b/>
                <w:bCs/>
                <w:color w:val="000000"/>
                <w:sz w:val="22"/>
              </w:rPr>
            </w:pPr>
            <w:r>
              <w:rPr>
                <w:b/>
                <w:bCs/>
                <w:color w:val="000000"/>
                <w:sz w:val="22"/>
              </w:rPr>
              <w:t>2</w:t>
            </w:r>
          </w:p>
        </w:tc>
        <w:tc>
          <w:tcPr>
            <w:tcW w:w="318" w:type="pct"/>
            <w:tcBorders>
              <w:left w:val="single" w:sz="4" w:space="0" w:color="auto"/>
              <w:right w:val="single" w:sz="4" w:space="0" w:color="auto"/>
            </w:tcBorders>
            <w:noWrap/>
            <w:vAlign w:val="center"/>
            <w:hideMark/>
          </w:tcPr>
          <w:p w14:paraId="41A673C4" w14:textId="4EDEA325" w:rsidR="007D3317" w:rsidRPr="00F03BDE" w:rsidRDefault="007D3317" w:rsidP="007D3317">
            <w:pPr>
              <w:jc w:val="right"/>
              <w:rPr>
                <w:color w:val="000000"/>
                <w:sz w:val="22"/>
              </w:rPr>
            </w:pPr>
            <w:r>
              <w:rPr>
                <w:color w:val="000000"/>
                <w:sz w:val="22"/>
              </w:rPr>
              <w:t>20%</w:t>
            </w:r>
          </w:p>
        </w:tc>
        <w:tc>
          <w:tcPr>
            <w:tcW w:w="341" w:type="pct"/>
            <w:tcBorders>
              <w:left w:val="single" w:sz="4" w:space="0" w:color="auto"/>
              <w:right w:val="single" w:sz="4" w:space="0" w:color="auto"/>
            </w:tcBorders>
            <w:noWrap/>
            <w:vAlign w:val="center"/>
            <w:hideMark/>
          </w:tcPr>
          <w:p w14:paraId="29B3FAE0" w14:textId="68A8BEB6" w:rsidR="007D3317" w:rsidRPr="00F03BDE" w:rsidRDefault="007D3317" w:rsidP="007D3317">
            <w:pPr>
              <w:jc w:val="right"/>
              <w:rPr>
                <w:color w:val="000000"/>
                <w:sz w:val="22"/>
              </w:rPr>
            </w:pPr>
            <w:r>
              <w:rPr>
                <w:color w:val="000000"/>
                <w:sz w:val="22"/>
              </w:rPr>
              <w:t>80%</w:t>
            </w:r>
          </w:p>
        </w:tc>
        <w:tc>
          <w:tcPr>
            <w:tcW w:w="329" w:type="pct"/>
            <w:tcBorders>
              <w:left w:val="single" w:sz="4" w:space="0" w:color="auto"/>
              <w:right w:val="double" w:sz="4" w:space="0" w:color="auto"/>
            </w:tcBorders>
            <w:noWrap/>
            <w:vAlign w:val="center"/>
            <w:hideMark/>
          </w:tcPr>
          <w:p w14:paraId="78AC2097" w14:textId="141A2331" w:rsidR="007D3317" w:rsidRPr="00F03BDE" w:rsidRDefault="007D3317" w:rsidP="007D3317">
            <w:pPr>
              <w:jc w:val="right"/>
              <w:rPr>
                <w:color w:val="000000"/>
                <w:sz w:val="22"/>
              </w:rPr>
            </w:pPr>
            <w:r>
              <w:rPr>
                <w:color w:val="000000"/>
                <w:sz w:val="22"/>
              </w:rPr>
              <w:t>0%</w:t>
            </w:r>
          </w:p>
        </w:tc>
        <w:tc>
          <w:tcPr>
            <w:tcW w:w="600" w:type="pct"/>
            <w:tcBorders>
              <w:left w:val="double" w:sz="4" w:space="0" w:color="auto"/>
              <w:right w:val="single" w:sz="4" w:space="0" w:color="auto"/>
            </w:tcBorders>
            <w:vAlign w:val="center"/>
          </w:tcPr>
          <w:p w14:paraId="7E6B2A0D" w14:textId="27B5446E" w:rsidR="007D3317" w:rsidRPr="00F03BDE" w:rsidRDefault="007D3317" w:rsidP="007D3317">
            <w:pPr>
              <w:jc w:val="right"/>
              <w:rPr>
                <w:rFonts w:eastAsia="Times New Roman"/>
                <w:color w:val="000000"/>
                <w:sz w:val="22"/>
              </w:rPr>
            </w:pPr>
            <w:r>
              <w:rPr>
                <w:color w:val="000000"/>
                <w:sz w:val="22"/>
              </w:rPr>
              <w:t>15.2 miles</w:t>
            </w:r>
          </w:p>
        </w:tc>
        <w:tc>
          <w:tcPr>
            <w:tcW w:w="549" w:type="pct"/>
            <w:vMerge/>
            <w:tcBorders>
              <w:left w:val="single" w:sz="4" w:space="0" w:color="auto"/>
              <w:right w:val="single" w:sz="4" w:space="0" w:color="auto"/>
            </w:tcBorders>
            <w:vAlign w:val="center"/>
          </w:tcPr>
          <w:p w14:paraId="703935D2" w14:textId="77777777" w:rsidR="007D3317" w:rsidRPr="00F03BDE" w:rsidRDefault="007D3317" w:rsidP="007D3317">
            <w:pPr>
              <w:jc w:val="right"/>
              <w:rPr>
                <w:rFonts w:eastAsia="Times New Roman"/>
                <w:color w:val="000000"/>
                <w:sz w:val="22"/>
              </w:rPr>
            </w:pPr>
          </w:p>
        </w:tc>
        <w:tc>
          <w:tcPr>
            <w:tcW w:w="561" w:type="pct"/>
            <w:tcBorders>
              <w:left w:val="single" w:sz="4" w:space="0" w:color="auto"/>
              <w:right w:val="double" w:sz="4" w:space="0" w:color="auto"/>
            </w:tcBorders>
            <w:vAlign w:val="center"/>
          </w:tcPr>
          <w:p w14:paraId="5DD2B84B" w14:textId="006A8E35" w:rsidR="007D3317" w:rsidRPr="00F03BDE" w:rsidRDefault="007D3317" w:rsidP="007D3317">
            <w:pPr>
              <w:jc w:val="right"/>
              <w:rPr>
                <w:color w:val="000000"/>
                <w:sz w:val="22"/>
              </w:rPr>
            </w:pPr>
            <w:r>
              <w:rPr>
                <w:color w:val="000000"/>
                <w:sz w:val="22"/>
              </w:rPr>
              <w:t>21.6%</w:t>
            </w:r>
          </w:p>
        </w:tc>
        <w:tc>
          <w:tcPr>
            <w:tcW w:w="779" w:type="pct"/>
            <w:tcBorders>
              <w:left w:val="single" w:sz="12" w:space="0" w:color="auto"/>
              <w:right w:val="single" w:sz="4" w:space="0" w:color="auto"/>
            </w:tcBorders>
            <w:vAlign w:val="center"/>
          </w:tcPr>
          <w:p w14:paraId="77F4EA96" w14:textId="55237D82" w:rsidR="007D3317" w:rsidRPr="00F03BDE" w:rsidRDefault="007D3317" w:rsidP="007D3317">
            <w:pPr>
              <w:jc w:val="right"/>
              <w:rPr>
                <w:color w:val="000000"/>
                <w:sz w:val="22"/>
              </w:rPr>
            </w:pPr>
            <w:r>
              <w:rPr>
                <w:color w:val="000000"/>
                <w:sz w:val="22"/>
              </w:rPr>
              <w:t>526.3 miles</w:t>
            </w:r>
          </w:p>
        </w:tc>
        <w:tc>
          <w:tcPr>
            <w:tcW w:w="732" w:type="pct"/>
            <w:vMerge/>
            <w:tcBorders>
              <w:left w:val="single" w:sz="4" w:space="0" w:color="auto"/>
              <w:right w:val="single" w:sz="4" w:space="0" w:color="auto"/>
            </w:tcBorders>
            <w:vAlign w:val="center"/>
          </w:tcPr>
          <w:p w14:paraId="09D8786D" w14:textId="77777777" w:rsidR="007D3317" w:rsidRPr="00F03BDE" w:rsidRDefault="007D3317" w:rsidP="007D3317">
            <w:pPr>
              <w:jc w:val="right"/>
              <w:rPr>
                <w:color w:val="000000"/>
                <w:sz w:val="22"/>
              </w:rPr>
            </w:pPr>
          </w:p>
        </w:tc>
        <w:tc>
          <w:tcPr>
            <w:tcW w:w="513" w:type="pct"/>
            <w:tcBorders>
              <w:left w:val="single" w:sz="4" w:space="0" w:color="auto"/>
              <w:right w:val="double" w:sz="4" w:space="0" w:color="auto"/>
            </w:tcBorders>
            <w:vAlign w:val="center"/>
          </w:tcPr>
          <w:p w14:paraId="5090B1DB" w14:textId="50F176CC" w:rsidR="007D3317" w:rsidRPr="00F03BDE" w:rsidRDefault="007D3317" w:rsidP="007D3317">
            <w:pPr>
              <w:jc w:val="right"/>
              <w:rPr>
                <w:color w:val="000000"/>
                <w:sz w:val="22"/>
              </w:rPr>
            </w:pPr>
            <w:r>
              <w:rPr>
                <w:color w:val="000000"/>
                <w:sz w:val="22"/>
              </w:rPr>
              <w:t>-2.7%</w:t>
            </w:r>
          </w:p>
        </w:tc>
      </w:tr>
      <w:tr w:rsidR="00311783" w:rsidRPr="00F03BDE" w14:paraId="5A438930" w14:textId="77777777" w:rsidTr="00311783">
        <w:trPr>
          <w:trHeight w:val="360"/>
        </w:trPr>
        <w:tc>
          <w:tcPr>
            <w:tcW w:w="276" w:type="pct"/>
            <w:tcBorders>
              <w:left w:val="double" w:sz="4" w:space="0" w:color="auto"/>
              <w:right w:val="single" w:sz="4" w:space="0" w:color="auto"/>
            </w:tcBorders>
            <w:vAlign w:val="center"/>
          </w:tcPr>
          <w:p w14:paraId="6817B34C" w14:textId="24ED2BE2" w:rsidR="007D3317" w:rsidRPr="00F03BDE" w:rsidRDefault="007D3317" w:rsidP="007D3317">
            <w:pPr>
              <w:jc w:val="right"/>
              <w:rPr>
                <w:rFonts w:eastAsia="Times New Roman"/>
                <w:b/>
                <w:bCs/>
                <w:color w:val="000000"/>
                <w:sz w:val="22"/>
              </w:rPr>
            </w:pPr>
            <w:r>
              <w:rPr>
                <w:b/>
                <w:bCs/>
                <w:color w:val="000000"/>
                <w:sz w:val="22"/>
              </w:rPr>
              <w:t>3</w:t>
            </w:r>
          </w:p>
        </w:tc>
        <w:tc>
          <w:tcPr>
            <w:tcW w:w="318" w:type="pct"/>
            <w:tcBorders>
              <w:left w:val="single" w:sz="4" w:space="0" w:color="auto"/>
              <w:right w:val="single" w:sz="4" w:space="0" w:color="auto"/>
            </w:tcBorders>
            <w:noWrap/>
            <w:vAlign w:val="center"/>
            <w:hideMark/>
          </w:tcPr>
          <w:p w14:paraId="70466663" w14:textId="72631655" w:rsidR="007D3317" w:rsidRPr="00F03BDE" w:rsidRDefault="007D3317" w:rsidP="007D3317">
            <w:pPr>
              <w:jc w:val="right"/>
              <w:rPr>
                <w:color w:val="000000"/>
                <w:sz w:val="22"/>
              </w:rPr>
            </w:pPr>
            <w:r>
              <w:rPr>
                <w:color w:val="000000"/>
                <w:sz w:val="22"/>
              </w:rPr>
              <w:t>30%</w:t>
            </w:r>
          </w:p>
        </w:tc>
        <w:tc>
          <w:tcPr>
            <w:tcW w:w="341" w:type="pct"/>
            <w:tcBorders>
              <w:left w:val="single" w:sz="4" w:space="0" w:color="auto"/>
              <w:right w:val="single" w:sz="4" w:space="0" w:color="auto"/>
            </w:tcBorders>
            <w:noWrap/>
            <w:vAlign w:val="center"/>
            <w:hideMark/>
          </w:tcPr>
          <w:p w14:paraId="57D2E6DD" w14:textId="75F8793C" w:rsidR="007D3317" w:rsidRPr="00F03BDE" w:rsidRDefault="007D3317" w:rsidP="007D3317">
            <w:pPr>
              <w:jc w:val="right"/>
              <w:rPr>
                <w:color w:val="000000"/>
                <w:sz w:val="22"/>
              </w:rPr>
            </w:pPr>
            <w:r>
              <w:rPr>
                <w:color w:val="000000"/>
                <w:sz w:val="22"/>
              </w:rPr>
              <w:t>70%</w:t>
            </w:r>
          </w:p>
        </w:tc>
        <w:tc>
          <w:tcPr>
            <w:tcW w:w="329" w:type="pct"/>
            <w:tcBorders>
              <w:left w:val="single" w:sz="4" w:space="0" w:color="auto"/>
              <w:right w:val="double" w:sz="4" w:space="0" w:color="auto"/>
            </w:tcBorders>
            <w:noWrap/>
            <w:vAlign w:val="center"/>
            <w:hideMark/>
          </w:tcPr>
          <w:p w14:paraId="50EF92B6" w14:textId="18967D39" w:rsidR="007D3317" w:rsidRPr="00F03BDE" w:rsidRDefault="007D3317" w:rsidP="007D3317">
            <w:pPr>
              <w:jc w:val="right"/>
              <w:rPr>
                <w:color w:val="000000"/>
                <w:sz w:val="22"/>
              </w:rPr>
            </w:pPr>
            <w:r>
              <w:rPr>
                <w:color w:val="000000"/>
                <w:sz w:val="22"/>
              </w:rPr>
              <w:t>0%</w:t>
            </w:r>
          </w:p>
        </w:tc>
        <w:tc>
          <w:tcPr>
            <w:tcW w:w="600" w:type="pct"/>
            <w:tcBorders>
              <w:left w:val="double" w:sz="4" w:space="0" w:color="auto"/>
              <w:right w:val="single" w:sz="4" w:space="0" w:color="auto"/>
            </w:tcBorders>
            <w:vAlign w:val="center"/>
          </w:tcPr>
          <w:p w14:paraId="11DC3593" w14:textId="3FE89782" w:rsidR="007D3317" w:rsidRPr="00F03BDE" w:rsidRDefault="007D3317" w:rsidP="007D3317">
            <w:pPr>
              <w:jc w:val="right"/>
              <w:rPr>
                <w:rFonts w:eastAsia="Times New Roman"/>
                <w:color w:val="000000"/>
                <w:sz w:val="22"/>
              </w:rPr>
            </w:pPr>
            <w:r>
              <w:rPr>
                <w:color w:val="000000"/>
                <w:sz w:val="22"/>
              </w:rPr>
              <w:t>15.7 miles</w:t>
            </w:r>
          </w:p>
        </w:tc>
        <w:tc>
          <w:tcPr>
            <w:tcW w:w="549" w:type="pct"/>
            <w:vMerge/>
            <w:tcBorders>
              <w:left w:val="single" w:sz="4" w:space="0" w:color="auto"/>
              <w:right w:val="single" w:sz="4" w:space="0" w:color="auto"/>
            </w:tcBorders>
            <w:vAlign w:val="center"/>
          </w:tcPr>
          <w:p w14:paraId="47FFF9A1" w14:textId="77777777" w:rsidR="007D3317" w:rsidRPr="00F03BDE" w:rsidRDefault="007D3317" w:rsidP="007D3317">
            <w:pPr>
              <w:jc w:val="right"/>
              <w:rPr>
                <w:rFonts w:eastAsia="Times New Roman"/>
                <w:color w:val="000000"/>
                <w:sz w:val="22"/>
              </w:rPr>
            </w:pPr>
          </w:p>
        </w:tc>
        <w:tc>
          <w:tcPr>
            <w:tcW w:w="561" w:type="pct"/>
            <w:tcBorders>
              <w:left w:val="single" w:sz="4" w:space="0" w:color="auto"/>
              <w:right w:val="double" w:sz="4" w:space="0" w:color="auto"/>
            </w:tcBorders>
            <w:vAlign w:val="center"/>
          </w:tcPr>
          <w:p w14:paraId="42187C4A" w14:textId="12DE284D" w:rsidR="007D3317" w:rsidRPr="00F03BDE" w:rsidRDefault="007D3317" w:rsidP="007D3317">
            <w:pPr>
              <w:jc w:val="right"/>
              <w:rPr>
                <w:color w:val="000000"/>
                <w:sz w:val="22"/>
              </w:rPr>
            </w:pPr>
            <w:r>
              <w:rPr>
                <w:color w:val="000000"/>
                <w:sz w:val="22"/>
              </w:rPr>
              <w:t>25.6%</w:t>
            </w:r>
          </w:p>
        </w:tc>
        <w:tc>
          <w:tcPr>
            <w:tcW w:w="779" w:type="pct"/>
            <w:tcBorders>
              <w:left w:val="single" w:sz="12" w:space="0" w:color="auto"/>
              <w:right w:val="single" w:sz="4" w:space="0" w:color="auto"/>
            </w:tcBorders>
            <w:vAlign w:val="center"/>
          </w:tcPr>
          <w:p w14:paraId="406504D0" w14:textId="03C76C95" w:rsidR="007D3317" w:rsidRPr="00F03BDE" w:rsidRDefault="007D3317" w:rsidP="007D3317">
            <w:pPr>
              <w:jc w:val="right"/>
              <w:rPr>
                <w:color w:val="000000"/>
                <w:sz w:val="22"/>
              </w:rPr>
            </w:pPr>
            <w:r>
              <w:rPr>
                <w:color w:val="000000"/>
                <w:sz w:val="22"/>
              </w:rPr>
              <w:t>475.6 miles</w:t>
            </w:r>
          </w:p>
        </w:tc>
        <w:tc>
          <w:tcPr>
            <w:tcW w:w="732" w:type="pct"/>
            <w:vMerge/>
            <w:tcBorders>
              <w:left w:val="single" w:sz="4" w:space="0" w:color="auto"/>
              <w:right w:val="single" w:sz="4" w:space="0" w:color="auto"/>
            </w:tcBorders>
            <w:vAlign w:val="center"/>
          </w:tcPr>
          <w:p w14:paraId="7E7688E8" w14:textId="77777777" w:rsidR="007D3317" w:rsidRPr="00F03BDE" w:rsidRDefault="007D3317" w:rsidP="007D3317">
            <w:pPr>
              <w:jc w:val="right"/>
              <w:rPr>
                <w:color w:val="000000"/>
                <w:sz w:val="22"/>
              </w:rPr>
            </w:pPr>
          </w:p>
        </w:tc>
        <w:tc>
          <w:tcPr>
            <w:tcW w:w="513" w:type="pct"/>
            <w:tcBorders>
              <w:left w:val="single" w:sz="4" w:space="0" w:color="auto"/>
              <w:right w:val="double" w:sz="4" w:space="0" w:color="auto"/>
            </w:tcBorders>
            <w:vAlign w:val="center"/>
          </w:tcPr>
          <w:p w14:paraId="246F3B52" w14:textId="14682F6E" w:rsidR="007D3317" w:rsidRPr="00F03BDE" w:rsidRDefault="007D3317" w:rsidP="007D3317">
            <w:pPr>
              <w:jc w:val="right"/>
              <w:rPr>
                <w:color w:val="000000"/>
                <w:sz w:val="22"/>
              </w:rPr>
            </w:pPr>
            <w:r>
              <w:rPr>
                <w:color w:val="000000"/>
                <w:sz w:val="22"/>
              </w:rPr>
              <w:t>-12.1%</w:t>
            </w:r>
          </w:p>
        </w:tc>
      </w:tr>
      <w:tr w:rsidR="00311783" w:rsidRPr="00F03BDE" w14:paraId="1B9E8A5A" w14:textId="77777777" w:rsidTr="00311783">
        <w:trPr>
          <w:trHeight w:val="360"/>
        </w:trPr>
        <w:tc>
          <w:tcPr>
            <w:tcW w:w="276" w:type="pct"/>
            <w:tcBorders>
              <w:left w:val="double" w:sz="4" w:space="0" w:color="auto"/>
              <w:right w:val="single" w:sz="4" w:space="0" w:color="auto"/>
            </w:tcBorders>
            <w:vAlign w:val="center"/>
          </w:tcPr>
          <w:p w14:paraId="6BF2CC74" w14:textId="69034E71" w:rsidR="007D3317" w:rsidRPr="00F03BDE" w:rsidRDefault="007D3317" w:rsidP="007D3317">
            <w:pPr>
              <w:jc w:val="right"/>
              <w:rPr>
                <w:rFonts w:eastAsia="Times New Roman"/>
                <w:b/>
                <w:bCs/>
                <w:color w:val="000000"/>
                <w:sz w:val="22"/>
              </w:rPr>
            </w:pPr>
            <w:r>
              <w:rPr>
                <w:b/>
                <w:bCs/>
                <w:color w:val="000000"/>
                <w:sz w:val="22"/>
              </w:rPr>
              <w:t>4</w:t>
            </w:r>
          </w:p>
        </w:tc>
        <w:tc>
          <w:tcPr>
            <w:tcW w:w="318" w:type="pct"/>
            <w:tcBorders>
              <w:left w:val="single" w:sz="4" w:space="0" w:color="auto"/>
              <w:right w:val="single" w:sz="4" w:space="0" w:color="auto"/>
            </w:tcBorders>
            <w:noWrap/>
            <w:vAlign w:val="center"/>
            <w:hideMark/>
          </w:tcPr>
          <w:p w14:paraId="5C9A6C0F" w14:textId="060E1296" w:rsidR="007D3317" w:rsidRPr="00F03BDE" w:rsidRDefault="007D3317" w:rsidP="007D3317">
            <w:pPr>
              <w:jc w:val="right"/>
              <w:rPr>
                <w:color w:val="000000"/>
                <w:sz w:val="22"/>
              </w:rPr>
            </w:pPr>
            <w:r>
              <w:rPr>
                <w:color w:val="000000"/>
                <w:sz w:val="22"/>
              </w:rPr>
              <w:t>40%</w:t>
            </w:r>
          </w:p>
        </w:tc>
        <w:tc>
          <w:tcPr>
            <w:tcW w:w="341" w:type="pct"/>
            <w:tcBorders>
              <w:left w:val="single" w:sz="4" w:space="0" w:color="auto"/>
              <w:right w:val="single" w:sz="4" w:space="0" w:color="auto"/>
            </w:tcBorders>
            <w:noWrap/>
            <w:vAlign w:val="center"/>
            <w:hideMark/>
          </w:tcPr>
          <w:p w14:paraId="2B306746" w14:textId="03787397" w:rsidR="007D3317" w:rsidRPr="00F03BDE" w:rsidRDefault="007D3317" w:rsidP="007D3317">
            <w:pPr>
              <w:jc w:val="right"/>
              <w:rPr>
                <w:color w:val="000000"/>
                <w:sz w:val="22"/>
              </w:rPr>
            </w:pPr>
            <w:r>
              <w:rPr>
                <w:color w:val="000000"/>
                <w:sz w:val="22"/>
              </w:rPr>
              <w:t>60%</w:t>
            </w:r>
          </w:p>
        </w:tc>
        <w:tc>
          <w:tcPr>
            <w:tcW w:w="329" w:type="pct"/>
            <w:tcBorders>
              <w:left w:val="single" w:sz="4" w:space="0" w:color="auto"/>
              <w:right w:val="double" w:sz="4" w:space="0" w:color="auto"/>
            </w:tcBorders>
            <w:noWrap/>
            <w:vAlign w:val="center"/>
            <w:hideMark/>
          </w:tcPr>
          <w:p w14:paraId="7AF6AA83" w14:textId="53D670AA" w:rsidR="007D3317" w:rsidRPr="00F03BDE" w:rsidRDefault="007D3317" w:rsidP="007D3317">
            <w:pPr>
              <w:jc w:val="right"/>
              <w:rPr>
                <w:color w:val="000000"/>
                <w:sz w:val="22"/>
              </w:rPr>
            </w:pPr>
            <w:r>
              <w:rPr>
                <w:color w:val="000000"/>
                <w:sz w:val="22"/>
              </w:rPr>
              <w:t>0%</w:t>
            </w:r>
          </w:p>
        </w:tc>
        <w:tc>
          <w:tcPr>
            <w:tcW w:w="600" w:type="pct"/>
            <w:tcBorders>
              <w:left w:val="double" w:sz="4" w:space="0" w:color="auto"/>
              <w:right w:val="single" w:sz="4" w:space="0" w:color="auto"/>
            </w:tcBorders>
            <w:vAlign w:val="center"/>
          </w:tcPr>
          <w:p w14:paraId="63F86BBC" w14:textId="78832E79" w:rsidR="007D3317" w:rsidRPr="00F03BDE" w:rsidRDefault="007D3317" w:rsidP="007D3317">
            <w:pPr>
              <w:jc w:val="right"/>
              <w:rPr>
                <w:rFonts w:eastAsia="Times New Roman"/>
                <w:color w:val="000000"/>
                <w:sz w:val="22"/>
              </w:rPr>
            </w:pPr>
            <w:r>
              <w:rPr>
                <w:color w:val="000000"/>
                <w:sz w:val="22"/>
              </w:rPr>
              <w:t>16.1 miles</w:t>
            </w:r>
          </w:p>
        </w:tc>
        <w:tc>
          <w:tcPr>
            <w:tcW w:w="549" w:type="pct"/>
            <w:vMerge/>
            <w:tcBorders>
              <w:left w:val="single" w:sz="4" w:space="0" w:color="auto"/>
              <w:right w:val="single" w:sz="4" w:space="0" w:color="auto"/>
            </w:tcBorders>
            <w:vAlign w:val="center"/>
          </w:tcPr>
          <w:p w14:paraId="4C49E6C9" w14:textId="77777777" w:rsidR="007D3317" w:rsidRPr="00F03BDE" w:rsidRDefault="007D3317" w:rsidP="007D3317">
            <w:pPr>
              <w:jc w:val="right"/>
              <w:rPr>
                <w:rFonts w:eastAsia="Times New Roman"/>
                <w:color w:val="000000"/>
                <w:sz w:val="22"/>
              </w:rPr>
            </w:pPr>
          </w:p>
        </w:tc>
        <w:tc>
          <w:tcPr>
            <w:tcW w:w="561" w:type="pct"/>
            <w:tcBorders>
              <w:left w:val="single" w:sz="4" w:space="0" w:color="auto"/>
              <w:right w:val="double" w:sz="4" w:space="0" w:color="auto"/>
            </w:tcBorders>
            <w:vAlign w:val="center"/>
          </w:tcPr>
          <w:p w14:paraId="4A277E8B" w14:textId="6FBCC96B" w:rsidR="007D3317" w:rsidRPr="00F03BDE" w:rsidRDefault="007D3317" w:rsidP="007D3317">
            <w:pPr>
              <w:jc w:val="right"/>
              <w:rPr>
                <w:color w:val="000000"/>
                <w:sz w:val="22"/>
              </w:rPr>
            </w:pPr>
            <w:r>
              <w:rPr>
                <w:color w:val="000000"/>
                <w:sz w:val="22"/>
              </w:rPr>
              <w:t>28.8%</w:t>
            </w:r>
          </w:p>
        </w:tc>
        <w:tc>
          <w:tcPr>
            <w:tcW w:w="779" w:type="pct"/>
            <w:tcBorders>
              <w:left w:val="single" w:sz="12" w:space="0" w:color="auto"/>
              <w:right w:val="single" w:sz="4" w:space="0" w:color="auto"/>
            </w:tcBorders>
            <w:vAlign w:val="center"/>
          </w:tcPr>
          <w:p w14:paraId="682E65F2" w14:textId="76B7DDFC" w:rsidR="007D3317" w:rsidRPr="00F03BDE" w:rsidRDefault="007D3317" w:rsidP="007D3317">
            <w:pPr>
              <w:jc w:val="right"/>
              <w:rPr>
                <w:color w:val="000000"/>
                <w:sz w:val="22"/>
              </w:rPr>
            </w:pPr>
            <w:r>
              <w:rPr>
                <w:color w:val="000000"/>
                <w:sz w:val="22"/>
              </w:rPr>
              <w:t>418.1 miles</w:t>
            </w:r>
          </w:p>
        </w:tc>
        <w:tc>
          <w:tcPr>
            <w:tcW w:w="732" w:type="pct"/>
            <w:vMerge/>
            <w:tcBorders>
              <w:left w:val="single" w:sz="4" w:space="0" w:color="auto"/>
              <w:right w:val="single" w:sz="4" w:space="0" w:color="auto"/>
            </w:tcBorders>
            <w:vAlign w:val="center"/>
          </w:tcPr>
          <w:p w14:paraId="5709F1BE" w14:textId="77777777" w:rsidR="007D3317" w:rsidRPr="00F03BDE" w:rsidRDefault="007D3317" w:rsidP="007D3317">
            <w:pPr>
              <w:jc w:val="right"/>
              <w:rPr>
                <w:color w:val="000000"/>
                <w:sz w:val="22"/>
              </w:rPr>
            </w:pPr>
          </w:p>
        </w:tc>
        <w:tc>
          <w:tcPr>
            <w:tcW w:w="513" w:type="pct"/>
            <w:tcBorders>
              <w:left w:val="single" w:sz="4" w:space="0" w:color="auto"/>
              <w:right w:val="double" w:sz="4" w:space="0" w:color="auto"/>
            </w:tcBorders>
            <w:vAlign w:val="center"/>
          </w:tcPr>
          <w:p w14:paraId="338BF764" w14:textId="72C0D049" w:rsidR="007D3317" w:rsidRPr="00F03BDE" w:rsidRDefault="007D3317" w:rsidP="007D3317">
            <w:pPr>
              <w:jc w:val="right"/>
              <w:rPr>
                <w:color w:val="000000"/>
                <w:sz w:val="22"/>
              </w:rPr>
            </w:pPr>
            <w:r>
              <w:rPr>
                <w:color w:val="000000"/>
                <w:sz w:val="22"/>
              </w:rPr>
              <w:t>-22.7%</w:t>
            </w:r>
          </w:p>
        </w:tc>
      </w:tr>
      <w:tr w:rsidR="00311783" w:rsidRPr="00F03BDE" w14:paraId="683CA7B1" w14:textId="77777777" w:rsidTr="00311783">
        <w:trPr>
          <w:trHeight w:val="360"/>
        </w:trPr>
        <w:tc>
          <w:tcPr>
            <w:tcW w:w="276" w:type="pct"/>
            <w:tcBorders>
              <w:left w:val="double" w:sz="4" w:space="0" w:color="auto"/>
              <w:right w:val="single" w:sz="4" w:space="0" w:color="auto"/>
            </w:tcBorders>
            <w:vAlign w:val="center"/>
          </w:tcPr>
          <w:p w14:paraId="2C2E5C10" w14:textId="135C2AE5" w:rsidR="007D3317" w:rsidRPr="00F03BDE" w:rsidRDefault="007D3317" w:rsidP="007D3317">
            <w:pPr>
              <w:jc w:val="right"/>
              <w:rPr>
                <w:rFonts w:eastAsia="Times New Roman"/>
                <w:b/>
                <w:bCs/>
                <w:color w:val="000000"/>
                <w:sz w:val="22"/>
              </w:rPr>
            </w:pPr>
            <w:r>
              <w:rPr>
                <w:b/>
                <w:bCs/>
                <w:color w:val="000000"/>
                <w:sz w:val="22"/>
              </w:rPr>
              <w:t>5</w:t>
            </w:r>
          </w:p>
        </w:tc>
        <w:tc>
          <w:tcPr>
            <w:tcW w:w="318" w:type="pct"/>
            <w:tcBorders>
              <w:left w:val="single" w:sz="4" w:space="0" w:color="auto"/>
              <w:right w:val="single" w:sz="4" w:space="0" w:color="auto"/>
            </w:tcBorders>
            <w:noWrap/>
            <w:vAlign w:val="center"/>
            <w:hideMark/>
          </w:tcPr>
          <w:p w14:paraId="098EA297" w14:textId="3F62830E" w:rsidR="007D3317" w:rsidRPr="00F03BDE" w:rsidRDefault="007D3317" w:rsidP="007D3317">
            <w:pPr>
              <w:jc w:val="right"/>
              <w:rPr>
                <w:color w:val="000000"/>
                <w:sz w:val="22"/>
              </w:rPr>
            </w:pPr>
            <w:r>
              <w:rPr>
                <w:color w:val="000000"/>
                <w:sz w:val="22"/>
              </w:rPr>
              <w:t>60%</w:t>
            </w:r>
          </w:p>
        </w:tc>
        <w:tc>
          <w:tcPr>
            <w:tcW w:w="341" w:type="pct"/>
            <w:tcBorders>
              <w:left w:val="single" w:sz="4" w:space="0" w:color="auto"/>
              <w:right w:val="single" w:sz="4" w:space="0" w:color="auto"/>
            </w:tcBorders>
            <w:noWrap/>
            <w:vAlign w:val="center"/>
            <w:hideMark/>
          </w:tcPr>
          <w:p w14:paraId="400026FD" w14:textId="1533A62E" w:rsidR="007D3317" w:rsidRPr="00F03BDE" w:rsidRDefault="007D3317" w:rsidP="007D3317">
            <w:pPr>
              <w:jc w:val="right"/>
              <w:rPr>
                <w:color w:val="000000"/>
                <w:sz w:val="22"/>
              </w:rPr>
            </w:pPr>
            <w:r>
              <w:rPr>
                <w:color w:val="000000"/>
                <w:sz w:val="22"/>
              </w:rPr>
              <w:t>40%</w:t>
            </w:r>
          </w:p>
        </w:tc>
        <w:tc>
          <w:tcPr>
            <w:tcW w:w="329" w:type="pct"/>
            <w:tcBorders>
              <w:left w:val="single" w:sz="4" w:space="0" w:color="auto"/>
              <w:right w:val="double" w:sz="4" w:space="0" w:color="auto"/>
            </w:tcBorders>
            <w:noWrap/>
            <w:vAlign w:val="center"/>
            <w:hideMark/>
          </w:tcPr>
          <w:p w14:paraId="60E49139" w14:textId="4A03BB94" w:rsidR="007D3317" w:rsidRPr="00F03BDE" w:rsidRDefault="007D3317" w:rsidP="007D3317">
            <w:pPr>
              <w:jc w:val="right"/>
              <w:rPr>
                <w:color w:val="000000"/>
                <w:sz w:val="22"/>
              </w:rPr>
            </w:pPr>
            <w:r>
              <w:rPr>
                <w:color w:val="000000"/>
                <w:sz w:val="22"/>
              </w:rPr>
              <w:t>0%</w:t>
            </w:r>
          </w:p>
        </w:tc>
        <w:tc>
          <w:tcPr>
            <w:tcW w:w="600" w:type="pct"/>
            <w:tcBorders>
              <w:left w:val="double" w:sz="4" w:space="0" w:color="auto"/>
              <w:right w:val="single" w:sz="4" w:space="0" w:color="auto"/>
            </w:tcBorders>
            <w:vAlign w:val="center"/>
          </w:tcPr>
          <w:p w14:paraId="3BA42554" w14:textId="2C350E33" w:rsidR="007D3317" w:rsidRPr="00F03BDE" w:rsidRDefault="007D3317" w:rsidP="007D3317">
            <w:pPr>
              <w:jc w:val="right"/>
              <w:rPr>
                <w:rFonts w:eastAsia="Times New Roman"/>
                <w:color w:val="000000"/>
                <w:sz w:val="22"/>
              </w:rPr>
            </w:pPr>
            <w:r>
              <w:rPr>
                <w:color w:val="000000"/>
                <w:sz w:val="22"/>
              </w:rPr>
              <w:t>17.1 miles</w:t>
            </w:r>
          </w:p>
        </w:tc>
        <w:tc>
          <w:tcPr>
            <w:tcW w:w="549" w:type="pct"/>
            <w:vMerge/>
            <w:tcBorders>
              <w:left w:val="single" w:sz="4" w:space="0" w:color="auto"/>
              <w:right w:val="single" w:sz="4" w:space="0" w:color="auto"/>
            </w:tcBorders>
            <w:vAlign w:val="center"/>
          </w:tcPr>
          <w:p w14:paraId="2338D764" w14:textId="77777777" w:rsidR="007D3317" w:rsidRPr="00F03BDE" w:rsidRDefault="007D3317" w:rsidP="007D3317">
            <w:pPr>
              <w:jc w:val="right"/>
              <w:rPr>
                <w:rFonts w:eastAsia="Times New Roman"/>
                <w:color w:val="000000"/>
                <w:sz w:val="22"/>
              </w:rPr>
            </w:pPr>
          </w:p>
        </w:tc>
        <w:tc>
          <w:tcPr>
            <w:tcW w:w="561" w:type="pct"/>
            <w:tcBorders>
              <w:left w:val="single" w:sz="4" w:space="0" w:color="auto"/>
              <w:right w:val="double" w:sz="4" w:space="0" w:color="auto"/>
            </w:tcBorders>
            <w:vAlign w:val="center"/>
          </w:tcPr>
          <w:p w14:paraId="56ABE2EE" w14:textId="38880319" w:rsidR="007D3317" w:rsidRPr="00F03BDE" w:rsidRDefault="007D3317" w:rsidP="007D3317">
            <w:pPr>
              <w:jc w:val="right"/>
              <w:rPr>
                <w:color w:val="000000"/>
                <w:sz w:val="22"/>
              </w:rPr>
            </w:pPr>
            <w:r>
              <w:rPr>
                <w:color w:val="000000"/>
                <w:sz w:val="22"/>
              </w:rPr>
              <w:t>36.8%</w:t>
            </w:r>
          </w:p>
        </w:tc>
        <w:tc>
          <w:tcPr>
            <w:tcW w:w="779" w:type="pct"/>
            <w:tcBorders>
              <w:left w:val="single" w:sz="12" w:space="0" w:color="auto"/>
              <w:right w:val="single" w:sz="4" w:space="0" w:color="auto"/>
            </w:tcBorders>
            <w:vAlign w:val="center"/>
          </w:tcPr>
          <w:p w14:paraId="1B2DA8DE" w14:textId="2FB4064E" w:rsidR="007D3317" w:rsidRPr="00F03BDE" w:rsidRDefault="007D3317" w:rsidP="007D3317">
            <w:pPr>
              <w:jc w:val="right"/>
              <w:rPr>
                <w:color w:val="000000"/>
                <w:sz w:val="22"/>
              </w:rPr>
            </w:pPr>
            <w:r>
              <w:rPr>
                <w:color w:val="000000"/>
                <w:sz w:val="22"/>
              </w:rPr>
              <w:t>296.0 miles</w:t>
            </w:r>
          </w:p>
        </w:tc>
        <w:tc>
          <w:tcPr>
            <w:tcW w:w="732" w:type="pct"/>
            <w:vMerge/>
            <w:tcBorders>
              <w:left w:val="single" w:sz="4" w:space="0" w:color="auto"/>
              <w:right w:val="single" w:sz="4" w:space="0" w:color="auto"/>
            </w:tcBorders>
            <w:vAlign w:val="center"/>
          </w:tcPr>
          <w:p w14:paraId="41B40F69" w14:textId="77777777" w:rsidR="007D3317" w:rsidRPr="00F03BDE" w:rsidRDefault="007D3317" w:rsidP="007D3317">
            <w:pPr>
              <w:jc w:val="right"/>
              <w:rPr>
                <w:color w:val="000000"/>
                <w:sz w:val="22"/>
              </w:rPr>
            </w:pPr>
          </w:p>
        </w:tc>
        <w:tc>
          <w:tcPr>
            <w:tcW w:w="513" w:type="pct"/>
            <w:tcBorders>
              <w:left w:val="single" w:sz="4" w:space="0" w:color="auto"/>
              <w:right w:val="double" w:sz="4" w:space="0" w:color="auto"/>
            </w:tcBorders>
            <w:vAlign w:val="center"/>
          </w:tcPr>
          <w:p w14:paraId="33C002EA" w14:textId="465F596C" w:rsidR="007D3317" w:rsidRPr="00F03BDE" w:rsidRDefault="007D3317" w:rsidP="007D3317">
            <w:pPr>
              <w:jc w:val="right"/>
              <w:rPr>
                <w:color w:val="000000"/>
                <w:sz w:val="22"/>
              </w:rPr>
            </w:pPr>
            <w:r>
              <w:rPr>
                <w:color w:val="000000"/>
                <w:sz w:val="22"/>
              </w:rPr>
              <w:t>-45.3%</w:t>
            </w:r>
          </w:p>
        </w:tc>
      </w:tr>
      <w:tr w:rsidR="00311783" w:rsidRPr="00F03BDE" w14:paraId="72FC5683" w14:textId="77777777" w:rsidTr="00311783">
        <w:trPr>
          <w:trHeight w:val="360"/>
        </w:trPr>
        <w:tc>
          <w:tcPr>
            <w:tcW w:w="276" w:type="pct"/>
            <w:tcBorders>
              <w:left w:val="double" w:sz="4" w:space="0" w:color="auto"/>
              <w:right w:val="single" w:sz="4" w:space="0" w:color="auto"/>
            </w:tcBorders>
            <w:vAlign w:val="center"/>
          </w:tcPr>
          <w:p w14:paraId="79FA2596" w14:textId="31160254" w:rsidR="007D3317" w:rsidRPr="00F03BDE" w:rsidRDefault="007D3317" w:rsidP="007D3317">
            <w:pPr>
              <w:jc w:val="right"/>
              <w:rPr>
                <w:rFonts w:eastAsia="Times New Roman"/>
                <w:b/>
                <w:bCs/>
                <w:color w:val="000000"/>
                <w:sz w:val="22"/>
              </w:rPr>
            </w:pPr>
            <w:r>
              <w:rPr>
                <w:b/>
                <w:bCs/>
                <w:color w:val="000000"/>
                <w:sz w:val="22"/>
              </w:rPr>
              <w:t>6</w:t>
            </w:r>
          </w:p>
        </w:tc>
        <w:tc>
          <w:tcPr>
            <w:tcW w:w="318" w:type="pct"/>
            <w:tcBorders>
              <w:left w:val="single" w:sz="4" w:space="0" w:color="auto"/>
              <w:right w:val="single" w:sz="4" w:space="0" w:color="auto"/>
            </w:tcBorders>
            <w:noWrap/>
            <w:vAlign w:val="center"/>
          </w:tcPr>
          <w:p w14:paraId="0C80E81A" w14:textId="10443720" w:rsidR="007D3317" w:rsidRPr="00F03BDE" w:rsidRDefault="007D3317" w:rsidP="007D3317">
            <w:pPr>
              <w:jc w:val="right"/>
              <w:rPr>
                <w:color w:val="000000"/>
                <w:sz w:val="22"/>
              </w:rPr>
            </w:pPr>
            <w:r>
              <w:rPr>
                <w:color w:val="000000"/>
                <w:sz w:val="22"/>
              </w:rPr>
              <w:t>80%</w:t>
            </w:r>
          </w:p>
        </w:tc>
        <w:tc>
          <w:tcPr>
            <w:tcW w:w="341" w:type="pct"/>
            <w:tcBorders>
              <w:left w:val="single" w:sz="4" w:space="0" w:color="auto"/>
              <w:right w:val="single" w:sz="4" w:space="0" w:color="auto"/>
            </w:tcBorders>
            <w:noWrap/>
            <w:vAlign w:val="center"/>
          </w:tcPr>
          <w:p w14:paraId="4854E39E" w14:textId="2CB56E11" w:rsidR="007D3317" w:rsidRPr="00F03BDE" w:rsidRDefault="007D3317" w:rsidP="007D3317">
            <w:pPr>
              <w:jc w:val="right"/>
              <w:rPr>
                <w:color w:val="000000"/>
                <w:sz w:val="22"/>
              </w:rPr>
            </w:pPr>
            <w:r>
              <w:rPr>
                <w:color w:val="000000"/>
                <w:sz w:val="22"/>
              </w:rPr>
              <w:t>20%</w:t>
            </w:r>
          </w:p>
        </w:tc>
        <w:tc>
          <w:tcPr>
            <w:tcW w:w="329" w:type="pct"/>
            <w:tcBorders>
              <w:left w:val="single" w:sz="4" w:space="0" w:color="auto"/>
              <w:right w:val="double" w:sz="4" w:space="0" w:color="auto"/>
            </w:tcBorders>
            <w:noWrap/>
            <w:vAlign w:val="center"/>
          </w:tcPr>
          <w:p w14:paraId="7BAD0ABF" w14:textId="00900ACD" w:rsidR="007D3317" w:rsidRPr="00F03BDE" w:rsidRDefault="007D3317" w:rsidP="007D3317">
            <w:pPr>
              <w:jc w:val="right"/>
              <w:rPr>
                <w:color w:val="000000"/>
                <w:sz w:val="22"/>
              </w:rPr>
            </w:pPr>
            <w:r>
              <w:rPr>
                <w:color w:val="000000"/>
                <w:sz w:val="22"/>
              </w:rPr>
              <w:t>0%</w:t>
            </w:r>
          </w:p>
        </w:tc>
        <w:tc>
          <w:tcPr>
            <w:tcW w:w="600" w:type="pct"/>
            <w:tcBorders>
              <w:left w:val="double" w:sz="4" w:space="0" w:color="auto"/>
              <w:right w:val="single" w:sz="4" w:space="0" w:color="auto"/>
            </w:tcBorders>
            <w:vAlign w:val="center"/>
          </w:tcPr>
          <w:p w14:paraId="3882463C" w14:textId="6F451697" w:rsidR="007D3317" w:rsidRPr="00F03BDE" w:rsidRDefault="007D3317" w:rsidP="007D3317">
            <w:pPr>
              <w:jc w:val="right"/>
              <w:rPr>
                <w:rFonts w:eastAsia="Times New Roman"/>
                <w:color w:val="000000"/>
                <w:sz w:val="22"/>
              </w:rPr>
            </w:pPr>
            <w:r>
              <w:rPr>
                <w:color w:val="000000"/>
                <w:sz w:val="22"/>
              </w:rPr>
              <w:t>18.1 miles</w:t>
            </w:r>
          </w:p>
        </w:tc>
        <w:tc>
          <w:tcPr>
            <w:tcW w:w="549" w:type="pct"/>
            <w:vMerge/>
            <w:tcBorders>
              <w:left w:val="single" w:sz="4" w:space="0" w:color="auto"/>
              <w:right w:val="single" w:sz="4" w:space="0" w:color="auto"/>
            </w:tcBorders>
            <w:vAlign w:val="center"/>
          </w:tcPr>
          <w:p w14:paraId="78CD4795" w14:textId="77777777" w:rsidR="007D3317" w:rsidRPr="00F03BDE" w:rsidRDefault="007D3317" w:rsidP="007D3317">
            <w:pPr>
              <w:jc w:val="right"/>
              <w:rPr>
                <w:rFonts w:eastAsia="Times New Roman"/>
                <w:color w:val="000000"/>
                <w:sz w:val="22"/>
              </w:rPr>
            </w:pPr>
          </w:p>
        </w:tc>
        <w:tc>
          <w:tcPr>
            <w:tcW w:w="561" w:type="pct"/>
            <w:tcBorders>
              <w:left w:val="single" w:sz="4" w:space="0" w:color="auto"/>
              <w:right w:val="double" w:sz="4" w:space="0" w:color="auto"/>
            </w:tcBorders>
            <w:vAlign w:val="center"/>
          </w:tcPr>
          <w:p w14:paraId="76400C85" w14:textId="54EBA3A2" w:rsidR="007D3317" w:rsidRPr="00F03BDE" w:rsidRDefault="007D3317" w:rsidP="007D3317">
            <w:pPr>
              <w:jc w:val="right"/>
              <w:rPr>
                <w:color w:val="000000"/>
                <w:sz w:val="22"/>
              </w:rPr>
            </w:pPr>
            <w:r>
              <w:rPr>
                <w:color w:val="000000"/>
                <w:sz w:val="22"/>
              </w:rPr>
              <w:t>44.8%</w:t>
            </w:r>
          </w:p>
        </w:tc>
        <w:tc>
          <w:tcPr>
            <w:tcW w:w="779" w:type="pct"/>
            <w:tcBorders>
              <w:left w:val="single" w:sz="12" w:space="0" w:color="auto"/>
              <w:right w:val="single" w:sz="4" w:space="0" w:color="auto"/>
            </w:tcBorders>
            <w:vAlign w:val="center"/>
          </w:tcPr>
          <w:p w14:paraId="122D5204" w14:textId="1AB7F5F1" w:rsidR="007D3317" w:rsidRPr="00F03BDE" w:rsidRDefault="007D3317" w:rsidP="007D3317">
            <w:pPr>
              <w:jc w:val="right"/>
              <w:rPr>
                <w:color w:val="000000"/>
                <w:sz w:val="22"/>
              </w:rPr>
            </w:pPr>
            <w:r>
              <w:rPr>
                <w:color w:val="000000"/>
                <w:sz w:val="22"/>
              </w:rPr>
              <w:t>156.7 miles</w:t>
            </w:r>
          </w:p>
        </w:tc>
        <w:tc>
          <w:tcPr>
            <w:tcW w:w="732" w:type="pct"/>
            <w:vMerge/>
            <w:tcBorders>
              <w:left w:val="single" w:sz="4" w:space="0" w:color="auto"/>
              <w:right w:val="single" w:sz="4" w:space="0" w:color="auto"/>
            </w:tcBorders>
            <w:vAlign w:val="center"/>
          </w:tcPr>
          <w:p w14:paraId="6FB01521" w14:textId="77777777" w:rsidR="007D3317" w:rsidRPr="00F03BDE" w:rsidRDefault="007D3317" w:rsidP="007D3317">
            <w:pPr>
              <w:jc w:val="right"/>
              <w:rPr>
                <w:color w:val="000000"/>
                <w:sz w:val="22"/>
              </w:rPr>
            </w:pPr>
          </w:p>
        </w:tc>
        <w:tc>
          <w:tcPr>
            <w:tcW w:w="513" w:type="pct"/>
            <w:tcBorders>
              <w:left w:val="single" w:sz="4" w:space="0" w:color="auto"/>
              <w:right w:val="double" w:sz="4" w:space="0" w:color="auto"/>
            </w:tcBorders>
            <w:vAlign w:val="center"/>
          </w:tcPr>
          <w:p w14:paraId="51277D3C" w14:textId="77D8536E" w:rsidR="007D3317" w:rsidRPr="00F03BDE" w:rsidRDefault="007D3317" w:rsidP="007D3317">
            <w:pPr>
              <w:jc w:val="right"/>
              <w:rPr>
                <w:color w:val="000000"/>
                <w:sz w:val="22"/>
              </w:rPr>
            </w:pPr>
            <w:r>
              <w:rPr>
                <w:color w:val="000000"/>
                <w:sz w:val="22"/>
              </w:rPr>
              <w:t>-71.0%</w:t>
            </w:r>
          </w:p>
        </w:tc>
      </w:tr>
      <w:tr w:rsidR="00311783" w:rsidRPr="00F03BDE" w14:paraId="311A44DF" w14:textId="77777777" w:rsidTr="00311783">
        <w:trPr>
          <w:trHeight w:val="360"/>
        </w:trPr>
        <w:tc>
          <w:tcPr>
            <w:tcW w:w="276" w:type="pct"/>
            <w:tcBorders>
              <w:left w:val="double" w:sz="4" w:space="0" w:color="auto"/>
              <w:right w:val="single" w:sz="4" w:space="0" w:color="auto"/>
            </w:tcBorders>
            <w:vAlign w:val="center"/>
          </w:tcPr>
          <w:p w14:paraId="558FD91F" w14:textId="7E6B3A31" w:rsidR="007D3317" w:rsidRPr="00F03BDE" w:rsidRDefault="007D3317" w:rsidP="007D3317">
            <w:pPr>
              <w:jc w:val="right"/>
              <w:rPr>
                <w:rFonts w:eastAsia="Times New Roman"/>
                <w:b/>
                <w:bCs/>
                <w:color w:val="000000"/>
                <w:sz w:val="22"/>
              </w:rPr>
            </w:pPr>
            <w:r>
              <w:rPr>
                <w:b/>
                <w:bCs/>
                <w:color w:val="000000"/>
                <w:sz w:val="22"/>
              </w:rPr>
              <w:t>7</w:t>
            </w:r>
          </w:p>
        </w:tc>
        <w:tc>
          <w:tcPr>
            <w:tcW w:w="318" w:type="pct"/>
            <w:tcBorders>
              <w:left w:val="single" w:sz="4" w:space="0" w:color="auto"/>
              <w:right w:val="single" w:sz="4" w:space="0" w:color="auto"/>
            </w:tcBorders>
            <w:noWrap/>
            <w:vAlign w:val="center"/>
            <w:hideMark/>
          </w:tcPr>
          <w:p w14:paraId="0A896C15" w14:textId="22905342" w:rsidR="007D3317" w:rsidRPr="00F03BDE" w:rsidRDefault="007D3317" w:rsidP="007D3317">
            <w:pPr>
              <w:jc w:val="right"/>
              <w:rPr>
                <w:color w:val="000000"/>
                <w:sz w:val="22"/>
              </w:rPr>
            </w:pPr>
            <w:r>
              <w:rPr>
                <w:color w:val="000000"/>
                <w:sz w:val="22"/>
              </w:rPr>
              <w:t>90%</w:t>
            </w:r>
          </w:p>
        </w:tc>
        <w:tc>
          <w:tcPr>
            <w:tcW w:w="341" w:type="pct"/>
            <w:tcBorders>
              <w:left w:val="single" w:sz="4" w:space="0" w:color="auto"/>
              <w:right w:val="single" w:sz="4" w:space="0" w:color="auto"/>
            </w:tcBorders>
            <w:noWrap/>
            <w:vAlign w:val="center"/>
            <w:hideMark/>
          </w:tcPr>
          <w:p w14:paraId="550411BB" w14:textId="1CA40B6A" w:rsidR="007D3317" w:rsidRPr="00F03BDE" w:rsidRDefault="007D3317" w:rsidP="007D3317">
            <w:pPr>
              <w:jc w:val="right"/>
              <w:rPr>
                <w:color w:val="000000"/>
                <w:sz w:val="22"/>
              </w:rPr>
            </w:pPr>
            <w:r>
              <w:rPr>
                <w:color w:val="000000"/>
                <w:sz w:val="22"/>
              </w:rPr>
              <w:t>10%</w:t>
            </w:r>
          </w:p>
        </w:tc>
        <w:tc>
          <w:tcPr>
            <w:tcW w:w="329" w:type="pct"/>
            <w:tcBorders>
              <w:left w:val="single" w:sz="4" w:space="0" w:color="auto"/>
              <w:right w:val="double" w:sz="4" w:space="0" w:color="auto"/>
            </w:tcBorders>
            <w:noWrap/>
            <w:vAlign w:val="center"/>
            <w:hideMark/>
          </w:tcPr>
          <w:p w14:paraId="1829244E" w14:textId="0B6EE8B9" w:rsidR="007D3317" w:rsidRPr="00F03BDE" w:rsidRDefault="007D3317" w:rsidP="007D3317">
            <w:pPr>
              <w:jc w:val="right"/>
              <w:rPr>
                <w:color w:val="000000"/>
                <w:sz w:val="22"/>
              </w:rPr>
            </w:pPr>
            <w:r>
              <w:rPr>
                <w:color w:val="000000"/>
                <w:sz w:val="22"/>
              </w:rPr>
              <w:t>0%</w:t>
            </w:r>
          </w:p>
        </w:tc>
        <w:tc>
          <w:tcPr>
            <w:tcW w:w="600" w:type="pct"/>
            <w:tcBorders>
              <w:left w:val="double" w:sz="4" w:space="0" w:color="auto"/>
              <w:right w:val="single" w:sz="4" w:space="0" w:color="auto"/>
            </w:tcBorders>
            <w:vAlign w:val="center"/>
          </w:tcPr>
          <w:p w14:paraId="7D6270FD" w14:textId="79B78E2E" w:rsidR="007D3317" w:rsidRPr="00F03BDE" w:rsidRDefault="007D3317" w:rsidP="007D3317">
            <w:pPr>
              <w:jc w:val="right"/>
              <w:rPr>
                <w:rFonts w:eastAsia="Times New Roman"/>
                <w:color w:val="000000"/>
                <w:sz w:val="22"/>
              </w:rPr>
            </w:pPr>
            <w:r>
              <w:rPr>
                <w:color w:val="000000"/>
                <w:sz w:val="22"/>
              </w:rPr>
              <w:t>18.9 miles</w:t>
            </w:r>
          </w:p>
        </w:tc>
        <w:tc>
          <w:tcPr>
            <w:tcW w:w="549" w:type="pct"/>
            <w:vMerge/>
            <w:tcBorders>
              <w:left w:val="single" w:sz="4" w:space="0" w:color="auto"/>
              <w:right w:val="single" w:sz="4" w:space="0" w:color="auto"/>
            </w:tcBorders>
            <w:vAlign w:val="center"/>
          </w:tcPr>
          <w:p w14:paraId="4495A401" w14:textId="77777777" w:rsidR="007D3317" w:rsidRPr="00F03BDE" w:rsidRDefault="007D3317" w:rsidP="007D3317">
            <w:pPr>
              <w:jc w:val="right"/>
              <w:rPr>
                <w:rFonts w:eastAsia="Times New Roman"/>
                <w:color w:val="000000"/>
                <w:sz w:val="22"/>
              </w:rPr>
            </w:pPr>
          </w:p>
        </w:tc>
        <w:tc>
          <w:tcPr>
            <w:tcW w:w="561" w:type="pct"/>
            <w:tcBorders>
              <w:left w:val="single" w:sz="4" w:space="0" w:color="auto"/>
              <w:right w:val="double" w:sz="4" w:space="0" w:color="auto"/>
            </w:tcBorders>
            <w:vAlign w:val="center"/>
          </w:tcPr>
          <w:p w14:paraId="3BC18B36" w14:textId="6EF1579D" w:rsidR="007D3317" w:rsidRPr="00F03BDE" w:rsidRDefault="007D3317" w:rsidP="007D3317">
            <w:pPr>
              <w:jc w:val="right"/>
              <w:rPr>
                <w:color w:val="000000"/>
                <w:sz w:val="22"/>
              </w:rPr>
            </w:pPr>
            <w:r>
              <w:rPr>
                <w:color w:val="000000"/>
                <w:sz w:val="22"/>
              </w:rPr>
              <w:t>51.2%</w:t>
            </w:r>
          </w:p>
        </w:tc>
        <w:tc>
          <w:tcPr>
            <w:tcW w:w="779" w:type="pct"/>
            <w:tcBorders>
              <w:left w:val="single" w:sz="12" w:space="0" w:color="auto"/>
              <w:right w:val="single" w:sz="4" w:space="0" w:color="auto"/>
            </w:tcBorders>
            <w:vAlign w:val="center"/>
          </w:tcPr>
          <w:p w14:paraId="0B067016" w14:textId="3A3B2FB0" w:rsidR="007D3317" w:rsidRPr="00F03BDE" w:rsidRDefault="007D3317" w:rsidP="007D3317">
            <w:pPr>
              <w:jc w:val="right"/>
              <w:rPr>
                <w:color w:val="000000"/>
                <w:sz w:val="22"/>
              </w:rPr>
            </w:pPr>
            <w:r>
              <w:rPr>
                <w:color w:val="000000"/>
                <w:sz w:val="22"/>
              </w:rPr>
              <w:t>81.8 miles</w:t>
            </w:r>
          </w:p>
        </w:tc>
        <w:tc>
          <w:tcPr>
            <w:tcW w:w="732" w:type="pct"/>
            <w:vMerge/>
            <w:tcBorders>
              <w:left w:val="single" w:sz="4" w:space="0" w:color="auto"/>
              <w:right w:val="single" w:sz="4" w:space="0" w:color="auto"/>
            </w:tcBorders>
            <w:vAlign w:val="center"/>
          </w:tcPr>
          <w:p w14:paraId="1106AAD3" w14:textId="77777777" w:rsidR="007D3317" w:rsidRPr="00F03BDE" w:rsidRDefault="007D3317" w:rsidP="007D3317">
            <w:pPr>
              <w:jc w:val="right"/>
              <w:rPr>
                <w:color w:val="000000"/>
                <w:sz w:val="22"/>
              </w:rPr>
            </w:pPr>
          </w:p>
        </w:tc>
        <w:tc>
          <w:tcPr>
            <w:tcW w:w="513" w:type="pct"/>
            <w:tcBorders>
              <w:left w:val="single" w:sz="4" w:space="0" w:color="auto"/>
              <w:right w:val="double" w:sz="4" w:space="0" w:color="auto"/>
            </w:tcBorders>
            <w:vAlign w:val="center"/>
          </w:tcPr>
          <w:p w14:paraId="47D42849" w14:textId="39944424" w:rsidR="007D3317" w:rsidRPr="00F03BDE" w:rsidRDefault="007D3317" w:rsidP="007D3317">
            <w:pPr>
              <w:jc w:val="right"/>
              <w:rPr>
                <w:color w:val="000000"/>
                <w:sz w:val="22"/>
              </w:rPr>
            </w:pPr>
            <w:r>
              <w:rPr>
                <w:color w:val="000000"/>
                <w:sz w:val="22"/>
              </w:rPr>
              <w:t>-84.9%</w:t>
            </w:r>
          </w:p>
        </w:tc>
      </w:tr>
      <w:tr w:rsidR="00311783" w:rsidRPr="00F03BDE" w14:paraId="076DA18B" w14:textId="77777777" w:rsidTr="00311783">
        <w:trPr>
          <w:trHeight w:val="360"/>
        </w:trPr>
        <w:tc>
          <w:tcPr>
            <w:tcW w:w="276" w:type="pct"/>
            <w:tcBorders>
              <w:left w:val="double" w:sz="4" w:space="0" w:color="auto"/>
              <w:right w:val="single" w:sz="4" w:space="0" w:color="auto"/>
            </w:tcBorders>
            <w:vAlign w:val="center"/>
          </w:tcPr>
          <w:p w14:paraId="57D0FC5F" w14:textId="5B06966C" w:rsidR="007D3317" w:rsidRPr="00F03BDE" w:rsidRDefault="007D3317" w:rsidP="007D3317">
            <w:pPr>
              <w:jc w:val="right"/>
              <w:rPr>
                <w:rFonts w:eastAsia="Times New Roman"/>
                <w:b/>
                <w:bCs/>
                <w:color w:val="000000"/>
                <w:sz w:val="22"/>
              </w:rPr>
            </w:pPr>
            <w:r>
              <w:rPr>
                <w:b/>
                <w:bCs/>
                <w:color w:val="000000"/>
                <w:sz w:val="22"/>
              </w:rPr>
              <w:t>8</w:t>
            </w:r>
          </w:p>
        </w:tc>
        <w:tc>
          <w:tcPr>
            <w:tcW w:w="318" w:type="pct"/>
            <w:tcBorders>
              <w:left w:val="single" w:sz="4" w:space="0" w:color="auto"/>
              <w:right w:val="single" w:sz="4" w:space="0" w:color="auto"/>
            </w:tcBorders>
            <w:noWrap/>
            <w:vAlign w:val="center"/>
          </w:tcPr>
          <w:p w14:paraId="076EAECB" w14:textId="092B7527" w:rsidR="007D3317" w:rsidRPr="00F03BDE" w:rsidRDefault="007D3317" w:rsidP="007D3317">
            <w:pPr>
              <w:jc w:val="right"/>
              <w:rPr>
                <w:color w:val="000000"/>
                <w:sz w:val="22"/>
              </w:rPr>
            </w:pPr>
            <w:r>
              <w:rPr>
                <w:color w:val="000000"/>
                <w:sz w:val="22"/>
              </w:rPr>
              <w:t>100%</w:t>
            </w:r>
          </w:p>
        </w:tc>
        <w:tc>
          <w:tcPr>
            <w:tcW w:w="341" w:type="pct"/>
            <w:tcBorders>
              <w:left w:val="single" w:sz="4" w:space="0" w:color="auto"/>
              <w:right w:val="single" w:sz="4" w:space="0" w:color="auto"/>
            </w:tcBorders>
            <w:noWrap/>
            <w:vAlign w:val="center"/>
          </w:tcPr>
          <w:p w14:paraId="3C3452E6" w14:textId="6C1F1B3C" w:rsidR="007D3317" w:rsidRPr="00F03BDE" w:rsidRDefault="007D3317" w:rsidP="007D3317">
            <w:pPr>
              <w:jc w:val="right"/>
              <w:rPr>
                <w:color w:val="000000"/>
                <w:sz w:val="22"/>
              </w:rPr>
            </w:pPr>
            <w:r>
              <w:rPr>
                <w:color w:val="000000"/>
                <w:sz w:val="22"/>
              </w:rPr>
              <w:t>0%</w:t>
            </w:r>
          </w:p>
        </w:tc>
        <w:tc>
          <w:tcPr>
            <w:tcW w:w="329" w:type="pct"/>
            <w:tcBorders>
              <w:left w:val="single" w:sz="4" w:space="0" w:color="auto"/>
              <w:right w:val="double" w:sz="4" w:space="0" w:color="auto"/>
            </w:tcBorders>
            <w:noWrap/>
            <w:vAlign w:val="center"/>
          </w:tcPr>
          <w:p w14:paraId="3E5D2163" w14:textId="44648BAA" w:rsidR="007D3317" w:rsidRPr="00F03BDE" w:rsidRDefault="007D3317" w:rsidP="007D3317">
            <w:pPr>
              <w:jc w:val="right"/>
              <w:rPr>
                <w:color w:val="000000"/>
                <w:sz w:val="22"/>
              </w:rPr>
            </w:pPr>
            <w:r>
              <w:rPr>
                <w:color w:val="000000"/>
                <w:sz w:val="22"/>
              </w:rPr>
              <w:t>0%</w:t>
            </w:r>
          </w:p>
        </w:tc>
        <w:tc>
          <w:tcPr>
            <w:tcW w:w="600" w:type="pct"/>
            <w:tcBorders>
              <w:left w:val="double" w:sz="4" w:space="0" w:color="auto"/>
              <w:right w:val="single" w:sz="4" w:space="0" w:color="auto"/>
            </w:tcBorders>
            <w:vAlign w:val="center"/>
          </w:tcPr>
          <w:p w14:paraId="15D6B905" w14:textId="7C29EB97" w:rsidR="007D3317" w:rsidRPr="00F03BDE" w:rsidRDefault="007D3317" w:rsidP="007D3317">
            <w:pPr>
              <w:jc w:val="right"/>
              <w:rPr>
                <w:rFonts w:eastAsia="Times New Roman"/>
                <w:color w:val="000000"/>
                <w:sz w:val="22"/>
              </w:rPr>
            </w:pPr>
            <w:r>
              <w:rPr>
                <w:color w:val="000000"/>
                <w:sz w:val="22"/>
              </w:rPr>
              <w:t>20.6 miles</w:t>
            </w:r>
          </w:p>
        </w:tc>
        <w:tc>
          <w:tcPr>
            <w:tcW w:w="549" w:type="pct"/>
            <w:vMerge/>
            <w:tcBorders>
              <w:left w:val="single" w:sz="4" w:space="0" w:color="auto"/>
              <w:right w:val="single" w:sz="4" w:space="0" w:color="auto"/>
            </w:tcBorders>
            <w:vAlign w:val="center"/>
          </w:tcPr>
          <w:p w14:paraId="6984B76D" w14:textId="77777777" w:rsidR="007D3317" w:rsidRPr="00F03BDE" w:rsidRDefault="007D3317" w:rsidP="007D3317">
            <w:pPr>
              <w:jc w:val="right"/>
              <w:rPr>
                <w:rFonts w:eastAsia="Times New Roman"/>
                <w:color w:val="000000"/>
                <w:sz w:val="22"/>
              </w:rPr>
            </w:pPr>
          </w:p>
        </w:tc>
        <w:tc>
          <w:tcPr>
            <w:tcW w:w="561" w:type="pct"/>
            <w:tcBorders>
              <w:left w:val="single" w:sz="4" w:space="0" w:color="auto"/>
              <w:right w:val="double" w:sz="4" w:space="0" w:color="auto"/>
            </w:tcBorders>
            <w:vAlign w:val="center"/>
          </w:tcPr>
          <w:p w14:paraId="237DBCCC" w14:textId="3BBB131A" w:rsidR="007D3317" w:rsidRPr="00F03BDE" w:rsidRDefault="007D3317" w:rsidP="007D3317">
            <w:pPr>
              <w:jc w:val="right"/>
              <w:rPr>
                <w:color w:val="000000"/>
                <w:sz w:val="22"/>
              </w:rPr>
            </w:pPr>
            <w:r>
              <w:rPr>
                <w:color w:val="000000"/>
                <w:sz w:val="22"/>
              </w:rPr>
              <w:t>64.8%</w:t>
            </w:r>
          </w:p>
        </w:tc>
        <w:tc>
          <w:tcPr>
            <w:tcW w:w="779" w:type="pct"/>
            <w:tcBorders>
              <w:left w:val="single" w:sz="12" w:space="0" w:color="auto"/>
              <w:right w:val="single" w:sz="4" w:space="0" w:color="auto"/>
            </w:tcBorders>
            <w:vAlign w:val="center"/>
          </w:tcPr>
          <w:p w14:paraId="29C09CAD" w14:textId="14E37F7B" w:rsidR="007D3317" w:rsidRPr="00F03BDE" w:rsidRDefault="007D3317" w:rsidP="007D3317">
            <w:pPr>
              <w:jc w:val="right"/>
              <w:rPr>
                <w:color w:val="000000"/>
                <w:sz w:val="22"/>
              </w:rPr>
            </w:pPr>
            <w:r>
              <w:rPr>
                <w:color w:val="000000"/>
                <w:sz w:val="22"/>
              </w:rPr>
              <w:t>0 miles</w:t>
            </w:r>
          </w:p>
        </w:tc>
        <w:tc>
          <w:tcPr>
            <w:tcW w:w="732" w:type="pct"/>
            <w:vMerge/>
            <w:tcBorders>
              <w:left w:val="single" w:sz="4" w:space="0" w:color="auto"/>
              <w:right w:val="single" w:sz="4" w:space="0" w:color="auto"/>
            </w:tcBorders>
            <w:vAlign w:val="center"/>
          </w:tcPr>
          <w:p w14:paraId="5D476606" w14:textId="77777777" w:rsidR="007D3317" w:rsidRPr="00F03BDE" w:rsidRDefault="007D3317" w:rsidP="007D3317">
            <w:pPr>
              <w:jc w:val="right"/>
              <w:rPr>
                <w:color w:val="000000"/>
                <w:sz w:val="22"/>
              </w:rPr>
            </w:pPr>
          </w:p>
        </w:tc>
        <w:tc>
          <w:tcPr>
            <w:tcW w:w="513" w:type="pct"/>
            <w:tcBorders>
              <w:left w:val="single" w:sz="4" w:space="0" w:color="auto"/>
              <w:right w:val="double" w:sz="4" w:space="0" w:color="auto"/>
            </w:tcBorders>
            <w:vAlign w:val="center"/>
          </w:tcPr>
          <w:p w14:paraId="1721D178" w14:textId="391E1906" w:rsidR="007D3317" w:rsidRPr="00F03BDE" w:rsidRDefault="007D3317" w:rsidP="007D3317">
            <w:pPr>
              <w:jc w:val="right"/>
              <w:rPr>
                <w:color w:val="000000"/>
                <w:sz w:val="22"/>
              </w:rPr>
            </w:pPr>
            <w:r>
              <w:rPr>
                <w:color w:val="000000"/>
                <w:sz w:val="22"/>
              </w:rPr>
              <w:t>-100.0%</w:t>
            </w:r>
          </w:p>
        </w:tc>
      </w:tr>
      <w:tr w:rsidR="00311783" w:rsidRPr="009C0E7E" w14:paraId="0A255852" w14:textId="77777777" w:rsidTr="00311783">
        <w:trPr>
          <w:trHeight w:val="360"/>
        </w:trPr>
        <w:tc>
          <w:tcPr>
            <w:tcW w:w="276" w:type="pct"/>
            <w:tcBorders>
              <w:left w:val="double" w:sz="4" w:space="0" w:color="auto"/>
              <w:right w:val="single" w:sz="4" w:space="0" w:color="auto"/>
            </w:tcBorders>
            <w:vAlign w:val="center"/>
          </w:tcPr>
          <w:p w14:paraId="13DB06C6" w14:textId="6D5CE981" w:rsidR="007D3317" w:rsidRPr="00F03BDE" w:rsidRDefault="007D3317" w:rsidP="007D3317">
            <w:pPr>
              <w:jc w:val="right"/>
              <w:rPr>
                <w:rFonts w:eastAsia="Times New Roman"/>
                <w:b/>
                <w:bCs/>
                <w:color w:val="000000"/>
                <w:sz w:val="22"/>
              </w:rPr>
            </w:pPr>
            <w:r>
              <w:rPr>
                <w:b/>
                <w:bCs/>
                <w:color w:val="000000"/>
                <w:sz w:val="22"/>
              </w:rPr>
              <w:t>9</w:t>
            </w:r>
          </w:p>
        </w:tc>
        <w:tc>
          <w:tcPr>
            <w:tcW w:w="318" w:type="pct"/>
            <w:tcBorders>
              <w:left w:val="single" w:sz="4" w:space="0" w:color="auto"/>
              <w:right w:val="single" w:sz="4" w:space="0" w:color="auto"/>
            </w:tcBorders>
            <w:noWrap/>
            <w:vAlign w:val="center"/>
          </w:tcPr>
          <w:p w14:paraId="549F9306" w14:textId="3344BC4A" w:rsidR="007D3317" w:rsidRPr="00416197" w:rsidRDefault="007D3317" w:rsidP="007D3317">
            <w:pPr>
              <w:jc w:val="right"/>
              <w:rPr>
                <w:color w:val="000000"/>
                <w:sz w:val="22"/>
              </w:rPr>
            </w:pPr>
            <w:r w:rsidRPr="00416197">
              <w:rPr>
                <w:color w:val="000000"/>
                <w:sz w:val="22"/>
              </w:rPr>
              <w:t>5%</w:t>
            </w:r>
          </w:p>
        </w:tc>
        <w:tc>
          <w:tcPr>
            <w:tcW w:w="341" w:type="pct"/>
            <w:tcBorders>
              <w:left w:val="single" w:sz="4" w:space="0" w:color="auto"/>
              <w:right w:val="single" w:sz="4" w:space="0" w:color="auto"/>
            </w:tcBorders>
            <w:noWrap/>
            <w:vAlign w:val="center"/>
          </w:tcPr>
          <w:p w14:paraId="08D836C2" w14:textId="77422339" w:rsidR="007D3317" w:rsidRPr="00416197" w:rsidRDefault="007D3317" w:rsidP="007D3317">
            <w:pPr>
              <w:jc w:val="right"/>
              <w:rPr>
                <w:color w:val="000000"/>
                <w:sz w:val="22"/>
              </w:rPr>
            </w:pPr>
            <w:r w:rsidRPr="00416197">
              <w:rPr>
                <w:color w:val="000000"/>
                <w:sz w:val="22"/>
              </w:rPr>
              <w:t>90%</w:t>
            </w:r>
          </w:p>
        </w:tc>
        <w:tc>
          <w:tcPr>
            <w:tcW w:w="329" w:type="pct"/>
            <w:tcBorders>
              <w:left w:val="single" w:sz="4" w:space="0" w:color="auto"/>
              <w:right w:val="double" w:sz="4" w:space="0" w:color="auto"/>
            </w:tcBorders>
            <w:noWrap/>
            <w:vAlign w:val="center"/>
          </w:tcPr>
          <w:p w14:paraId="69B96154" w14:textId="76D744E5" w:rsidR="007D3317" w:rsidRPr="00416197" w:rsidRDefault="007D3317" w:rsidP="007D3317">
            <w:pPr>
              <w:jc w:val="right"/>
              <w:rPr>
                <w:color w:val="000000"/>
                <w:sz w:val="22"/>
              </w:rPr>
            </w:pPr>
            <w:r w:rsidRPr="00416197">
              <w:rPr>
                <w:color w:val="000000"/>
                <w:sz w:val="22"/>
              </w:rPr>
              <w:t>5%</w:t>
            </w:r>
          </w:p>
        </w:tc>
        <w:tc>
          <w:tcPr>
            <w:tcW w:w="600" w:type="pct"/>
            <w:tcBorders>
              <w:left w:val="double" w:sz="4" w:space="0" w:color="auto"/>
              <w:right w:val="single" w:sz="4" w:space="0" w:color="auto"/>
            </w:tcBorders>
            <w:vAlign w:val="center"/>
          </w:tcPr>
          <w:p w14:paraId="07D7BDD8" w14:textId="04DAD0FC" w:rsidR="007D3317" w:rsidRPr="00416197" w:rsidRDefault="007D3317" w:rsidP="007D3317">
            <w:pPr>
              <w:jc w:val="right"/>
              <w:rPr>
                <w:rFonts w:eastAsia="Times New Roman"/>
                <w:color w:val="000000"/>
                <w:sz w:val="22"/>
              </w:rPr>
            </w:pPr>
            <w:r w:rsidRPr="00416197">
              <w:rPr>
                <w:color w:val="000000"/>
                <w:sz w:val="22"/>
              </w:rPr>
              <w:t>14.5 miles</w:t>
            </w:r>
          </w:p>
        </w:tc>
        <w:tc>
          <w:tcPr>
            <w:tcW w:w="549" w:type="pct"/>
            <w:vMerge/>
            <w:tcBorders>
              <w:left w:val="single" w:sz="4" w:space="0" w:color="auto"/>
              <w:right w:val="single" w:sz="4" w:space="0" w:color="auto"/>
            </w:tcBorders>
            <w:vAlign w:val="center"/>
          </w:tcPr>
          <w:p w14:paraId="7A9AB147" w14:textId="77777777" w:rsidR="007D3317" w:rsidRPr="00416197" w:rsidRDefault="007D3317" w:rsidP="007D3317">
            <w:pPr>
              <w:jc w:val="right"/>
              <w:rPr>
                <w:rFonts w:eastAsia="Times New Roman"/>
                <w:color w:val="000000"/>
                <w:sz w:val="22"/>
              </w:rPr>
            </w:pPr>
          </w:p>
        </w:tc>
        <w:tc>
          <w:tcPr>
            <w:tcW w:w="561" w:type="pct"/>
            <w:tcBorders>
              <w:left w:val="single" w:sz="4" w:space="0" w:color="auto"/>
              <w:right w:val="double" w:sz="4" w:space="0" w:color="auto"/>
            </w:tcBorders>
            <w:vAlign w:val="center"/>
          </w:tcPr>
          <w:p w14:paraId="1B8FD846" w14:textId="21666FDA" w:rsidR="007D3317" w:rsidRPr="00416197" w:rsidRDefault="00416197" w:rsidP="007D3317">
            <w:pPr>
              <w:jc w:val="right"/>
              <w:rPr>
                <w:color w:val="000000"/>
                <w:sz w:val="22"/>
              </w:rPr>
            </w:pPr>
            <w:r w:rsidRPr="00416197">
              <w:rPr>
                <w:color w:val="000000"/>
                <w:sz w:val="22"/>
              </w:rPr>
              <w:t>16.0%</w:t>
            </w:r>
          </w:p>
        </w:tc>
        <w:tc>
          <w:tcPr>
            <w:tcW w:w="779" w:type="pct"/>
            <w:tcBorders>
              <w:left w:val="single" w:sz="12" w:space="0" w:color="auto"/>
              <w:right w:val="single" w:sz="4" w:space="0" w:color="auto"/>
            </w:tcBorders>
            <w:vAlign w:val="center"/>
          </w:tcPr>
          <w:p w14:paraId="7868A30F" w14:textId="2411EA04" w:rsidR="007D3317" w:rsidRPr="00416197" w:rsidRDefault="007D3317" w:rsidP="007D3317">
            <w:pPr>
              <w:jc w:val="right"/>
              <w:rPr>
                <w:color w:val="000000"/>
                <w:sz w:val="22"/>
              </w:rPr>
            </w:pPr>
            <w:r w:rsidRPr="00416197">
              <w:rPr>
                <w:color w:val="000000"/>
                <w:sz w:val="22"/>
              </w:rPr>
              <w:t>564.8 miles</w:t>
            </w:r>
          </w:p>
        </w:tc>
        <w:tc>
          <w:tcPr>
            <w:tcW w:w="732" w:type="pct"/>
            <w:vMerge/>
            <w:tcBorders>
              <w:left w:val="single" w:sz="4" w:space="0" w:color="auto"/>
              <w:right w:val="single" w:sz="4" w:space="0" w:color="auto"/>
            </w:tcBorders>
            <w:vAlign w:val="center"/>
          </w:tcPr>
          <w:p w14:paraId="6144680A" w14:textId="77777777" w:rsidR="007D3317" w:rsidRPr="00416197" w:rsidRDefault="007D3317" w:rsidP="007D3317">
            <w:pPr>
              <w:jc w:val="right"/>
              <w:rPr>
                <w:color w:val="000000"/>
                <w:sz w:val="22"/>
                <w:highlight w:val="yellow"/>
              </w:rPr>
            </w:pPr>
          </w:p>
        </w:tc>
        <w:tc>
          <w:tcPr>
            <w:tcW w:w="513" w:type="pct"/>
            <w:tcBorders>
              <w:left w:val="single" w:sz="4" w:space="0" w:color="auto"/>
              <w:right w:val="double" w:sz="4" w:space="0" w:color="auto"/>
            </w:tcBorders>
            <w:vAlign w:val="center"/>
          </w:tcPr>
          <w:p w14:paraId="18582F90" w14:textId="031B068F" w:rsidR="007D3317" w:rsidRPr="00416197" w:rsidRDefault="007D3317" w:rsidP="007D3317">
            <w:pPr>
              <w:jc w:val="right"/>
              <w:rPr>
                <w:color w:val="000000"/>
                <w:sz w:val="22"/>
                <w:highlight w:val="yellow"/>
              </w:rPr>
            </w:pPr>
            <w:r>
              <w:rPr>
                <w:color w:val="000000"/>
                <w:sz w:val="22"/>
              </w:rPr>
              <w:t>4.4%</w:t>
            </w:r>
          </w:p>
        </w:tc>
      </w:tr>
      <w:tr w:rsidR="00311783" w:rsidRPr="009C0E7E" w14:paraId="19E9672A" w14:textId="77777777" w:rsidTr="00E45BE7">
        <w:trPr>
          <w:trHeight w:val="360"/>
        </w:trPr>
        <w:tc>
          <w:tcPr>
            <w:tcW w:w="276" w:type="pct"/>
            <w:tcBorders>
              <w:left w:val="double" w:sz="4" w:space="0" w:color="auto"/>
              <w:bottom w:val="double" w:sz="4" w:space="0" w:color="auto"/>
              <w:right w:val="single" w:sz="4" w:space="0" w:color="auto"/>
            </w:tcBorders>
            <w:vAlign w:val="center"/>
          </w:tcPr>
          <w:p w14:paraId="16BF25A6" w14:textId="435F65BC" w:rsidR="007D3317" w:rsidRPr="00F03BDE" w:rsidRDefault="007D3317" w:rsidP="007D3317">
            <w:pPr>
              <w:jc w:val="right"/>
              <w:rPr>
                <w:rFonts w:eastAsia="Times New Roman"/>
                <w:b/>
                <w:bCs/>
                <w:color w:val="000000"/>
                <w:sz w:val="22"/>
              </w:rPr>
            </w:pPr>
            <w:r>
              <w:rPr>
                <w:b/>
                <w:bCs/>
                <w:color w:val="000000"/>
                <w:sz w:val="22"/>
              </w:rPr>
              <w:t>10</w:t>
            </w:r>
          </w:p>
        </w:tc>
        <w:tc>
          <w:tcPr>
            <w:tcW w:w="318" w:type="pct"/>
            <w:tcBorders>
              <w:left w:val="single" w:sz="4" w:space="0" w:color="auto"/>
              <w:bottom w:val="double" w:sz="4" w:space="0" w:color="auto"/>
              <w:right w:val="single" w:sz="4" w:space="0" w:color="auto"/>
            </w:tcBorders>
            <w:noWrap/>
            <w:vAlign w:val="center"/>
          </w:tcPr>
          <w:p w14:paraId="3E140588" w14:textId="675211F5" w:rsidR="007D3317" w:rsidRPr="00416197" w:rsidRDefault="007D3317" w:rsidP="007D3317">
            <w:pPr>
              <w:jc w:val="right"/>
              <w:rPr>
                <w:color w:val="000000"/>
                <w:sz w:val="22"/>
              </w:rPr>
            </w:pPr>
            <w:r w:rsidRPr="00416197">
              <w:rPr>
                <w:color w:val="000000"/>
                <w:sz w:val="22"/>
              </w:rPr>
              <w:t>10%</w:t>
            </w:r>
          </w:p>
        </w:tc>
        <w:tc>
          <w:tcPr>
            <w:tcW w:w="341" w:type="pct"/>
            <w:tcBorders>
              <w:left w:val="single" w:sz="4" w:space="0" w:color="auto"/>
              <w:bottom w:val="double" w:sz="4" w:space="0" w:color="auto"/>
              <w:right w:val="single" w:sz="4" w:space="0" w:color="auto"/>
            </w:tcBorders>
            <w:noWrap/>
            <w:vAlign w:val="center"/>
          </w:tcPr>
          <w:p w14:paraId="2124FD09" w14:textId="3F1D9BCA" w:rsidR="007D3317" w:rsidRPr="00416197" w:rsidRDefault="007D3317" w:rsidP="007D3317">
            <w:pPr>
              <w:jc w:val="right"/>
              <w:rPr>
                <w:color w:val="000000"/>
                <w:sz w:val="22"/>
              </w:rPr>
            </w:pPr>
            <w:r w:rsidRPr="00416197">
              <w:rPr>
                <w:color w:val="000000"/>
                <w:sz w:val="22"/>
              </w:rPr>
              <w:t>80%</w:t>
            </w:r>
          </w:p>
        </w:tc>
        <w:tc>
          <w:tcPr>
            <w:tcW w:w="329" w:type="pct"/>
            <w:tcBorders>
              <w:left w:val="single" w:sz="4" w:space="0" w:color="auto"/>
              <w:bottom w:val="double" w:sz="4" w:space="0" w:color="auto"/>
              <w:right w:val="double" w:sz="4" w:space="0" w:color="auto"/>
            </w:tcBorders>
            <w:noWrap/>
            <w:vAlign w:val="center"/>
          </w:tcPr>
          <w:p w14:paraId="230C18D0" w14:textId="4C6E3299" w:rsidR="007D3317" w:rsidRPr="00416197" w:rsidRDefault="007D3317" w:rsidP="007D3317">
            <w:pPr>
              <w:jc w:val="right"/>
              <w:rPr>
                <w:color w:val="000000"/>
                <w:sz w:val="22"/>
              </w:rPr>
            </w:pPr>
            <w:r w:rsidRPr="00416197">
              <w:rPr>
                <w:color w:val="000000"/>
                <w:sz w:val="22"/>
              </w:rPr>
              <w:t>10%</w:t>
            </w:r>
          </w:p>
        </w:tc>
        <w:tc>
          <w:tcPr>
            <w:tcW w:w="600" w:type="pct"/>
            <w:tcBorders>
              <w:left w:val="double" w:sz="4" w:space="0" w:color="auto"/>
              <w:bottom w:val="double" w:sz="4" w:space="0" w:color="auto"/>
              <w:right w:val="single" w:sz="4" w:space="0" w:color="auto"/>
            </w:tcBorders>
            <w:vAlign w:val="center"/>
          </w:tcPr>
          <w:p w14:paraId="2220B589" w14:textId="649BE029" w:rsidR="007D3317" w:rsidRPr="00416197" w:rsidRDefault="001A3DD0" w:rsidP="007D3317">
            <w:pPr>
              <w:jc w:val="right"/>
              <w:rPr>
                <w:color w:val="000000"/>
                <w:sz w:val="22"/>
              </w:rPr>
            </w:pPr>
            <w:r>
              <w:rPr>
                <w:color w:val="000000"/>
                <w:sz w:val="22"/>
              </w:rPr>
              <w:t>15</w:t>
            </w:r>
            <w:r w:rsidR="007D3317" w:rsidRPr="00416197">
              <w:rPr>
                <w:color w:val="000000"/>
                <w:sz w:val="22"/>
              </w:rPr>
              <w:t>.0 miles</w:t>
            </w:r>
          </w:p>
        </w:tc>
        <w:tc>
          <w:tcPr>
            <w:tcW w:w="549" w:type="pct"/>
            <w:vMerge/>
            <w:tcBorders>
              <w:left w:val="single" w:sz="4" w:space="0" w:color="auto"/>
              <w:bottom w:val="double" w:sz="4" w:space="0" w:color="auto"/>
              <w:right w:val="single" w:sz="4" w:space="0" w:color="auto"/>
            </w:tcBorders>
            <w:vAlign w:val="center"/>
          </w:tcPr>
          <w:p w14:paraId="5BE117AB" w14:textId="77777777" w:rsidR="007D3317" w:rsidRPr="00416197" w:rsidRDefault="007D3317" w:rsidP="007D3317">
            <w:pPr>
              <w:jc w:val="right"/>
              <w:rPr>
                <w:rFonts w:eastAsia="Times New Roman"/>
                <w:color w:val="000000"/>
                <w:sz w:val="22"/>
              </w:rPr>
            </w:pPr>
          </w:p>
        </w:tc>
        <w:tc>
          <w:tcPr>
            <w:tcW w:w="561" w:type="pct"/>
            <w:tcBorders>
              <w:left w:val="single" w:sz="4" w:space="0" w:color="auto"/>
              <w:bottom w:val="double" w:sz="4" w:space="0" w:color="auto"/>
              <w:right w:val="double" w:sz="4" w:space="0" w:color="auto"/>
            </w:tcBorders>
            <w:vAlign w:val="center"/>
          </w:tcPr>
          <w:p w14:paraId="6555DF39" w14:textId="1A568565" w:rsidR="007D3317" w:rsidRPr="00416197" w:rsidRDefault="00416197" w:rsidP="007D3317">
            <w:pPr>
              <w:jc w:val="right"/>
              <w:rPr>
                <w:color w:val="000000"/>
                <w:sz w:val="22"/>
              </w:rPr>
            </w:pPr>
            <w:r w:rsidRPr="00416197">
              <w:rPr>
                <w:color w:val="000000"/>
                <w:sz w:val="22"/>
              </w:rPr>
              <w:t>2</w:t>
            </w:r>
            <w:r w:rsidR="001A3DD0">
              <w:rPr>
                <w:color w:val="000000"/>
                <w:sz w:val="22"/>
              </w:rPr>
              <w:t>0</w:t>
            </w:r>
            <w:r w:rsidRPr="00416197">
              <w:rPr>
                <w:color w:val="000000"/>
                <w:sz w:val="22"/>
              </w:rPr>
              <w:t>.0%</w:t>
            </w:r>
          </w:p>
        </w:tc>
        <w:tc>
          <w:tcPr>
            <w:tcW w:w="779" w:type="pct"/>
            <w:tcBorders>
              <w:left w:val="single" w:sz="12" w:space="0" w:color="auto"/>
              <w:bottom w:val="double" w:sz="4" w:space="0" w:color="auto"/>
              <w:right w:val="single" w:sz="4" w:space="0" w:color="auto"/>
            </w:tcBorders>
            <w:vAlign w:val="center"/>
          </w:tcPr>
          <w:p w14:paraId="2A618153" w14:textId="3F0BB71A" w:rsidR="007D3317" w:rsidRPr="00416197" w:rsidRDefault="001A3DD0" w:rsidP="007D3317">
            <w:pPr>
              <w:jc w:val="right"/>
              <w:rPr>
                <w:color w:val="000000"/>
                <w:sz w:val="22"/>
              </w:rPr>
            </w:pPr>
            <w:r>
              <w:rPr>
                <w:color w:val="000000"/>
                <w:sz w:val="22"/>
              </w:rPr>
              <w:t>519.4</w:t>
            </w:r>
            <w:r w:rsidR="007D3317" w:rsidRPr="00416197">
              <w:rPr>
                <w:color w:val="000000"/>
                <w:sz w:val="22"/>
              </w:rPr>
              <w:t xml:space="preserve"> miles</w:t>
            </w:r>
          </w:p>
        </w:tc>
        <w:tc>
          <w:tcPr>
            <w:tcW w:w="732" w:type="pct"/>
            <w:vMerge/>
            <w:tcBorders>
              <w:left w:val="single" w:sz="4" w:space="0" w:color="auto"/>
              <w:bottom w:val="double" w:sz="4" w:space="0" w:color="auto"/>
              <w:right w:val="single" w:sz="4" w:space="0" w:color="auto"/>
            </w:tcBorders>
            <w:vAlign w:val="center"/>
          </w:tcPr>
          <w:p w14:paraId="79AB0B0A" w14:textId="77777777" w:rsidR="007D3317" w:rsidRPr="009C0E7E" w:rsidRDefault="007D3317" w:rsidP="007D3317">
            <w:pPr>
              <w:jc w:val="right"/>
              <w:rPr>
                <w:color w:val="000000"/>
                <w:sz w:val="22"/>
                <w:highlight w:val="yellow"/>
              </w:rPr>
            </w:pPr>
          </w:p>
        </w:tc>
        <w:tc>
          <w:tcPr>
            <w:tcW w:w="513" w:type="pct"/>
            <w:tcBorders>
              <w:left w:val="single" w:sz="4" w:space="0" w:color="auto"/>
              <w:bottom w:val="double" w:sz="4" w:space="0" w:color="auto"/>
              <w:right w:val="double" w:sz="4" w:space="0" w:color="auto"/>
            </w:tcBorders>
            <w:vAlign w:val="center"/>
          </w:tcPr>
          <w:p w14:paraId="31D3802F" w14:textId="507534D5" w:rsidR="007D3317" w:rsidRPr="002E21CF" w:rsidRDefault="001A3DD0" w:rsidP="007D3317">
            <w:pPr>
              <w:jc w:val="right"/>
              <w:rPr>
                <w:color w:val="000000"/>
                <w:sz w:val="22"/>
                <w:highlight w:val="yellow"/>
              </w:rPr>
            </w:pPr>
            <w:r>
              <w:rPr>
                <w:color w:val="000000"/>
                <w:sz w:val="22"/>
              </w:rPr>
              <w:t>-4.0</w:t>
            </w:r>
            <w:r w:rsidR="007D3317">
              <w:rPr>
                <w:color w:val="000000"/>
                <w:sz w:val="22"/>
              </w:rPr>
              <w:t>%</w:t>
            </w:r>
          </w:p>
        </w:tc>
      </w:tr>
    </w:tbl>
    <w:p w14:paraId="55B9ED52" w14:textId="77777777" w:rsidR="00FE3EAF" w:rsidRDefault="00FE3EAF" w:rsidP="00FE3EAF"/>
    <w:bookmarkEnd w:id="66"/>
    <w:p w14:paraId="5949D1A1" w14:textId="76E97992" w:rsidR="004670ED" w:rsidRPr="00163851" w:rsidRDefault="004670ED" w:rsidP="007E752C">
      <w:pPr>
        <w:jc w:val="left"/>
        <w:rPr>
          <w:szCs w:val="24"/>
        </w:rPr>
      </w:pPr>
    </w:p>
    <w:sectPr w:rsidR="004670ED" w:rsidRPr="00163851" w:rsidSect="00640159">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819351" w14:textId="77777777" w:rsidR="00687C6A" w:rsidRDefault="00687C6A" w:rsidP="00636C07">
      <w:pPr>
        <w:spacing w:after="0" w:line="240" w:lineRule="auto"/>
      </w:pPr>
      <w:r>
        <w:separator/>
      </w:r>
    </w:p>
  </w:endnote>
  <w:endnote w:type="continuationSeparator" w:id="0">
    <w:p w14:paraId="5DA13410" w14:textId="77777777" w:rsidR="00687C6A" w:rsidRDefault="00687C6A" w:rsidP="00636C07">
      <w:pPr>
        <w:spacing w:after="0" w:line="240" w:lineRule="auto"/>
      </w:pPr>
      <w:r>
        <w:continuationSeparator/>
      </w:r>
    </w:p>
  </w:endnote>
  <w:endnote w:type="continuationNotice" w:id="1">
    <w:p w14:paraId="074FE036" w14:textId="77777777" w:rsidR="00687C6A" w:rsidRDefault="00687C6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otham">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7147152"/>
      <w:docPartObj>
        <w:docPartGallery w:val="Page Numbers (Bottom of Page)"/>
        <w:docPartUnique/>
      </w:docPartObj>
    </w:sdtPr>
    <w:sdtEndPr>
      <w:rPr>
        <w:noProof/>
        <w:sz w:val="22"/>
      </w:rPr>
    </w:sdtEndPr>
    <w:sdtContent>
      <w:p w14:paraId="6EAB9C19" w14:textId="489056FB" w:rsidR="00744EEB" w:rsidRPr="00617C0C" w:rsidRDefault="00744EEB" w:rsidP="00617C0C">
        <w:pPr>
          <w:pStyle w:val="Footer"/>
          <w:jc w:val="center"/>
          <w:rPr>
            <w:sz w:val="22"/>
          </w:rPr>
        </w:pPr>
        <w:r w:rsidRPr="00617C0C">
          <w:rPr>
            <w:sz w:val="22"/>
          </w:rPr>
          <w:fldChar w:fldCharType="begin"/>
        </w:r>
        <w:r w:rsidRPr="00617C0C">
          <w:rPr>
            <w:sz w:val="22"/>
          </w:rPr>
          <w:instrText xml:space="preserve"> PAGE   \* MERGEFORMAT </w:instrText>
        </w:r>
        <w:r w:rsidRPr="00617C0C">
          <w:rPr>
            <w:sz w:val="22"/>
          </w:rPr>
          <w:fldChar w:fldCharType="separate"/>
        </w:r>
        <w:r w:rsidRPr="00617C0C">
          <w:rPr>
            <w:noProof/>
            <w:sz w:val="22"/>
          </w:rPr>
          <w:t>2</w:t>
        </w:r>
        <w:r w:rsidRPr="00617C0C">
          <w:rPr>
            <w:noProof/>
            <w:sz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5B383D" w14:textId="77777777" w:rsidR="00687C6A" w:rsidRDefault="00687C6A" w:rsidP="00636C07">
      <w:pPr>
        <w:spacing w:after="0" w:line="240" w:lineRule="auto"/>
      </w:pPr>
      <w:r>
        <w:separator/>
      </w:r>
    </w:p>
  </w:footnote>
  <w:footnote w:type="continuationSeparator" w:id="0">
    <w:p w14:paraId="14B81B0E" w14:textId="77777777" w:rsidR="00687C6A" w:rsidRDefault="00687C6A" w:rsidP="00636C07">
      <w:pPr>
        <w:spacing w:after="0" w:line="240" w:lineRule="auto"/>
      </w:pPr>
      <w:r>
        <w:continuationSeparator/>
      </w:r>
    </w:p>
  </w:footnote>
  <w:footnote w:type="continuationNotice" w:id="1">
    <w:p w14:paraId="79D057C1" w14:textId="77777777" w:rsidR="00687C6A" w:rsidRDefault="00687C6A">
      <w:pPr>
        <w:spacing w:after="0" w:line="240" w:lineRule="auto"/>
      </w:pPr>
    </w:p>
  </w:footnote>
  <w:footnote w:id="2">
    <w:p w14:paraId="0B46D890" w14:textId="73D00D23" w:rsidR="00744EEB" w:rsidRPr="00167EAB" w:rsidRDefault="00744EEB" w:rsidP="003C5BF8">
      <w:pPr>
        <w:pStyle w:val="FootnoteText"/>
      </w:pPr>
      <w:r w:rsidRPr="00167EAB">
        <w:rPr>
          <w:rStyle w:val="FootnoteReference"/>
        </w:rPr>
        <w:footnoteRef/>
      </w:r>
      <w:r>
        <w:t xml:space="preserve"> </w:t>
      </w:r>
      <w:r w:rsidRPr="00167EAB">
        <w:t xml:space="preserve">The verbiage </w:t>
      </w:r>
      <w:r w:rsidRPr="00314F9F">
        <w:t xml:space="preserve">“primarily worked from </w:t>
      </w:r>
      <w:r>
        <w:t>a remote location</w:t>
      </w:r>
      <w:r w:rsidRPr="00314F9F">
        <w:t xml:space="preserve">” </w:t>
      </w:r>
      <w:r>
        <w:t xml:space="preserve">used in this sentence </w:t>
      </w:r>
      <w:r w:rsidRPr="00314F9F">
        <w:t xml:space="preserve">indicates that an employee never commuted to an in-person </w:t>
      </w:r>
      <w:r>
        <w:t xml:space="preserve">out-of-home designated </w:t>
      </w:r>
      <w:r w:rsidRPr="00314F9F">
        <w:t>workplace during the week prior to completion of the American Community Survey</w:t>
      </w:r>
      <w:r>
        <w:t xml:space="preserve"> </w:t>
      </w:r>
      <w:r w:rsidRPr="00314F9F">
        <w:t>used by Coate (202</w:t>
      </w:r>
      <w:r>
        <w:t>1</w:t>
      </w:r>
      <w:r w:rsidRPr="00314F9F">
        <w:t xml:space="preserve">) in the analysis. </w:t>
      </w:r>
    </w:p>
  </w:footnote>
  <w:footnote w:id="3">
    <w:p w14:paraId="38F18E12" w14:textId="5C2AB85F" w:rsidR="00744EEB" w:rsidRPr="00083C39" w:rsidRDefault="00744EEB" w:rsidP="000D5F81">
      <w:pPr>
        <w:keepLines/>
        <w:spacing w:after="0" w:line="240" w:lineRule="auto"/>
        <w:rPr>
          <w:sz w:val="20"/>
          <w:szCs w:val="20"/>
        </w:rPr>
      </w:pPr>
      <w:r w:rsidRPr="00FA1F50">
        <w:rPr>
          <w:rStyle w:val="FootnoteReference"/>
          <w:sz w:val="20"/>
          <w:szCs w:val="20"/>
        </w:rPr>
        <w:footnoteRef/>
      </w:r>
      <w:r w:rsidRPr="00083C39">
        <w:rPr>
          <w:sz w:val="20"/>
          <w:szCs w:val="20"/>
        </w:rPr>
        <w:t xml:space="preserve"> Also, without underplaying the value of panel data for telework-commute distance analysis, it should be noted that panel data are not a panacea to study joint decision processes and identify causality. After all, </w:t>
      </w:r>
      <w:r w:rsidRPr="00083C39">
        <w:rPr>
          <w:color w:val="222222"/>
          <w:sz w:val="20"/>
          <w:szCs w:val="20"/>
        </w:rPr>
        <w:t>t</w:t>
      </w:r>
      <w:r w:rsidRPr="00083C39">
        <w:rPr>
          <w:sz w:val="20"/>
          <w:szCs w:val="20"/>
        </w:rPr>
        <w:t>he use of the term causality in this paper, as it necessarily is in all interpretations of the term in the scientific literature, is in epistemic terms (see Williamson, 2006). Thus, given causal processes are inherently latent (we can never actually observe the continuous process of cause-effect thoughts happening in a human brain), all that we really observe is a multivariate distribution of the outcomes, whether from panel data or cross-sectional data. Regardless of the type of data available, the best we can do as analysts is to use a structured methodological framework to tease out causal inferences in an epistemic way through the decomposition of this multivariate distribution into a recursive sequence of cause-effect relationships. In this regard, cross-sectional (CS) data, even if handicapped by the lack of observations over time, and if supplemented by a structured modeling process, can be viewed as incorporating the time element of causality implicitly during the decomposition process (see Wun</w:t>
      </w:r>
      <w:r>
        <w:rPr>
          <w:sz w:val="20"/>
          <w:szCs w:val="20"/>
        </w:rPr>
        <w:t>s</w:t>
      </w:r>
      <w:r w:rsidRPr="00083C39">
        <w:rPr>
          <w:sz w:val="20"/>
          <w:szCs w:val="20"/>
        </w:rPr>
        <w:t xml:space="preserve">ch et al., 2010). In the current study, we adopt such a structured decomposition. As indicated by Bhat (2022), none of the many data collection approaches can be unequivocally considered as providing the “ideal data” or even the “best data” for causal analysis. </w:t>
      </w:r>
    </w:p>
  </w:footnote>
  <w:footnote w:id="4">
    <w:p w14:paraId="0AC33C5C" w14:textId="0F94EB42" w:rsidR="00744EEB" w:rsidRPr="00031A7E" w:rsidRDefault="00744EEB" w:rsidP="000D5F81">
      <w:pPr>
        <w:keepLines/>
        <w:spacing w:after="0" w:line="240" w:lineRule="auto"/>
        <w:rPr>
          <w:sz w:val="20"/>
          <w:szCs w:val="20"/>
        </w:rPr>
      </w:pPr>
      <w:r w:rsidRPr="00617C0C">
        <w:rPr>
          <w:rStyle w:val="FootnoteReference"/>
          <w:sz w:val="20"/>
          <w:szCs w:val="20"/>
        </w:rPr>
        <w:footnoteRef/>
      </w:r>
      <w:r>
        <w:rPr>
          <w:sz w:val="20"/>
          <w:szCs w:val="20"/>
        </w:rPr>
        <w:t xml:space="preserve"> </w:t>
      </w:r>
      <w:r w:rsidRPr="00031A7E">
        <w:rPr>
          <w:sz w:val="20"/>
          <w:szCs w:val="20"/>
        </w:rPr>
        <w:t>To be complete, we should note that de Abreu e Silva and Melo (2018) use several statistical goodness-of-fit measures from a path analysis modeling approach to compare three different relationships between telework frequency and commute distance, including: a) teleworking frequency as a function of commuting distance, b) commuting distance as a function of telework frequency, and c) a simultaneous bidirectional relationship between commuting distance and teleworking frequency. But no information (other than data fit measures) is provided on the simultaneous relationship model. Besides, this analysis was conducted before the pandemic in Spain, with very low telework frequencies (about 82% of individuals never teleworked even on a yearly basis in their sample). The goodness-of-fit measures indicate that the first alternative; telework frequency as a function of commute distance (the CT direction); was the preferred specification. And this direction is pretty much the entirety of de Abreu e Silva and Melo</w:t>
      </w:r>
      <w:r>
        <w:rPr>
          <w:sz w:val="20"/>
          <w:szCs w:val="20"/>
        </w:rPr>
        <w:t>’s</w:t>
      </w:r>
      <w:r w:rsidRPr="00031A7E">
        <w:rPr>
          <w:sz w:val="20"/>
          <w:szCs w:val="20"/>
        </w:rPr>
        <w:t xml:space="preserve"> analysis. </w:t>
      </w:r>
    </w:p>
  </w:footnote>
  <w:footnote w:id="5">
    <w:p w14:paraId="5E12A0DC" w14:textId="5F11FA0C" w:rsidR="00744EEB" w:rsidRPr="00FF09E3" w:rsidRDefault="00744EEB" w:rsidP="00B53DE0">
      <w:pPr>
        <w:pStyle w:val="FootnoteText"/>
      </w:pPr>
      <w:r w:rsidRPr="00FF09E3">
        <w:rPr>
          <w:rStyle w:val="FootnoteReference"/>
        </w:rPr>
        <w:footnoteRef/>
      </w:r>
      <w:r>
        <w:t xml:space="preserve"> </w:t>
      </w:r>
      <w:r w:rsidRPr="00FF09E3">
        <w:t xml:space="preserve">The term “digital nomad” has existed even before the pandemic. But the label started receiving renewed attention after the COVID pandemic, referring broadly to anyone who works remote (potentially at different places on different workdays) and uses a digital device to connect to the office (see </w:t>
      </w:r>
      <w:r w:rsidRPr="00EB63F2">
        <w:rPr>
          <w:color w:val="000000"/>
        </w:rPr>
        <w:t>Hannonen</w:t>
      </w:r>
      <w:r w:rsidRPr="00FF45AA">
        <w:t xml:space="preserve">, 2020 </w:t>
      </w:r>
      <w:r w:rsidRPr="003C0B97">
        <w:t xml:space="preserve">and </w:t>
      </w:r>
      <w:r w:rsidRPr="00FF09E3">
        <w:t>Nash et al., 2021)</w:t>
      </w:r>
      <w:r>
        <w:t>.</w:t>
      </w:r>
    </w:p>
  </w:footnote>
  <w:footnote w:id="6">
    <w:p w14:paraId="48916123" w14:textId="4FB28B9B" w:rsidR="00744EEB" w:rsidRPr="00731F88" w:rsidRDefault="00744EEB" w:rsidP="000D5F81">
      <w:pPr>
        <w:pStyle w:val="FootnoteText"/>
        <w:spacing w:after="60"/>
      </w:pPr>
      <w:r>
        <w:rPr>
          <w:rStyle w:val="FootnoteReference"/>
        </w:rPr>
        <w:footnoteRef/>
      </w:r>
      <w:r>
        <w:t xml:space="preserve"> </w:t>
      </w:r>
      <w:r w:rsidRPr="00EB63F2">
        <w:t xml:space="preserve">Respondents identified the zip code of their work location, which was used to link built environment variables and compute density as the ratio of number of jobs to unprotected acreage. Based on Ramsey and Bell (2014), zip codes with an employment density less than </w:t>
      </w:r>
      <w:r>
        <w:t>0.3</w:t>
      </w:r>
      <w:r w:rsidRPr="00EB63F2">
        <w:t xml:space="preserve"> jobs per unprotected acre of land are classified as low density, while those with </w:t>
      </w:r>
      <w:r>
        <w:t>0.7</w:t>
      </w:r>
      <w:r w:rsidRPr="00EB63F2">
        <w:t xml:space="preserve"> or more jobs per unprotected acre of land are classified as high density.  All other zip codes are classified as medium density.</w:t>
      </w:r>
    </w:p>
  </w:footnote>
  <w:footnote w:id="7">
    <w:p w14:paraId="23F76C16" w14:textId="4D44D3F9" w:rsidR="00744EEB" w:rsidRPr="000D5F81" w:rsidRDefault="00744EEB" w:rsidP="000D5F81">
      <w:pPr>
        <w:pStyle w:val="ListParagraph"/>
        <w:spacing w:after="0" w:line="240" w:lineRule="auto"/>
        <w:ind w:left="0"/>
        <w:jc w:val="both"/>
        <w:rPr>
          <w:rFonts w:ascii="Times New Roman" w:hAnsi="Times New Roman"/>
          <w:sz w:val="20"/>
          <w:szCs w:val="20"/>
        </w:rPr>
      </w:pPr>
      <w:r w:rsidRPr="00600C6E">
        <w:rPr>
          <w:rStyle w:val="FootnoteReference"/>
          <w:rFonts w:ascii="Times New Roman" w:hAnsi="Times New Roman"/>
          <w:sz w:val="20"/>
          <w:szCs w:val="20"/>
        </w:rPr>
        <w:footnoteRef/>
      </w:r>
      <w:r w:rsidRPr="00600C6E">
        <w:rPr>
          <w:rFonts w:ascii="Times New Roman" w:hAnsi="Times New Roman"/>
          <w:sz w:val="20"/>
          <w:szCs w:val="20"/>
        </w:rPr>
        <w:t xml:space="preserve"> </w:t>
      </w:r>
      <w:r>
        <w:rPr>
          <w:rFonts w:ascii="Times New Roman" w:hAnsi="Times New Roman"/>
          <w:sz w:val="20"/>
          <w:szCs w:val="20"/>
        </w:rPr>
        <w:t xml:space="preserve">Note, however, that </w:t>
      </w:r>
      <w:r w:rsidRPr="00600C6E">
        <w:rPr>
          <w:rFonts w:ascii="Times New Roman" w:hAnsi="Times New Roman"/>
          <w:sz w:val="20"/>
          <w:szCs w:val="20"/>
        </w:rPr>
        <w:t xml:space="preserve">the 2020 Texas Census </w:t>
      </w:r>
      <w:r>
        <w:rPr>
          <w:rFonts w:ascii="Times New Roman" w:hAnsi="Times New Roman"/>
          <w:sz w:val="20"/>
          <w:szCs w:val="20"/>
        </w:rPr>
        <w:t xml:space="preserve">does not provide comparable demographic/residential attribute data to our sample, </w:t>
      </w:r>
      <w:r w:rsidRPr="00600C6E">
        <w:rPr>
          <w:rFonts w:ascii="Times New Roman" w:hAnsi="Times New Roman"/>
          <w:sz w:val="20"/>
          <w:szCs w:val="20"/>
        </w:rPr>
        <w:t xml:space="preserve">because </w:t>
      </w:r>
      <w:r>
        <w:rPr>
          <w:rFonts w:ascii="Times New Roman" w:hAnsi="Times New Roman"/>
          <w:sz w:val="20"/>
          <w:szCs w:val="20"/>
        </w:rPr>
        <w:t xml:space="preserve">it only </w:t>
      </w:r>
      <w:r w:rsidRPr="00600C6E">
        <w:rPr>
          <w:rFonts w:ascii="Times New Roman" w:hAnsi="Times New Roman"/>
          <w:sz w:val="20"/>
          <w:szCs w:val="20"/>
        </w:rPr>
        <w:t>provides the demographic characteristics of the Texas population as a whole without partitioning based on being employed or not</w:t>
      </w:r>
      <w:r>
        <w:rPr>
          <w:rFonts w:ascii="Times New Roman" w:hAnsi="Times New Roman"/>
          <w:sz w:val="20"/>
          <w:szCs w:val="20"/>
        </w:rPr>
        <w:t xml:space="preserve">. </w:t>
      </w:r>
    </w:p>
  </w:footnote>
  <w:footnote w:id="8">
    <w:p w14:paraId="64EB062C" w14:textId="4149541D" w:rsidR="00744EEB" w:rsidRPr="00382AC3" w:rsidRDefault="00744EEB" w:rsidP="00382AC3">
      <w:pPr>
        <w:autoSpaceDE w:val="0"/>
        <w:autoSpaceDN w:val="0"/>
        <w:adjustRightInd w:val="0"/>
        <w:spacing w:after="60" w:line="240" w:lineRule="auto"/>
        <w:rPr>
          <w:color w:val="000000"/>
          <w:sz w:val="20"/>
          <w:szCs w:val="20"/>
        </w:rPr>
      </w:pPr>
      <w:r w:rsidRPr="004817C2">
        <w:rPr>
          <w:rStyle w:val="FootnoteReference"/>
          <w:sz w:val="20"/>
          <w:szCs w:val="20"/>
        </w:rPr>
        <w:footnoteRef/>
      </w:r>
      <w:r w:rsidRPr="004817C2">
        <w:rPr>
          <w:sz w:val="20"/>
          <w:szCs w:val="20"/>
        </w:rPr>
        <w:t xml:space="preserve"> </w:t>
      </w:r>
      <w:r w:rsidRPr="004817C2">
        <w:rPr>
          <w:color w:val="222222"/>
          <w:sz w:val="20"/>
          <w:szCs w:val="20"/>
        </w:rPr>
        <w:t>The survey did not include a question in the survey instrument</w:t>
      </w:r>
      <w:r>
        <w:rPr>
          <w:color w:val="222222"/>
          <w:sz w:val="20"/>
          <w:szCs w:val="20"/>
        </w:rPr>
        <w:t xml:space="preserve"> asking respondents to indicate which causal direction applied to their decision process</w:t>
      </w:r>
      <w:r w:rsidRPr="004817C2">
        <w:rPr>
          <w:color w:val="222222"/>
          <w:sz w:val="20"/>
          <w:szCs w:val="20"/>
        </w:rPr>
        <w:t xml:space="preserve">. </w:t>
      </w:r>
      <w:r>
        <w:rPr>
          <w:color w:val="222222"/>
          <w:sz w:val="20"/>
          <w:szCs w:val="20"/>
        </w:rPr>
        <w:t>In any case, w</w:t>
      </w:r>
      <w:r w:rsidRPr="004817C2">
        <w:rPr>
          <w:color w:val="222222"/>
          <w:sz w:val="20"/>
          <w:szCs w:val="20"/>
        </w:rPr>
        <w:t xml:space="preserve">hile </w:t>
      </w:r>
      <w:r>
        <w:rPr>
          <w:color w:val="222222"/>
          <w:sz w:val="20"/>
          <w:szCs w:val="20"/>
        </w:rPr>
        <w:t xml:space="preserve">such self-reported causality </w:t>
      </w:r>
      <w:r w:rsidRPr="004817C2">
        <w:rPr>
          <w:color w:val="222222"/>
          <w:sz w:val="20"/>
          <w:szCs w:val="20"/>
        </w:rPr>
        <w:t>may be another data point</w:t>
      </w:r>
      <w:r>
        <w:rPr>
          <w:color w:val="222222"/>
          <w:sz w:val="20"/>
          <w:szCs w:val="20"/>
        </w:rPr>
        <w:t xml:space="preserve"> </w:t>
      </w:r>
      <w:r w:rsidRPr="004817C2">
        <w:rPr>
          <w:color w:val="222222"/>
          <w:sz w:val="20"/>
          <w:szCs w:val="20"/>
        </w:rPr>
        <w:t>for triangulation purposes,</w:t>
      </w:r>
      <w:r>
        <w:rPr>
          <w:color w:val="222222"/>
          <w:sz w:val="20"/>
          <w:szCs w:val="20"/>
        </w:rPr>
        <w:t xml:space="preserve"> </w:t>
      </w:r>
      <w:r w:rsidRPr="004817C2">
        <w:rPr>
          <w:color w:val="222222"/>
          <w:sz w:val="20"/>
          <w:szCs w:val="20"/>
        </w:rPr>
        <w:t xml:space="preserve">cognitive psychology </w:t>
      </w:r>
      <w:r>
        <w:rPr>
          <w:color w:val="222222"/>
          <w:sz w:val="20"/>
          <w:szCs w:val="20"/>
        </w:rPr>
        <w:t xml:space="preserve">literature indicates </w:t>
      </w:r>
      <w:r w:rsidRPr="004817C2">
        <w:rPr>
          <w:color w:val="222222"/>
          <w:sz w:val="20"/>
          <w:szCs w:val="20"/>
        </w:rPr>
        <w:t>that self-report</w:t>
      </w:r>
      <w:r>
        <w:rPr>
          <w:color w:val="222222"/>
          <w:sz w:val="20"/>
          <w:szCs w:val="20"/>
        </w:rPr>
        <w:t>s</w:t>
      </w:r>
      <w:r w:rsidRPr="004817C2">
        <w:rPr>
          <w:color w:val="222222"/>
          <w:sz w:val="20"/>
          <w:szCs w:val="20"/>
        </w:rPr>
        <w:t xml:space="preserve"> are much better at recalling </w:t>
      </w:r>
      <w:r>
        <w:rPr>
          <w:color w:val="222222"/>
          <w:sz w:val="20"/>
          <w:szCs w:val="20"/>
        </w:rPr>
        <w:t xml:space="preserve">individual </w:t>
      </w:r>
      <w:r w:rsidRPr="004817C2">
        <w:rPr>
          <w:color w:val="222222"/>
          <w:sz w:val="20"/>
          <w:szCs w:val="20"/>
        </w:rPr>
        <w:t xml:space="preserve">events than </w:t>
      </w:r>
      <w:r>
        <w:rPr>
          <w:color w:val="222222"/>
          <w:sz w:val="20"/>
          <w:szCs w:val="20"/>
        </w:rPr>
        <w:t xml:space="preserve">at tracing the </w:t>
      </w:r>
      <w:r w:rsidRPr="004817C2">
        <w:rPr>
          <w:color w:val="222222"/>
          <w:sz w:val="20"/>
          <w:szCs w:val="20"/>
        </w:rPr>
        <w:t xml:space="preserve">causality </w:t>
      </w:r>
      <w:r>
        <w:rPr>
          <w:color w:val="222222"/>
          <w:sz w:val="20"/>
          <w:szCs w:val="20"/>
        </w:rPr>
        <w:t xml:space="preserve">sequence </w:t>
      </w:r>
      <w:r w:rsidRPr="004817C2">
        <w:rPr>
          <w:color w:val="222222"/>
          <w:sz w:val="20"/>
          <w:szCs w:val="20"/>
        </w:rPr>
        <w:t xml:space="preserve">between events. </w:t>
      </w:r>
      <w:r w:rsidRPr="004817C2">
        <w:rPr>
          <w:color w:val="000000"/>
          <w:sz w:val="20"/>
          <w:szCs w:val="20"/>
        </w:rPr>
        <w:t xml:space="preserve">This is because of a number of hard-wired cognitive biases (see, for example, </w:t>
      </w:r>
      <w:r w:rsidRPr="004817C2">
        <w:rPr>
          <w:color w:val="000000"/>
          <w:sz w:val="20"/>
          <w:szCs w:val="20"/>
        </w:rPr>
        <w:t xml:space="preserve">Sloman </w:t>
      </w:r>
      <w:r w:rsidR="00CF4B2B">
        <w:rPr>
          <w:color w:val="000000"/>
          <w:sz w:val="20"/>
          <w:szCs w:val="20"/>
        </w:rPr>
        <w:t>and Lagnado</w:t>
      </w:r>
      <w:r w:rsidRPr="004817C2">
        <w:rPr>
          <w:color w:val="000000"/>
          <w:sz w:val="20"/>
          <w:szCs w:val="20"/>
        </w:rPr>
        <w:t xml:space="preserve">, 2015; Hastie, 2015; Le Pelley et al., 2017, and Watkins, 2019) that tend to creep up when trying to ascribe causality, including (but not limited to) putting forward the first explanation that comes to mind (the “take-the-first heuristic”), simply not responding or arbitrarily making up a relationship to avoid cognitive effort (“law of least mental effort”), and attempting to rationalize a decision process as a carefully orchestrated cause-effect pathway even if such clarity in thought may not have actually existed (labeled sometimes as the “causality heuristic”). </w:t>
      </w:r>
    </w:p>
  </w:footnote>
  <w:footnote w:id="9">
    <w:p w14:paraId="6E78E528" w14:textId="25B3F632" w:rsidR="00744EEB" w:rsidRPr="00197E69" w:rsidRDefault="00744EEB" w:rsidP="00382AC3">
      <w:pPr>
        <w:pStyle w:val="ListParagraph"/>
        <w:spacing w:after="0" w:line="240" w:lineRule="auto"/>
        <w:ind w:left="0"/>
        <w:jc w:val="both"/>
      </w:pPr>
      <w:r w:rsidRPr="004817C2">
        <w:rPr>
          <w:rStyle w:val="FootnoteReference"/>
          <w:rFonts w:ascii="Times New Roman" w:hAnsi="Times New Roman"/>
          <w:sz w:val="20"/>
          <w:szCs w:val="20"/>
        </w:rPr>
        <w:footnoteRef/>
      </w:r>
      <w:r w:rsidRPr="004817C2">
        <w:rPr>
          <w:rFonts w:ascii="Times New Roman" w:hAnsi="Times New Roman"/>
          <w:sz w:val="20"/>
          <w:szCs w:val="20"/>
        </w:rPr>
        <w:t xml:space="preserve"> The latent segmentation approach is essentially an application of finite-mixture models. Finite mixture models may be used to allow for greater flexibility in modeling unobserved heterogeneity in the population. As the number of mixture components increases, this becomes tantamount to a non-parametric unobserved heterogeneity distribution (see Bhat</w:t>
      </w:r>
      <w:r>
        <w:rPr>
          <w:rFonts w:ascii="Times New Roman" w:hAnsi="Times New Roman"/>
          <w:sz w:val="20"/>
          <w:szCs w:val="20"/>
        </w:rPr>
        <w:t xml:space="preserve"> and Lavieri, 2018</w:t>
      </w:r>
      <w:r w:rsidRPr="004817C2">
        <w:rPr>
          <w:rFonts w:ascii="Times New Roman" w:hAnsi="Times New Roman"/>
          <w:sz w:val="20"/>
          <w:szCs w:val="20"/>
        </w:rPr>
        <w:t xml:space="preserve"> and </w:t>
      </w:r>
      <w:r w:rsidRPr="0048628A">
        <w:rPr>
          <w:rFonts w:ascii="Times New Roman" w:hAnsi="Times New Roman"/>
          <w:sz w:val="20"/>
          <w:szCs w:val="20"/>
        </w:rPr>
        <w:t>McLachlan et al., 2019)</w:t>
      </w:r>
      <w:r w:rsidRPr="004817C2">
        <w:rPr>
          <w:rFonts w:ascii="Times New Roman" w:hAnsi="Times New Roman"/>
          <w:sz w:val="20"/>
          <w:szCs w:val="20"/>
        </w:rPr>
        <w:t xml:space="preserve"> for a detailed discussion. But another (and most widely used) application of finite mixture models, as in the current paper, is to consider situations where each mixture component is viewed as representing a distinct population group (or cluster of individuals) with unique sensitivities to exogenous variables or unique decision mechanisms (</w:t>
      </w:r>
      <w:r w:rsidRPr="0048628A">
        <w:rPr>
          <w:rFonts w:ascii="Times New Roman" w:hAnsi="Times New Roman"/>
          <w:sz w:val="20"/>
          <w:szCs w:val="20"/>
        </w:rPr>
        <w:t>see McLachlan and Peel, 2000). This</w:t>
      </w:r>
      <w:r w:rsidRPr="004817C2">
        <w:rPr>
          <w:rFonts w:ascii="Times New Roman" w:hAnsi="Times New Roman"/>
          <w:sz w:val="20"/>
          <w:szCs w:val="20"/>
        </w:rPr>
        <w:t xml:space="preserve"> one-to-one correspondence between clusters and mixture components has a long history, connecting mixture models with cluster models (also sometimes referred to as classification models), beginning with the </w:t>
      </w:r>
      <w:r w:rsidRPr="0048628A">
        <w:rPr>
          <w:rFonts w:ascii="Times New Roman" w:hAnsi="Times New Roman"/>
          <w:sz w:val="20"/>
          <w:szCs w:val="20"/>
        </w:rPr>
        <w:t>work of Tied</w:t>
      </w:r>
      <w:r>
        <w:rPr>
          <w:rFonts w:ascii="Times New Roman" w:hAnsi="Times New Roman"/>
          <w:sz w:val="20"/>
          <w:szCs w:val="20"/>
        </w:rPr>
        <w:t>e</w:t>
      </w:r>
      <w:r w:rsidRPr="0048628A">
        <w:rPr>
          <w:rFonts w:ascii="Times New Roman" w:hAnsi="Times New Roman"/>
          <w:sz w:val="20"/>
          <w:szCs w:val="20"/>
        </w:rPr>
        <w:t>man (1955)</w:t>
      </w:r>
      <w:r w:rsidRPr="004817C2">
        <w:rPr>
          <w:rFonts w:ascii="Times New Roman" w:hAnsi="Times New Roman"/>
          <w:sz w:val="20"/>
          <w:szCs w:val="20"/>
        </w:rPr>
        <w:t xml:space="preserve"> (see </w:t>
      </w:r>
      <w:r w:rsidRPr="0048628A">
        <w:rPr>
          <w:rFonts w:ascii="Times New Roman" w:hAnsi="Times New Roman"/>
          <w:sz w:val="20"/>
          <w:szCs w:val="20"/>
        </w:rPr>
        <w:t>McNicholas, 2016</w:t>
      </w:r>
      <w:r w:rsidRPr="004817C2">
        <w:rPr>
          <w:rFonts w:ascii="Times New Roman" w:hAnsi="Times New Roman"/>
          <w:sz w:val="20"/>
          <w:szCs w:val="20"/>
        </w:rPr>
        <w:t xml:space="preserve"> and McLachlan et al., 2019 for reviews of finite-mixture based cluster/classification models). In the transportation field, latent segmentation has been used to represent the causal direction of effect at play in many research papers, including </w:t>
      </w:r>
      <w:r w:rsidRPr="009F1F87">
        <w:rPr>
          <w:rFonts w:ascii="Times New Roman" w:hAnsi="Times New Roman"/>
          <w:sz w:val="20"/>
          <w:szCs w:val="20"/>
        </w:rPr>
        <w:t xml:space="preserve">Waddell et al., 2007, </w:t>
      </w:r>
      <w:r w:rsidRPr="009F1F87">
        <w:rPr>
          <w:rFonts w:ascii="Times New Roman" w:hAnsi="Times New Roman"/>
          <w:sz w:val="20"/>
          <w:szCs w:val="20"/>
        </w:rPr>
        <w:t>Angueira</w:t>
      </w:r>
      <w:r w:rsidRPr="00B04324">
        <w:rPr>
          <w:rFonts w:ascii="Times New Roman" w:hAnsi="Times New Roman"/>
          <w:sz w:val="20"/>
          <w:szCs w:val="20"/>
        </w:rPr>
        <w:t xml:space="preserve"> et al., 201</w:t>
      </w:r>
      <w:r w:rsidR="00FE0965">
        <w:rPr>
          <w:rFonts w:ascii="Times New Roman" w:hAnsi="Times New Roman"/>
          <w:sz w:val="20"/>
          <w:szCs w:val="20"/>
        </w:rPr>
        <w:t>9</w:t>
      </w:r>
      <w:r w:rsidRPr="00B04324">
        <w:rPr>
          <w:rFonts w:ascii="Times New Roman" w:hAnsi="Times New Roman"/>
          <w:sz w:val="20"/>
          <w:szCs w:val="20"/>
        </w:rPr>
        <w:t>, Astroza et al., 2019, Keya et al., 2021, and Batur et al., 202</w:t>
      </w:r>
      <w:r w:rsidR="002E200B">
        <w:rPr>
          <w:rFonts w:ascii="Times New Roman" w:hAnsi="Times New Roman"/>
          <w:sz w:val="20"/>
          <w:szCs w:val="20"/>
        </w:rPr>
        <w:t>4</w:t>
      </w:r>
      <w:r w:rsidRPr="00B04324">
        <w:rPr>
          <w:rFonts w:ascii="Times New Roman" w:hAnsi="Times New Roman"/>
          <w:sz w:val="20"/>
          <w:szCs w:val="20"/>
        </w:rPr>
        <w:t>.</w:t>
      </w:r>
      <w:r w:rsidRPr="004817C2">
        <w:rPr>
          <w:rFonts w:ascii="Times New Roman" w:hAnsi="Times New Roman"/>
          <w:sz w:val="20"/>
          <w:szCs w:val="20"/>
        </w:rPr>
        <w:t xml:space="preserve"> </w:t>
      </w:r>
    </w:p>
  </w:footnote>
  <w:footnote w:id="10">
    <w:p w14:paraId="74F7144A" w14:textId="6A190056" w:rsidR="00744EEB" w:rsidRPr="00382AC3" w:rsidRDefault="00744EEB" w:rsidP="00382AC3">
      <w:pPr>
        <w:shd w:val="clear" w:color="auto" w:fill="FFFFFF"/>
        <w:spacing w:after="0" w:line="240" w:lineRule="auto"/>
        <w:rPr>
          <w:sz w:val="20"/>
          <w:szCs w:val="20"/>
        </w:rPr>
      </w:pPr>
      <w:r w:rsidRPr="004817C2">
        <w:rPr>
          <w:rStyle w:val="FootnoteReference"/>
          <w:sz w:val="20"/>
          <w:szCs w:val="20"/>
        </w:rPr>
        <w:footnoteRef/>
      </w:r>
      <w:r w:rsidRPr="004817C2">
        <w:rPr>
          <w:sz w:val="20"/>
          <w:szCs w:val="20"/>
        </w:rPr>
        <w:t xml:space="preserve"> The reader will also note that choosing a level of significance is closely related to Type II error. Especially, one needs to worry not only about including variables incorrectly (Type I error), but also rejecting variables incorrectly (Type II error). In selecting a level of significance, we face a trade-off between making the two different types of error. In multidimensional models, we would rather make a slightly larger Type I error if it means identifying variables that are suggestive and that may </w:t>
      </w:r>
      <w:r w:rsidRPr="004817C2">
        <w:rPr>
          <w:color w:val="000000" w:themeColor="text1"/>
          <w:sz w:val="20"/>
          <w:szCs w:val="20"/>
        </w:rPr>
        <w:t>help inform future specifications using larger sample sizes and/or more balanced telework location splits.</w:t>
      </w:r>
      <w:r w:rsidRPr="00D35C51">
        <w:rPr>
          <w:color w:val="000000" w:themeColor="text1"/>
          <w:sz w:val="20"/>
          <w:szCs w:val="20"/>
        </w:rPr>
        <w:t xml:space="preserve"> </w:t>
      </w:r>
      <w:r>
        <w:rPr>
          <w:sz w:val="20"/>
          <w:szCs w:val="20"/>
        </w:rPr>
        <w:t>Besides</w:t>
      </w:r>
      <w:r w:rsidRPr="004817C2">
        <w:rPr>
          <w:sz w:val="20"/>
          <w:szCs w:val="20"/>
        </w:rPr>
        <w:t xml:space="preserve">, </w:t>
      </w:r>
      <w:r>
        <w:rPr>
          <w:sz w:val="20"/>
          <w:szCs w:val="20"/>
        </w:rPr>
        <w:t>w</w:t>
      </w:r>
      <w:r w:rsidRPr="004817C2">
        <w:rPr>
          <w:sz w:val="20"/>
          <w:szCs w:val="20"/>
        </w:rPr>
        <w:t>e estimate</w:t>
      </w:r>
      <w:r>
        <w:rPr>
          <w:sz w:val="20"/>
          <w:szCs w:val="20"/>
        </w:rPr>
        <w:t>d</w:t>
      </w:r>
      <w:r w:rsidRPr="004817C2">
        <w:rPr>
          <w:sz w:val="20"/>
          <w:szCs w:val="20"/>
        </w:rPr>
        <w:t xml:space="preserve"> models by removing exogenous variable </w:t>
      </w:r>
      <w:r w:rsidRPr="009F1F87">
        <w:rPr>
          <w:sz w:val="20"/>
          <w:szCs w:val="20"/>
        </w:rPr>
        <w:t>with coefficients that had less than a 90% confidence level (t-statistic of 1.645) and also a 95% confidence level (t-statistic of 1.96) to check on the robustness of the results (</w:t>
      </w:r>
      <w:r w:rsidRPr="009F1F87">
        <w:rPr>
          <w:color w:val="000000" w:themeColor="text1"/>
          <w:sz w:val="20"/>
          <w:szCs w:val="20"/>
        </w:rPr>
        <w:t>Lu and White, 2014, Srivastava et al., 2018, and Brennan et al. 2021 suggest</w:t>
      </w:r>
      <w:r w:rsidRPr="004817C2">
        <w:rPr>
          <w:color w:val="000000" w:themeColor="text1"/>
          <w:sz w:val="20"/>
          <w:szCs w:val="20"/>
        </w:rPr>
        <w:t xml:space="preserve"> this kind of robustness testing)</w:t>
      </w:r>
      <w:r w:rsidRPr="004817C2">
        <w:rPr>
          <w:sz w:val="20"/>
          <w:szCs w:val="20"/>
        </w:rPr>
        <w:t xml:space="preserve">. However, using such more stringent confidence levels did not materially change (in terms of magnitudes and signs) the estimates reported in Table </w:t>
      </w:r>
      <w:r>
        <w:rPr>
          <w:sz w:val="20"/>
          <w:szCs w:val="20"/>
        </w:rPr>
        <w:t>2</w:t>
      </w:r>
      <w:r w:rsidRPr="004817C2">
        <w:rPr>
          <w:sz w:val="20"/>
          <w:szCs w:val="20"/>
        </w:rPr>
        <w:t xml:space="preserve"> or the predicted WPL work arrangement-commute distance relationship reported in Table </w:t>
      </w:r>
      <w:r>
        <w:rPr>
          <w:sz w:val="20"/>
          <w:szCs w:val="20"/>
        </w:rPr>
        <w:t>6</w:t>
      </w:r>
      <w:r w:rsidRPr="004817C2">
        <w:rPr>
          <w:sz w:val="20"/>
          <w:szCs w:val="20"/>
        </w:rPr>
        <w:t>.</w:t>
      </w:r>
      <w:r w:rsidR="00B62C6E">
        <w:rPr>
          <w:sz w:val="20"/>
          <w:szCs w:val="20"/>
        </w:rPr>
        <w:t xml:space="preserve"> Important also here is that, despite having low t-statistics, the variables included in our specification had little movement in their estimated effect sizes across a whole suite of different specifications we tested, further bolstering their consideration and inclusion. Overall, though, we </w:t>
      </w:r>
      <w:r w:rsidR="00F02E79">
        <w:rPr>
          <w:sz w:val="20"/>
          <w:szCs w:val="20"/>
        </w:rPr>
        <w:t xml:space="preserve">also </w:t>
      </w:r>
      <w:r w:rsidR="00B62C6E">
        <w:rPr>
          <w:sz w:val="20"/>
          <w:szCs w:val="20"/>
        </w:rPr>
        <w:t>admit that</w:t>
      </w:r>
      <w:r w:rsidR="00F02E79">
        <w:rPr>
          <w:sz w:val="20"/>
          <w:szCs w:val="20"/>
        </w:rPr>
        <w:t xml:space="preserve">, in cases where the t-statistics are quite low, some caution should be exercised because these variables have a good probability (in some cases as much as 23% probability) that they are actually not of any consequence in the population. </w:t>
      </w:r>
    </w:p>
  </w:footnote>
  <w:footnote w:id="11">
    <w:p w14:paraId="1559604D" w14:textId="370EBF9E" w:rsidR="00744EEB" w:rsidRDefault="00744EEB">
      <w:pPr>
        <w:pStyle w:val="FootnoteText"/>
      </w:pPr>
      <w:r>
        <w:rPr>
          <w:rStyle w:val="FootnoteReference"/>
        </w:rPr>
        <w:footnoteRef/>
      </w:r>
      <w:r>
        <w:t xml:space="preserve"> Table 4 shows variations in segment memberships even for variables that do not explicitly appear in the latent membership model of Table 3. This is because the exogenous variables appearing in Table 3 are differentially associated with the exogenous variables not appearing in Table 3. This causes segment membership differences for all variables in Table 4.  </w:t>
      </w:r>
    </w:p>
  </w:footnote>
  <w:footnote w:id="12">
    <w:p w14:paraId="23641AD6" w14:textId="2122A1AA" w:rsidR="00744EEB" w:rsidRPr="00502783" w:rsidRDefault="00744EEB" w:rsidP="00502783">
      <w:pPr>
        <w:pStyle w:val="FootnoteText"/>
      </w:pPr>
      <w:bookmarkStart w:id="19" w:name="_Hlk153102271"/>
      <w:r w:rsidRPr="00502783">
        <w:rPr>
          <w:rStyle w:val="FootnoteReference"/>
        </w:rPr>
        <w:footnoteRef/>
      </w:r>
      <w:r>
        <w:t xml:space="preserve"> </w:t>
      </w:r>
      <w:r w:rsidRPr="00502783">
        <w:t xml:space="preserve">Note also that the </w:t>
      </w:r>
      <w:r w:rsidRPr="00FA1F50">
        <w:t>“seemingly low”</w:t>
      </w:r>
      <w:r w:rsidRPr="00080EF9">
        <w:t xml:space="preserve"> rho-squared value of our proposed model should not be interpreted as poor fit. As McFadden (1977; page 35) states</w:t>
      </w:r>
      <w:r>
        <w:t xml:space="preserve"> </w:t>
      </w:r>
      <w:r w:rsidRPr="00502783">
        <w:t xml:space="preserve">in the context of </w:t>
      </w:r>
      <w:r w:rsidRPr="00FA1F50">
        <w:t xml:space="preserve">simple multinomial/binary </w:t>
      </w:r>
      <w:r w:rsidRPr="00080EF9">
        <w:t xml:space="preserve">choice models, </w:t>
      </w:r>
      <w:r w:rsidRPr="004817C2">
        <w:t>“</w:t>
      </w:r>
      <w:r w:rsidRPr="004817C2">
        <w:rPr>
          <w:color w:val="0C0D0E"/>
          <w:shd w:val="clear" w:color="auto" w:fill="FFFFFF"/>
        </w:rPr>
        <w:t>Those unfamiliar with the rho-squared measure should be forewarned that its values tend to be considerably lower than those of the </w:t>
      </w:r>
      <w:r w:rsidRPr="004817C2">
        <w:rPr>
          <w:rStyle w:val="mi"/>
          <w:color w:val="0C0D0E"/>
          <w:bdr w:val="none" w:sz="0" w:space="0" w:color="auto" w:frame="1"/>
          <w:shd w:val="clear" w:color="auto" w:fill="FFFFFF"/>
        </w:rPr>
        <w:t>R-squared</w:t>
      </w:r>
      <w:r w:rsidRPr="004817C2">
        <w:rPr>
          <w:color w:val="0C0D0E"/>
          <w:shd w:val="clear" w:color="auto" w:fill="FFFFFF"/>
        </w:rPr>
        <w:t> index...</w:t>
      </w:r>
      <w:r>
        <w:rPr>
          <w:color w:val="0C0D0E"/>
          <w:shd w:val="clear" w:color="auto" w:fill="FFFFFF"/>
        </w:rPr>
        <w:t xml:space="preserve"> </w:t>
      </w:r>
      <w:r w:rsidRPr="004817C2">
        <w:rPr>
          <w:color w:val="0C0D0E"/>
          <w:shd w:val="clear" w:color="auto" w:fill="FFFFFF"/>
        </w:rPr>
        <w:t xml:space="preserve">For example, values of 0.2 to 0.4 for rho-squared represent </w:t>
      </w:r>
      <w:r w:rsidRPr="004817C2">
        <w:rPr>
          <w:i/>
          <w:iCs/>
          <w:color w:val="0C0D0E"/>
          <w:shd w:val="clear" w:color="auto" w:fill="FFFFFF"/>
        </w:rPr>
        <w:t>excellent</w:t>
      </w:r>
      <w:r w:rsidRPr="004817C2">
        <w:rPr>
          <w:color w:val="0C0D0E"/>
          <w:shd w:val="clear" w:color="auto" w:fill="FFFFFF"/>
        </w:rPr>
        <w:t xml:space="preserve"> fit.</w:t>
      </w:r>
      <w:r>
        <w:rPr>
          <w:color w:val="0C0D0E"/>
          <w:shd w:val="clear" w:color="auto" w:fill="FFFFFF"/>
        </w:rPr>
        <w:t>”</w:t>
      </w:r>
      <w:r w:rsidRPr="004817C2">
        <w:rPr>
          <w:color w:val="0C0D0E"/>
          <w:shd w:val="clear" w:color="auto" w:fill="FFFFFF"/>
        </w:rPr>
        <w:t xml:space="preserve"> In a more recent paper,</w:t>
      </w:r>
      <w:r>
        <w:rPr>
          <w:color w:val="0C0D0E"/>
          <w:shd w:val="clear" w:color="auto" w:fill="FFFFFF"/>
        </w:rPr>
        <w:t xml:space="preserve"> </w:t>
      </w:r>
      <w:r w:rsidRPr="004817C2">
        <w:rPr>
          <w:color w:val="000000"/>
        </w:rPr>
        <w:t>Giselmar</w:t>
      </w:r>
      <w:r w:rsidRPr="004817C2">
        <w:rPr>
          <w:color w:val="0C0D0E"/>
          <w:shd w:val="clear" w:color="auto" w:fill="FFFFFF"/>
        </w:rPr>
        <w:t xml:space="preserve"> et al. (2018) indicate that, in simple binary logistic models, rho-bar squared values in the 0.11-0.32 represent very good model fit with sample sizes of more than 200. In this context, </w:t>
      </w:r>
      <w:r w:rsidRPr="004817C2">
        <w:t xml:space="preserve">rho-bar squared values of the order of 0.05 in way more advanced joint model systems such as the latent segmentation joint MDC-continuous model systems must not be dismissed as “poor fit”. As </w:t>
      </w:r>
      <w:r>
        <w:t xml:space="preserve">further </w:t>
      </w:r>
      <w:r w:rsidRPr="004817C2">
        <w:t xml:space="preserve">indicated </w:t>
      </w:r>
      <w:r w:rsidRPr="005C2AEC">
        <w:t>by Ben-Akiva and Lerman (1985; page 91), “</w:t>
      </w:r>
      <w:r w:rsidRPr="004817C2">
        <w:t>Values of rho-bar squared will depend on the type of model being estimated. The measure is most useful in comparing two specifications developed on the exact same data”</w:t>
      </w:r>
      <w:r>
        <w:t>.</w:t>
      </w:r>
      <w:r w:rsidRPr="004817C2">
        <w:t xml:space="preserve"> </w:t>
      </w:r>
      <w:bookmarkEnd w:id="19"/>
    </w:p>
  </w:footnote>
  <w:footnote w:id="13">
    <w:p w14:paraId="1E2DF70A" w14:textId="0A5DA509" w:rsidR="00744EEB" w:rsidRDefault="00744EEB" w:rsidP="00784D3F">
      <w:pPr>
        <w:pStyle w:val="FootnoteText"/>
        <w:spacing w:after="60"/>
      </w:pPr>
      <w:r>
        <w:rPr>
          <w:rStyle w:val="FootnoteReference"/>
        </w:rPr>
        <w:footnoteRef/>
      </w:r>
      <w:r>
        <w:t xml:space="preserve"> The value of our multivariate latent framework becomes clear here. As opposed to Figure 2, where the descriptive statistics indicate a reduction of the one-way commute distance </w:t>
      </w:r>
      <w:r w:rsidRPr="00FE3EAF">
        <w:t xml:space="preserve">from </w:t>
      </w:r>
      <w:r w:rsidRPr="00471D4A">
        <w:t>13.25 miles</w:t>
      </w:r>
      <w:r w:rsidRPr="00FE3EAF">
        <w:t xml:space="preserve"> </w:t>
      </w:r>
      <w:r w:rsidRPr="00471D4A">
        <w:t>to 12.06 miles</w:t>
      </w:r>
      <w:r>
        <w:t xml:space="preserve"> when going from 100% office-based work to 100% telework, our results in Table 6 indicate the clear increase in commute distance with telework after controlling for exogenous effects, unobserved factors, and latent segmentation. </w:t>
      </w:r>
      <w:r w:rsidRPr="00416197">
        <w:t xml:space="preserve">This is because of the improved ability to uncover the “true” relationship between telework frequency and commute distance. </w:t>
      </w:r>
    </w:p>
  </w:footnote>
  <w:footnote w:id="14">
    <w:p w14:paraId="41BC4D86" w14:textId="0354AD47" w:rsidR="00744EEB" w:rsidRDefault="00744EEB">
      <w:pPr>
        <w:pStyle w:val="FootnoteText"/>
      </w:pPr>
      <w:r>
        <w:rPr>
          <w:rStyle w:val="FootnoteReference"/>
        </w:rPr>
        <w:footnoteRef/>
      </w:r>
      <w:r>
        <w:t xml:space="preserve"> There is also the increased work-from-office for those with high commute distances (&gt;15 miles) in the large-sized CT segment, but this effect is much weaker than the increased work-from-office for those with low commute distances (≤8 miles).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0355C"/>
    <w:multiLevelType w:val="hybridMultilevel"/>
    <w:tmpl w:val="851CE2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2B6C7B"/>
    <w:multiLevelType w:val="hybridMultilevel"/>
    <w:tmpl w:val="E3A4B5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C42707"/>
    <w:multiLevelType w:val="hybridMultilevel"/>
    <w:tmpl w:val="D7C414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9D5D43"/>
    <w:multiLevelType w:val="hybridMultilevel"/>
    <w:tmpl w:val="5CC8D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133198"/>
    <w:multiLevelType w:val="multilevel"/>
    <w:tmpl w:val="EE5CBE4A"/>
    <w:lvl w:ilvl="0">
      <w:start w:val="1"/>
      <w:numFmt w:val="decimal"/>
      <w:suff w:val="space"/>
      <w:lvlText w:val="Chapter %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ED2649A"/>
    <w:multiLevelType w:val="hybridMultilevel"/>
    <w:tmpl w:val="B9F817D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21E2998"/>
    <w:multiLevelType w:val="multilevel"/>
    <w:tmpl w:val="448AE574"/>
    <w:lvl w:ilvl="0">
      <w:start w:val="1"/>
      <w:numFmt w:val="decimal"/>
      <w:lvlText w:val="%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92" w:hanging="432"/>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CD2616A"/>
    <w:multiLevelType w:val="multilevel"/>
    <w:tmpl w:val="C6CE4564"/>
    <w:lvl w:ilvl="0">
      <w:numFmt w:val="decimal"/>
      <w:lvlText w:val="%1"/>
      <w:lvlJc w:val="left"/>
      <w:pPr>
        <w:ind w:left="360" w:hanging="360"/>
      </w:pPr>
      <w:rPr>
        <w:rFonts w:hint="default"/>
      </w:rPr>
    </w:lvl>
    <w:lvl w:ilvl="1">
      <w:start w:val="1"/>
      <w:numFmt w:val="decimal"/>
      <w:lvlText w:val="%1.%2"/>
      <w:lvlJc w:val="left"/>
      <w:pPr>
        <w:ind w:left="405" w:hanging="360"/>
      </w:pPr>
      <w:rPr>
        <w:rFonts w:hint="default"/>
      </w:rPr>
    </w:lvl>
    <w:lvl w:ilvl="2">
      <w:start w:val="1"/>
      <w:numFmt w:val="decimal"/>
      <w:lvlText w:val="%1.%2.%3"/>
      <w:lvlJc w:val="left"/>
      <w:pPr>
        <w:ind w:left="810" w:hanging="720"/>
      </w:pPr>
      <w:rPr>
        <w:rFonts w:hint="default"/>
      </w:rPr>
    </w:lvl>
    <w:lvl w:ilvl="3">
      <w:start w:val="1"/>
      <w:numFmt w:val="decimal"/>
      <w:lvlText w:val="%1.%2.%3.%4"/>
      <w:lvlJc w:val="left"/>
      <w:pPr>
        <w:ind w:left="855" w:hanging="720"/>
      </w:pPr>
      <w:rPr>
        <w:rFonts w:hint="default"/>
      </w:rPr>
    </w:lvl>
    <w:lvl w:ilvl="4">
      <w:start w:val="1"/>
      <w:numFmt w:val="decimal"/>
      <w:lvlText w:val="%1.%2.%3.%4.%5"/>
      <w:lvlJc w:val="left"/>
      <w:pPr>
        <w:ind w:left="900" w:hanging="720"/>
      </w:pPr>
      <w:rPr>
        <w:rFonts w:hint="default"/>
      </w:rPr>
    </w:lvl>
    <w:lvl w:ilvl="5">
      <w:start w:val="1"/>
      <w:numFmt w:val="decimal"/>
      <w:lvlText w:val="%1.%2.%3.%4.%5.%6"/>
      <w:lvlJc w:val="left"/>
      <w:pPr>
        <w:ind w:left="1305" w:hanging="1080"/>
      </w:pPr>
      <w:rPr>
        <w:rFonts w:hint="default"/>
      </w:rPr>
    </w:lvl>
    <w:lvl w:ilvl="6">
      <w:start w:val="1"/>
      <w:numFmt w:val="decimal"/>
      <w:lvlText w:val="%1.%2.%3.%4.%5.%6.%7"/>
      <w:lvlJc w:val="left"/>
      <w:pPr>
        <w:ind w:left="1350" w:hanging="1080"/>
      </w:pPr>
      <w:rPr>
        <w:rFonts w:hint="default"/>
      </w:rPr>
    </w:lvl>
    <w:lvl w:ilvl="7">
      <w:start w:val="1"/>
      <w:numFmt w:val="decimal"/>
      <w:lvlText w:val="%1.%2.%3.%4.%5.%6.%7.%8"/>
      <w:lvlJc w:val="left"/>
      <w:pPr>
        <w:ind w:left="1755" w:hanging="1440"/>
      </w:pPr>
      <w:rPr>
        <w:rFonts w:hint="default"/>
      </w:rPr>
    </w:lvl>
    <w:lvl w:ilvl="8">
      <w:start w:val="1"/>
      <w:numFmt w:val="decimal"/>
      <w:lvlText w:val="%1.%2.%3.%4.%5.%6.%7.%8.%9"/>
      <w:lvlJc w:val="left"/>
      <w:pPr>
        <w:ind w:left="1800" w:hanging="1440"/>
      </w:pPr>
      <w:rPr>
        <w:rFonts w:hint="default"/>
      </w:rPr>
    </w:lvl>
  </w:abstractNum>
  <w:abstractNum w:abstractNumId="8" w15:restartNumberingAfterBreak="0">
    <w:nsid w:val="4F0131C6"/>
    <w:multiLevelType w:val="multilevel"/>
    <w:tmpl w:val="7BCCAA6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49D2BEF"/>
    <w:multiLevelType w:val="multilevel"/>
    <w:tmpl w:val="A844A7BC"/>
    <w:lvl w:ilvl="0">
      <w:start w:val="1"/>
      <w:numFmt w:val="decimal"/>
      <w:pStyle w:val="Heading1"/>
      <w:lvlText w:val="%1."/>
      <w:lvlJc w:val="left"/>
      <w:pPr>
        <w:ind w:left="2862" w:hanging="432"/>
      </w:pPr>
      <w:rPr>
        <w:rFonts w:hint="default"/>
      </w:rPr>
    </w:lvl>
    <w:lvl w:ilvl="1">
      <w:start w:val="1"/>
      <w:numFmt w:val="decimal"/>
      <w:pStyle w:val="Heading2"/>
      <w:lvlText w:val="%1.%2."/>
      <w:lvlJc w:val="left"/>
      <w:pPr>
        <w:ind w:left="360" w:hanging="360"/>
      </w:pPr>
      <w:rPr>
        <w:rFonts w:ascii="Times New Roman" w:hAnsi="Times New Roman" w:cs="Times New Roman"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0" w15:restartNumberingAfterBreak="0">
    <w:nsid w:val="7D4E642A"/>
    <w:multiLevelType w:val="hybridMultilevel"/>
    <w:tmpl w:val="71683BD8"/>
    <w:lvl w:ilvl="0" w:tplc="33E685E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8"/>
  </w:num>
  <w:num w:numId="7">
    <w:abstractNumId w:val="2"/>
  </w:num>
  <w:num w:numId="8">
    <w:abstractNumId w:val="0"/>
  </w:num>
  <w:num w:numId="9">
    <w:abstractNumId w:val="3"/>
  </w:num>
  <w:num w:numId="10">
    <w:abstractNumId w:val="5"/>
  </w:num>
  <w:num w:numId="11">
    <w:abstractNumId w:val="4"/>
  </w:num>
  <w:num w:numId="12">
    <w:abstractNumId w:val="7"/>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8AE"/>
    <w:rsid w:val="0000172A"/>
    <w:rsid w:val="00002517"/>
    <w:rsid w:val="00002889"/>
    <w:rsid w:val="0000297A"/>
    <w:rsid w:val="00004272"/>
    <w:rsid w:val="00006DE7"/>
    <w:rsid w:val="00010FE6"/>
    <w:rsid w:val="00011E84"/>
    <w:rsid w:val="00012037"/>
    <w:rsid w:val="00014181"/>
    <w:rsid w:val="00016A75"/>
    <w:rsid w:val="0002006A"/>
    <w:rsid w:val="000215C2"/>
    <w:rsid w:val="000228E9"/>
    <w:rsid w:val="00022E2B"/>
    <w:rsid w:val="00022E51"/>
    <w:rsid w:val="000234FA"/>
    <w:rsid w:val="00023D7E"/>
    <w:rsid w:val="00025118"/>
    <w:rsid w:val="00027D46"/>
    <w:rsid w:val="00030148"/>
    <w:rsid w:val="0003015F"/>
    <w:rsid w:val="000303C4"/>
    <w:rsid w:val="00031A7E"/>
    <w:rsid w:val="00032915"/>
    <w:rsid w:val="00035277"/>
    <w:rsid w:val="00035512"/>
    <w:rsid w:val="000360A6"/>
    <w:rsid w:val="000406FA"/>
    <w:rsid w:val="00040A53"/>
    <w:rsid w:val="000457F5"/>
    <w:rsid w:val="0004607B"/>
    <w:rsid w:val="0004784F"/>
    <w:rsid w:val="00051F0A"/>
    <w:rsid w:val="00053623"/>
    <w:rsid w:val="000543DD"/>
    <w:rsid w:val="00055B8A"/>
    <w:rsid w:val="00055DD9"/>
    <w:rsid w:val="000562D6"/>
    <w:rsid w:val="000574D6"/>
    <w:rsid w:val="00064E4A"/>
    <w:rsid w:val="000650B8"/>
    <w:rsid w:val="00066492"/>
    <w:rsid w:val="000666F8"/>
    <w:rsid w:val="0006705E"/>
    <w:rsid w:val="00067E7F"/>
    <w:rsid w:val="00073A5F"/>
    <w:rsid w:val="0007476C"/>
    <w:rsid w:val="00075409"/>
    <w:rsid w:val="00075967"/>
    <w:rsid w:val="00076F44"/>
    <w:rsid w:val="00080EF9"/>
    <w:rsid w:val="0008788D"/>
    <w:rsid w:val="00091F0D"/>
    <w:rsid w:val="00096EEC"/>
    <w:rsid w:val="00097B14"/>
    <w:rsid w:val="000A26DB"/>
    <w:rsid w:val="000A6B2F"/>
    <w:rsid w:val="000A71F2"/>
    <w:rsid w:val="000B08AC"/>
    <w:rsid w:val="000B1BA7"/>
    <w:rsid w:val="000B3DFB"/>
    <w:rsid w:val="000B4788"/>
    <w:rsid w:val="000B49D9"/>
    <w:rsid w:val="000B4C21"/>
    <w:rsid w:val="000B5B8F"/>
    <w:rsid w:val="000C03DC"/>
    <w:rsid w:val="000C1C93"/>
    <w:rsid w:val="000C1EF4"/>
    <w:rsid w:val="000C4F11"/>
    <w:rsid w:val="000C7083"/>
    <w:rsid w:val="000D198E"/>
    <w:rsid w:val="000D2261"/>
    <w:rsid w:val="000D5B9A"/>
    <w:rsid w:val="000D5F81"/>
    <w:rsid w:val="000E15C9"/>
    <w:rsid w:val="000E218C"/>
    <w:rsid w:val="000E48F8"/>
    <w:rsid w:val="000E4C71"/>
    <w:rsid w:val="000E5445"/>
    <w:rsid w:val="000F34B3"/>
    <w:rsid w:val="000F7F39"/>
    <w:rsid w:val="001036DC"/>
    <w:rsid w:val="0010522E"/>
    <w:rsid w:val="00105703"/>
    <w:rsid w:val="00106B19"/>
    <w:rsid w:val="00110135"/>
    <w:rsid w:val="00112CEA"/>
    <w:rsid w:val="0011337F"/>
    <w:rsid w:val="001159E8"/>
    <w:rsid w:val="00117654"/>
    <w:rsid w:val="00117C53"/>
    <w:rsid w:val="00120550"/>
    <w:rsid w:val="00121BF6"/>
    <w:rsid w:val="00122587"/>
    <w:rsid w:val="0012339D"/>
    <w:rsid w:val="00123D42"/>
    <w:rsid w:val="00123D80"/>
    <w:rsid w:val="00125C34"/>
    <w:rsid w:val="00133245"/>
    <w:rsid w:val="00137672"/>
    <w:rsid w:val="00141F39"/>
    <w:rsid w:val="0014381C"/>
    <w:rsid w:val="00144CD4"/>
    <w:rsid w:val="00152B60"/>
    <w:rsid w:val="0015400A"/>
    <w:rsid w:val="00155227"/>
    <w:rsid w:val="001553D6"/>
    <w:rsid w:val="001558D5"/>
    <w:rsid w:val="0016148E"/>
    <w:rsid w:val="00163851"/>
    <w:rsid w:val="001643CE"/>
    <w:rsid w:val="00164BD0"/>
    <w:rsid w:val="00172746"/>
    <w:rsid w:val="00173A88"/>
    <w:rsid w:val="00177378"/>
    <w:rsid w:val="001803EB"/>
    <w:rsid w:val="00180A76"/>
    <w:rsid w:val="00183383"/>
    <w:rsid w:val="00185E9F"/>
    <w:rsid w:val="001901E6"/>
    <w:rsid w:val="00192152"/>
    <w:rsid w:val="00193293"/>
    <w:rsid w:val="00193A41"/>
    <w:rsid w:val="00193C37"/>
    <w:rsid w:val="00196F3F"/>
    <w:rsid w:val="00197E69"/>
    <w:rsid w:val="001A0A03"/>
    <w:rsid w:val="001A30D2"/>
    <w:rsid w:val="001A3DD0"/>
    <w:rsid w:val="001A6A69"/>
    <w:rsid w:val="001A7161"/>
    <w:rsid w:val="001B348D"/>
    <w:rsid w:val="001C0644"/>
    <w:rsid w:val="001C096E"/>
    <w:rsid w:val="001C1E56"/>
    <w:rsid w:val="001C78E3"/>
    <w:rsid w:val="001D63E6"/>
    <w:rsid w:val="001E328F"/>
    <w:rsid w:val="001E521E"/>
    <w:rsid w:val="001E6794"/>
    <w:rsid w:val="001F7A9B"/>
    <w:rsid w:val="00200221"/>
    <w:rsid w:val="0020208A"/>
    <w:rsid w:val="00202DF1"/>
    <w:rsid w:val="00203363"/>
    <w:rsid w:val="002036A6"/>
    <w:rsid w:val="00203CE1"/>
    <w:rsid w:val="00204E9F"/>
    <w:rsid w:val="002073CE"/>
    <w:rsid w:val="00211E49"/>
    <w:rsid w:val="00212915"/>
    <w:rsid w:val="002129C8"/>
    <w:rsid w:val="0021300D"/>
    <w:rsid w:val="00213D54"/>
    <w:rsid w:val="00214AC8"/>
    <w:rsid w:val="00216121"/>
    <w:rsid w:val="0021633B"/>
    <w:rsid w:val="00216F24"/>
    <w:rsid w:val="00217466"/>
    <w:rsid w:val="00220225"/>
    <w:rsid w:val="00224604"/>
    <w:rsid w:val="00224BE9"/>
    <w:rsid w:val="00225956"/>
    <w:rsid w:val="00227F3C"/>
    <w:rsid w:val="00230C67"/>
    <w:rsid w:val="00231EE4"/>
    <w:rsid w:val="00233ACA"/>
    <w:rsid w:val="00235117"/>
    <w:rsid w:val="00236A2D"/>
    <w:rsid w:val="0024054B"/>
    <w:rsid w:val="002418FB"/>
    <w:rsid w:val="00246597"/>
    <w:rsid w:val="00247077"/>
    <w:rsid w:val="0025267F"/>
    <w:rsid w:val="002545D4"/>
    <w:rsid w:val="00255A4E"/>
    <w:rsid w:val="00256DF4"/>
    <w:rsid w:val="002576D3"/>
    <w:rsid w:val="00265219"/>
    <w:rsid w:val="0026782A"/>
    <w:rsid w:val="00275BC1"/>
    <w:rsid w:val="00276BAD"/>
    <w:rsid w:val="00284440"/>
    <w:rsid w:val="00284817"/>
    <w:rsid w:val="00285EBF"/>
    <w:rsid w:val="00286700"/>
    <w:rsid w:val="002909F1"/>
    <w:rsid w:val="002913ED"/>
    <w:rsid w:val="00294F9E"/>
    <w:rsid w:val="00296482"/>
    <w:rsid w:val="002A47D9"/>
    <w:rsid w:val="002A53E5"/>
    <w:rsid w:val="002A6BB2"/>
    <w:rsid w:val="002A6E21"/>
    <w:rsid w:val="002B1AD2"/>
    <w:rsid w:val="002B1EA2"/>
    <w:rsid w:val="002B2AF2"/>
    <w:rsid w:val="002B6677"/>
    <w:rsid w:val="002C1F02"/>
    <w:rsid w:val="002C4662"/>
    <w:rsid w:val="002C6424"/>
    <w:rsid w:val="002C77D0"/>
    <w:rsid w:val="002D3360"/>
    <w:rsid w:val="002D6B2E"/>
    <w:rsid w:val="002D767A"/>
    <w:rsid w:val="002E0E55"/>
    <w:rsid w:val="002E111B"/>
    <w:rsid w:val="002E1DAE"/>
    <w:rsid w:val="002E200B"/>
    <w:rsid w:val="002E21CF"/>
    <w:rsid w:val="002E2421"/>
    <w:rsid w:val="002F40EA"/>
    <w:rsid w:val="002F6822"/>
    <w:rsid w:val="002F709F"/>
    <w:rsid w:val="00300FD9"/>
    <w:rsid w:val="00303C78"/>
    <w:rsid w:val="00303FC0"/>
    <w:rsid w:val="00311783"/>
    <w:rsid w:val="003124E3"/>
    <w:rsid w:val="0031624F"/>
    <w:rsid w:val="00317212"/>
    <w:rsid w:val="00317736"/>
    <w:rsid w:val="00320CF2"/>
    <w:rsid w:val="00323DD5"/>
    <w:rsid w:val="00324230"/>
    <w:rsid w:val="0032513D"/>
    <w:rsid w:val="00325995"/>
    <w:rsid w:val="003262AF"/>
    <w:rsid w:val="003307CF"/>
    <w:rsid w:val="00331488"/>
    <w:rsid w:val="003322BB"/>
    <w:rsid w:val="003325AC"/>
    <w:rsid w:val="00335649"/>
    <w:rsid w:val="003368B4"/>
    <w:rsid w:val="00340737"/>
    <w:rsid w:val="00340B8D"/>
    <w:rsid w:val="00342136"/>
    <w:rsid w:val="00343DE3"/>
    <w:rsid w:val="0034418B"/>
    <w:rsid w:val="00345CE5"/>
    <w:rsid w:val="00346F23"/>
    <w:rsid w:val="00350362"/>
    <w:rsid w:val="00351D1D"/>
    <w:rsid w:val="00354AF0"/>
    <w:rsid w:val="00354C74"/>
    <w:rsid w:val="003565C6"/>
    <w:rsid w:val="00356AE1"/>
    <w:rsid w:val="0036154B"/>
    <w:rsid w:val="00363C98"/>
    <w:rsid w:val="003642B4"/>
    <w:rsid w:val="00366A1A"/>
    <w:rsid w:val="00370429"/>
    <w:rsid w:val="00370470"/>
    <w:rsid w:val="003732FE"/>
    <w:rsid w:val="00374A52"/>
    <w:rsid w:val="00375509"/>
    <w:rsid w:val="00376AC9"/>
    <w:rsid w:val="003773C2"/>
    <w:rsid w:val="00382AC3"/>
    <w:rsid w:val="003850E5"/>
    <w:rsid w:val="00385635"/>
    <w:rsid w:val="00386540"/>
    <w:rsid w:val="003A3FF1"/>
    <w:rsid w:val="003A46F2"/>
    <w:rsid w:val="003A48DC"/>
    <w:rsid w:val="003A54C3"/>
    <w:rsid w:val="003B0187"/>
    <w:rsid w:val="003B0F95"/>
    <w:rsid w:val="003B0FE0"/>
    <w:rsid w:val="003B1FDC"/>
    <w:rsid w:val="003B2037"/>
    <w:rsid w:val="003B2539"/>
    <w:rsid w:val="003B2CE3"/>
    <w:rsid w:val="003B4A7B"/>
    <w:rsid w:val="003C0B97"/>
    <w:rsid w:val="003C1B1E"/>
    <w:rsid w:val="003C2018"/>
    <w:rsid w:val="003C5BF8"/>
    <w:rsid w:val="003D5987"/>
    <w:rsid w:val="003E035E"/>
    <w:rsid w:val="003E2656"/>
    <w:rsid w:val="003E2DFF"/>
    <w:rsid w:val="003E343E"/>
    <w:rsid w:val="003E524A"/>
    <w:rsid w:val="003F1F24"/>
    <w:rsid w:val="003F3827"/>
    <w:rsid w:val="003F4554"/>
    <w:rsid w:val="003F5B40"/>
    <w:rsid w:val="003F5BD7"/>
    <w:rsid w:val="003F5BEA"/>
    <w:rsid w:val="003F7AC3"/>
    <w:rsid w:val="0040100F"/>
    <w:rsid w:val="00402C2A"/>
    <w:rsid w:val="0040367B"/>
    <w:rsid w:val="00404F3F"/>
    <w:rsid w:val="00405EE9"/>
    <w:rsid w:val="00406AE4"/>
    <w:rsid w:val="00406EF4"/>
    <w:rsid w:val="004075A7"/>
    <w:rsid w:val="00407D33"/>
    <w:rsid w:val="00412422"/>
    <w:rsid w:val="0041613F"/>
    <w:rsid w:val="00416197"/>
    <w:rsid w:val="00417154"/>
    <w:rsid w:val="00417278"/>
    <w:rsid w:val="00422441"/>
    <w:rsid w:val="00425745"/>
    <w:rsid w:val="004271CD"/>
    <w:rsid w:val="0042793A"/>
    <w:rsid w:val="00430632"/>
    <w:rsid w:val="00431696"/>
    <w:rsid w:val="00432030"/>
    <w:rsid w:val="00432810"/>
    <w:rsid w:val="00432C88"/>
    <w:rsid w:val="004342FE"/>
    <w:rsid w:val="00440D2C"/>
    <w:rsid w:val="0044276F"/>
    <w:rsid w:val="00444204"/>
    <w:rsid w:val="004442AA"/>
    <w:rsid w:val="00445F36"/>
    <w:rsid w:val="00446585"/>
    <w:rsid w:val="00447DA1"/>
    <w:rsid w:val="00452B98"/>
    <w:rsid w:val="004546A6"/>
    <w:rsid w:val="0045618A"/>
    <w:rsid w:val="00460407"/>
    <w:rsid w:val="00460E90"/>
    <w:rsid w:val="00466A96"/>
    <w:rsid w:val="004670ED"/>
    <w:rsid w:val="004748C2"/>
    <w:rsid w:val="00475677"/>
    <w:rsid w:val="0047787F"/>
    <w:rsid w:val="00480837"/>
    <w:rsid w:val="004808CD"/>
    <w:rsid w:val="004817C2"/>
    <w:rsid w:val="00481C17"/>
    <w:rsid w:val="00485CC9"/>
    <w:rsid w:val="0048624A"/>
    <w:rsid w:val="0048628A"/>
    <w:rsid w:val="004863D8"/>
    <w:rsid w:val="00487DE0"/>
    <w:rsid w:val="00490ABA"/>
    <w:rsid w:val="00491162"/>
    <w:rsid w:val="0049271D"/>
    <w:rsid w:val="004927EF"/>
    <w:rsid w:val="00493889"/>
    <w:rsid w:val="004A0854"/>
    <w:rsid w:val="004A639D"/>
    <w:rsid w:val="004A699F"/>
    <w:rsid w:val="004B261C"/>
    <w:rsid w:val="004B4C59"/>
    <w:rsid w:val="004B5D53"/>
    <w:rsid w:val="004C13AD"/>
    <w:rsid w:val="004C218D"/>
    <w:rsid w:val="004C4AD7"/>
    <w:rsid w:val="004C4CEE"/>
    <w:rsid w:val="004D24B1"/>
    <w:rsid w:val="004D2AF4"/>
    <w:rsid w:val="004D6E62"/>
    <w:rsid w:val="004E3487"/>
    <w:rsid w:val="004E3A36"/>
    <w:rsid w:val="004E493F"/>
    <w:rsid w:val="004E646C"/>
    <w:rsid w:val="004E6E15"/>
    <w:rsid w:val="004F03C1"/>
    <w:rsid w:val="004F03D3"/>
    <w:rsid w:val="004F26B4"/>
    <w:rsid w:val="004F2AA1"/>
    <w:rsid w:val="004F3CF9"/>
    <w:rsid w:val="004F7738"/>
    <w:rsid w:val="00502783"/>
    <w:rsid w:val="005053C3"/>
    <w:rsid w:val="005060F3"/>
    <w:rsid w:val="00506AD3"/>
    <w:rsid w:val="00507169"/>
    <w:rsid w:val="00514541"/>
    <w:rsid w:val="005154F7"/>
    <w:rsid w:val="00515B14"/>
    <w:rsid w:val="0052107F"/>
    <w:rsid w:val="00522756"/>
    <w:rsid w:val="00522C5D"/>
    <w:rsid w:val="00524CC3"/>
    <w:rsid w:val="005262A3"/>
    <w:rsid w:val="00532982"/>
    <w:rsid w:val="0053367C"/>
    <w:rsid w:val="00535BC5"/>
    <w:rsid w:val="005360F2"/>
    <w:rsid w:val="005423D6"/>
    <w:rsid w:val="005467EE"/>
    <w:rsid w:val="005469B1"/>
    <w:rsid w:val="005475AF"/>
    <w:rsid w:val="005517F7"/>
    <w:rsid w:val="00551FC9"/>
    <w:rsid w:val="00552BC2"/>
    <w:rsid w:val="00554FCE"/>
    <w:rsid w:val="00556DD4"/>
    <w:rsid w:val="00557C53"/>
    <w:rsid w:val="00561EF4"/>
    <w:rsid w:val="00570531"/>
    <w:rsid w:val="00571D99"/>
    <w:rsid w:val="00575355"/>
    <w:rsid w:val="0057708D"/>
    <w:rsid w:val="00580FCC"/>
    <w:rsid w:val="00582E76"/>
    <w:rsid w:val="0059128D"/>
    <w:rsid w:val="005924CC"/>
    <w:rsid w:val="00596DAB"/>
    <w:rsid w:val="00597613"/>
    <w:rsid w:val="00597DF7"/>
    <w:rsid w:val="005A21BD"/>
    <w:rsid w:val="005A3895"/>
    <w:rsid w:val="005A500A"/>
    <w:rsid w:val="005A682A"/>
    <w:rsid w:val="005A7DD2"/>
    <w:rsid w:val="005B12F9"/>
    <w:rsid w:val="005B1329"/>
    <w:rsid w:val="005B4685"/>
    <w:rsid w:val="005B521F"/>
    <w:rsid w:val="005B6162"/>
    <w:rsid w:val="005C0472"/>
    <w:rsid w:val="005C18E2"/>
    <w:rsid w:val="005C2130"/>
    <w:rsid w:val="005C2433"/>
    <w:rsid w:val="005C2AEC"/>
    <w:rsid w:val="005C5FFE"/>
    <w:rsid w:val="005C60B1"/>
    <w:rsid w:val="005C7138"/>
    <w:rsid w:val="005D14F1"/>
    <w:rsid w:val="005D23C0"/>
    <w:rsid w:val="005D594D"/>
    <w:rsid w:val="005D75FB"/>
    <w:rsid w:val="005E048E"/>
    <w:rsid w:val="005E0E71"/>
    <w:rsid w:val="005E10A5"/>
    <w:rsid w:val="005E4965"/>
    <w:rsid w:val="005E52F5"/>
    <w:rsid w:val="005E6B2B"/>
    <w:rsid w:val="005F3EB4"/>
    <w:rsid w:val="005F43E1"/>
    <w:rsid w:val="005F4903"/>
    <w:rsid w:val="005F4FDD"/>
    <w:rsid w:val="005F5B3D"/>
    <w:rsid w:val="005F7AAA"/>
    <w:rsid w:val="005F7EB3"/>
    <w:rsid w:val="00601D87"/>
    <w:rsid w:val="00606D73"/>
    <w:rsid w:val="0060740B"/>
    <w:rsid w:val="0061005C"/>
    <w:rsid w:val="00612440"/>
    <w:rsid w:val="00612B43"/>
    <w:rsid w:val="00615283"/>
    <w:rsid w:val="00617C0C"/>
    <w:rsid w:val="00621A78"/>
    <w:rsid w:val="006265FE"/>
    <w:rsid w:val="006323AA"/>
    <w:rsid w:val="00633374"/>
    <w:rsid w:val="00635B50"/>
    <w:rsid w:val="00636C07"/>
    <w:rsid w:val="00636CBE"/>
    <w:rsid w:val="00636E71"/>
    <w:rsid w:val="00637483"/>
    <w:rsid w:val="00640159"/>
    <w:rsid w:val="0064392F"/>
    <w:rsid w:val="00644324"/>
    <w:rsid w:val="00645B30"/>
    <w:rsid w:val="00645F88"/>
    <w:rsid w:val="00646B8B"/>
    <w:rsid w:val="00647F92"/>
    <w:rsid w:val="00650AA8"/>
    <w:rsid w:val="0065201E"/>
    <w:rsid w:val="006528A8"/>
    <w:rsid w:val="0065339F"/>
    <w:rsid w:val="00661C63"/>
    <w:rsid w:val="00663B92"/>
    <w:rsid w:val="006702DD"/>
    <w:rsid w:val="006727FE"/>
    <w:rsid w:val="00672CD7"/>
    <w:rsid w:val="00680AED"/>
    <w:rsid w:val="00681AAB"/>
    <w:rsid w:val="00684BCB"/>
    <w:rsid w:val="0068622B"/>
    <w:rsid w:val="00686C4F"/>
    <w:rsid w:val="00687C6A"/>
    <w:rsid w:val="0069284B"/>
    <w:rsid w:val="00692E67"/>
    <w:rsid w:val="00695489"/>
    <w:rsid w:val="00695F1A"/>
    <w:rsid w:val="00696221"/>
    <w:rsid w:val="006A137D"/>
    <w:rsid w:val="006A2BBA"/>
    <w:rsid w:val="006A46A7"/>
    <w:rsid w:val="006A4C37"/>
    <w:rsid w:val="006A5004"/>
    <w:rsid w:val="006A7A3C"/>
    <w:rsid w:val="006B113D"/>
    <w:rsid w:val="006B28A8"/>
    <w:rsid w:val="006B3413"/>
    <w:rsid w:val="006B47DE"/>
    <w:rsid w:val="006B7541"/>
    <w:rsid w:val="006B77D8"/>
    <w:rsid w:val="006C0D8C"/>
    <w:rsid w:val="006C319C"/>
    <w:rsid w:val="006C5D56"/>
    <w:rsid w:val="006C6E8C"/>
    <w:rsid w:val="006D193E"/>
    <w:rsid w:val="006D2C45"/>
    <w:rsid w:val="006D5340"/>
    <w:rsid w:val="006D7837"/>
    <w:rsid w:val="006D7D18"/>
    <w:rsid w:val="006E18EC"/>
    <w:rsid w:val="006E1902"/>
    <w:rsid w:val="006E4162"/>
    <w:rsid w:val="006E7307"/>
    <w:rsid w:val="006F1233"/>
    <w:rsid w:val="006F1468"/>
    <w:rsid w:val="006F151B"/>
    <w:rsid w:val="006F2875"/>
    <w:rsid w:val="0070102D"/>
    <w:rsid w:val="00701F8D"/>
    <w:rsid w:val="0070405B"/>
    <w:rsid w:val="007121D7"/>
    <w:rsid w:val="007143A2"/>
    <w:rsid w:val="0072162C"/>
    <w:rsid w:val="00722965"/>
    <w:rsid w:val="007229EA"/>
    <w:rsid w:val="00723F28"/>
    <w:rsid w:val="00724E3D"/>
    <w:rsid w:val="00725203"/>
    <w:rsid w:val="007260AD"/>
    <w:rsid w:val="007269D6"/>
    <w:rsid w:val="00731F88"/>
    <w:rsid w:val="007332AD"/>
    <w:rsid w:val="0073331F"/>
    <w:rsid w:val="00733550"/>
    <w:rsid w:val="00734FB5"/>
    <w:rsid w:val="0074171E"/>
    <w:rsid w:val="00741A69"/>
    <w:rsid w:val="00743983"/>
    <w:rsid w:val="00744EEB"/>
    <w:rsid w:val="007453AE"/>
    <w:rsid w:val="0074589D"/>
    <w:rsid w:val="007531B4"/>
    <w:rsid w:val="007540F7"/>
    <w:rsid w:val="00755E1F"/>
    <w:rsid w:val="0076257F"/>
    <w:rsid w:val="007673C6"/>
    <w:rsid w:val="00767DF9"/>
    <w:rsid w:val="00774F70"/>
    <w:rsid w:val="007777C8"/>
    <w:rsid w:val="00781C7F"/>
    <w:rsid w:val="00781DBF"/>
    <w:rsid w:val="007827E3"/>
    <w:rsid w:val="00784D3F"/>
    <w:rsid w:val="00787074"/>
    <w:rsid w:val="007905B1"/>
    <w:rsid w:val="00790918"/>
    <w:rsid w:val="00792553"/>
    <w:rsid w:val="00792871"/>
    <w:rsid w:val="00794B77"/>
    <w:rsid w:val="00794F91"/>
    <w:rsid w:val="007978CE"/>
    <w:rsid w:val="00797B1D"/>
    <w:rsid w:val="007A17AE"/>
    <w:rsid w:val="007A33F3"/>
    <w:rsid w:val="007A526D"/>
    <w:rsid w:val="007A57CF"/>
    <w:rsid w:val="007A7302"/>
    <w:rsid w:val="007A7450"/>
    <w:rsid w:val="007B1BA9"/>
    <w:rsid w:val="007B4CA8"/>
    <w:rsid w:val="007B75A5"/>
    <w:rsid w:val="007C07C1"/>
    <w:rsid w:val="007C11ED"/>
    <w:rsid w:val="007C2CD5"/>
    <w:rsid w:val="007C3605"/>
    <w:rsid w:val="007C370F"/>
    <w:rsid w:val="007C52AA"/>
    <w:rsid w:val="007C6C30"/>
    <w:rsid w:val="007C7314"/>
    <w:rsid w:val="007D08E5"/>
    <w:rsid w:val="007D3317"/>
    <w:rsid w:val="007D5A90"/>
    <w:rsid w:val="007D7543"/>
    <w:rsid w:val="007E47D5"/>
    <w:rsid w:val="007E752C"/>
    <w:rsid w:val="007E7E37"/>
    <w:rsid w:val="007F03CB"/>
    <w:rsid w:val="007F15B5"/>
    <w:rsid w:val="007F4A5B"/>
    <w:rsid w:val="007F589C"/>
    <w:rsid w:val="007F7EC6"/>
    <w:rsid w:val="0080000D"/>
    <w:rsid w:val="00800158"/>
    <w:rsid w:val="00800376"/>
    <w:rsid w:val="00800D6F"/>
    <w:rsid w:val="00803EB6"/>
    <w:rsid w:val="008053E5"/>
    <w:rsid w:val="00806A16"/>
    <w:rsid w:val="00806A53"/>
    <w:rsid w:val="00806D21"/>
    <w:rsid w:val="00806E16"/>
    <w:rsid w:val="00807242"/>
    <w:rsid w:val="00810642"/>
    <w:rsid w:val="00812E02"/>
    <w:rsid w:val="0081456C"/>
    <w:rsid w:val="0081786A"/>
    <w:rsid w:val="00817C56"/>
    <w:rsid w:val="00817E7D"/>
    <w:rsid w:val="00820A82"/>
    <w:rsid w:val="008228FD"/>
    <w:rsid w:val="00825C48"/>
    <w:rsid w:val="0083329E"/>
    <w:rsid w:val="008354E2"/>
    <w:rsid w:val="00835A11"/>
    <w:rsid w:val="00836846"/>
    <w:rsid w:val="00841F8C"/>
    <w:rsid w:val="0084210A"/>
    <w:rsid w:val="00842CBB"/>
    <w:rsid w:val="008434CC"/>
    <w:rsid w:val="00843B5D"/>
    <w:rsid w:val="00844C41"/>
    <w:rsid w:val="00845D36"/>
    <w:rsid w:val="0084639A"/>
    <w:rsid w:val="00846DEA"/>
    <w:rsid w:val="00847760"/>
    <w:rsid w:val="00850698"/>
    <w:rsid w:val="00853CBD"/>
    <w:rsid w:val="00855F90"/>
    <w:rsid w:val="008567B4"/>
    <w:rsid w:val="00857B95"/>
    <w:rsid w:val="00860E6C"/>
    <w:rsid w:val="0086308D"/>
    <w:rsid w:val="00864D8F"/>
    <w:rsid w:val="00865232"/>
    <w:rsid w:val="00865677"/>
    <w:rsid w:val="008678DF"/>
    <w:rsid w:val="00873F7C"/>
    <w:rsid w:val="0087455B"/>
    <w:rsid w:val="00875343"/>
    <w:rsid w:val="00875DA8"/>
    <w:rsid w:val="00876AC8"/>
    <w:rsid w:val="008860CD"/>
    <w:rsid w:val="00886EA2"/>
    <w:rsid w:val="00887332"/>
    <w:rsid w:val="008873AB"/>
    <w:rsid w:val="00887AA4"/>
    <w:rsid w:val="00891728"/>
    <w:rsid w:val="008935BA"/>
    <w:rsid w:val="00894D9C"/>
    <w:rsid w:val="0089525E"/>
    <w:rsid w:val="008A24EF"/>
    <w:rsid w:val="008A4CAA"/>
    <w:rsid w:val="008A5CB0"/>
    <w:rsid w:val="008A5CFC"/>
    <w:rsid w:val="008B259E"/>
    <w:rsid w:val="008B2A00"/>
    <w:rsid w:val="008B3170"/>
    <w:rsid w:val="008B5B2C"/>
    <w:rsid w:val="008B7817"/>
    <w:rsid w:val="008C0ED2"/>
    <w:rsid w:val="008C1833"/>
    <w:rsid w:val="008C1F79"/>
    <w:rsid w:val="008C33F9"/>
    <w:rsid w:val="008C35A1"/>
    <w:rsid w:val="008C4888"/>
    <w:rsid w:val="008C4AA5"/>
    <w:rsid w:val="008D03BF"/>
    <w:rsid w:val="008E26F5"/>
    <w:rsid w:val="008E7D8B"/>
    <w:rsid w:val="008F10E6"/>
    <w:rsid w:val="008F26BD"/>
    <w:rsid w:val="008F432D"/>
    <w:rsid w:val="008F45BD"/>
    <w:rsid w:val="008F4F84"/>
    <w:rsid w:val="00900FE9"/>
    <w:rsid w:val="00905571"/>
    <w:rsid w:val="00905AAA"/>
    <w:rsid w:val="009119F3"/>
    <w:rsid w:val="0091279C"/>
    <w:rsid w:val="00912FF2"/>
    <w:rsid w:val="00914A54"/>
    <w:rsid w:val="00914EC8"/>
    <w:rsid w:val="00916AD6"/>
    <w:rsid w:val="00916F5D"/>
    <w:rsid w:val="0091710C"/>
    <w:rsid w:val="009202E4"/>
    <w:rsid w:val="00920393"/>
    <w:rsid w:val="00921B97"/>
    <w:rsid w:val="009222A7"/>
    <w:rsid w:val="00923750"/>
    <w:rsid w:val="00923943"/>
    <w:rsid w:val="00923FE7"/>
    <w:rsid w:val="00924C61"/>
    <w:rsid w:val="00927124"/>
    <w:rsid w:val="00927DA9"/>
    <w:rsid w:val="00931617"/>
    <w:rsid w:val="009316E4"/>
    <w:rsid w:val="00931CE2"/>
    <w:rsid w:val="009320DC"/>
    <w:rsid w:val="00934F04"/>
    <w:rsid w:val="0093627C"/>
    <w:rsid w:val="0093644E"/>
    <w:rsid w:val="009418AE"/>
    <w:rsid w:val="00943C03"/>
    <w:rsid w:val="00944D3E"/>
    <w:rsid w:val="00946D40"/>
    <w:rsid w:val="0094704B"/>
    <w:rsid w:val="00950997"/>
    <w:rsid w:val="00956421"/>
    <w:rsid w:val="00962BBF"/>
    <w:rsid w:val="009641ED"/>
    <w:rsid w:val="009726C9"/>
    <w:rsid w:val="00974CD8"/>
    <w:rsid w:val="00976A28"/>
    <w:rsid w:val="00977CD6"/>
    <w:rsid w:val="00977D9E"/>
    <w:rsid w:val="00980AD3"/>
    <w:rsid w:val="009927B7"/>
    <w:rsid w:val="0099337F"/>
    <w:rsid w:val="00995AC0"/>
    <w:rsid w:val="009964E3"/>
    <w:rsid w:val="00996CCB"/>
    <w:rsid w:val="0099709F"/>
    <w:rsid w:val="009979FE"/>
    <w:rsid w:val="009A03DC"/>
    <w:rsid w:val="009A0653"/>
    <w:rsid w:val="009A2DE0"/>
    <w:rsid w:val="009A420E"/>
    <w:rsid w:val="009B0A6B"/>
    <w:rsid w:val="009B18F7"/>
    <w:rsid w:val="009B2097"/>
    <w:rsid w:val="009B6AA5"/>
    <w:rsid w:val="009C0E7E"/>
    <w:rsid w:val="009C25F9"/>
    <w:rsid w:val="009C2B1E"/>
    <w:rsid w:val="009C2F61"/>
    <w:rsid w:val="009C2F6A"/>
    <w:rsid w:val="009C50E8"/>
    <w:rsid w:val="009D0223"/>
    <w:rsid w:val="009D0BC7"/>
    <w:rsid w:val="009D0C06"/>
    <w:rsid w:val="009D0FA8"/>
    <w:rsid w:val="009D40E0"/>
    <w:rsid w:val="009D530F"/>
    <w:rsid w:val="009D70CC"/>
    <w:rsid w:val="009D7858"/>
    <w:rsid w:val="009E5248"/>
    <w:rsid w:val="009E70D1"/>
    <w:rsid w:val="009F1F87"/>
    <w:rsid w:val="009F4945"/>
    <w:rsid w:val="009F4C16"/>
    <w:rsid w:val="009F6BFB"/>
    <w:rsid w:val="009F74EC"/>
    <w:rsid w:val="00A00B38"/>
    <w:rsid w:val="00A01707"/>
    <w:rsid w:val="00A03A3F"/>
    <w:rsid w:val="00A03E02"/>
    <w:rsid w:val="00A0569D"/>
    <w:rsid w:val="00A15429"/>
    <w:rsid w:val="00A22897"/>
    <w:rsid w:val="00A26D22"/>
    <w:rsid w:val="00A273D3"/>
    <w:rsid w:val="00A3148E"/>
    <w:rsid w:val="00A3207D"/>
    <w:rsid w:val="00A327E7"/>
    <w:rsid w:val="00A35A2D"/>
    <w:rsid w:val="00A41BE3"/>
    <w:rsid w:val="00A440CB"/>
    <w:rsid w:val="00A4595A"/>
    <w:rsid w:val="00A473A8"/>
    <w:rsid w:val="00A50340"/>
    <w:rsid w:val="00A51419"/>
    <w:rsid w:val="00A52428"/>
    <w:rsid w:val="00A52A53"/>
    <w:rsid w:val="00A52FA4"/>
    <w:rsid w:val="00A55028"/>
    <w:rsid w:val="00A61B89"/>
    <w:rsid w:val="00A61E5D"/>
    <w:rsid w:val="00A61E7A"/>
    <w:rsid w:val="00A627E9"/>
    <w:rsid w:val="00A64BA6"/>
    <w:rsid w:val="00A666AC"/>
    <w:rsid w:val="00A676D4"/>
    <w:rsid w:val="00A732EE"/>
    <w:rsid w:val="00A7387E"/>
    <w:rsid w:val="00A7776F"/>
    <w:rsid w:val="00A802F6"/>
    <w:rsid w:val="00A80FD6"/>
    <w:rsid w:val="00A82FCC"/>
    <w:rsid w:val="00A853B3"/>
    <w:rsid w:val="00A85D82"/>
    <w:rsid w:val="00A86DAB"/>
    <w:rsid w:val="00A9377C"/>
    <w:rsid w:val="00A93CBD"/>
    <w:rsid w:val="00A95633"/>
    <w:rsid w:val="00A97790"/>
    <w:rsid w:val="00AB046F"/>
    <w:rsid w:val="00AB31CF"/>
    <w:rsid w:val="00AB409A"/>
    <w:rsid w:val="00AB4E26"/>
    <w:rsid w:val="00AB5AF4"/>
    <w:rsid w:val="00AB77E0"/>
    <w:rsid w:val="00AB7C2E"/>
    <w:rsid w:val="00AC179D"/>
    <w:rsid w:val="00AC1CF9"/>
    <w:rsid w:val="00AC485D"/>
    <w:rsid w:val="00AC5E00"/>
    <w:rsid w:val="00AC6FEB"/>
    <w:rsid w:val="00AD03EC"/>
    <w:rsid w:val="00AD2318"/>
    <w:rsid w:val="00AD45C9"/>
    <w:rsid w:val="00AD45F0"/>
    <w:rsid w:val="00AD4955"/>
    <w:rsid w:val="00AD6F6D"/>
    <w:rsid w:val="00AD7FF8"/>
    <w:rsid w:val="00AE07AD"/>
    <w:rsid w:val="00AE1CCE"/>
    <w:rsid w:val="00AE3A06"/>
    <w:rsid w:val="00AE3BCF"/>
    <w:rsid w:val="00AE4A62"/>
    <w:rsid w:val="00AE66B8"/>
    <w:rsid w:val="00AF2B0A"/>
    <w:rsid w:val="00B00928"/>
    <w:rsid w:val="00B01A62"/>
    <w:rsid w:val="00B02D91"/>
    <w:rsid w:val="00B04324"/>
    <w:rsid w:val="00B10769"/>
    <w:rsid w:val="00B14030"/>
    <w:rsid w:val="00B14C06"/>
    <w:rsid w:val="00B155DC"/>
    <w:rsid w:val="00B1771E"/>
    <w:rsid w:val="00B220B9"/>
    <w:rsid w:val="00B24407"/>
    <w:rsid w:val="00B25484"/>
    <w:rsid w:val="00B2673F"/>
    <w:rsid w:val="00B27B3A"/>
    <w:rsid w:val="00B325C9"/>
    <w:rsid w:val="00B32886"/>
    <w:rsid w:val="00B33AEF"/>
    <w:rsid w:val="00B35DBC"/>
    <w:rsid w:val="00B420ED"/>
    <w:rsid w:val="00B42303"/>
    <w:rsid w:val="00B433A1"/>
    <w:rsid w:val="00B440CF"/>
    <w:rsid w:val="00B450CA"/>
    <w:rsid w:val="00B4536B"/>
    <w:rsid w:val="00B469FA"/>
    <w:rsid w:val="00B500CA"/>
    <w:rsid w:val="00B532FD"/>
    <w:rsid w:val="00B53DE0"/>
    <w:rsid w:val="00B540BA"/>
    <w:rsid w:val="00B544A7"/>
    <w:rsid w:val="00B56EA0"/>
    <w:rsid w:val="00B62C6E"/>
    <w:rsid w:val="00B70004"/>
    <w:rsid w:val="00B7156E"/>
    <w:rsid w:val="00B73AC8"/>
    <w:rsid w:val="00B7629D"/>
    <w:rsid w:val="00B7639A"/>
    <w:rsid w:val="00B7693A"/>
    <w:rsid w:val="00B76F67"/>
    <w:rsid w:val="00B808AB"/>
    <w:rsid w:val="00B82A4D"/>
    <w:rsid w:val="00B879A6"/>
    <w:rsid w:val="00B903CD"/>
    <w:rsid w:val="00B9200D"/>
    <w:rsid w:val="00B93AFD"/>
    <w:rsid w:val="00B95125"/>
    <w:rsid w:val="00B95C3D"/>
    <w:rsid w:val="00BA0C2D"/>
    <w:rsid w:val="00BA326F"/>
    <w:rsid w:val="00BA3C16"/>
    <w:rsid w:val="00BA42E8"/>
    <w:rsid w:val="00BA641F"/>
    <w:rsid w:val="00BA7011"/>
    <w:rsid w:val="00BA73B7"/>
    <w:rsid w:val="00BB0BAE"/>
    <w:rsid w:val="00BB299D"/>
    <w:rsid w:val="00BB2D4B"/>
    <w:rsid w:val="00BB657A"/>
    <w:rsid w:val="00BB7DD2"/>
    <w:rsid w:val="00BC3791"/>
    <w:rsid w:val="00BC4126"/>
    <w:rsid w:val="00BC42FF"/>
    <w:rsid w:val="00BC4AAC"/>
    <w:rsid w:val="00BC710E"/>
    <w:rsid w:val="00BD4939"/>
    <w:rsid w:val="00BD5DF8"/>
    <w:rsid w:val="00BD6C0D"/>
    <w:rsid w:val="00BD6DE9"/>
    <w:rsid w:val="00BE0CD6"/>
    <w:rsid w:val="00BE70C3"/>
    <w:rsid w:val="00BF1038"/>
    <w:rsid w:val="00BF13CC"/>
    <w:rsid w:val="00BF202B"/>
    <w:rsid w:val="00BF323D"/>
    <w:rsid w:val="00BF434C"/>
    <w:rsid w:val="00BF7CAC"/>
    <w:rsid w:val="00BF7DD4"/>
    <w:rsid w:val="00C05748"/>
    <w:rsid w:val="00C05E05"/>
    <w:rsid w:val="00C07C76"/>
    <w:rsid w:val="00C10567"/>
    <w:rsid w:val="00C10CED"/>
    <w:rsid w:val="00C119C9"/>
    <w:rsid w:val="00C17C7A"/>
    <w:rsid w:val="00C21EBB"/>
    <w:rsid w:val="00C2296F"/>
    <w:rsid w:val="00C22D53"/>
    <w:rsid w:val="00C23138"/>
    <w:rsid w:val="00C2349C"/>
    <w:rsid w:val="00C242DD"/>
    <w:rsid w:val="00C31072"/>
    <w:rsid w:val="00C31AD6"/>
    <w:rsid w:val="00C33455"/>
    <w:rsid w:val="00C34902"/>
    <w:rsid w:val="00C43819"/>
    <w:rsid w:val="00C5034C"/>
    <w:rsid w:val="00C52E32"/>
    <w:rsid w:val="00C5311B"/>
    <w:rsid w:val="00C5671D"/>
    <w:rsid w:val="00C57F68"/>
    <w:rsid w:val="00C61DA5"/>
    <w:rsid w:val="00C61F25"/>
    <w:rsid w:val="00C64492"/>
    <w:rsid w:val="00C64508"/>
    <w:rsid w:val="00C70998"/>
    <w:rsid w:val="00C70CEA"/>
    <w:rsid w:val="00C73224"/>
    <w:rsid w:val="00C73546"/>
    <w:rsid w:val="00C73AC6"/>
    <w:rsid w:val="00C75AC7"/>
    <w:rsid w:val="00C76E88"/>
    <w:rsid w:val="00C77354"/>
    <w:rsid w:val="00C8176C"/>
    <w:rsid w:val="00C81DBC"/>
    <w:rsid w:val="00C82AFA"/>
    <w:rsid w:val="00C83F72"/>
    <w:rsid w:val="00C844C3"/>
    <w:rsid w:val="00C8568C"/>
    <w:rsid w:val="00C85792"/>
    <w:rsid w:val="00C91304"/>
    <w:rsid w:val="00C933B7"/>
    <w:rsid w:val="00CA00F0"/>
    <w:rsid w:val="00CA17AD"/>
    <w:rsid w:val="00CA2B91"/>
    <w:rsid w:val="00CA426C"/>
    <w:rsid w:val="00CA4ED3"/>
    <w:rsid w:val="00CA72A7"/>
    <w:rsid w:val="00CA73EE"/>
    <w:rsid w:val="00CB2638"/>
    <w:rsid w:val="00CB4062"/>
    <w:rsid w:val="00CB5EA7"/>
    <w:rsid w:val="00CC036E"/>
    <w:rsid w:val="00CC0A35"/>
    <w:rsid w:val="00CC3CA9"/>
    <w:rsid w:val="00CC58B3"/>
    <w:rsid w:val="00CD1A11"/>
    <w:rsid w:val="00CD1BBB"/>
    <w:rsid w:val="00CD3321"/>
    <w:rsid w:val="00CD3723"/>
    <w:rsid w:val="00CD4631"/>
    <w:rsid w:val="00CD53EE"/>
    <w:rsid w:val="00CD6131"/>
    <w:rsid w:val="00CD713C"/>
    <w:rsid w:val="00CE0B23"/>
    <w:rsid w:val="00CE3A90"/>
    <w:rsid w:val="00CF0D2F"/>
    <w:rsid w:val="00CF246B"/>
    <w:rsid w:val="00CF4B2B"/>
    <w:rsid w:val="00CF6637"/>
    <w:rsid w:val="00CF73FE"/>
    <w:rsid w:val="00D024B9"/>
    <w:rsid w:val="00D04D95"/>
    <w:rsid w:val="00D0509F"/>
    <w:rsid w:val="00D07534"/>
    <w:rsid w:val="00D10223"/>
    <w:rsid w:val="00D115C4"/>
    <w:rsid w:val="00D11BBB"/>
    <w:rsid w:val="00D159B3"/>
    <w:rsid w:val="00D17B54"/>
    <w:rsid w:val="00D21E00"/>
    <w:rsid w:val="00D224F1"/>
    <w:rsid w:val="00D24E1C"/>
    <w:rsid w:val="00D25AA4"/>
    <w:rsid w:val="00D3193F"/>
    <w:rsid w:val="00D3347F"/>
    <w:rsid w:val="00D34242"/>
    <w:rsid w:val="00D35C51"/>
    <w:rsid w:val="00D42199"/>
    <w:rsid w:val="00D425BA"/>
    <w:rsid w:val="00D45223"/>
    <w:rsid w:val="00D46B85"/>
    <w:rsid w:val="00D51982"/>
    <w:rsid w:val="00D51CE4"/>
    <w:rsid w:val="00D521AA"/>
    <w:rsid w:val="00D55C21"/>
    <w:rsid w:val="00D61609"/>
    <w:rsid w:val="00D61889"/>
    <w:rsid w:val="00D6430B"/>
    <w:rsid w:val="00D65730"/>
    <w:rsid w:val="00D70F01"/>
    <w:rsid w:val="00D70F70"/>
    <w:rsid w:val="00D714DF"/>
    <w:rsid w:val="00D726D7"/>
    <w:rsid w:val="00D739A3"/>
    <w:rsid w:val="00D75715"/>
    <w:rsid w:val="00D81BF6"/>
    <w:rsid w:val="00D86439"/>
    <w:rsid w:val="00D91E87"/>
    <w:rsid w:val="00D94B74"/>
    <w:rsid w:val="00D955E8"/>
    <w:rsid w:val="00DA38F9"/>
    <w:rsid w:val="00DA7DFA"/>
    <w:rsid w:val="00DA7FC3"/>
    <w:rsid w:val="00DB1BB0"/>
    <w:rsid w:val="00DB41EE"/>
    <w:rsid w:val="00DB4BA0"/>
    <w:rsid w:val="00DB6578"/>
    <w:rsid w:val="00DB7751"/>
    <w:rsid w:val="00DB7BFF"/>
    <w:rsid w:val="00DC14E9"/>
    <w:rsid w:val="00DC33AC"/>
    <w:rsid w:val="00DC496A"/>
    <w:rsid w:val="00DC4AF9"/>
    <w:rsid w:val="00DC799F"/>
    <w:rsid w:val="00DD2599"/>
    <w:rsid w:val="00DD622E"/>
    <w:rsid w:val="00DE04B6"/>
    <w:rsid w:val="00DE0F3B"/>
    <w:rsid w:val="00DE4804"/>
    <w:rsid w:val="00DF0E1E"/>
    <w:rsid w:val="00DF2A58"/>
    <w:rsid w:val="00DF3EAE"/>
    <w:rsid w:val="00DF4D71"/>
    <w:rsid w:val="00DF4F55"/>
    <w:rsid w:val="00E03718"/>
    <w:rsid w:val="00E03CA1"/>
    <w:rsid w:val="00E05F38"/>
    <w:rsid w:val="00E06BBD"/>
    <w:rsid w:val="00E110F4"/>
    <w:rsid w:val="00E14E62"/>
    <w:rsid w:val="00E15B9B"/>
    <w:rsid w:val="00E2396C"/>
    <w:rsid w:val="00E23B2F"/>
    <w:rsid w:val="00E245A8"/>
    <w:rsid w:val="00E25EB0"/>
    <w:rsid w:val="00E25F83"/>
    <w:rsid w:val="00E27267"/>
    <w:rsid w:val="00E27A17"/>
    <w:rsid w:val="00E27A68"/>
    <w:rsid w:val="00E329D2"/>
    <w:rsid w:val="00E33E2F"/>
    <w:rsid w:val="00E35065"/>
    <w:rsid w:val="00E3558B"/>
    <w:rsid w:val="00E36592"/>
    <w:rsid w:val="00E402F1"/>
    <w:rsid w:val="00E4062F"/>
    <w:rsid w:val="00E40B20"/>
    <w:rsid w:val="00E411EA"/>
    <w:rsid w:val="00E4173F"/>
    <w:rsid w:val="00E425E9"/>
    <w:rsid w:val="00E430DB"/>
    <w:rsid w:val="00E45BE7"/>
    <w:rsid w:val="00E46DD4"/>
    <w:rsid w:val="00E55028"/>
    <w:rsid w:val="00E56350"/>
    <w:rsid w:val="00E56D87"/>
    <w:rsid w:val="00E60810"/>
    <w:rsid w:val="00E6123D"/>
    <w:rsid w:val="00E700F0"/>
    <w:rsid w:val="00E7172D"/>
    <w:rsid w:val="00E733B9"/>
    <w:rsid w:val="00E749F1"/>
    <w:rsid w:val="00E750BB"/>
    <w:rsid w:val="00E757CE"/>
    <w:rsid w:val="00E75F9A"/>
    <w:rsid w:val="00E769E3"/>
    <w:rsid w:val="00E80453"/>
    <w:rsid w:val="00E85764"/>
    <w:rsid w:val="00E8708E"/>
    <w:rsid w:val="00E87213"/>
    <w:rsid w:val="00E92440"/>
    <w:rsid w:val="00E976D4"/>
    <w:rsid w:val="00EA18E5"/>
    <w:rsid w:val="00EA288C"/>
    <w:rsid w:val="00EA2CAC"/>
    <w:rsid w:val="00EA5480"/>
    <w:rsid w:val="00EA58D9"/>
    <w:rsid w:val="00EA5913"/>
    <w:rsid w:val="00EA5B0E"/>
    <w:rsid w:val="00EB179C"/>
    <w:rsid w:val="00EB63F2"/>
    <w:rsid w:val="00EC298F"/>
    <w:rsid w:val="00EC4B38"/>
    <w:rsid w:val="00ED110D"/>
    <w:rsid w:val="00ED124E"/>
    <w:rsid w:val="00ED3EBE"/>
    <w:rsid w:val="00ED42CD"/>
    <w:rsid w:val="00EE2F68"/>
    <w:rsid w:val="00EE51A0"/>
    <w:rsid w:val="00EE5BD7"/>
    <w:rsid w:val="00EE7100"/>
    <w:rsid w:val="00EF1C6B"/>
    <w:rsid w:val="00EF28F3"/>
    <w:rsid w:val="00EF2DF0"/>
    <w:rsid w:val="00EF33DF"/>
    <w:rsid w:val="00EF3FAD"/>
    <w:rsid w:val="00EF4F80"/>
    <w:rsid w:val="00EF5589"/>
    <w:rsid w:val="00EF573B"/>
    <w:rsid w:val="00F01B27"/>
    <w:rsid w:val="00F02E79"/>
    <w:rsid w:val="00F04ECF"/>
    <w:rsid w:val="00F0650A"/>
    <w:rsid w:val="00F06FAC"/>
    <w:rsid w:val="00F070AE"/>
    <w:rsid w:val="00F07ABF"/>
    <w:rsid w:val="00F1092A"/>
    <w:rsid w:val="00F146D2"/>
    <w:rsid w:val="00F14EAA"/>
    <w:rsid w:val="00F150F1"/>
    <w:rsid w:val="00F2534F"/>
    <w:rsid w:val="00F348B6"/>
    <w:rsid w:val="00F34EFF"/>
    <w:rsid w:val="00F405FD"/>
    <w:rsid w:val="00F40CDB"/>
    <w:rsid w:val="00F4197C"/>
    <w:rsid w:val="00F42741"/>
    <w:rsid w:val="00F47A84"/>
    <w:rsid w:val="00F55981"/>
    <w:rsid w:val="00F56620"/>
    <w:rsid w:val="00F614E3"/>
    <w:rsid w:val="00F61E00"/>
    <w:rsid w:val="00F61FB1"/>
    <w:rsid w:val="00F623DC"/>
    <w:rsid w:val="00F70C22"/>
    <w:rsid w:val="00F743F2"/>
    <w:rsid w:val="00F81181"/>
    <w:rsid w:val="00F84063"/>
    <w:rsid w:val="00F840EB"/>
    <w:rsid w:val="00F85761"/>
    <w:rsid w:val="00F85D28"/>
    <w:rsid w:val="00F8729D"/>
    <w:rsid w:val="00F910E0"/>
    <w:rsid w:val="00F91460"/>
    <w:rsid w:val="00F9417C"/>
    <w:rsid w:val="00F9551D"/>
    <w:rsid w:val="00F96108"/>
    <w:rsid w:val="00F97D1D"/>
    <w:rsid w:val="00FA1F50"/>
    <w:rsid w:val="00FA5493"/>
    <w:rsid w:val="00FA5B28"/>
    <w:rsid w:val="00FB0731"/>
    <w:rsid w:val="00FB2717"/>
    <w:rsid w:val="00FB2BA5"/>
    <w:rsid w:val="00FB4DD8"/>
    <w:rsid w:val="00FB7012"/>
    <w:rsid w:val="00FC4A39"/>
    <w:rsid w:val="00FC5582"/>
    <w:rsid w:val="00FC5D8A"/>
    <w:rsid w:val="00FD11A0"/>
    <w:rsid w:val="00FD1B59"/>
    <w:rsid w:val="00FD259F"/>
    <w:rsid w:val="00FD4926"/>
    <w:rsid w:val="00FD51F7"/>
    <w:rsid w:val="00FE0512"/>
    <w:rsid w:val="00FE0965"/>
    <w:rsid w:val="00FE0A0F"/>
    <w:rsid w:val="00FE0C27"/>
    <w:rsid w:val="00FE1359"/>
    <w:rsid w:val="00FE2BCE"/>
    <w:rsid w:val="00FE36C5"/>
    <w:rsid w:val="00FE3EAF"/>
    <w:rsid w:val="00FE5C9B"/>
    <w:rsid w:val="00FF09E3"/>
    <w:rsid w:val="00FF2F15"/>
    <w:rsid w:val="00FF333A"/>
    <w:rsid w:val="00FF45AA"/>
    <w:rsid w:val="00FF4C7F"/>
    <w:rsid w:val="00FF5B11"/>
    <w:rsid w:val="00FF67D8"/>
    <w:rsid w:val="00FF6F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31752FD"/>
  <w15:chartTrackingRefBased/>
  <w15:docId w15:val="{084B02A5-6DE8-4E3B-96CD-B9C521F28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4604"/>
    <w:pPr>
      <w:jc w:val="both"/>
    </w:pPr>
    <w:rPr>
      <w:rFonts w:ascii="Times New Roman" w:hAnsi="Times New Roman" w:cs="Times New Roman"/>
      <w:sz w:val="24"/>
    </w:rPr>
  </w:style>
  <w:style w:type="paragraph" w:styleId="Heading1">
    <w:name w:val="heading 1"/>
    <w:basedOn w:val="Normal"/>
    <w:next w:val="Normal"/>
    <w:link w:val="Heading1Char"/>
    <w:qFormat/>
    <w:rsid w:val="00067E7F"/>
    <w:pPr>
      <w:keepNext/>
      <w:keepLines/>
      <w:numPr>
        <w:numId w:val="5"/>
      </w:numPr>
      <w:spacing w:after="0" w:line="276" w:lineRule="auto"/>
      <w:outlineLvl w:val="0"/>
    </w:pPr>
    <w:rPr>
      <w:rFonts w:eastAsiaTheme="majorEastAsia"/>
      <w:b/>
      <w:szCs w:val="24"/>
    </w:rPr>
  </w:style>
  <w:style w:type="paragraph" w:styleId="Heading2">
    <w:name w:val="heading 2"/>
    <w:basedOn w:val="Normal"/>
    <w:next w:val="Normal"/>
    <w:link w:val="Heading2Char"/>
    <w:uiPriority w:val="99"/>
    <w:unhideWhenUsed/>
    <w:qFormat/>
    <w:rsid w:val="00406EF4"/>
    <w:pPr>
      <w:keepNext/>
      <w:keepLines/>
      <w:numPr>
        <w:ilvl w:val="1"/>
        <w:numId w:val="5"/>
      </w:numPr>
      <w:spacing w:before="40" w:after="0"/>
      <w:outlineLvl w:val="1"/>
    </w:pPr>
    <w:rPr>
      <w:rFonts w:eastAsiaTheme="majorEastAsia"/>
      <w:b/>
      <w:szCs w:val="26"/>
    </w:rPr>
  </w:style>
  <w:style w:type="paragraph" w:styleId="Heading3">
    <w:name w:val="heading 3"/>
    <w:basedOn w:val="Heading2"/>
    <w:next w:val="Normal"/>
    <w:link w:val="Heading3Char"/>
    <w:uiPriority w:val="9"/>
    <w:unhideWhenUsed/>
    <w:qFormat/>
    <w:rsid w:val="000E5445"/>
    <w:pPr>
      <w:numPr>
        <w:ilvl w:val="2"/>
      </w:numPr>
      <w:outlineLvl w:val="2"/>
    </w:pPr>
    <w:rPr>
      <w:b w:val="0"/>
      <w:i/>
    </w:rPr>
  </w:style>
  <w:style w:type="paragraph" w:styleId="Heading4">
    <w:name w:val="heading 4"/>
    <w:basedOn w:val="Normal"/>
    <w:next w:val="Normal"/>
    <w:link w:val="Heading4Char"/>
    <w:unhideWhenUsed/>
    <w:qFormat/>
    <w:rsid w:val="00006DE7"/>
    <w:pPr>
      <w:keepNext/>
      <w:keepLines/>
      <w:numPr>
        <w:ilvl w:val="3"/>
        <w:numId w:val="5"/>
      </w:numPr>
      <w:spacing w:before="40" w:after="0"/>
      <w:outlineLvl w:val="3"/>
    </w:pPr>
    <w:rPr>
      <w:rFonts w:eastAsiaTheme="majorEastAsia"/>
      <w:iCs/>
      <w:u w:val="single"/>
    </w:rPr>
  </w:style>
  <w:style w:type="paragraph" w:styleId="Heading5">
    <w:name w:val="heading 5"/>
    <w:basedOn w:val="Normal"/>
    <w:next w:val="Normal"/>
    <w:link w:val="Heading5Char"/>
    <w:uiPriority w:val="9"/>
    <w:semiHidden/>
    <w:unhideWhenUsed/>
    <w:qFormat/>
    <w:rsid w:val="00067E7F"/>
    <w:pPr>
      <w:keepNext/>
      <w:keepLines/>
      <w:numPr>
        <w:ilvl w:val="4"/>
        <w:numId w:val="5"/>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067E7F"/>
    <w:pPr>
      <w:keepNext/>
      <w:keepLines/>
      <w:numPr>
        <w:ilvl w:val="5"/>
        <w:numId w:val="5"/>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067E7F"/>
    <w:pPr>
      <w:keepNext/>
      <w:keepLines/>
      <w:numPr>
        <w:ilvl w:val="6"/>
        <w:numId w:val="5"/>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067E7F"/>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67E7F"/>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7E7F"/>
    <w:rPr>
      <w:rFonts w:ascii="Times New Roman" w:eastAsiaTheme="majorEastAsia" w:hAnsi="Times New Roman" w:cs="Times New Roman"/>
      <w:b/>
      <w:sz w:val="24"/>
      <w:szCs w:val="24"/>
    </w:rPr>
  </w:style>
  <w:style w:type="character" w:customStyle="1" w:styleId="Heading2Char">
    <w:name w:val="Heading 2 Char"/>
    <w:basedOn w:val="DefaultParagraphFont"/>
    <w:link w:val="Heading2"/>
    <w:uiPriority w:val="99"/>
    <w:rsid w:val="000E5445"/>
    <w:rPr>
      <w:rFonts w:ascii="Times New Roman" w:eastAsiaTheme="majorEastAsia" w:hAnsi="Times New Roman" w:cs="Times New Roman"/>
      <w:b/>
      <w:sz w:val="24"/>
      <w:szCs w:val="26"/>
    </w:rPr>
  </w:style>
  <w:style w:type="character" w:customStyle="1" w:styleId="Heading4Char">
    <w:name w:val="Heading 4 Char"/>
    <w:basedOn w:val="DefaultParagraphFont"/>
    <w:link w:val="Heading4"/>
    <w:rsid w:val="00006DE7"/>
    <w:rPr>
      <w:rFonts w:ascii="Times New Roman" w:eastAsiaTheme="majorEastAsia" w:hAnsi="Times New Roman" w:cs="Times New Roman"/>
      <w:iCs/>
      <w:sz w:val="24"/>
      <w:u w:val="single"/>
    </w:rPr>
  </w:style>
  <w:style w:type="character" w:styleId="CommentReference">
    <w:name w:val="annotation reference"/>
    <w:basedOn w:val="DefaultParagraphFont"/>
    <w:uiPriority w:val="99"/>
    <w:semiHidden/>
    <w:unhideWhenUsed/>
    <w:rsid w:val="009418AE"/>
    <w:rPr>
      <w:sz w:val="16"/>
      <w:szCs w:val="16"/>
    </w:rPr>
  </w:style>
  <w:style w:type="paragraph" w:styleId="CommentText">
    <w:name w:val="annotation text"/>
    <w:basedOn w:val="Normal"/>
    <w:link w:val="CommentTextChar"/>
    <w:uiPriority w:val="99"/>
    <w:unhideWhenUsed/>
    <w:rsid w:val="009418AE"/>
    <w:pPr>
      <w:spacing w:line="240" w:lineRule="auto"/>
    </w:pPr>
    <w:rPr>
      <w:sz w:val="20"/>
      <w:szCs w:val="20"/>
    </w:rPr>
  </w:style>
  <w:style w:type="character" w:customStyle="1" w:styleId="CommentTextChar">
    <w:name w:val="Comment Text Char"/>
    <w:basedOn w:val="DefaultParagraphFont"/>
    <w:link w:val="CommentText"/>
    <w:uiPriority w:val="99"/>
    <w:rsid w:val="009418AE"/>
    <w:rPr>
      <w:sz w:val="20"/>
      <w:szCs w:val="20"/>
    </w:rPr>
  </w:style>
  <w:style w:type="paragraph" w:styleId="BalloonText">
    <w:name w:val="Balloon Text"/>
    <w:basedOn w:val="Normal"/>
    <w:link w:val="BalloonTextChar"/>
    <w:uiPriority w:val="99"/>
    <w:semiHidden/>
    <w:unhideWhenUsed/>
    <w:rsid w:val="009418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18AE"/>
    <w:rPr>
      <w:rFonts w:ascii="Segoe UI" w:hAnsi="Segoe UI" w:cs="Segoe UI"/>
      <w:sz w:val="18"/>
      <w:szCs w:val="18"/>
    </w:rPr>
  </w:style>
  <w:style w:type="character" w:customStyle="1" w:styleId="Heading3Char">
    <w:name w:val="Heading 3 Char"/>
    <w:basedOn w:val="DefaultParagraphFont"/>
    <w:link w:val="Heading3"/>
    <w:uiPriority w:val="9"/>
    <w:rsid w:val="000E5445"/>
    <w:rPr>
      <w:rFonts w:ascii="Times New Roman" w:eastAsiaTheme="majorEastAsia" w:hAnsi="Times New Roman" w:cs="Times New Roman"/>
      <w:i/>
      <w:sz w:val="24"/>
      <w:szCs w:val="26"/>
    </w:rPr>
  </w:style>
  <w:style w:type="paragraph" w:styleId="FootnoteText">
    <w:name w:val="footnote text"/>
    <w:basedOn w:val="Normal"/>
    <w:link w:val="FootnoteTextChar"/>
    <w:unhideWhenUsed/>
    <w:rsid w:val="00636C07"/>
    <w:pPr>
      <w:spacing w:after="0" w:line="240" w:lineRule="auto"/>
    </w:pPr>
    <w:rPr>
      <w:sz w:val="20"/>
      <w:szCs w:val="20"/>
    </w:rPr>
  </w:style>
  <w:style w:type="character" w:customStyle="1" w:styleId="FootnoteTextChar">
    <w:name w:val="Footnote Text Char"/>
    <w:basedOn w:val="DefaultParagraphFont"/>
    <w:link w:val="FootnoteText"/>
    <w:rsid w:val="00636C07"/>
    <w:rPr>
      <w:rFonts w:ascii="Times New Roman" w:hAnsi="Times New Roman" w:cs="Times New Roman"/>
      <w:sz w:val="20"/>
      <w:szCs w:val="20"/>
    </w:rPr>
  </w:style>
  <w:style w:type="character" w:styleId="FootnoteReference">
    <w:name w:val="footnote reference"/>
    <w:basedOn w:val="DefaultParagraphFont"/>
    <w:semiHidden/>
    <w:unhideWhenUsed/>
    <w:rsid w:val="00636C07"/>
    <w:rPr>
      <w:vertAlign w:val="superscript"/>
    </w:rPr>
  </w:style>
  <w:style w:type="paragraph" w:styleId="Header">
    <w:name w:val="header"/>
    <w:basedOn w:val="Normal"/>
    <w:link w:val="HeaderChar"/>
    <w:uiPriority w:val="99"/>
    <w:unhideWhenUsed/>
    <w:rsid w:val="00256D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6DF4"/>
    <w:rPr>
      <w:rFonts w:ascii="Times New Roman" w:hAnsi="Times New Roman" w:cs="Times New Roman"/>
      <w:sz w:val="24"/>
    </w:rPr>
  </w:style>
  <w:style w:type="paragraph" w:styleId="Footer">
    <w:name w:val="footer"/>
    <w:basedOn w:val="Normal"/>
    <w:link w:val="FooterChar"/>
    <w:uiPriority w:val="99"/>
    <w:unhideWhenUsed/>
    <w:rsid w:val="00256D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6DF4"/>
    <w:rPr>
      <w:rFonts w:ascii="Times New Roman" w:hAnsi="Times New Roman" w:cs="Times New Roman"/>
      <w:sz w:val="24"/>
    </w:rPr>
  </w:style>
  <w:style w:type="paragraph" w:styleId="CommentSubject">
    <w:name w:val="annotation subject"/>
    <w:basedOn w:val="CommentText"/>
    <w:next w:val="CommentText"/>
    <w:link w:val="CommentSubjectChar"/>
    <w:uiPriority w:val="99"/>
    <w:semiHidden/>
    <w:unhideWhenUsed/>
    <w:rsid w:val="00BD6C0D"/>
    <w:rPr>
      <w:b/>
      <w:bCs/>
    </w:rPr>
  </w:style>
  <w:style w:type="character" w:customStyle="1" w:styleId="CommentSubjectChar">
    <w:name w:val="Comment Subject Char"/>
    <w:basedOn w:val="CommentTextChar"/>
    <w:link w:val="CommentSubject"/>
    <w:uiPriority w:val="99"/>
    <w:semiHidden/>
    <w:rsid w:val="00BD6C0D"/>
    <w:rPr>
      <w:rFonts w:ascii="Times New Roman" w:hAnsi="Times New Roman" w:cs="Times New Roman"/>
      <w:b/>
      <w:bCs/>
      <w:sz w:val="20"/>
      <w:szCs w:val="20"/>
    </w:rPr>
  </w:style>
  <w:style w:type="character" w:customStyle="1" w:styleId="Heading5Char">
    <w:name w:val="Heading 5 Char"/>
    <w:basedOn w:val="DefaultParagraphFont"/>
    <w:link w:val="Heading5"/>
    <w:uiPriority w:val="9"/>
    <w:semiHidden/>
    <w:rsid w:val="00067E7F"/>
    <w:rPr>
      <w:rFonts w:asciiTheme="majorHAnsi" w:eastAsiaTheme="majorEastAsia" w:hAnsiTheme="majorHAnsi" w:cstheme="majorBidi"/>
      <w:color w:val="2F5496" w:themeColor="accent1" w:themeShade="BF"/>
      <w:sz w:val="24"/>
    </w:rPr>
  </w:style>
  <w:style w:type="character" w:customStyle="1" w:styleId="Heading6Char">
    <w:name w:val="Heading 6 Char"/>
    <w:basedOn w:val="DefaultParagraphFont"/>
    <w:link w:val="Heading6"/>
    <w:uiPriority w:val="9"/>
    <w:semiHidden/>
    <w:rsid w:val="00067E7F"/>
    <w:rPr>
      <w:rFonts w:asciiTheme="majorHAnsi" w:eastAsiaTheme="majorEastAsia" w:hAnsiTheme="majorHAnsi" w:cstheme="majorBidi"/>
      <w:color w:val="1F3763" w:themeColor="accent1" w:themeShade="7F"/>
      <w:sz w:val="24"/>
    </w:rPr>
  </w:style>
  <w:style w:type="character" w:customStyle="1" w:styleId="Heading7Char">
    <w:name w:val="Heading 7 Char"/>
    <w:basedOn w:val="DefaultParagraphFont"/>
    <w:link w:val="Heading7"/>
    <w:uiPriority w:val="9"/>
    <w:semiHidden/>
    <w:rsid w:val="00067E7F"/>
    <w:rPr>
      <w:rFonts w:asciiTheme="majorHAnsi" w:eastAsiaTheme="majorEastAsia" w:hAnsiTheme="majorHAnsi" w:cstheme="majorBidi"/>
      <w:i/>
      <w:iCs/>
      <w:color w:val="1F3763" w:themeColor="accent1" w:themeShade="7F"/>
      <w:sz w:val="24"/>
    </w:rPr>
  </w:style>
  <w:style w:type="character" w:customStyle="1" w:styleId="Heading8Char">
    <w:name w:val="Heading 8 Char"/>
    <w:basedOn w:val="DefaultParagraphFont"/>
    <w:link w:val="Heading8"/>
    <w:uiPriority w:val="9"/>
    <w:semiHidden/>
    <w:rsid w:val="00067E7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67E7F"/>
    <w:rPr>
      <w:rFonts w:asciiTheme="majorHAnsi" w:eastAsiaTheme="majorEastAsia" w:hAnsiTheme="majorHAnsi" w:cstheme="majorBidi"/>
      <w:i/>
      <w:iCs/>
      <w:color w:val="272727" w:themeColor="text1" w:themeTint="D8"/>
      <w:sz w:val="21"/>
      <w:szCs w:val="21"/>
    </w:rPr>
  </w:style>
  <w:style w:type="character" w:styleId="Hyperlink">
    <w:name w:val="Hyperlink"/>
    <w:uiPriority w:val="99"/>
    <w:unhideWhenUsed/>
    <w:rsid w:val="00067E7F"/>
    <w:rPr>
      <w:rFonts w:ascii="Times New Roman" w:hAnsi="Times New Roman" w:cs="Times New Roman" w:hint="default"/>
      <w:color w:val="0000FF"/>
      <w:u w:val="single"/>
    </w:rPr>
  </w:style>
  <w:style w:type="character" w:styleId="FollowedHyperlink">
    <w:name w:val="FollowedHyperlink"/>
    <w:basedOn w:val="DefaultParagraphFont"/>
    <w:uiPriority w:val="99"/>
    <w:semiHidden/>
    <w:unhideWhenUsed/>
    <w:rsid w:val="00067E7F"/>
    <w:rPr>
      <w:color w:val="954F72" w:themeColor="followedHyperlink"/>
      <w:u w:val="single"/>
    </w:rPr>
  </w:style>
  <w:style w:type="character" w:styleId="Emphasis">
    <w:name w:val="Emphasis"/>
    <w:uiPriority w:val="99"/>
    <w:qFormat/>
    <w:rsid w:val="00067E7F"/>
    <w:rPr>
      <w:rFonts w:ascii="Times New Roman" w:hAnsi="Times New Roman" w:cs="Times New Roman" w:hint="default"/>
      <w:i/>
      <w:iCs w:val="0"/>
    </w:rPr>
  </w:style>
  <w:style w:type="character" w:styleId="Strong">
    <w:name w:val="Strong"/>
    <w:uiPriority w:val="99"/>
    <w:qFormat/>
    <w:rsid w:val="00067E7F"/>
    <w:rPr>
      <w:rFonts w:ascii="Times New Roman" w:hAnsi="Times New Roman" w:cs="Times New Roman" w:hint="default"/>
      <w:b/>
      <w:bCs w:val="0"/>
    </w:rPr>
  </w:style>
  <w:style w:type="paragraph" w:customStyle="1" w:styleId="msonormal0">
    <w:name w:val="msonormal"/>
    <w:basedOn w:val="Normal"/>
    <w:uiPriority w:val="99"/>
    <w:rsid w:val="00067E7F"/>
    <w:pPr>
      <w:spacing w:before="100" w:beforeAutospacing="1" w:after="100" w:afterAutospacing="1" w:line="240" w:lineRule="auto"/>
    </w:pPr>
    <w:rPr>
      <w:rFonts w:eastAsia="MS Mincho"/>
      <w:szCs w:val="24"/>
      <w:lang w:eastAsia="ja-JP"/>
    </w:rPr>
  </w:style>
  <w:style w:type="paragraph" w:styleId="NormalWeb">
    <w:name w:val="Normal (Web)"/>
    <w:basedOn w:val="Normal"/>
    <w:uiPriority w:val="99"/>
    <w:unhideWhenUsed/>
    <w:rsid w:val="00067E7F"/>
    <w:pPr>
      <w:spacing w:before="100" w:beforeAutospacing="1" w:after="100" w:afterAutospacing="1" w:line="240" w:lineRule="auto"/>
    </w:pPr>
    <w:rPr>
      <w:rFonts w:eastAsia="MS Mincho"/>
      <w:szCs w:val="24"/>
      <w:lang w:eastAsia="ja-JP"/>
    </w:rPr>
  </w:style>
  <w:style w:type="paragraph" w:styleId="BodyText">
    <w:name w:val="Body Text"/>
    <w:basedOn w:val="Normal"/>
    <w:link w:val="BodyTextChar1"/>
    <w:uiPriority w:val="99"/>
    <w:semiHidden/>
    <w:unhideWhenUsed/>
    <w:rsid w:val="00067E7F"/>
    <w:pPr>
      <w:spacing w:before="100" w:beforeAutospacing="1" w:after="100" w:afterAutospacing="1" w:line="240" w:lineRule="auto"/>
    </w:pPr>
    <w:rPr>
      <w:rFonts w:ascii="Calibri" w:eastAsia="Calibri" w:hAnsi="Calibri"/>
      <w:sz w:val="20"/>
      <w:szCs w:val="20"/>
      <w:lang w:val="x-none" w:eastAsia="x-none"/>
    </w:rPr>
  </w:style>
  <w:style w:type="character" w:customStyle="1" w:styleId="BodyTextChar">
    <w:name w:val="Body Text Char"/>
    <w:basedOn w:val="DefaultParagraphFont"/>
    <w:uiPriority w:val="99"/>
    <w:semiHidden/>
    <w:rsid w:val="00067E7F"/>
    <w:rPr>
      <w:rFonts w:ascii="Times New Roman" w:hAnsi="Times New Roman" w:cs="Times New Roman"/>
      <w:sz w:val="24"/>
    </w:rPr>
  </w:style>
  <w:style w:type="paragraph" w:styleId="ListParagraph">
    <w:name w:val="List Paragraph"/>
    <w:basedOn w:val="Normal"/>
    <w:uiPriority w:val="34"/>
    <w:qFormat/>
    <w:rsid w:val="00067E7F"/>
    <w:pPr>
      <w:spacing w:after="200" w:line="276" w:lineRule="auto"/>
      <w:ind w:left="720"/>
      <w:contextualSpacing/>
      <w:jc w:val="left"/>
    </w:pPr>
    <w:rPr>
      <w:rFonts w:ascii="Calibri" w:eastAsia="Calibri" w:hAnsi="Calibri"/>
      <w:sz w:val="22"/>
    </w:rPr>
  </w:style>
  <w:style w:type="paragraph" w:customStyle="1" w:styleId="Default">
    <w:name w:val="Default"/>
    <w:uiPriority w:val="99"/>
    <w:rsid w:val="00067E7F"/>
    <w:pPr>
      <w:autoSpaceDE w:val="0"/>
      <w:autoSpaceDN w:val="0"/>
      <w:adjustRightInd w:val="0"/>
      <w:spacing w:after="0" w:line="240" w:lineRule="auto"/>
    </w:pPr>
    <w:rPr>
      <w:rFonts w:ascii="Gotham" w:eastAsia="Times New Roman" w:hAnsi="Gotham" w:cs="Gotham"/>
      <w:color w:val="000000"/>
      <w:sz w:val="24"/>
      <w:szCs w:val="24"/>
    </w:rPr>
  </w:style>
  <w:style w:type="paragraph" w:customStyle="1" w:styleId="CM3">
    <w:name w:val="CM3"/>
    <w:basedOn w:val="Default"/>
    <w:next w:val="Default"/>
    <w:uiPriority w:val="99"/>
    <w:rsid w:val="00067E7F"/>
    <w:pPr>
      <w:widowControl w:val="0"/>
      <w:spacing w:line="568" w:lineRule="atLeast"/>
    </w:pPr>
    <w:rPr>
      <w:rFonts w:ascii="Times New Roman" w:eastAsia="Calibri" w:hAnsi="Times New Roman" w:cs="Times New Roman"/>
      <w:color w:val="auto"/>
    </w:rPr>
  </w:style>
  <w:style w:type="character" w:customStyle="1" w:styleId="FootnoteTextChar1">
    <w:name w:val="Footnote Text Char1"/>
    <w:basedOn w:val="DefaultParagraphFont"/>
    <w:uiPriority w:val="99"/>
    <w:semiHidden/>
    <w:locked/>
    <w:rsid w:val="00067E7F"/>
    <w:rPr>
      <w:rFonts w:ascii="Calibri" w:eastAsia="Calibri" w:hAnsi="Calibri" w:cs="Times New Roman"/>
      <w:sz w:val="20"/>
      <w:szCs w:val="20"/>
      <w:lang w:val="x-none" w:eastAsia="x-none"/>
    </w:rPr>
  </w:style>
  <w:style w:type="character" w:customStyle="1" w:styleId="HeaderChar1">
    <w:name w:val="Header Char1"/>
    <w:basedOn w:val="DefaultParagraphFont"/>
    <w:uiPriority w:val="99"/>
    <w:semiHidden/>
    <w:locked/>
    <w:rsid w:val="00067E7F"/>
    <w:rPr>
      <w:rFonts w:ascii="Calibri" w:eastAsia="Calibri" w:hAnsi="Calibri" w:cs="Times New Roman"/>
      <w:sz w:val="20"/>
      <w:szCs w:val="20"/>
      <w:lang w:val="x-none" w:eastAsia="x-none"/>
    </w:rPr>
  </w:style>
  <w:style w:type="character" w:customStyle="1" w:styleId="FooterChar1">
    <w:name w:val="Footer Char1"/>
    <w:basedOn w:val="DefaultParagraphFont"/>
    <w:uiPriority w:val="99"/>
    <w:semiHidden/>
    <w:locked/>
    <w:rsid w:val="00067E7F"/>
    <w:rPr>
      <w:rFonts w:ascii="Calibri" w:eastAsia="Calibri" w:hAnsi="Calibri" w:cs="Times New Roman"/>
      <w:sz w:val="20"/>
      <w:szCs w:val="20"/>
      <w:lang w:val="x-none" w:eastAsia="x-none"/>
    </w:rPr>
  </w:style>
  <w:style w:type="character" w:customStyle="1" w:styleId="BalloonTextChar1">
    <w:name w:val="Balloon Text Char1"/>
    <w:basedOn w:val="DefaultParagraphFont"/>
    <w:uiPriority w:val="99"/>
    <w:semiHidden/>
    <w:locked/>
    <w:rsid w:val="00067E7F"/>
    <w:rPr>
      <w:rFonts w:ascii="Times New Roman" w:eastAsia="Calibri" w:hAnsi="Times New Roman" w:cs="Times New Roman"/>
      <w:sz w:val="2"/>
      <w:szCs w:val="20"/>
      <w:lang w:val="x-none" w:eastAsia="x-none"/>
    </w:rPr>
  </w:style>
  <w:style w:type="character" w:customStyle="1" w:styleId="BodyTextChar1">
    <w:name w:val="Body Text Char1"/>
    <w:basedOn w:val="DefaultParagraphFont"/>
    <w:link w:val="BodyText"/>
    <w:uiPriority w:val="99"/>
    <w:semiHidden/>
    <w:locked/>
    <w:rsid w:val="00067E7F"/>
    <w:rPr>
      <w:rFonts w:ascii="Calibri" w:eastAsia="Calibri" w:hAnsi="Calibri" w:cs="Times New Roman"/>
      <w:sz w:val="20"/>
      <w:szCs w:val="20"/>
      <w:lang w:val="x-none" w:eastAsia="x-none"/>
    </w:rPr>
  </w:style>
  <w:style w:type="character" w:customStyle="1" w:styleId="referencetext">
    <w:name w:val="referencetext"/>
    <w:uiPriority w:val="99"/>
    <w:rsid w:val="00067E7F"/>
  </w:style>
  <w:style w:type="character" w:customStyle="1" w:styleId="CharChar3">
    <w:name w:val="Char Char3"/>
    <w:uiPriority w:val="99"/>
    <w:semiHidden/>
    <w:rsid w:val="00067E7F"/>
    <w:rPr>
      <w:rFonts w:ascii="Times New Roman" w:hAnsi="Times New Roman" w:cs="Times New Roman" w:hint="default"/>
      <w:sz w:val="20"/>
      <w:szCs w:val="20"/>
    </w:rPr>
  </w:style>
  <w:style w:type="paragraph" w:styleId="Revision">
    <w:name w:val="Revision"/>
    <w:hidden/>
    <w:uiPriority w:val="99"/>
    <w:semiHidden/>
    <w:rsid w:val="005D75FB"/>
    <w:pPr>
      <w:spacing w:after="0" w:line="240" w:lineRule="auto"/>
    </w:pPr>
    <w:rPr>
      <w:rFonts w:ascii="Times New Roman" w:hAnsi="Times New Roman" w:cs="Times New Roman"/>
      <w:sz w:val="24"/>
    </w:rPr>
  </w:style>
  <w:style w:type="paragraph" w:customStyle="1" w:styleId="text">
    <w:name w:val="text"/>
    <w:aliases w:val="t"/>
    <w:basedOn w:val="Normal"/>
    <w:next w:val="Normal"/>
    <w:rsid w:val="003B4A7B"/>
    <w:pPr>
      <w:autoSpaceDE w:val="0"/>
      <w:autoSpaceDN w:val="0"/>
      <w:adjustRightInd w:val="0"/>
      <w:spacing w:after="0" w:line="240" w:lineRule="auto"/>
      <w:jc w:val="left"/>
    </w:pPr>
    <w:rPr>
      <w:rFonts w:eastAsia="Times New Roman"/>
      <w:bCs/>
      <w:szCs w:val="24"/>
      <w:lang w:val="en-IN" w:eastAsia="en-IN"/>
    </w:rPr>
  </w:style>
  <w:style w:type="paragraph" w:styleId="NoSpacing">
    <w:name w:val="No Spacing"/>
    <w:uiPriority w:val="1"/>
    <w:qFormat/>
    <w:rsid w:val="00723F28"/>
    <w:pPr>
      <w:spacing w:after="0" w:line="240" w:lineRule="auto"/>
      <w:jc w:val="both"/>
    </w:pPr>
    <w:rPr>
      <w:rFonts w:ascii="Times New Roman" w:hAnsi="Times New Roman" w:cs="Times New Roman"/>
      <w:sz w:val="24"/>
    </w:rPr>
  </w:style>
  <w:style w:type="numbering" w:customStyle="1" w:styleId="NoList1">
    <w:name w:val="No List1"/>
    <w:next w:val="NoList"/>
    <w:uiPriority w:val="99"/>
    <w:semiHidden/>
    <w:unhideWhenUsed/>
    <w:rsid w:val="00FE3EAF"/>
  </w:style>
  <w:style w:type="table" w:styleId="TableGrid">
    <w:name w:val="Table Grid"/>
    <w:basedOn w:val="TableNormal"/>
    <w:uiPriority w:val="39"/>
    <w:rsid w:val="00FE3E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basedOn w:val="Normal"/>
    <w:qFormat/>
    <w:rsid w:val="00FE3EAF"/>
    <w:pPr>
      <w:shd w:val="clear" w:color="auto" w:fill="FFFFFF"/>
      <w:spacing w:line="276" w:lineRule="auto"/>
    </w:pPr>
    <w:rPr>
      <w:rFonts w:eastAsia="Times New Roman"/>
      <w:color w:val="222222"/>
      <w:szCs w:val="24"/>
    </w:rPr>
  </w:style>
  <w:style w:type="paragraph" w:customStyle="1" w:styleId="footnote">
    <w:name w:val="footnote"/>
    <w:basedOn w:val="FootnoteText"/>
    <w:link w:val="footnoteChar"/>
    <w:qFormat/>
    <w:rsid w:val="00FE3EAF"/>
    <w:rPr>
      <w:rFonts w:eastAsia="Times New Roman"/>
      <w:lang w:eastAsia="zh-CN" w:bidi="he-IL"/>
    </w:rPr>
  </w:style>
  <w:style w:type="character" w:customStyle="1" w:styleId="footnoteChar">
    <w:name w:val="footnote Char"/>
    <w:basedOn w:val="FootnoteTextChar"/>
    <w:link w:val="footnote"/>
    <w:rsid w:val="00FE3EAF"/>
    <w:rPr>
      <w:rFonts w:ascii="Times New Roman" w:eastAsia="Times New Roman" w:hAnsi="Times New Roman" w:cs="Times New Roman"/>
      <w:sz w:val="20"/>
      <w:szCs w:val="20"/>
      <w:lang w:eastAsia="zh-CN" w:bidi="he-IL"/>
    </w:rPr>
  </w:style>
  <w:style w:type="character" w:customStyle="1" w:styleId="Style1Char">
    <w:name w:val="Style1 Char"/>
    <w:basedOn w:val="DefaultParagraphFont"/>
    <w:link w:val="Style1"/>
    <w:locked/>
    <w:rsid w:val="00CA73EE"/>
    <w:rPr>
      <w:rFonts w:ascii="Times New Roman" w:eastAsiaTheme="majorEastAsia" w:hAnsi="Times New Roman" w:cs="Times New Roman"/>
      <w:b/>
      <w:bCs/>
      <w:sz w:val="24"/>
      <w:szCs w:val="24"/>
    </w:rPr>
  </w:style>
  <w:style w:type="paragraph" w:customStyle="1" w:styleId="Style1">
    <w:name w:val="Style1"/>
    <w:basedOn w:val="Heading1"/>
    <w:link w:val="Style1Char"/>
    <w:qFormat/>
    <w:rsid w:val="00CA73EE"/>
    <w:pPr>
      <w:numPr>
        <w:numId w:val="0"/>
      </w:numPr>
      <w:tabs>
        <w:tab w:val="left" w:pos="540"/>
      </w:tabs>
    </w:pPr>
    <w:rPr>
      <w:bCs/>
    </w:rPr>
  </w:style>
  <w:style w:type="character" w:customStyle="1" w:styleId="ls4">
    <w:name w:val="ls4"/>
    <w:basedOn w:val="DefaultParagraphFont"/>
    <w:rsid w:val="00846DEA"/>
  </w:style>
  <w:style w:type="character" w:customStyle="1" w:styleId="lsa">
    <w:name w:val="lsa"/>
    <w:basedOn w:val="DefaultParagraphFont"/>
    <w:rsid w:val="00846DEA"/>
  </w:style>
  <w:style w:type="character" w:styleId="UnresolvedMention">
    <w:name w:val="Unresolved Mention"/>
    <w:basedOn w:val="DefaultParagraphFont"/>
    <w:uiPriority w:val="99"/>
    <w:semiHidden/>
    <w:unhideWhenUsed/>
    <w:rsid w:val="009927B7"/>
    <w:rPr>
      <w:color w:val="605E5C"/>
      <w:shd w:val="clear" w:color="auto" w:fill="E1DFDD"/>
    </w:rPr>
  </w:style>
  <w:style w:type="character" w:customStyle="1" w:styleId="mi">
    <w:name w:val="mi"/>
    <w:basedOn w:val="DefaultParagraphFont"/>
    <w:rsid w:val="00335649"/>
  </w:style>
  <w:style w:type="character" w:customStyle="1" w:styleId="delimiter">
    <w:name w:val="delimiter"/>
    <w:basedOn w:val="DefaultParagraphFont"/>
    <w:rsid w:val="0061005C"/>
  </w:style>
  <w:style w:type="character" w:customStyle="1" w:styleId="Subtitle1">
    <w:name w:val="Subtitle1"/>
    <w:basedOn w:val="DefaultParagraphFont"/>
    <w:rsid w:val="006100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8061117">
      <w:bodyDiv w:val="1"/>
      <w:marLeft w:val="0"/>
      <w:marRight w:val="0"/>
      <w:marTop w:val="0"/>
      <w:marBottom w:val="0"/>
      <w:divBdr>
        <w:top w:val="none" w:sz="0" w:space="0" w:color="auto"/>
        <w:left w:val="none" w:sz="0" w:space="0" w:color="auto"/>
        <w:bottom w:val="none" w:sz="0" w:space="0" w:color="auto"/>
        <w:right w:val="none" w:sz="0" w:space="0" w:color="auto"/>
      </w:divBdr>
    </w:div>
    <w:div w:id="569853446">
      <w:bodyDiv w:val="1"/>
      <w:marLeft w:val="0"/>
      <w:marRight w:val="0"/>
      <w:marTop w:val="0"/>
      <w:marBottom w:val="0"/>
      <w:divBdr>
        <w:top w:val="none" w:sz="0" w:space="0" w:color="auto"/>
        <w:left w:val="none" w:sz="0" w:space="0" w:color="auto"/>
        <w:bottom w:val="none" w:sz="0" w:space="0" w:color="auto"/>
        <w:right w:val="none" w:sz="0" w:space="0" w:color="auto"/>
      </w:divBdr>
    </w:div>
    <w:div w:id="1252355488">
      <w:bodyDiv w:val="1"/>
      <w:marLeft w:val="0"/>
      <w:marRight w:val="0"/>
      <w:marTop w:val="0"/>
      <w:marBottom w:val="0"/>
      <w:divBdr>
        <w:top w:val="none" w:sz="0" w:space="0" w:color="auto"/>
        <w:left w:val="none" w:sz="0" w:space="0" w:color="auto"/>
        <w:bottom w:val="none" w:sz="0" w:space="0" w:color="auto"/>
        <w:right w:val="none" w:sz="0" w:space="0" w:color="auto"/>
      </w:divBdr>
    </w:div>
    <w:div w:id="1558318935">
      <w:bodyDiv w:val="1"/>
      <w:marLeft w:val="0"/>
      <w:marRight w:val="0"/>
      <w:marTop w:val="0"/>
      <w:marBottom w:val="0"/>
      <w:divBdr>
        <w:top w:val="none" w:sz="0" w:space="0" w:color="auto"/>
        <w:left w:val="none" w:sz="0" w:space="0" w:color="auto"/>
        <w:bottom w:val="none" w:sz="0" w:space="0" w:color="auto"/>
        <w:right w:val="none" w:sz="0" w:space="0" w:color="auto"/>
      </w:divBdr>
    </w:div>
    <w:div w:id="2107769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48.wmf"/><Relationship Id="rId299" Type="http://schemas.openxmlformats.org/officeDocument/2006/relationships/image" Target="media/image133.wmf"/><Relationship Id="rId21" Type="http://schemas.openxmlformats.org/officeDocument/2006/relationships/image" Target="media/image6.wmf"/><Relationship Id="rId63" Type="http://schemas.openxmlformats.org/officeDocument/2006/relationships/image" Target="media/image25.wmf"/><Relationship Id="rId159" Type="http://schemas.openxmlformats.org/officeDocument/2006/relationships/oleObject" Target="embeddings/oleObject82.bin"/><Relationship Id="rId324" Type="http://schemas.openxmlformats.org/officeDocument/2006/relationships/image" Target="media/image145.wmf"/><Relationship Id="rId366" Type="http://schemas.openxmlformats.org/officeDocument/2006/relationships/image" Target="media/image165.wmf"/><Relationship Id="rId170" Type="http://schemas.openxmlformats.org/officeDocument/2006/relationships/image" Target="media/image73.wmf"/><Relationship Id="rId226" Type="http://schemas.openxmlformats.org/officeDocument/2006/relationships/image" Target="media/image100.wmf"/><Relationship Id="rId268" Type="http://schemas.openxmlformats.org/officeDocument/2006/relationships/oleObject" Target="embeddings/oleObject140.bin"/><Relationship Id="rId32" Type="http://schemas.openxmlformats.org/officeDocument/2006/relationships/image" Target="media/image10.wmf"/><Relationship Id="rId74" Type="http://schemas.openxmlformats.org/officeDocument/2006/relationships/oleObject" Target="embeddings/oleObject34.bin"/><Relationship Id="rId128" Type="http://schemas.openxmlformats.org/officeDocument/2006/relationships/image" Target="media/image53.wmf"/><Relationship Id="rId335" Type="http://schemas.openxmlformats.org/officeDocument/2006/relationships/oleObject" Target="embeddings/oleObject175.bin"/><Relationship Id="rId377" Type="http://schemas.openxmlformats.org/officeDocument/2006/relationships/image" Target="media/image170.wmf"/><Relationship Id="rId5" Type="http://schemas.openxmlformats.org/officeDocument/2006/relationships/webSettings" Target="webSettings.xml"/><Relationship Id="rId181" Type="http://schemas.openxmlformats.org/officeDocument/2006/relationships/oleObject" Target="embeddings/oleObject93.bin"/><Relationship Id="rId237" Type="http://schemas.openxmlformats.org/officeDocument/2006/relationships/oleObject" Target="embeddings/oleObject124.bin"/><Relationship Id="rId402" Type="http://schemas.openxmlformats.org/officeDocument/2006/relationships/image" Target="media/image180.wmf"/><Relationship Id="rId279" Type="http://schemas.openxmlformats.org/officeDocument/2006/relationships/oleObject" Target="embeddings/oleObject146.bin"/><Relationship Id="rId43" Type="http://schemas.openxmlformats.org/officeDocument/2006/relationships/oleObject" Target="embeddings/oleObject18.bin"/><Relationship Id="rId139" Type="http://schemas.openxmlformats.org/officeDocument/2006/relationships/oleObject" Target="embeddings/oleObject72.bin"/><Relationship Id="rId290" Type="http://schemas.openxmlformats.org/officeDocument/2006/relationships/oleObject" Target="embeddings/oleObject152.bin"/><Relationship Id="rId304" Type="http://schemas.openxmlformats.org/officeDocument/2006/relationships/oleObject" Target="embeddings/oleObject159.bin"/><Relationship Id="rId346" Type="http://schemas.openxmlformats.org/officeDocument/2006/relationships/image" Target="media/image156.wmf"/><Relationship Id="rId388" Type="http://schemas.openxmlformats.org/officeDocument/2006/relationships/image" Target="media/image173.wmf"/><Relationship Id="rId85" Type="http://schemas.openxmlformats.org/officeDocument/2006/relationships/image" Target="media/image36.wmf"/><Relationship Id="rId150" Type="http://schemas.openxmlformats.org/officeDocument/2006/relationships/image" Target="media/image63.wmf"/><Relationship Id="rId192" Type="http://schemas.openxmlformats.org/officeDocument/2006/relationships/oleObject" Target="embeddings/oleObject99.bin"/><Relationship Id="rId206" Type="http://schemas.openxmlformats.org/officeDocument/2006/relationships/image" Target="media/image90.wmf"/><Relationship Id="rId413" Type="http://schemas.openxmlformats.org/officeDocument/2006/relationships/hyperlink" Target="https://elischolar.library.yale.edu/cowles-discussion-paper-series/707" TargetMode="External"/><Relationship Id="rId248" Type="http://schemas.openxmlformats.org/officeDocument/2006/relationships/image" Target="media/image109.wmf"/><Relationship Id="rId12" Type="http://schemas.openxmlformats.org/officeDocument/2006/relationships/oleObject" Target="embeddings/oleObject1.bin"/><Relationship Id="rId108" Type="http://schemas.openxmlformats.org/officeDocument/2006/relationships/oleObject" Target="embeddings/oleObject55.bin"/><Relationship Id="rId315" Type="http://schemas.openxmlformats.org/officeDocument/2006/relationships/image" Target="media/image141.wmf"/><Relationship Id="rId357" Type="http://schemas.openxmlformats.org/officeDocument/2006/relationships/oleObject" Target="embeddings/oleObject186.bin"/><Relationship Id="rId54" Type="http://schemas.openxmlformats.org/officeDocument/2006/relationships/image" Target="media/image21.wmf"/><Relationship Id="rId96" Type="http://schemas.openxmlformats.org/officeDocument/2006/relationships/oleObject" Target="embeddings/oleObject46.bin"/><Relationship Id="rId161" Type="http://schemas.openxmlformats.org/officeDocument/2006/relationships/oleObject" Target="embeddings/oleObject83.bin"/><Relationship Id="rId217" Type="http://schemas.openxmlformats.org/officeDocument/2006/relationships/oleObject" Target="embeddings/oleObject112.bin"/><Relationship Id="rId399" Type="http://schemas.openxmlformats.org/officeDocument/2006/relationships/oleObject" Target="embeddings/oleObject211.bin"/><Relationship Id="rId259" Type="http://schemas.openxmlformats.org/officeDocument/2006/relationships/oleObject" Target="embeddings/oleObject135.bin"/><Relationship Id="rId424" Type="http://schemas.openxmlformats.org/officeDocument/2006/relationships/chart" Target="charts/chart2.xml"/><Relationship Id="rId23" Type="http://schemas.openxmlformats.org/officeDocument/2006/relationships/image" Target="media/image7.wmf"/><Relationship Id="rId119" Type="http://schemas.openxmlformats.org/officeDocument/2006/relationships/image" Target="media/image49.wmf"/><Relationship Id="rId270" Type="http://schemas.openxmlformats.org/officeDocument/2006/relationships/image" Target="media/image119.wmf"/><Relationship Id="rId326" Type="http://schemas.openxmlformats.org/officeDocument/2006/relationships/image" Target="media/image146.wmf"/><Relationship Id="rId65" Type="http://schemas.openxmlformats.org/officeDocument/2006/relationships/image" Target="media/image26.wmf"/><Relationship Id="rId130" Type="http://schemas.openxmlformats.org/officeDocument/2006/relationships/image" Target="media/image54.wmf"/><Relationship Id="rId368" Type="http://schemas.openxmlformats.org/officeDocument/2006/relationships/oleObject" Target="embeddings/oleObject193.bin"/><Relationship Id="rId172" Type="http://schemas.openxmlformats.org/officeDocument/2006/relationships/image" Target="media/image74.wmf"/><Relationship Id="rId228" Type="http://schemas.openxmlformats.org/officeDocument/2006/relationships/oleObject" Target="embeddings/oleObject118.bin"/><Relationship Id="rId281" Type="http://schemas.openxmlformats.org/officeDocument/2006/relationships/oleObject" Target="embeddings/oleObject147.bin"/><Relationship Id="rId337" Type="http://schemas.openxmlformats.org/officeDocument/2006/relationships/oleObject" Target="embeddings/oleObject176.bin"/><Relationship Id="rId34" Type="http://schemas.openxmlformats.org/officeDocument/2006/relationships/image" Target="media/image11.wmf"/><Relationship Id="rId76" Type="http://schemas.openxmlformats.org/officeDocument/2006/relationships/oleObject" Target="embeddings/oleObject35.bin"/><Relationship Id="rId141" Type="http://schemas.openxmlformats.org/officeDocument/2006/relationships/oleObject" Target="embeddings/oleObject73.bin"/><Relationship Id="rId379" Type="http://schemas.openxmlformats.org/officeDocument/2006/relationships/oleObject" Target="embeddings/oleObject199.bin"/><Relationship Id="rId7" Type="http://schemas.openxmlformats.org/officeDocument/2006/relationships/endnotes" Target="endnotes.xml"/><Relationship Id="rId183" Type="http://schemas.openxmlformats.org/officeDocument/2006/relationships/oleObject" Target="embeddings/oleObject94.bin"/><Relationship Id="rId239" Type="http://schemas.openxmlformats.org/officeDocument/2006/relationships/oleObject" Target="embeddings/oleObject125.bin"/><Relationship Id="rId390" Type="http://schemas.openxmlformats.org/officeDocument/2006/relationships/image" Target="media/image174.wmf"/><Relationship Id="rId404" Type="http://schemas.openxmlformats.org/officeDocument/2006/relationships/image" Target="media/image181.wmf"/><Relationship Id="rId250" Type="http://schemas.openxmlformats.org/officeDocument/2006/relationships/image" Target="media/image110.wmf"/><Relationship Id="rId292" Type="http://schemas.openxmlformats.org/officeDocument/2006/relationships/oleObject" Target="embeddings/oleObject153.bin"/><Relationship Id="rId306" Type="http://schemas.openxmlformats.org/officeDocument/2006/relationships/oleObject" Target="embeddings/oleObject160.bin"/><Relationship Id="rId45" Type="http://schemas.openxmlformats.org/officeDocument/2006/relationships/oleObject" Target="embeddings/oleObject19.bin"/><Relationship Id="rId87" Type="http://schemas.openxmlformats.org/officeDocument/2006/relationships/image" Target="media/image37.wmf"/><Relationship Id="rId110" Type="http://schemas.openxmlformats.org/officeDocument/2006/relationships/oleObject" Target="embeddings/oleObject56.bin"/><Relationship Id="rId348" Type="http://schemas.openxmlformats.org/officeDocument/2006/relationships/image" Target="media/image157.wmf"/><Relationship Id="rId152" Type="http://schemas.openxmlformats.org/officeDocument/2006/relationships/image" Target="media/image64.wmf"/><Relationship Id="rId194" Type="http://schemas.openxmlformats.org/officeDocument/2006/relationships/oleObject" Target="embeddings/oleObject100.bin"/><Relationship Id="rId208" Type="http://schemas.openxmlformats.org/officeDocument/2006/relationships/image" Target="media/image91.wmf"/><Relationship Id="rId415" Type="http://schemas.openxmlformats.org/officeDocument/2006/relationships/hyperlink" Target="https://www.epa.gov/sites/production/files/2014-03/documents/sld_userguide.pdf" TargetMode="External"/><Relationship Id="rId261" Type="http://schemas.openxmlformats.org/officeDocument/2006/relationships/oleObject" Target="embeddings/oleObject136.bin"/><Relationship Id="rId14" Type="http://schemas.openxmlformats.org/officeDocument/2006/relationships/oleObject" Target="embeddings/oleObject2.bin"/><Relationship Id="rId56" Type="http://schemas.openxmlformats.org/officeDocument/2006/relationships/image" Target="media/image22.wmf"/><Relationship Id="rId317" Type="http://schemas.openxmlformats.org/officeDocument/2006/relationships/image" Target="media/image142.wmf"/><Relationship Id="rId359" Type="http://schemas.openxmlformats.org/officeDocument/2006/relationships/oleObject" Target="embeddings/oleObject187.bin"/><Relationship Id="rId98" Type="http://schemas.openxmlformats.org/officeDocument/2006/relationships/oleObject" Target="embeddings/oleObject47.bin"/><Relationship Id="rId121" Type="http://schemas.openxmlformats.org/officeDocument/2006/relationships/image" Target="media/image50.wmf"/><Relationship Id="rId163" Type="http://schemas.openxmlformats.org/officeDocument/2006/relationships/oleObject" Target="embeddings/oleObject84.bin"/><Relationship Id="rId219" Type="http://schemas.openxmlformats.org/officeDocument/2006/relationships/oleObject" Target="embeddings/oleObject113.bin"/><Relationship Id="rId370" Type="http://schemas.openxmlformats.org/officeDocument/2006/relationships/oleObject" Target="embeddings/oleObject194.bin"/><Relationship Id="rId426" Type="http://schemas.openxmlformats.org/officeDocument/2006/relationships/fontTable" Target="fontTable.xml"/><Relationship Id="rId230" Type="http://schemas.openxmlformats.org/officeDocument/2006/relationships/image" Target="media/image101.wmf"/><Relationship Id="rId25" Type="http://schemas.openxmlformats.org/officeDocument/2006/relationships/oleObject" Target="embeddings/oleObject8.bin"/><Relationship Id="rId67" Type="http://schemas.openxmlformats.org/officeDocument/2006/relationships/image" Target="media/image27.wmf"/><Relationship Id="rId272" Type="http://schemas.openxmlformats.org/officeDocument/2006/relationships/image" Target="media/image120.wmf"/><Relationship Id="rId328" Type="http://schemas.openxmlformats.org/officeDocument/2006/relationships/image" Target="media/image147.wmf"/><Relationship Id="rId132" Type="http://schemas.openxmlformats.org/officeDocument/2006/relationships/image" Target="media/image55.wmf"/><Relationship Id="rId174" Type="http://schemas.openxmlformats.org/officeDocument/2006/relationships/image" Target="media/image75.wmf"/><Relationship Id="rId381" Type="http://schemas.openxmlformats.org/officeDocument/2006/relationships/oleObject" Target="embeddings/oleObject201.bin"/><Relationship Id="rId241" Type="http://schemas.openxmlformats.org/officeDocument/2006/relationships/oleObject" Target="embeddings/oleObject126.bin"/><Relationship Id="rId36" Type="http://schemas.openxmlformats.org/officeDocument/2006/relationships/image" Target="media/image12.wmf"/><Relationship Id="rId283" Type="http://schemas.openxmlformats.org/officeDocument/2006/relationships/image" Target="media/image125.wmf"/><Relationship Id="rId339" Type="http://schemas.openxmlformats.org/officeDocument/2006/relationships/oleObject" Target="embeddings/oleObject177.bin"/><Relationship Id="rId78" Type="http://schemas.openxmlformats.org/officeDocument/2006/relationships/oleObject" Target="embeddings/oleObject36.bin"/><Relationship Id="rId101" Type="http://schemas.openxmlformats.org/officeDocument/2006/relationships/oleObject" Target="embeddings/oleObject50.bin"/><Relationship Id="rId143" Type="http://schemas.openxmlformats.org/officeDocument/2006/relationships/oleObject" Target="embeddings/oleObject74.bin"/><Relationship Id="rId185" Type="http://schemas.openxmlformats.org/officeDocument/2006/relationships/oleObject" Target="embeddings/oleObject95.bin"/><Relationship Id="rId350" Type="http://schemas.openxmlformats.org/officeDocument/2006/relationships/image" Target="media/image158.wmf"/><Relationship Id="rId406" Type="http://schemas.openxmlformats.org/officeDocument/2006/relationships/image" Target="media/image182.wmf"/><Relationship Id="rId9" Type="http://schemas.openxmlformats.org/officeDocument/2006/relationships/hyperlink" Target="mailto:aupal.mondal@utexas.edu" TargetMode="External"/><Relationship Id="rId210" Type="http://schemas.openxmlformats.org/officeDocument/2006/relationships/image" Target="media/image92.wmf"/><Relationship Id="rId392" Type="http://schemas.openxmlformats.org/officeDocument/2006/relationships/image" Target="media/image175.wmf"/><Relationship Id="rId252" Type="http://schemas.openxmlformats.org/officeDocument/2006/relationships/image" Target="media/image111.wmf"/><Relationship Id="rId294" Type="http://schemas.openxmlformats.org/officeDocument/2006/relationships/oleObject" Target="embeddings/oleObject154.bin"/><Relationship Id="rId308" Type="http://schemas.openxmlformats.org/officeDocument/2006/relationships/oleObject" Target="embeddings/oleObject161.bin"/><Relationship Id="rId47" Type="http://schemas.openxmlformats.org/officeDocument/2006/relationships/oleObject" Target="embeddings/oleObject20.bin"/><Relationship Id="rId89" Type="http://schemas.openxmlformats.org/officeDocument/2006/relationships/oleObject" Target="embeddings/oleObject42.bin"/><Relationship Id="rId112" Type="http://schemas.openxmlformats.org/officeDocument/2006/relationships/oleObject" Target="embeddings/oleObject57.bin"/><Relationship Id="rId154" Type="http://schemas.openxmlformats.org/officeDocument/2006/relationships/image" Target="media/image65.wmf"/><Relationship Id="rId361" Type="http://schemas.openxmlformats.org/officeDocument/2006/relationships/oleObject" Target="embeddings/oleObject188.bin"/><Relationship Id="rId196" Type="http://schemas.openxmlformats.org/officeDocument/2006/relationships/image" Target="media/image85.wmf"/><Relationship Id="rId417" Type="http://schemas.openxmlformats.org/officeDocument/2006/relationships/hyperlink" Target="https://doi.org/10.1177/2378023120982856" TargetMode="External"/><Relationship Id="rId16" Type="http://schemas.openxmlformats.org/officeDocument/2006/relationships/oleObject" Target="embeddings/oleObject3.bin"/><Relationship Id="rId221" Type="http://schemas.openxmlformats.org/officeDocument/2006/relationships/oleObject" Target="embeddings/oleObject114.bin"/><Relationship Id="rId263" Type="http://schemas.openxmlformats.org/officeDocument/2006/relationships/oleObject" Target="embeddings/oleObject137.bin"/><Relationship Id="rId319" Type="http://schemas.openxmlformats.org/officeDocument/2006/relationships/image" Target="media/image143.wmf"/><Relationship Id="rId58" Type="http://schemas.openxmlformats.org/officeDocument/2006/relationships/oleObject" Target="embeddings/oleObject26.bin"/><Relationship Id="rId123" Type="http://schemas.openxmlformats.org/officeDocument/2006/relationships/oleObject" Target="embeddings/oleObject63.bin"/><Relationship Id="rId330" Type="http://schemas.openxmlformats.org/officeDocument/2006/relationships/image" Target="media/image148.wmf"/><Relationship Id="rId165" Type="http://schemas.openxmlformats.org/officeDocument/2006/relationships/oleObject" Target="embeddings/oleObject85.bin"/><Relationship Id="rId372" Type="http://schemas.openxmlformats.org/officeDocument/2006/relationships/oleObject" Target="embeddings/oleObject195.bin"/><Relationship Id="rId232" Type="http://schemas.openxmlformats.org/officeDocument/2006/relationships/oleObject" Target="embeddings/oleObject121.bin"/><Relationship Id="rId274" Type="http://schemas.openxmlformats.org/officeDocument/2006/relationships/image" Target="media/image121.wmf"/><Relationship Id="rId27" Type="http://schemas.openxmlformats.org/officeDocument/2006/relationships/oleObject" Target="embeddings/oleObject10.bin"/><Relationship Id="rId69" Type="http://schemas.openxmlformats.org/officeDocument/2006/relationships/image" Target="media/image28.wmf"/><Relationship Id="rId134" Type="http://schemas.openxmlformats.org/officeDocument/2006/relationships/oleObject" Target="embeddings/oleObject69.bin"/><Relationship Id="rId80" Type="http://schemas.openxmlformats.org/officeDocument/2006/relationships/oleObject" Target="embeddings/oleObject37.bin"/><Relationship Id="rId176" Type="http://schemas.openxmlformats.org/officeDocument/2006/relationships/image" Target="media/image76.wmf"/><Relationship Id="rId341" Type="http://schemas.openxmlformats.org/officeDocument/2006/relationships/oleObject" Target="embeddings/oleObject178.bin"/><Relationship Id="rId383" Type="http://schemas.openxmlformats.org/officeDocument/2006/relationships/oleObject" Target="embeddings/oleObject203.bin"/><Relationship Id="rId201" Type="http://schemas.openxmlformats.org/officeDocument/2006/relationships/oleObject" Target="embeddings/oleObject104.bin"/><Relationship Id="rId243" Type="http://schemas.openxmlformats.org/officeDocument/2006/relationships/oleObject" Target="embeddings/oleObject127.bin"/><Relationship Id="rId285" Type="http://schemas.openxmlformats.org/officeDocument/2006/relationships/image" Target="media/image126.wmf"/><Relationship Id="rId38" Type="http://schemas.openxmlformats.org/officeDocument/2006/relationships/image" Target="media/image13.wmf"/><Relationship Id="rId103" Type="http://schemas.openxmlformats.org/officeDocument/2006/relationships/oleObject" Target="embeddings/oleObject51.bin"/><Relationship Id="rId310" Type="http://schemas.openxmlformats.org/officeDocument/2006/relationships/oleObject" Target="embeddings/oleObject162.bin"/><Relationship Id="rId70" Type="http://schemas.openxmlformats.org/officeDocument/2006/relationships/oleObject" Target="embeddings/oleObject32.bin"/><Relationship Id="rId91" Type="http://schemas.openxmlformats.org/officeDocument/2006/relationships/image" Target="media/image38.wmf"/><Relationship Id="rId145" Type="http://schemas.openxmlformats.org/officeDocument/2006/relationships/oleObject" Target="embeddings/oleObject75.bin"/><Relationship Id="rId166" Type="http://schemas.openxmlformats.org/officeDocument/2006/relationships/image" Target="media/image71.wmf"/><Relationship Id="rId187" Type="http://schemas.openxmlformats.org/officeDocument/2006/relationships/oleObject" Target="embeddings/oleObject96.bin"/><Relationship Id="rId331" Type="http://schemas.openxmlformats.org/officeDocument/2006/relationships/oleObject" Target="embeddings/oleObject173.bin"/><Relationship Id="rId352" Type="http://schemas.openxmlformats.org/officeDocument/2006/relationships/image" Target="media/image159.wmf"/><Relationship Id="rId373" Type="http://schemas.openxmlformats.org/officeDocument/2006/relationships/image" Target="media/image168.wmf"/><Relationship Id="rId394" Type="http://schemas.openxmlformats.org/officeDocument/2006/relationships/image" Target="media/image176.wmf"/><Relationship Id="rId408" Type="http://schemas.openxmlformats.org/officeDocument/2006/relationships/hyperlink" Target="https://www.linkedin.com/pulse/transformational-impact-technology-remote-work-mayank-agarwal/" TargetMode="External"/><Relationship Id="rId1" Type="http://schemas.openxmlformats.org/officeDocument/2006/relationships/customXml" Target="../customXml/item1.xml"/><Relationship Id="rId212" Type="http://schemas.openxmlformats.org/officeDocument/2006/relationships/image" Target="media/image93.wmf"/><Relationship Id="rId233" Type="http://schemas.openxmlformats.org/officeDocument/2006/relationships/oleObject" Target="embeddings/oleObject122.bin"/><Relationship Id="rId254" Type="http://schemas.openxmlformats.org/officeDocument/2006/relationships/image" Target="media/image112.wmf"/><Relationship Id="rId28" Type="http://schemas.openxmlformats.org/officeDocument/2006/relationships/image" Target="media/image8.wmf"/><Relationship Id="rId49" Type="http://schemas.openxmlformats.org/officeDocument/2006/relationships/oleObject" Target="embeddings/oleObject21.bin"/><Relationship Id="rId114" Type="http://schemas.openxmlformats.org/officeDocument/2006/relationships/oleObject" Target="embeddings/oleObject58.bin"/><Relationship Id="rId275" Type="http://schemas.openxmlformats.org/officeDocument/2006/relationships/oleObject" Target="embeddings/oleObject144.bin"/><Relationship Id="rId296" Type="http://schemas.openxmlformats.org/officeDocument/2006/relationships/oleObject" Target="embeddings/oleObject155.bin"/><Relationship Id="rId300" Type="http://schemas.openxmlformats.org/officeDocument/2006/relationships/oleObject" Target="embeddings/oleObject157.bin"/><Relationship Id="rId60" Type="http://schemas.openxmlformats.org/officeDocument/2006/relationships/oleObject" Target="embeddings/oleObject27.bin"/><Relationship Id="rId81" Type="http://schemas.openxmlformats.org/officeDocument/2006/relationships/image" Target="media/image34.wmf"/><Relationship Id="rId135" Type="http://schemas.openxmlformats.org/officeDocument/2006/relationships/oleObject" Target="embeddings/oleObject70.bin"/><Relationship Id="rId156" Type="http://schemas.openxmlformats.org/officeDocument/2006/relationships/image" Target="media/image66.wmf"/><Relationship Id="rId177" Type="http://schemas.openxmlformats.org/officeDocument/2006/relationships/oleObject" Target="embeddings/oleObject91.bin"/><Relationship Id="rId198" Type="http://schemas.openxmlformats.org/officeDocument/2006/relationships/image" Target="media/image86.wmf"/><Relationship Id="rId321" Type="http://schemas.openxmlformats.org/officeDocument/2006/relationships/image" Target="media/image144.wmf"/><Relationship Id="rId342" Type="http://schemas.openxmlformats.org/officeDocument/2006/relationships/image" Target="media/image154.wmf"/><Relationship Id="rId363" Type="http://schemas.openxmlformats.org/officeDocument/2006/relationships/oleObject" Target="embeddings/oleObject189.bin"/><Relationship Id="rId384" Type="http://schemas.openxmlformats.org/officeDocument/2006/relationships/image" Target="media/image171.wmf"/><Relationship Id="rId419" Type="http://schemas.openxmlformats.org/officeDocument/2006/relationships/hyperlink" Target="https://demographics.texas.gov/" TargetMode="External"/><Relationship Id="rId202" Type="http://schemas.openxmlformats.org/officeDocument/2006/relationships/image" Target="media/image88.wmf"/><Relationship Id="rId223" Type="http://schemas.openxmlformats.org/officeDocument/2006/relationships/oleObject" Target="embeddings/oleObject115.bin"/><Relationship Id="rId244" Type="http://schemas.openxmlformats.org/officeDocument/2006/relationships/image" Target="media/image107.wmf"/><Relationship Id="rId18" Type="http://schemas.openxmlformats.org/officeDocument/2006/relationships/oleObject" Target="embeddings/oleObject4.bin"/><Relationship Id="rId39" Type="http://schemas.openxmlformats.org/officeDocument/2006/relationships/oleObject" Target="embeddings/oleObject16.bin"/><Relationship Id="rId265" Type="http://schemas.openxmlformats.org/officeDocument/2006/relationships/oleObject" Target="embeddings/oleObject138.bin"/><Relationship Id="rId286" Type="http://schemas.openxmlformats.org/officeDocument/2006/relationships/oleObject" Target="embeddings/oleObject150.bin"/><Relationship Id="rId50" Type="http://schemas.openxmlformats.org/officeDocument/2006/relationships/image" Target="media/image19.wmf"/><Relationship Id="rId104" Type="http://schemas.openxmlformats.org/officeDocument/2006/relationships/oleObject" Target="embeddings/oleObject52.bin"/><Relationship Id="rId125" Type="http://schemas.openxmlformats.org/officeDocument/2006/relationships/oleObject" Target="embeddings/oleObject64.bin"/><Relationship Id="rId146" Type="http://schemas.openxmlformats.org/officeDocument/2006/relationships/image" Target="media/image61.wmf"/><Relationship Id="rId167" Type="http://schemas.openxmlformats.org/officeDocument/2006/relationships/oleObject" Target="embeddings/oleObject86.bin"/><Relationship Id="rId188" Type="http://schemas.openxmlformats.org/officeDocument/2006/relationships/image" Target="media/image82.wmf"/><Relationship Id="rId311" Type="http://schemas.openxmlformats.org/officeDocument/2006/relationships/image" Target="media/image139.wmf"/><Relationship Id="rId332" Type="http://schemas.openxmlformats.org/officeDocument/2006/relationships/image" Target="media/image149.wmf"/><Relationship Id="rId353" Type="http://schemas.openxmlformats.org/officeDocument/2006/relationships/oleObject" Target="embeddings/oleObject184.bin"/><Relationship Id="rId374" Type="http://schemas.openxmlformats.org/officeDocument/2006/relationships/oleObject" Target="embeddings/oleObject196.bin"/><Relationship Id="rId395" Type="http://schemas.openxmlformats.org/officeDocument/2006/relationships/oleObject" Target="embeddings/oleObject209.bin"/><Relationship Id="rId409" Type="http://schemas.openxmlformats.org/officeDocument/2006/relationships/hyperlink" Target="https://www.nasdaq.com/articles/single-fathers-have-8-times-more-wealth-than-single-mothers-data-shows" TargetMode="External"/><Relationship Id="rId71" Type="http://schemas.openxmlformats.org/officeDocument/2006/relationships/image" Target="media/image29.wmf"/><Relationship Id="rId92" Type="http://schemas.openxmlformats.org/officeDocument/2006/relationships/oleObject" Target="embeddings/oleObject44.bin"/><Relationship Id="rId213" Type="http://schemas.openxmlformats.org/officeDocument/2006/relationships/oleObject" Target="embeddings/oleObject110.bin"/><Relationship Id="rId234" Type="http://schemas.openxmlformats.org/officeDocument/2006/relationships/image" Target="media/image102.wmf"/><Relationship Id="rId420" Type="http://schemas.openxmlformats.org/officeDocument/2006/relationships/hyperlink" Target="https://data.census.gov/table/ACSST1Y2022.S2301?q=Texas%20Employment" TargetMode="External"/><Relationship Id="rId2" Type="http://schemas.openxmlformats.org/officeDocument/2006/relationships/numbering" Target="numbering.xml"/><Relationship Id="rId29" Type="http://schemas.openxmlformats.org/officeDocument/2006/relationships/oleObject" Target="embeddings/oleObject11.bin"/><Relationship Id="rId255" Type="http://schemas.openxmlformats.org/officeDocument/2006/relationships/oleObject" Target="embeddings/oleObject133.bin"/><Relationship Id="rId276" Type="http://schemas.openxmlformats.org/officeDocument/2006/relationships/image" Target="media/image122.wmf"/><Relationship Id="rId297" Type="http://schemas.openxmlformats.org/officeDocument/2006/relationships/image" Target="media/image132.wmf"/><Relationship Id="rId40" Type="http://schemas.openxmlformats.org/officeDocument/2006/relationships/image" Target="media/image14.wmf"/><Relationship Id="rId115" Type="http://schemas.openxmlformats.org/officeDocument/2006/relationships/image" Target="media/image47.wmf"/><Relationship Id="rId136" Type="http://schemas.openxmlformats.org/officeDocument/2006/relationships/image" Target="media/image56.wmf"/><Relationship Id="rId157" Type="http://schemas.openxmlformats.org/officeDocument/2006/relationships/oleObject" Target="embeddings/oleObject81.bin"/><Relationship Id="rId178" Type="http://schemas.openxmlformats.org/officeDocument/2006/relationships/image" Target="media/image77.wmf"/><Relationship Id="rId301" Type="http://schemas.openxmlformats.org/officeDocument/2006/relationships/image" Target="media/image134.wmf"/><Relationship Id="rId322" Type="http://schemas.openxmlformats.org/officeDocument/2006/relationships/oleObject" Target="embeddings/oleObject168.bin"/><Relationship Id="rId343" Type="http://schemas.openxmlformats.org/officeDocument/2006/relationships/oleObject" Target="embeddings/oleObject179.bin"/><Relationship Id="rId364" Type="http://schemas.openxmlformats.org/officeDocument/2006/relationships/oleObject" Target="embeddings/oleObject190.bin"/><Relationship Id="rId61" Type="http://schemas.openxmlformats.org/officeDocument/2006/relationships/image" Target="media/image24.wmf"/><Relationship Id="rId82" Type="http://schemas.openxmlformats.org/officeDocument/2006/relationships/oleObject" Target="embeddings/oleObject38.bin"/><Relationship Id="rId199" Type="http://schemas.openxmlformats.org/officeDocument/2006/relationships/oleObject" Target="embeddings/oleObject103.bin"/><Relationship Id="rId203" Type="http://schemas.openxmlformats.org/officeDocument/2006/relationships/oleObject" Target="embeddings/oleObject105.bin"/><Relationship Id="rId385" Type="http://schemas.openxmlformats.org/officeDocument/2006/relationships/oleObject" Target="embeddings/oleObject204.bin"/><Relationship Id="rId19" Type="http://schemas.openxmlformats.org/officeDocument/2006/relationships/image" Target="media/image5.wmf"/><Relationship Id="rId224" Type="http://schemas.openxmlformats.org/officeDocument/2006/relationships/image" Target="media/image99.wmf"/><Relationship Id="rId245" Type="http://schemas.openxmlformats.org/officeDocument/2006/relationships/oleObject" Target="embeddings/oleObject128.bin"/><Relationship Id="rId266" Type="http://schemas.openxmlformats.org/officeDocument/2006/relationships/image" Target="media/image118.wmf"/><Relationship Id="rId287" Type="http://schemas.openxmlformats.org/officeDocument/2006/relationships/image" Target="media/image127.wmf"/><Relationship Id="rId410" Type="http://schemas.openxmlformats.org/officeDocument/2006/relationships/hyperlink" Target="https://www.ncci.com/SecureDocuments/QEB/QEB_Q4_2020_RemoteWork.html" TargetMode="External"/><Relationship Id="rId30" Type="http://schemas.openxmlformats.org/officeDocument/2006/relationships/image" Target="media/image9.wmf"/><Relationship Id="rId105" Type="http://schemas.openxmlformats.org/officeDocument/2006/relationships/oleObject" Target="embeddings/oleObject53.bin"/><Relationship Id="rId126" Type="http://schemas.openxmlformats.org/officeDocument/2006/relationships/image" Target="media/image52.wmf"/><Relationship Id="rId147" Type="http://schemas.openxmlformats.org/officeDocument/2006/relationships/oleObject" Target="embeddings/oleObject76.bin"/><Relationship Id="rId168" Type="http://schemas.openxmlformats.org/officeDocument/2006/relationships/image" Target="media/image72.wmf"/><Relationship Id="rId312" Type="http://schemas.openxmlformats.org/officeDocument/2006/relationships/oleObject" Target="embeddings/oleObject163.bin"/><Relationship Id="rId333" Type="http://schemas.openxmlformats.org/officeDocument/2006/relationships/oleObject" Target="embeddings/oleObject174.bin"/><Relationship Id="rId354" Type="http://schemas.openxmlformats.org/officeDocument/2006/relationships/image" Target="media/image160.wmf"/><Relationship Id="rId51" Type="http://schemas.openxmlformats.org/officeDocument/2006/relationships/oleObject" Target="embeddings/oleObject22.bin"/><Relationship Id="rId72" Type="http://schemas.openxmlformats.org/officeDocument/2006/relationships/oleObject" Target="embeddings/oleObject33.bin"/><Relationship Id="rId93" Type="http://schemas.openxmlformats.org/officeDocument/2006/relationships/image" Target="media/image39.wmf"/><Relationship Id="rId189" Type="http://schemas.openxmlformats.org/officeDocument/2006/relationships/oleObject" Target="embeddings/oleObject97.bin"/><Relationship Id="rId375" Type="http://schemas.openxmlformats.org/officeDocument/2006/relationships/image" Target="media/image169.wmf"/><Relationship Id="rId396" Type="http://schemas.openxmlformats.org/officeDocument/2006/relationships/image" Target="media/image177.wmf"/><Relationship Id="rId3" Type="http://schemas.openxmlformats.org/officeDocument/2006/relationships/styles" Target="styles.xml"/><Relationship Id="rId214" Type="http://schemas.openxmlformats.org/officeDocument/2006/relationships/image" Target="media/image94.wmf"/><Relationship Id="rId235" Type="http://schemas.openxmlformats.org/officeDocument/2006/relationships/oleObject" Target="embeddings/oleObject123.bin"/><Relationship Id="rId256" Type="http://schemas.openxmlformats.org/officeDocument/2006/relationships/image" Target="media/image113.wmf"/><Relationship Id="rId277" Type="http://schemas.openxmlformats.org/officeDocument/2006/relationships/oleObject" Target="embeddings/oleObject145.bin"/><Relationship Id="rId298" Type="http://schemas.openxmlformats.org/officeDocument/2006/relationships/oleObject" Target="embeddings/oleObject156.bin"/><Relationship Id="rId400" Type="http://schemas.openxmlformats.org/officeDocument/2006/relationships/image" Target="media/image179.wmf"/><Relationship Id="rId421" Type="http://schemas.openxmlformats.org/officeDocument/2006/relationships/footer" Target="footer1.xml"/><Relationship Id="rId116" Type="http://schemas.openxmlformats.org/officeDocument/2006/relationships/oleObject" Target="embeddings/oleObject59.bin"/><Relationship Id="rId137" Type="http://schemas.openxmlformats.org/officeDocument/2006/relationships/oleObject" Target="embeddings/oleObject71.bin"/><Relationship Id="rId158" Type="http://schemas.openxmlformats.org/officeDocument/2006/relationships/image" Target="media/image67.wmf"/><Relationship Id="rId302" Type="http://schemas.openxmlformats.org/officeDocument/2006/relationships/oleObject" Target="embeddings/oleObject158.bin"/><Relationship Id="rId323" Type="http://schemas.openxmlformats.org/officeDocument/2006/relationships/oleObject" Target="embeddings/oleObject169.bin"/><Relationship Id="rId344" Type="http://schemas.openxmlformats.org/officeDocument/2006/relationships/image" Target="media/image155.wmf"/><Relationship Id="rId20" Type="http://schemas.openxmlformats.org/officeDocument/2006/relationships/oleObject" Target="embeddings/oleObject5.bin"/><Relationship Id="rId41" Type="http://schemas.openxmlformats.org/officeDocument/2006/relationships/oleObject" Target="embeddings/oleObject17.bin"/><Relationship Id="rId62" Type="http://schemas.openxmlformats.org/officeDocument/2006/relationships/oleObject" Target="embeddings/oleObject28.bin"/><Relationship Id="rId83" Type="http://schemas.openxmlformats.org/officeDocument/2006/relationships/image" Target="media/image35.wmf"/><Relationship Id="rId179" Type="http://schemas.openxmlformats.org/officeDocument/2006/relationships/oleObject" Target="embeddings/oleObject92.bin"/><Relationship Id="rId365" Type="http://schemas.openxmlformats.org/officeDocument/2006/relationships/oleObject" Target="embeddings/oleObject191.bin"/><Relationship Id="rId386" Type="http://schemas.openxmlformats.org/officeDocument/2006/relationships/image" Target="media/image172.wmf"/><Relationship Id="rId190" Type="http://schemas.openxmlformats.org/officeDocument/2006/relationships/image" Target="media/image83.wmf"/><Relationship Id="rId204" Type="http://schemas.openxmlformats.org/officeDocument/2006/relationships/image" Target="media/image89.wmf"/><Relationship Id="rId225" Type="http://schemas.openxmlformats.org/officeDocument/2006/relationships/oleObject" Target="embeddings/oleObject116.bin"/><Relationship Id="rId246" Type="http://schemas.openxmlformats.org/officeDocument/2006/relationships/image" Target="media/image108.wmf"/><Relationship Id="rId267" Type="http://schemas.openxmlformats.org/officeDocument/2006/relationships/oleObject" Target="embeddings/oleObject139.bin"/><Relationship Id="rId288" Type="http://schemas.openxmlformats.org/officeDocument/2006/relationships/oleObject" Target="embeddings/oleObject151.bin"/><Relationship Id="rId411" Type="http://schemas.openxmlformats.org/officeDocument/2006/relationships/hyperlink" Target="https://www.zippia.com/advice/remote-work-statistics/" TargetMode="External"/><Relationship Id="rId106" Type="http://schemas.openxmlformats.org/officeDocument/2006/relationships/oleObject" Target="embeddings/oleObject54.bin"/><Relationship Id="rId127" Type="http://schemas.openxmlformats.org/officeDocument/2006/relationships/oleObject" Target="embeddings/oleObject65.bin"/><Relationship Id="rId313" Type="http://schemas.openxmlformats.org/officeDocument/2006/relationships/image" Target="media/image140.wmf"/><Relationship Id="rId10" Type="http://schemas.openxmlformats.org/officeDocument/2006/relationships/hyperlink" Target="mailto:bhat@mail.utexas.edu" TargetMode="External"/><Relationship Id="rId31" Type="http://schemas.openxmlformats.org/officeDocument/2006/relationships/oleObject" Target="embeddings/oleObject12.bin"/><Relationship Id="rId52" Type="http://schemas.openxmlformats.org/officeDocument/2006/relationships/image" Target="media/image20.wmf"/><Relationship Id="rId73" Type="http://schemas.openxmlformats.org/officeDocument/2006/relationships/image" Target="media/image30.wmf"/><Relationship Id="rId94" Type="http://schemas.openxmlformats.org/officeDocument/2006/relationships/oleObject" Target="embeddings/oleObject45.bin"/><Relationship Id="rId148" Type="http://schemas.openxmlformats.org/officeDocument/2006/relationships/image" Target="media/image62.wmf"/><Relationship Id="rId169" Type="http://schemas.openxmlformats.org/officeDocument/2006/relationships/oleObject" Target="embeddings/oleObject87.bin"/><Relationship Id="rId334" Type="http://schemas.openxmlformats.org/officeDocument/2006/relationships/image" Target="media/image150.wmf"/><Relationship Id="rId355" Type="http://schemas.openxmlformats.org/officeDocument/2006/relationships/oleObject" Target="embeddings/oleObject185.bin"/><Relationship Id="rId376" Type="http://schemas.openxmlformats.org/officeDocument/2006/relationships/oleObject" Target="embeddings/oleObject197.bin"/><Relationship Id="rId397" Type="http://schemas.openxmlformats.org/officeDocument/2006/relationships/oleObject" Target="embeddings/oleObject210.bin"/><Relationship Id="rId4" Type="http://schemas.openxmlformats.org/officeDocument/2006/relationships/settings" Target="settings.xml"/><Relationship Id="rId180" Type="http://schemas.openxmlformats.org/officeDocument/2006/relationships/image" Target="media/image78.wmf"/><Relationship Id="rId215" Type="http://schemas.openxmlformats.org/officeDocument/2006/relationships/oleObject" Target="embeddings/oleObject111.bin"/><Relationship Id="rId236" Type="http://schemas.openxmlformats.org/officeDocument/2006/relationships/image" Target="media/image103.wmf"/><Relationship Id="rId257" Type="http://schemas.openxmlformats.org/officeDocument/2006/relationships/oleObject" Target="embeddings/oleObject134.bin"/><Relationship Id="rId278" Type="http://schemas.openxmlformats.org/officeDocument/2006/relationships/image" Target="media/image123.wmf"/><Relationship Id="rId401" Type="http://schemas.openxmlformats.org/officeDocument/2006/relationships/oleObject" Target="embeddings/oleObject212.bin"/><Relationship Id="rId422" Type="http://schemas.openxmlformats.org/officeDocument/2006/relationships/image" Target="media/image183.png"/><Relationship Id="rId303" Type="http://schemas.openxmlformats.org/officeDocument/2006/relationships/image" Target="media/image135.wmf"/><Relationship Id="rId42" Type="http://schemas.openxmlformats.org/officeDocument/2006/relationships/image" Target="media/image15.wmf"/><Relationship Id="rId84" Type="http://schemas.openxmlformats.org/officeDocument/2006/relationships/oleObject" Target="embeddings/oleObject39.bin"/><Relationship Id="rId138" Type="http://schemas.openxmlformats.org/officeDocument/2006/relationships/image" Target="media/image57.wmf"/><Relationship Id="rId345" Type="http://schemas.openxmlformats.org/officeDocument/2006/relationships/oleObject" Target="embeddings/oleObject180.bin"/><Relationship Id="rId387" Type="http://schemas.openxmlformats.org/officeDocument/2006/relationships/oleObject" Target="embeddings/oleObject205.bin"/><Relationship Id="rId191" Type="http://schemas.openxmlformats.org/officeDocument/2006/relationships/oleObject" Target="embeddings/oleObject98.bin"/><Relationship Id="rId205" Type="http://schemas.openxmlformats.org/officeDocument/2006/relationships/oleObject" Target="embeddings/oleObject106.bin"/><Relationship Id="rId247" Type="http://schemas.openxmlformats.org/officeDocument/2006/relationships/oleObject" Target="embeddings/oleObject129.bin"/><Relationship Id="rId412" Type="http://schemas.openxmlformats.org/officeDocument/2006/relationships/hyperlink" Target="https://wfmonitor.com/2020/06/12/where-the-jobs-are-urban-suburban-rural-migrations-and-the-hollowing-out-of-middle-skill-jobs/" TargetMode="External"/><Relationship Id="rId107" Type="http://schemas.openxmlformats.org/officeDocument/2006/relationships/image" Target="media/image43.wmf"/><Relationship Id="rId289" Type="http://schemas.openxmlformats.org/officeDocument/2006/relationships/image" Target="media/image128.wmf"/><Relationship Id="rId11" Type="http://schemas.openxmlformats.org/officeDocument/2006/relationships/image" Target="media/image1.wmf"/><Relationship Id="rId53" Type="http://schemas.openxmlformats.org/officeDocument/2006/relationships/oleObject" Target="embeddings/oleObject23.bin"/><Relationship Id="rId149" Type="http://schemas.openxmlformats.org/officeDocument/2006/relationships/oleObject" Target="embeddings/oleObject77.bin"/><Relationship Id="rId314" Type="http://schemas.openxmlformats.org/officeDocument/2006/relationships/oleObject" Target="embeddings/oleObject164.bin"/><Relationship Id="rId356" Type="http://schemas.openxmlformats.org/officeDocument/2006/relationships/image" Target="media/image161.wmf"/><Relationship Id="rId398" Type="http://schemas.openxmlformats.org/officeDocument/2006/relationships/image" Target="media/image178.wmf"/><Relationship Id="rId95" Type="http://schemas.openxmlformats.org/officeDocument/2006/relationships/image" Target="media/image40.wmf"/><Relationship Id="rId160" Type="http://schemas.openxmlformats.org/officeDocument/2006/relationships/image" Target="media/image68.wmf"/><Relationship Id="rId216" Type="http://schemas.openxmlformats.org/officeDocument/2006/relationships/image" Target="media/image95.wmf"/><Relationship Id="rId423" Type="http://schemas.openxmlformats.org/officeDocument/2006/relationships/chart" Target="charts/chart1.xml"/><Relationship Id="rId258" Type="http://schemas.openxmlformats.org/officeDocument/2006/relationships/image" Target="media/image114.wmf"/><Relationship Id="rId22" Type="http://schemas.openxmlformats.org/officeDocument/2006/relationships/oleObject" Target="embeddings/oleObject6.bin"/><Relationship Id="rId64" Type="http://schemas.openxmlformats.org/officeDocument/2006/relationships/oleObject" Target="embeddings/oleObject29.bin"/><Relationship Id="rId118" Type="http://schemas.openxmlformats.org/officeDocument/2006/relationships/oleObject" Target="embeddings/oleObject60.bin"/><Relationship Id="rId325" Type="http://schemas.openxmlformats.org/officeDocument/2006/relationships/oleObject" Target="embeddings/oleObject170.bin"/><Relationship Id="rId367" Type="http://schemas.openxmlformats.org/officeDocument/2006/relationships/oleObject" Target="embeddings/oleObject192.bin"/><Relationship Id="rId171" Type="http://schemas.openxmlformats.org/officeDocument/2006/relationships/oleObject" Target="embeddings/oleObject88.bin"/><Relationship Id="rId227" Type="http://schemas.openxmlformats.org/officeDocument/2006/relationships/oleObject" Target="embeddings/oleObject117.bin"/><Relationship Id="rId269" Type="http://schemas.openxmlformats.org/officeDocument/2006/relationships/oleObject" Target="embeddings/oleObject141.bin"/><Relationship Id="rId33" Type="http://schemas.openxmlformats.org/officeDocument/2006/relationships/oleObject" Target="embeddings/oleObject13.bin"/><Relationship Id="rId129" Type="http://schemas.openxmlformats.org/officeDocument/2006/relationships/oleObject" Target="embeddings/oleObject66.bin"/><Relationship Id="rId280" Type="http://schemas.openxmlformats.org/officeDocument/2006/relationships/image" Target="media/image124.wmf"/><Relationship Id="rId336" Type="http://schemas.openxmlformats.org/officeDocument/2006/relationships/image" Target="media/image151.wmf"/><Relationship Id="rId75" Type="http://schemas.openxmlformats.org/officeDocument/2006/relationships/image" Target="media/image31.wmf"/><Relationship Id="rId140" Type="http://schemas.openxmlformats.org/officeDocument/2006/relationships/image" Target="media/image58.wmf"/><Relationship Id="rId182" Type="http://schemas.openxmlformats.org/officeDocument/2006/relationships/image" Target="media/image79.wmf"/><Relationship Id="rId378" Type="http://schemas.openxmlformats.org/officeDocument/2006/relationships/oleObject" Target="embeddings/oleObject198.bin"/><Relationship Id="rId403" Type="http://schemas.openxmlformats.org/officeDocument/2006/relationships/oleObject" Target="embeddings/oleObject213.bin"/><Relationship Id="rId6" Type="http://schemas.openxmlformats.org/officeDocument/2006/relationships/footnotes" Target="footnotes.xml"/><Relationship Id="rId238" Type="http://schemas.openxmlformats.org/officeDocument/2006/relationships/image" Target="media/image104.wmf"/><Relationship Id="rId291" Type="http://schemas.openxmlformats.org/officeDocument/2006/relationships/image" Target="media/image129.wmf"/><Relationship Id="rId305" Type="http://schemas.openxmlformats.org/officeDocument/2006/relationships/image" Target="media/image136.wmf"/><Relationship Id="rId347" Type="http://schemas.openxmlformats.org/officeDocument/2006/relationships/oleObject" Target="embeddings/oleObject181.bin"/><Relationship Id="rId44" Type="http://schemas.openxmlformats.org/officeDocument/2006/relationships/image" Target="media/image16.wmf"/><Relationship Id="rId86" Type="http://schemas.openxmlformats.org/officeDocument/2006/relationships/oleObject" Target="embeddings/oleObject40.bin"/><Relationship Id="rId151" Type="http://schemas.openxmlformats.org/officeDocument/2006/relationships/oleObject" Target="embeddings/oleObject78.bin"/><Relationship Id="rId389" Type="http://schemas.openxmlformats.org/officeDocument/2006/relationships/oleObject" Target="embeddings/oleObject206.bin"/><Relationship Id="rId193" Type="http://schemas.openxmlformats.org/officeDocument/2006/relationships/image" Target="media/image84.wmf"/><Relationship Id="rId207" Type="http://schemas.openxmlformats.org/officeDocument/2006/relationships/oleObject" Target="embeddings/oleObject107.bin"/><Relationship Id="rId249" Type="http://schemas.openxmlformats.org/officeDocument/2006/relationships/oleObject" Target="embeddings/oleObject130.bin"/><Relationship Id="rId414" Type="http://schemas.openxmlformats.org/officeDocument/2006/relationships/hyperlink" Target="https://gov.texas.gov/news/post/governor-abbott-lifts-mask-mandate-opens-texas-100-percent" TargetMode="External"/><Relationship Id="rId13" Type="http://schemas.openxmlformats.org/officeDocument/2006/relationships/image" Target="media/image2.wmf"/><Relationship Id="rId109" Type="http://schemas.openxmlformats.org/officeDocument/2006/relationships/image" Target="media/image44.wmf"/><Relationship Id="rId260" Type="http://schemas.openxmlformats.org/officeDocument/2006/relationships/image" Target="media/image115.wmf"/><Relationship Id="rId316" Type="http://schemas.openxmlformats.org/officeDocument/2006/relationships/oleObject" Target="embeddings/oleObject165.bin"/><Relationship Id="rId55" Type="http://schemas.openxmlformats.org/officeDocument/2006/relationships/oleObject" Target="embeddings/oleObject24.bin"/><Relationship Id="rId97" Type="http://schemas.openxmlformats.org/officeDocument/2006/relationships/image" Target="media/image41.wmf"/><Relationship Id="rId120" Type="http://schemas.openxmlformats.org/officeDocument/2006/relationships/oleObject" Target="embeddings/oleObject61.bin"/><Relationship Id="rId358" Type="http://schemas.openxmlformats.org/officeDocument/2006/relationships/image" Target="media/image162.wmf"/><Relationship Id="rId162" Type="http://schemas.openxmlformats.org/officeDocument/2006/relationships/image" Target="media/image69.wmf"/><Relationship Id="rId218" Type="http://schemas.openxmlformats.org/officeDocument/2006/relationships/image" Target="media/image96.wmf"/><Relationship Id="rId425" Type="http://schemas.openxmlformats.org/officeDocument/2006/relationships/image" Target="media/image184.png"/><Relationship Id="rId271" Type="http://schemas.openxmlformats.org/officeDocument/2006/relationships/oleObject" Target="embeddings/oleObject142.bin"/><Relationship Id="rId24" Type="http://schemas.openxmlformats.org/officeDocument/2006/relationships/oleObject" Target="embeddings/oleObject7.bin"/><Relationship Id="rId66" Type="http://schemas.openxmlformats.org/officeDocument/2006/relationships/oleObject" Target="embeddings/oleObject30.bin"/><Relationship Id="rId131" Type="http://schemas.openxmlformats.org/officeDocument/2006/relationships/oleObject" Target="embeddings/oleObject67.bin"/><Relationship Id="rId327" Type="http://schemas.openxmlformats.org/officeDocument/2006/relationships/oleObject" Target="embeddings/oleObject171.bin"/><Relationship Id="rId369" Type="http://schemas.openxmlformats.org/officeDocument/2006/relationships/image" Target="media/image166.wmf"/><Relationship Id="rId173" Type="http://schemas.openxmlformats.org/officeDocument/2006/relationships/oleObject" Target="embeddings/oleObject89.bin"/><Relationship Id="rId229" Type="http://schemas.openxmlformats.org/officeDocument/2006/relationships/oleObject" Target="embeddings/oleObject119.bin"/><Relationship Id="rId380" Type="http://schemas.openxmlformats.org/officeDocument/2006/relationships/oleObject" Target="embeddings/oleObject200.bin"/><Relationship Id="rId240" Type="http://schemas.openxmlformats.org/officeDocument/2006/relationships/image" Target="media/image105.wmf"/><Relationship Id="rId35" Type="http://schemas.openxmlformats.org/officeDocument/2006/relationships/oleObject" Target="embeddings/oleObject14.bin"/><Relationship Id="rId77" Type="http://schemas.openxmlformats.org/officeDocument/2006/relationships/image" Target="media/image32.wmf"/><Relationship Id="rId100" Type="http://schemas.openxmlformats.org/officeDocument/2006/relationships/oleObject" Target="embeddings/oleObject49.bin"/><Relationship Id="rId282" Type="http://schemas.openxmlformats.org/officeDocument/2006/relationships/oleObject" Target="embeddings/oleObject148.bin"/><Relationship Id="rId338" Type="http://schemas.openxmlformats.org/officeDocument/2006/relationships/image" Target="media/image152.wmf"/><Relationship Id="rId8" Type="http://schemas.openxmlformats.org/officeDocument/2006/relationships/hyperlink" Target="mailto:kasmussen29@utexas.edu" TargetMode="External"/><Relationship Id="rId142" Type="http://schemas.openxmlformats.org/officeDocument/2006/relationships/image" Target="media/image59.wmf"/><Relationship Id="rId184" Type="http://schemas.openxmlformats.org/officeDocument/2006/relationships/image" Target="media/image80.wmf"/><Relationship Id="rId391" Type="http://schemas.openxmlformats.org/officeDocument/2006/relationships/oleObject" Target="embeddings/oleObject207.bin"/><Relationship Id="rId405" Type="http://schemas.openxmlformats.org/officeDocument/2006/relationships/oleObject" Target="embeddings/oleObject214.bin"/><Relationship Id="rId251" Type="http://schemas.openxmlformats.org/officeDocument/2006/relationships/oleObject" Target="embeddings/oleObject131.bin"/><Relationship Id="rId46" Type="http://schemas.openxmlformats.org/officeDocument/2006/relationships/image" Target="media/image17.wmf"/><Relationship Id="rId293" Type="http://schemas.openxmlformats.org/officeDocument/2006/relationships/image" Target="media/image130.wmf"/><Relationship Id="rId307" Type="http://schemas.openxmlformats.org/officeDocument/2006/relationships/image" Target="media/image137.wmf"/><Relationship Id="rId349" Type="http://schemas.openxmlformats.org/officeDocument/2006/relationships/oleObject" Target="embeddings/oleObject182.bin"/><Relationship Id="rId88" Type="http://schemas.openxmlformats.org/officeDocument/2006/relationships/oleObject" Target="embeddings/oleObject41.bin"/><Relationship Id="rId111" Type="http://schemas.openxmlformats.org/officeDocument/2006/relationships/image" Target="media/image45.wmf"/><Relationship Id="rId153" Type="http://schemas.openxmlformats.org/officeDocument/2006/relationships/oleObject" Target="embeddings/oleObject79.bin"/><Relationship Id="rId195" Type="http://schemas.openxmlformats.org/officeDocument/2006/relationships/oleObject" Target="embeddings/oleObject101.bin"/><Relationship Id="rId209" Type="http://schemas.openxmlformats.org/officeDocument/2006/relationships/oleObject" Target="embeddings/oleObject108.bin"/><Relationship Id="rId360" Type="http://schemas.openxmlformats.org/officeDocument/2006/relationships/image" Target="media/image163.wmf"/><Relationship Id="rId416" Type="http://schemas.openxmlformats.org/officeDocument/2006/relationships/hyperlink" Target="https://news.gallup.com/poll/355907/remote-work-persisting-trending-permanent.aspx" TargetMode="External"/><Relationship Id="rId220" Type="http://schemas.openxmlformats.org/officeDocument/2006/relationships/image" Target="media/image97.wmf"/><Relationship Id="rId15" Type="http://schemas.openxmlformats.org/officeDocument/2006/relationships/image" Target="media/image3.wmf"/><Relationship Id="rId57" Type="http://schemas.openxmlformats.org/officeDocument/2006/relationships/oleObject" Target="embeddings/oleObject25.bin"/><Relationship Id="rId262" Type="http://schemas.openxmlformats.org/officeDocument/2006/relationships/image" Target="media/image116.wmf"/><Relationship Id="rId318" Type="http://schemas.openxmlformats.org/officeDocument/2006/relationships/oleObject" Target="embeddings/oleObject166.bin"/><Relationship Id="rId99" Type="http://schemas.openxmlformats.org/officeDocument/2006/relationships/oleObject" Target="embeddings/oleObject48.bin"/><Relationship Id="rId122" Type="http://schemas.openxmlformats.org/officeDocument/2006/relationships/oleObject" Target="embeddings/oleObject62.bin"/><Relationship Id="rId164" Type="http://schemas.openxmlformats.org/officeDocument/2006/relationships/image" Target="media/image70.wmf"/><Relationship Id="rId371" Type="http://schemas.openxmlformats.org/officeDocument/2006/relationships/image" Target="media/image167.wmf"/><Relationship Id="rId427" Type="http://schemas.openxmlformats.org/officeDocument/2006/relationships/theme" Target="theme/theme1.xml"/><Relationship Id="rId26" Type="http://schemas.openxmlformats.org/officeDocument/2006/relationships/oleObject" Target="embeddings/oleObject9.bin"/><Relationship Id="rId231" Type="http://schemas.openxmlformats.org/officeDocument/2006/relationships/oleObject" Target="embeddings/oleObject120.bin"/><Relationship Id="rId273" Type="http://schemas.openxmlformats.org/officeDocument/2006/relationships/oleObject" Target="embeddings/oleObject143.bin"/><Relationship Id="rId329" Type="http://schemas.openxmlformats.org/officeDocument/2006/relationships/oleObject" Target="embeddings/oleObject172.bin"/><Relationship Id="rId68" Type="http://schemas.openxmlformats.org/officeDocument/2006/relationships/oleObject" Target="embeddings/oleObject31.bin"/><Relationship Id="rId133" Type="http://schemas.openxmlformats.org/officeDocument/2006/relationships/oleObject" Target="embeddings/oleObject68.bin"/><Relationship Id="rId175" Type="http://schemas.openxmlformats.org/officeDocument/2006/relationships/oleObject" Target="embeddings/oleObject90.bin"/><Relationship Id="rId340" Type="http://schemas.openxmlformats.org/officeDocument/2006/relationships/image" Target="media/image153.wmf"/><Relationship Id="rId200" Type="http://schemas.openxmlformats.org/officeDocument/2006/relationships/image" Target="media/image87.wmf"/><Relationship Id="rId382" Type="http://schemas.openxmlformats.org/officeDocument/2006/relationships/oleObject" Target="embeddings/oleObject202.bin"/><Relationship Id="rId242" Type="http://schemas.openxmlformats.org/officeDocument/2006/relationships/image" Target="media/image106.wmf"/><Relationship Id="rId284" Type="http://schemas.openxmlformats.org/officeDocument/2006/relationships/oleObject" Target="embeddings/oleObject149.bin"/><Relationship Id="rId37" Type="http://schemas.openxmlformats.org/officeDocument/2006/relationships/oleObject" Target="embeddings/oleObject15.bin"/><Relationship Id="rId79" Type="http://schemas.openxmlformats.org/officeDocument/2006/relationships/image" Target="media/image33.wmf"/><Relationship Id="rId102" Type="http://schemas.openxmlformats.org/officeDocument/2006/relationships/image" Target="media/image42.wmf"/><Relationship Id="rId144" Type="http://schemas.openxmlformats.org/officeDocument/2006/relationships/image" Target="media/image60.wmf"/><Relationship Id="rId90" Type="http://schemas.openxmlformats.org/officeDocument/2006/relationships/oleObject" Target="embeddings/oleObject43.bin"/><Relationship Id="rId186" Type="http://schemas.openxmlformats.org/officeDocument/2006/relationships/image" Target="media/image81.wmf"/><Relationship Id="rId351" Type="http://schemas.openxmlformats.org/officeDocument/2006/relationships/oleObject" Target="embeddings/oleObject183.bin"/><Relationship Id="rId393" Type="http://schemas.openxmlformats.org/officeDocument/2006/relationships/oleObject" Target="embeddings/oleObject208.bin"/><Relationship Id="rId407" Type="http://schemas.openxmlformats.org/officeDocument/2006/relationships/oleObject" Target="embeddings/oleObject215.bin"/><Relationship Id="rId211" Type="http://schemas.openxmlformats.org/officeDocument/2006/relationships/oleObject" Target="embeddings/oleObject109.bin"/><Relationship Id="rId253" Type="http://schemas.openxmlformats.org/officeDocument/2006/relationships/oleObject" Target="embeddings/oleObject132.bin"/><Relationship Id="rId295" Type="http://schemas.openxmlformats.org/officeDocument/2006/relationships/image" Target="media/image131.wmf"/><Relationship Id="rId309" Type="http://schemas.openxmlformats.org/officeDocument/2006/relationships/image" Target="media/image138.wmf"/><Relationship Id="rId48" Type="http://schemas.openxmlformats.org/officeDocument/2006/relationships/image" Target="media/image18.wmf"/><Relationship Id="rId113" Type="http://schemas.openxmlformats.org/officeDocument/2006/relationships/image" Target="media/image46.wmf"/><Relationship Id="rId320" Type="http://schemas.openxmlformats.org/officeDocument/2006/relationships/oleObject" Target="embeddings/oleObject167.bin"/><Relationship Id="rId155" Type="http://schemas.openxmlformats.org/officeDocument/2006/relationships/oleObject" Target="embeddings/oleObject80.bin"/><Relationship Id="rId197" Type="http://schemas.openxmlformats.org/officeDocument/2006/relationships/oleObject" Target="embeddings/oleObject102.bin"/><Relationship Id="rId362" Type="http://schemas.openxmlformats.org/officeDocument/2006/relationships/image" Target="media/image164.wmf"/><Relationship Id="rId418" Type="http://schemas.openxmlformats.org/officeDocument/2006/relationships/hyperlink" Target="https://doi.org/10.3386/w18859" TargetMode="External"/><Relationship Id="rId222" Type="http://schemas.openxmlformats.org/officeDocument/2006/relationships/image" Target="media/image98.wmf"/><Relationship Id="rId264" Type="http://schemas.openxmlformats.org/officeDocument/2006/relationships/image" Target="media/image117.wmf"/><Relationship Id="rId17" Type="http://schemas.openxmlformats.org/officeDocument/2006/relationships/image" Target="media/image4.wmf"/><Relationship Id="rId59" Type="http://schemas.openxmlformats.org/officeDocument/2006/relationships/image" Target="media/image23.wmf"/><Relationship Id="rId124" Type="http://schemas.openxmlformats.org/officeDocument/2006/relationships/image" Target="media/image51.wmf"/></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Users\kea997\Box%20Sync\BhatResearch\BhatResearch\WPL%20COMM\peretn%20v%20com%20time.xlsx"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file:///C:\Users\kea997\Box%20Sync\BhatResearch\BhatResearch\WPL%20COMM\wplcommcalc%20may3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rgbClr val="00B050"/>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Sheet1!$B$41:$B$46</c:f>
              <c:strCache>
                <c:ptCount val="6"/>
                <c:pt idx="0">
                  <c:v>No remote work</c:v>
                </c:pt>
                <c:pt idx="1">
                  <c:v>Up to 25% remote work</c:v>
                </c:pt>
                <c:pt idx="2">
                  <c:v>25.01 to 50% remote work</c:v>
                </c:pt>
                <c:pt idx="3">
                  <c:v>50.01 to 75% remote work</c:v>
                </c:pt>
                <c:pt idx="4">
                  <c:v>75.01 to 99.99% remote work</c:v>
                </c:pt>
                <c:pt idx="5">
                  <c:v>100% remote work</c:v>
                </c:pt>
              </c:strCache>
            </c:strRef>
          </c:cat>
          <c:val>
            <c:numRef>
              <c:f>Sheet1!$C$41:$C$46</c:f>
              <c:numCache>
                <c:formatCode>General</c:formatCode>
                <c:ptCount val="6"/>
                <c:pt idx="0">
                  <c:v>13.25</c:v>
                </c:pt>
                <c:pt idx="1">
                  <c:v>14.42</c:v>
                </c:pt>
                <c:pt idx="2">
                  <c:v>14.6</c:v>
                </c:pt>
                <c:pt idx="3">
                  <c:v>15.59</c:v>
                </c:pt>
                <c:pt idx="4">
                  <c:v>13.77</c:v>
                </c:pt>
                <c:pt idx="5">
                  <c:v>12.06</c:v>
                </c:pt>
              </c:numCache>
            </c:numRef>
          </c:val>
          <c:extLst>
            <c:ext xmlns:c16="http://schemas.microsoft.com/office/drawing/2014/chart" uri="{C3380CC4-5D6E-409C-BE32-E72D297353CC}">
              <c16:uniqueId val="{00000000-7A49-4581-B17F-B44A7C2D5116}"/>
            </c:ext>
          </c:extLst>
        </c:ser>
        <c:dLbls>
          <c:dLblPos val="outEnd"/>
          <c:showLegendKey val="0"/>
          <c:showVal val="1"/>
          <c:showCatName val="0"/>
          <c:showSerName val="0"/>
          <c:showPercent val="0"/>
          <c:showBubbleSize val="0"/>
        </c:dLbls>
        <c:gapWidth val="219"/>
        <c:overlap val="-27"/>
        <c:axId val="2064528032"/>
        <c:axId val="148709440"/>
      </c:barChart>
      <c:catAx>
        <c:axId val="2064528032"/>
        <c:scaling>
          <c:orientation val="minMax"/>
        </c:scaling>
        <c:delete val="0"/>
        <c:axPos val="b"/>
        <c:title>
          <c:tx>
            <c:rich>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b="1"/>
                  <a:t>Portion of remote work (per month)</a:t>
                </a:r>
              </a:p>
            </c:rich>
          </c:tx>
          <c:overlay val="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48709440"/>
        <c:crosses val="autoZero"/>
        <c:auto val="1"/>
        <c:lblAlgn val="ctr"/>
        <c:lblOffset val="100"/>
        <c:noMultiLvlLbl val="0"/>
      </c:catAx>
      <c:valAx>
        <c:axId val="14870944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b="1"/>
                  <a:t>Commtue distance (miles)</a:t>
                </a:r>
              </a:p>
            </c:rich>
          </c:tx>
          <c:overlay val="0"/>
          <c:spPr>
            <a:noFill/>
            <a:ln>
              <a:noFill/>
            </a:ln>
            <a:effectLst/>
          </c:spPr>
          <c:txPr>
            <a:bodyPr rot="-54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06452803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percentStacked"/>
        <c:varyColors val="0"/>
        <c:ser>
          <c:idx val="0"/>
          <c:order val="0"/>
          <c:spPr>
            <a:solidFill>
              <a:schemeClr val="accent6">
                <a:lumMod val="20000"/>
                <a:lumOff val="80000"/>
              </a:schemeClr>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Sheet2!$A$30:$A$32</c:f>
              <c:strCache>
                <c:ptCount val="3"/>
                <c:pt idx="0">
                  <c:v>Less than 8 miles</c:v>
                </c:pt>
                <c:pt idx="1">
                  <c:v>8.01 to 15 miles</c:v>
                </c:pt>
                <c:pt idx="2">
                  <c:v>Longer than 15 miles</c:v>
                </c:pt>
              </c:strCache>
            </c:strRef>
          </c:cat>
          <c:val>
            <c:numRef>
              <c:f>Sheet2!$B$30:$B$32</c:f>
              <c:numCache>
                <c:formatCode>General</c:formatCode>
                <c:ptCount val="3"/>
                <c:pt idx="0">
                  <c:v>19.7</c:v>
                </c:pt>
                <c:pt idx="1">
                  <c:v>28.2</c:v>
                </c:pt>
                <c:pt idx="2">
                  <c:v>22.1</c:v>
                </c:pt>
              </c:numCache>
            </c:numRef>
          </c:val>
          <c:extLst>
            <c:ext xmlns:c16="http://schemas.microsoft.com/office/drawing/2014/chart" uri="{C3380CC4-5D6E-409C-BE32-E72D297353CC}">
              <c16:uniqueId val="{00000000-781B-4922-8AC2-258C5BECB424}"/>
            </c:ext>
          </c:extLst>
        </c:ser>
        <c:ser>
          <c:idx val="1"/>
          <c:order val="1"/>
          <c:spPr>
            <a:solidFill>
              <a:srgbClr val="00B050"/>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Sheet2!$A$30:$A$32</c:f>
              <c:strCache>
                <c:ptCount val="3"/>
                <c:pt idx="0">
                  <c:v>Less than 8 miles</c:v>
                </c:pt>
                <c:pt idx="1">
                  <c:v>8.01 to 15 miles</c:v>
                </c:pt>
                <c:pt idx="2">
                  <c:v>Longer than 15 miles</c:v>
                </c:pt>
              </c:strCache>
            </c:strRef>
          </c:cat>
          <c:val>
            <c:numRef>
              <c:f>Sheet2!$C$30:$C$32</c:f>
              <c:numCache>
                <c:formatCode>General</c:formatCode>
                <c:ptCount val="3"/>
                <c:pt idx="0">
                  <c:v>80.3</c:v>
                </c:pt>
                <c:pt idx="1">
                  <c:v>71.8</c:v>
                </c:pt>
                <c:pt idx="2">
                  <c:v>77.900000000000006</c:v>
                </c:pt>
              </c:numCache>
            </c:numRef>
          </c:val>
          <c:extLst>
            <c:ext xmlns:c16="http://schemas.microsoft.com/office/drawing/2014/chart" uri="{C3380CC4-5D6E-409C-BE32-E72D297353CC}">
              <c16:uniqueId val="{00000001-781B-4922-8AC2-258C5BECB424}"/>
            </c:ext>
          </c:extLst>
        </c:ser>
        <c:dLbls>
          <c:dLblPos val="ctr"/>
          <c:showLegendKey val="0"/>
          <c:showVal val="1"/>
          <c:showCatName val="0"/>
          <c:showSerName val="0"/>
          <c:showPercent val="0"/>
          <c:showBubbleSize val="0"/>
        </c:dLbls>
        <c:gapWidth val="150"/>
        <c:overlap val="100"/>
        <c:axId val="2084672191"/>
        <c:axId val="2084660543"/>
      </c:barChart>
      <c:catAx>
        <c:axId val="2084672191"/>
        <c:scaling>
          <c:orientation val="minMax"/>
        </c:scaling>
        <c:delete val="0"/>
        <c:axPos val="b"/>
        <c:title>
          <c:tx>
            <c:rich>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b="1"/>
                  <a:t>Commute Distance</a:t>
                </a:r>
              </a:p>
            </c:rich>
          </c:tx>
          <c:layout>
            <c:manualLayout>
              <c:xMode val="edge"/>
              <c:yMode val="edge"/>
              <c:x val="0.45388779527559053"/>
              <c:y val="0.87868037328667248"/>
            </c:manualLayout>
          </c:layout>
          <c:overlay val="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084660543"/>
        <c:crosses val="autoZero"/>
        <c:auto val="1"/>
        <c:lblAlgn val="ctr"/>
        <c:lblOffset val="100"/>
        <c:noMultiLvlLbl val="0"/>
      </c:catAx>
      <c:valAx>
        <c:axId val="2084660543"/>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b="1"/>
                  <a:t>WPL Participation per month (%)</a:t>
                </a:r>
              </a:p>
            </c:rich>
          </c:tx>
          <c:overlay val="0"/>
          <c:spPr>
            <a:noFill/>
            <a:ln>
              <a:noFill/>
            </a:ln>
            <a:effectLst/>
          </c:spPr>
          <c:txPr>
            <a:bodyPr rot="-54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084672191"/>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3FFC71-4839-4C67-94DA-1BF1B6D956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57</Pages>
  <Words>26944</Words>
  <Characters>153585</Characters>
  <Application>Microsoft Office Word</Application>
  <DocSecurity>0</DocSecurity>
  <Lines>1279</Lines>
  <Paragraphs>360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Asmussen, Katherine</dc:creator>
  <cp:keywords/>
  <dc:description/>
  <cp:lastModifiedBy>Macias, Lisa J</cp:lastModifiedBy>
  <cp:revision>2</cp:revision>
  <cp:lastPrinted>2024-05-18T03:03:00Z</cp:lastPrinted>
  <dcterms:created xsi:type="dcterms:W3CDTF">2024-06-01T03:41:00Z</dcterms:created>
  <dcterms:modified xsi:type="dcterms:W3CDTF">2024-06-01T03:41:00Z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5f8f149618f546cac5febd9d52d7dc23f51dfd2bf4c639fe92fceda6fb4c441d</vt:lpwstr>
  </property>
</Properties>
</file>