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F1391" w14:textId="77777777" w:rsidR="007E6974" w:rsidRDefault="007E6974" w:rsidP="007E6974">
      <w:pPr>
        <w:spacing w:after="0" w:line="240" w:lineRule="auto"/>
        <w:jc w:val="center"/>
        <w:rPr>
          <w:b/>
          <w:shd w:val="clear" w:color="auto" w:fill="FFFFFF"/>
        </w:rPr>
      </w:pPr>
      <w:bookmarkStart w:id="0" w:name="_Hlk109570481"/>
    </w:p>
    <w:p w14:paraId="224BC0D0" w14:textId="77777777" w:rsidR="007E6974" w:rsidRDefault="007E6974" w:rsidP="007E6974">
      <w:pPr>
        <w:spacing w:after="0" w:line="240" w:lineRule="auto"/>
        <w:jc w:val="center"/>
        <w:rPr>
          <w:b/>
          <w:shd w:val="clear" w:color="auto" w:fill="FFFFFF"/>
        </w:rPr>
      </w:pPr>
    </w:p>
    <w:p w14:paraId="21BABE0B" w14:textId="77777777" w:rsidR="007E6974" w:rsidRDefault="007E6974" w:rsidP="007E6974">
      <w:pPr>
        <w:spacing w:after="0" w:line="240" w:lineRule="auto"/>
        <w:jc w:val="center"/>
        <w:rPr>
          <w:b/>
          <w:shd w:val="clear" w:color="auto" w:fill="FFFFFF"/>
        </w:rPr>
      </w:pPr>
    </w:p>
    <w:p w14:paraId="2F30B6F2" w14:textId="77777777" w:rsidR="007E6974" w:rsidRDefault="007E6974" w:rsidP="007E6974">
      <w:pPr>
        <w:spacing w:after="0" w:line="240" w:lineRule="auto"/>
        <w:jc w:val="center"/>
        <w:rPr>
          <w:b/>
          <w:shd w:val="clear" w:color="auto" w:fill="FFFFFF"/>
        </w:rPr>
      </w:pPr>
    </w:p>
    <w:p w14:paraId="443C399D" w14:textId="141971D5" w:rsidR="00DE6AB0" w:rsidRPr="007E6974" w:rsidRDefault="006062B8" w:rsidP="007E6974">
      <w:pPr>
        <w:spacing w:after="0" w:line="240" w:lineRule="auto"/>
        <w:jc w:val="center"/>
        <w:rPr>
          <w:b/>
          <w:shd w:val="clear" w:color="auto" w:fill="FFFFFF"/>
        </w:rPr>
      </w:pPr>
      <w:r w:rsidRPr="007E6974">
        <w:rPr>
          <w:b/>
          <w:shd w:val="clear" w:color="auto" w:fill="FFFFFF"/>
        </w:rPr>
        <w:t xml:space="preserve">On Modeling </w:t>
      </w:r>
      <w:r w:rsidR="008049EA" w:rsidRPr="007E6974">
        <w:rPr>
          <w:b/>
          <w:shd w:val="clear" w:color="auto" w:fill="FFFFFF"/>
        </w:rPr>
        <w:t xml:space="preserve">Future </w:t>
      </w:r>
      <w:r w:rsidRPr="007E6974">
        <w:rPr>
          <w:b/>
          <w:shd w:val="clear" w:color="auto" w:fill="FFFFFF"/>
        </w:rPr>
        <w:t>Workplace Location Decisions</w:t>
      </w:r>
      <w:r w:rsidR="008049EA" w:rsidRPr="007E6974">
        <w:rPr>
          <w:b/>
          <w:shd w:val="clear" w:color="auto" w:fill="FFFFFF"/>
        </w:rPr>
        <w:t>: An Analysis of Texas Employees</w:t>
      </w:r>
    </w:p>
    <w:bookmarkEnd w:id="0"/>
    <w:p w14:paraId="6CC75B51" w14:textId="4F30A209" w:rsidR="007E6974" w:rsidRDefault="007E6974" w:rsidP="007E6974">
      <w:pPr>
        <w:spacing w:after="0" w:line="240" w:lineRule="auto"/>
        <w:rPr>
          <w:b/>
          <w:shd w:val="clear" w:color="auto" w:fill="FFFFFF"/>
        </w:rPr>
      </w:pPr>
    </w:p>
    <w:p w14:paraId="17C50F22" w14:textId="7DE25959" w:rsidR="007E6974" w:rsidRDefault="007E6974" w:rsidP="007E6974">
      <w:pPr>
        <w:spacing w:after="0" w:line="240" w:lineRule="auto"/>
        <w:rPr>
          <w:b/>
          <w:shd w:val="clear" w:color="auto" w:fill="FFFFFF"/>
        </w:rPr>
      </w:pPr>
    </w:p>
    <w:p w14:paraId="6F8AAEE7" w14:textId="7AE72F16" w:rsidR="007E6974" w:rsidRDefault="007E6974" w:rsidP="007E6974">
      <w:pPr>
        <w:spacing w:after="0" w:line="240" w:lineRule="auto"/>
        <w:rPr>
          <w:b/>
          <w:shd w:val="clear" w:color="auto" w:fill="FFFFFF"/>
        </w:rPr>
      </w:pPr>
    </w:p>
    <w:p w14:paraId="120662A5" w14:textId="5901B76A" w:rsidR="007E6974" w:rsidRDefault="007E6974" w:rsidP="007E6974">
      <w:pPr>
        <w:spacing w:after="0" w:line="240" w:lineRule="auto"/>
        <w:rPr>
          <w:b/>
          <w:shd w:val="clear" w:color="auto" w:fill="FFFFFF"/>
        </w:rPr>
      </w:pPr>
    </w:p>
    <w:p w14:paraId="31E642E3" w14:textId="77777777" w:rsidR="00BD35E9" w:rsidRDefault="00BD35E9" w:rsidP="007E6974">
      <w:pPr>
        <w:spacing w:after="0" w:line="240" w:lineRule="auto"/>
        <w:rPr>
          <w:b/>
          <w:shd w:val="clear" w:color="auto" w:fill="FFFFFF"/>
        </w:rPr>
      </w:pPr>
    </w:p>
    <w:p w14:paraId="54F0FD98" w14:textId="77777777" w:rsidR="007E6974" w:rsidRPr="007E6974" w:rsidRDefault="007E6974" w:rsidP="007E6974">
      <w:pPr>
        <w:spacing w:after="0" w:line="240" w:lineRule="auto"/>
        <w:rPr>
          <w:b/>
          <w:shd w:val="clear" w:color="auto" w:fill="FFFFFF"/>
        </w:rPr>
      </w:pPr>
    </w:p>
    <w:p w14:paraId="148CEA47" w14:textId="77777777" w:rsidR="007E6974" w:rsidRPr="007E6974" w:rsidRDefault="007E6974" w:rsidP="007E6974">
      <w:pPr>
        <w:spacing w:after="0" w:line="240" w:lineRule="auto"/>
        <w:jc w:val="center"/>
        <w:rPr>
          <w:rStyle w:val="Style1Char"/>
          <w:b w:val="0"/>
          <w:bCs w:val="0"/>
        </w:rPr>
      </w:pPr>
    </w:p>
    <w:p w14:paraId="7D0474FD" w14:textId="77777777" w:rsidR="007E6974" w:rsidRPr="007E6974" w:rsidRDefault="007E6974" w:rsidP="007E6974">
      <w:pPr>
        <w:spacing w:after="0" w:line="240" w:lineRule="auto"/>
        <w:jc w:val="center"/>
        <w:rPr>
          <w:b/>
          <w:bCs/>
        </w:rPr>
      </w:pPr>
      <w:r w:rsidRPr="007E6974">
        <w:rPr>
          <w:b/>
          <w:bCs/>
        </w:rPr>
        <w:t>Katherine E. Asmussen</w:t>
      </w:r>
    </w:p>
    <w:p w14:paraId="2F090DE4" w14:textId="77777777" w:rsidR="007E6974" w:rsidRPr="007E6974" w:rsidRDefault="007E6974" w:rsidP="007E6974">
      <w:pPr>
        <w:spacing w:after="0" w:line="240" w:lineRule="auto"/>
        <w:jc w:val="center"/>
        <w:rPr>
          <w:bCs/>
        </w:rPr>
      </w:pPr>
      <w:r w:rsidRPr="007E6974">
        <w:t>The University of Texas at Austin</w:t>
      </w:r>
    </w:p>
    <w:p w14:paraId="0966A099" w14:textId="77777777" w:rsidR="007E6974" w:rsidRPr="007E6974" w:rsidRDefault="007E6974" w:rsidP="007E6974">
      <w:pPr>
        <w:spacing w:after="0" w:line="240" w:lineRule="auto"/>
        <w:jc w:val="center"/>
        <w:rPr>
          <w:bCs/>
        </w:rPr>
      </w:pPr>
      <w:r w:rsidRPr="007E6974">
        <w:t>Department of Civil, Architectural and Environmental Engineering</w:t>
      </w:r>
    </w:p>
    <w:p w14:paraId="412BCCF9" w14:textId="77777777" w:rsidR="007E6974" w:rsidRPr="007E6974" w:rsidRDefault="007E6974" w:rsidP="007E6974">
      <w:pPr>
        <w:spacing w:after="0" w:line="240" w:lineRule="auto"/>
        <w:jc w:val="center"/>
        <w:rPr>
          <w:bCs/>
        </w:rPr>
      </w:pPr>
      <w:r w:rsidRPr="007E6974">
        <w:t>301 E. Dean Keeton St. Stop C1761, Austin TX 78712, USA</w:t>
      </w:r>
    </w:p>
    <w:p w14:paraId="4863398F" w14:textId="77777777" w:rsidR="007E6974" w:rsidRPr="007E6974" w:rsidRDefault="007E6974" w:rsidP="007E6974">
      <w:pPr>
        <w:spacing w:after="0" w:line="240" w:lineRule="auto"/>
        <w:jc w:val="center"/>
        <w:rPr>
          <w:rStyle w:val="Hyperlink"/>
        </w:rPr>
      </w:pPr>
      <w:r w:rsidRPr="007E6974">
        <w:t xml:space="preserve">Email: </w:t>
      </w:r>
      <w:hyperlink r:id="rId8" w:history="1">
        <w:r w:rsidRPr="007E6974">
          <w:rPr>
            <w:rStyle w:val="Hyperlink"/>
          </w:rPr>
          <w:t>kasmussen29@utexas.edu</w:t>
        </w:r>
      </w:hyperlink>
    </w:p>
    <w:p w14:paraId="21A3F945" w14:textId="77777777" w:rsidR="007E6974" w:rsidRPr="007E6974" w:rsidRDefault="007E6974" w:rsidP="007E6974">
      <w:pPr>
        <w:spacing w:after="0" w:line="240" w:lineRule="auto"/>
        <w:jc w:val="center"/>
        <w:rPr>
          <w:rStyle w:val="Hyperlink"/>
        </w:rPr>
      </w:pPr>
    </w:p>
    <w:p w14:paraId="2A9E8922" w14:textId="77777777" w:rsidR="007E6974" w:rsidRPr="007E6974" w:rsidRDefault="007E6974" w:rsidP="007E6974">
      <w:pPr>
        <w:spacing w:after="0" w:line="240" w:lineRule="auto"/>
        <w:jc w:val="center"/>
        <w:rPr>
          <w:b/>
          <w:bCs/>
        </w:rPr>
      </w:pPr>
      <w:r w:rsidRPr="007E6974">
        <w:rPr>
          <w:b/>
          <w:bCs/>
        </w:rPr>
        <w:t>Aupal Mondal</w:t>
      </w:r>
    </w:p>
    <w:p w14:paraId="1EFFB89E" w14:textId="77777777" w:rsidR="007E6974" w:rsidRPr="007E6974" w:rsidRDefault="007E6974" w:rsidP="007E6974">
      <w:pPr>
        <w:spacing w:after="0" w:line="240" w:lineRule="auto"/>
        <w:jc w:val="center"/>
        <w:rPr>
          <w:bCs/>
        </w:rPr>
      </w:pPr>
      <w:r w:rsidRPr="007E6974">
        <w:t>The University of Texas at Austin</w:t>
      </w:r>
    </w:p>
    <w:p w14:paraId="535A4204" w14:textId="77777777" w:rsidR="007E6974" w:rsidRPr="007E6974" w:rsidRDefault="007E6974" w:rsidP="007E6974">
      <w:pPr>
        <w:spacing w:after="0" w:line="240" w:lineRule="auto"/>
        <w:jc w:val="center"/>
        <w:rPr>
          <w:bCs/>
        </w:rPr>
      </w:pPr>
      <w:r w:rsidRPr="007E6974">
        <w:t>Department of Civil, Architectural and Environmental Engineering</w:t>
      </w:r>
    </w:p>
    <w:p w14:paraId="48A36B45" w14:textId="77777777" w:rsidR="007E6974" w:rsidRPr="007E6974" w:rsidRDefault="007E6974" w:rsidP="007E6974">
      <w:pPr>
        <w:spacing w:after="0" w:line="240" w:lineRule="auto"/>
        <w:jc w:val="center"/>
        <w:rPr>
          <w:bCs/>
        </w:rPr>
      </w:pPr>
      <w:r w:rsidRPr="007E6974">
        <w:t>301 E. Dean Keeton St. Stop C1761, Austin TX 78712, USA</w:t>
      </w:r>
    </w:p>
    <w:p w14:paraId="40570B69" w14:textId="77777777" w:rsidR="007E6974" w:rsidRPr="007E6974" w:rsidRDefault="007E6974" w:rsidP="007E6974">
      <w:pPr>
        <w:spacing w:after="0" w:line="240" w:lineRule="auto"/>
        <w:jc w:val="center"/>
      </w:pPr>
      <w:r w:rsidRPr="007E6974">
        <w:t xml:space="preserve">Email: </w:t>
      </w:r>
      <w:hyperlink r:id="rId9" w:history="1">
        <w:r w:rsidRPr="007E6974">
          <w:rPr>
            <w:rStyle w:val="Hyperlink"/>
          </w:rPr>
          <w:t>aupal.mondal@utexas.edu</w:t>
        </w:r>
      </w:hyperlink>
    </w:p>
    <w:p w14:paraId="665D90B6" w14:textId="77777777" w:rsidR="007E6974" w:rsidRPr="007E6974" w:rsidRDefault="007E6974" w:rsidP="007E6974">
      <w:pPr>
        <w:spacing w:after="0" w:line="240" w:lineRule="auto"/>
        <w:jc w:val="center"/>
        <w:rPr>
          <w:rStyle w:val="Style1Char"/>
          <w:b w:val="0"/>
          <w:bCs w:val="0"/>
        </w:rPr>
      </w:pPr>
    </w:p>
    <w:p w14:paraId="2E858097" w14:textId="77777777" w:rsidR="007E6974" w:rsidRPr="007E6974" w:rsidRDefault="007E6974" w:rsidP="007E6974">
      <w:pPr>
        <w:spacing w:after="0" w:line="240" w:lineRule="auto"/>
        <w:jc w:val="center"/>
        <w:rPr>
          <w:b/>
          <w:lang w:val="fr-FR"/>
        </w:rPr>
      </w:pPr>
      <w:r w:rsidRPr="007E6974">
        <w:rPr>
          <w:b/>
          <w:lang w:val="fr-FR"/>
        </w:rPr>
        <w:t xml:space="preserve">Chandra R. Bhat </w:t>
      </w:r>
      <w:r w:rsidRPr="007E6974">
        <w:rPr>
          <w:b/>
        </w:rPr>
        <w:t>(corresponding author)</w:t>
      </w:r>
    </w:p>
    <w:p w14:paraId="52A2FEF7" w14:textId="77777777" w:rsidR="007E6974" w:rsidRPr="007E6974" w:rsidRDefault="007E6974" w:rsidP="007E6974">
      <w:pPr>
        <w:spacing w:after="0" w:line="240" w:lineRule="auto"/>
        <w:jc w:val="center"/>
        <w:rPr>
          <w:bCs/>
        </w:rPr>
      </w:pPr>
      <w:r w:rsidRPr="007E6974">
        <w:t>The University of Texas at Austin</w:t>
      </w:r>
    </w:p>
    <w:p w14:paraId="521C28F7" w14:textId="77777777" w:rsidR="007E6974" w:rsidRPr="007E6974" w:rsidRDefault="007E6974" w:rsidP="007E6974">
      <w:pPr>
        <w:spacing w:after="0" w:line="240" w:lineRule="auto"/>
        <w:jc w:val="center"/>
        <w:rPr>
          <w:bCs/>
        </w:rPr>
      </w:pPr>
      <w:r w:rsidRPr="007E6974">
        <w:t>Department of Civil, Architectural and Environmental Engineering</w:t>
      </w:r>
    </w:p>
    <w:p w14:paraId="1D5C6067" w14:textId="77777777" w:rsidR="007E6974" w:rsidRPr="007E6974" w:rsidRDefault="007E6974" w:rsidP="007E6974">
      <w:pPr>
        <w:spacing w:after="0" w:line="240" w:lineRule="auto"/>
        <w:jc w:val="center"/>
        <w:rPr>
          <w:bCs/>
        </w:rPr>
      </w:pPr>
      <w:r w:rsidRPr="007E6974">
        <w:t>301 E. Dean Keeton St. Stop C1761, Austin TX 78712, USA</w:t>
      </w:r>
    </w:p>
    <w:p w14:paraId="7BEB0CA2" w14:textId="77777777" w:rsidR="007E6974" w:rsidRPr="007E6974" w:rsidRDefault="007E6974" w:rsidP="007E6974">
      <w:pPr>
        <w:spacing w:after="0" w:line="240" w:lineRule="auto"/>
        <w:jc w:val="center"/>
        <w:rPr>
          <w:bCs/>
          <w:lang w:val="fr-FR"/>
        </w:rPr>
      </w:pPr>
      <w:r w:rsidRPr="007E6974">
        <w:rPr>
          <w:lang w:val="pt-BR"/>
        </w:rPr>
        <w:t>Tel:</w:t>
      </w:r>
      <w:r w:rsidRPr="007E6974">
        <w:t xml:space="preserve"> 1-512-471-4535; </w:t>
      </w:r>
      <w:r w:rsidRPr="007E6974">
        <w:rPr>
          <w:lang w:val="fr-FR"/>
        </w:rPr>
        <w:t xml:space="preserve">Email: </w:t>
      </w:r>
      <w:hyperlink r:id="rId10" w:history="1">
        <w:r w:rsidRPr="007E6974">
          <w:rPr>
            <w:rStyle w:val="Hyperlink"/>
            <w:lang w:val="fr-FR"/>
          </w:rPr>
          <w:t>bhat@mail.utexas.edu</w:t>
        </w:r>
      </w:hyperlink>
    </w:p>
    <w:p w14:paraId="2786EC70" w14:textId="77777777" w:rsidR="007E6974" w:rsidRPr="007E6974" w:rsidRDefault="007E6974" w:rsidP="007E6974">
      <w:pPr>
        <w:spacing w:after="0" w:line="240" w:lineRule="auto"/>
        <w:jc w:val="center"/>
        <w:rPr>
          <w:rStyle w:val="Style1Char"/>
          <w:b w:val="0"/>
          <w:bCs w:val="0"/>
        </w:rPr>
      </w:pPr>
    </w:p>
    <w:p w14:paraId="7035F233" w14:textId="77777777" w:rsidR="007E6974" w:rsidRDefault="007E6974" w:rsidP="007E6974">
      <w:pPr>
        <w:spacing w:after="0" w:line="240" w:lineRule="auto"/>
        <w:jc w:val="center"/>
        <w:rPr>
          <w:b/>
        </w:rPr>
      </w:pPr>
      <w:r>
        <w:rPr>
          <w:b/>
        </w:rPr>
        <w:t>Ram M. Pendyala</w:t>
      </w:r>
    </w:p>
    <w:p w14:paraId="60997866" w14:textId="77777777" w:rsidR="007E6974" w:rsidRDefault="007E6974" w:rsidP="007E6974">
      <w:pPr>
        <w:spacing w:after="0" w:line="240" w:lineRule="auto"/>
        <w:jc w:val="center"/>
      </w:pPr>
      <w:r>
        <w:t>Arizona State University</w:t>
      </w:r>
    </w:p>
    <w:p w14:paraId="7AACD437" w14:textId="77777777" w:rsidR="007E6974" w:rsidRDefault="007E6974" w:rsidP="007E6974">
      <w:pPr>
        <w:spacing w:after="0" w:line="240" w:lineRule="auto"/>
        <w:jc w:val="center"/>
      </w:pPr>
      <w:r>
        <w:t>School of Sustainable Engineering and the Built Environment</w:t>
      </w:r>
    </w:p>
    <w:p w14:paraId="53564926" w14:textId="77777777" w:rsidR="007E6974" w:rsidRDefault="007E6974" w:rsidP="007E6974">
      <w:pPr>
        <w:spacing w:after="0" w:line="240" w:lineRule="auto"/>
        <w:jc w:val="center"/>
      </w:pPr>
      <w:r>
        <w:t>660 S. College Avenue, Tempe, AZ 85287</w:t>
      </w:r>
      <w:r w:rsidRPr="00CF5A9A">
        <w:t>, USA</w:t>
      </w:r>
    </w:p>
    <w:p w14:paraId="30412AB8" w14:textId="77777777" w:rsidR="007E6974" w:rsidRDefault="007E6974" w:rsidP="007E6974">
      <w:pPr>
        <w:spacing w:after="0" w:line="240" w:lineRule="auto"/>
        <w:jc w:val="center"/>
      </w:pPr>
      <w:r>
        <w:t xml:space="preserve">Email: </w:t>
      </w:r>
      <w:hyperlink r:id="rId11" w:history="1">
        <w:r w:rsidRPr="00C0426C">
          <w:rPr>
            <w:rStyle w:val="Hyperlink"/>
          </w:rPr>
          <w:t>ram.pendyala@asu.edu</w:t>
        </w:r>
      </w:hyperlink>
    </w:p>
    <w:p w14:paraId="27AA3935" w14:textId="77777777" w:rsidR="007E6974" w:rsidRDefault="007E6974" w:rsidP="007E6974">
      <w:pPr>
        <w:spacing w:after="0" w:line="240" w:lineRule="auto"/>
        <w:jc w:val="center"/>
        <w:rPr>
          <w:b/>
          <w:shd w:val="clear" w:color="auto" w:fill="FFFFFF"/>
        </w:rPr>
      </w:pPr>
    </w:p>
    <w:p w14:paraId="5B123D37" w14:textId="77777777" w:rsidR="007E6974" w:rsidRDefault="007E6974" w:rsidP="007E6974">
      <w:pPr>
        <w:spacing w:after="0" w:line="240" w:lineRule="auto"/>
        <w:rPr>
          <w:b/>
          <w:shd w:val="clear" w:color="auto" w:fill="FFFFFF"/>
        </w:rPr>
      </w:pPr>
    </w:p>
    <w:p w14:paraId="0FC85C63" w14:textId="77777777" w:rsidR="007E6974" w:rsidRDefault="007E6974" w:rsidP="007E6974">
      <w:pPr>
        <w:spacing w:after="0" w:line="240" w:lineRule="auto"/>
        <w:rPr>
          <w:b/>
          <w:shd w:val="clear" w:color="auto" w:fill="FFFFFF"/>
        </w:rPr>
      </w:pPr>
    </w:p>
    <w:p w14:paraId="02151BFA" w14:textId="77777777" w:rsidR="007E6974" w:rsidRDefault="007E6974">
      <w:pPr>
        <w:spacing w:line="259" w:lineRule="auto"/>
        <w:jc w:val="left"/>
        <w:rPr>
          <w:b/>
          <w:shd w:val="clear" w:color="auto" w:fill="FFFFFF"/>
        </w:rPr>
      </w:pPr>
      <w:r>
        <w:rPr>
          <w:b/>
          <w:shd w:val="clear" w:color="auto" w:fill="FFFFFF"/>
        </w:rPr>
        <w:br w:type="page"/>
      </w:r>
    </w:p>
    <w:p w14:paraId="582CC73A" w14:textId="1A030CF7" w:rsidR="00D61A38" w:rsidRDefault="00DE6AB0" w:rsidP="00B40ED1">
      <w:pPr>
        <w:spacing w:after="0"/>
        <w:rPr>
          <w:b/>
          <w:shd w:val="clear" w:color="auto" w:fill="FFFFFF"/>
        </w:rPr>
      </w:pPr>
      <w:r w:rsidRPr="00DE6AB0">
        <w:rPr>
          <w:b/>
          <w:shd w:val="clear" w:color="auto" w:fill="FFFFFF"/>
        </w:rPr>
        <w:lastRenderedPageBreak/>
        <w:t>A</w:t>
      </w:r>
      <w:r w:rsidR="00D61A38">
        <w:rPr>
          <w:b/>
          <w:shd w:val="clear" w:color="auto" w:fill="FFFFFF"/>
        </w:rPr>
        <w:t>BSTRACT</w:t>
      </w:r>
    </w:p>
    <w:p w14:paraId="17010BDB" w14:textId="77777777" w:rsidR="00EE0309" w:rsidRDefault="008049EA" w:rsidP="00B40ED1">
      <w:pPr>
        <w:spacing w:after="0"/>
      </w:pPr>
      <w:r>
        <w:t xml:space="preserve">In this paper, we examine work place location (WPL) preferences of workers in an unpredictable and evolving future by investigating how workers would prefer to allocate their monthly working days among the three WPL alternatives of working from home, from the work office, and from a variable third WPL. In contrast to earlier studies that typically focus on telework as a binary of whether an individual is a teleworker or not, we focus our attention on workers’ preferences for specific combinations of all three WPLs over a period of a month (including, but not limited to, only selecting one WPL for all days of the month). In our analysis, </w:t>
      </w:r>
      <w:r w:rsidR="00451ACF">
        <w:t>w</w:t>
      </w:r>
      <w:r>
        <w:t xml:space="preserve">e employ the multiple discrete-continuous extreme value (MDCEV) model, using a 2022 stated preference survey of future work preferences of employees residing in the state of Texas. The results indicate that single young women with very young children, those with long commutes and “intolerable” traffic congestion to the work office, individuals with a private study in their homes, self-employed workers, and those in non-essential service occupations have the highest preference for working from home. On the other hand, older men, individuals from low income households, those residing in rural areas, and workers in essential service occupations have the highest preference for the work office. And, for the third WPL, young non-single women with very young children, individuals from low income households, part-time employees, and those in </w:t>
      </w:r>
      <w:r w:rsidRPr="00740334">
        <w:t xml:space="preserve">professional, managerial or finance </w:t>
      </w:r>
      <w:r>
        <w:t>occupations have the highest predisposition. These results should provide valuable insights to urban planners, homebuilders, employers, travel demand modelers, and a whole host of other businesses to achieve specific desired end states. From a data collection standpoint, our study underscores the need to collect detailed information about work patterns in future activity-travel surveys</w:t>
      </w:r>
      <w:r w:rsidR="00451ACF">
        <w:t>.</w:t>
      </w:r>
    </w:p>
    <w:p w14:paraId="45322B5B" w14:textId="77777777" w:rsidR="00EE0309" w:rsidRDefault="00EE0309" w:rsidP="00B40ED1">
      <w:pPr>
        <w:spacing w:after="0"/>
      </w:pPr>
    </w:p>
    <w:p w14:paraId="6C5CA46E" w14:textId="7F358544" w:rsidR="006062B8" w:rsidRPr="007E6974" w:rsidRDefault="00EE0309" w:rsidP="00EE0309">
      <w:pPr>
        <w:spacing w:after="0"/>
      </w:pPr>
      <w:r w:rsidRPr="00EE0309">
        <w:rPr>
          <w:b/>
        </w:rPr>
        <w:t>Keywords:</w:t>
      </w:r>
      <w:r>
        <w:t xml:space="preserve"> Work place location, teleworking, third work place, stated preference, work environment, hybrid work.</w:t>
      </w:r>
      <w:r w:rsidR="008049EA">
        <w:t xml:space="preserve"> </w:t>
      </w:r>
      <w:r w:rsidR="00DE6AB0" w:rsidRPr="00DE6AB0">
        <w:rPr>
          <w:sz w:val="28"/>
          <w:shd w:val="clear" w:color="auto" w:fill="FFFFFF"/>
        </w:rPr>
        <w:br w:type="page"/>
      </w:r>
    </w:p>
    <w:p w14:paraId="5F7A8261" w14:textId="77777777" w:rsidR="007E6974" w:rsidRDefault="007E6974" w:rsidP="00B40ED1">
      <w:pPr>
        <w:pStyle w:val="Heading1"/>
        <w:numPr>
          <w:ilvl w:val="0"/>
          <w:numId w:val="1"/>
        </w:numPr>
        <w:spacing w:before="0"/>
        <w:sectPr w:rsidR="007E6974" w:rsidSect="007E6974">
          <w:footerReference w:type="default" r:id="rId12"/>
          <w:pgSz w:w="12240" w:h="15840" w:code="1"/>
          <w:pgMar w:top="1440" w:right="1440" w:bottom="1440" w:left="1440" w:header="720" w:footer="720" w:gutter="0"/>
          <w:cols w:space="720"/>
          <w:docGrid w:linePitch="360"/>
        </w:sectPr>
      </w:pPr>
    </w:p>
    <w:p w14:paraId="688B6579" w14:textId="1FAD8957" w:rsidR="006062B8" w:rsidRPr="001272C7" w:rsidRDefault="006062B8" w:rsidP="00B40ED1">
      <w:pPr>
        <w:pStyle w:val="Heading1"/>
        <w:numPr>
          <w:ilvl w:val="0"/>
          <w:numId w:val="1"/>
        </w:numPr>
        <w:spacing w:before="0"/>
      </w:pPr>
      <w:r w:rsidRPr="001272C7">
        <w:lastRenderedPageBreak/>
        <w:t>INTRODUCTION</w:t>
      </w:r>
    </w:p>
    <w:p w14:paraId="46C0C8E5" w14:textId="742E1FB8" w:rsidR="006062B8" w:rsidRPr="001272C7" w:rsidRDefault="006062B8" w:rsidP="00B40ED1">
      <w:pPr>
        <w:spacing w:after="0"/>
      </w:pPr>
      <w:r w:rsidRPr="001272C7">
        <w:t>Over the past two years, the COVID-19 pandemic has upended the routines and lifestyles of almost every person across the world, and work</w:t>
      </w:r>
      <w:r w:rsidR="00CA5129">
        <w:t>ers</w:t>
      </w:r>
      <w:r w:rsidRPr="001272C7">
        <w:t xml:space="preserve"> </w:t>
      </w:r>
      <w:r w:rsidR="00CA5129">
        <w:t>have been</w:t>
      </w:r>
      <w:r w:rsidRPr="001272C7">
        <w:t xml:space="preserve"> no exception. While a small fraction of employees had flexible work arrangements before the pandemic, COVID-19 forced millions to shift into a virtual environment. With the initial stay-at-home orders in place, working from home became the norm. </w:t>
      </w:r>
      <w:r w:rsidRPr="0091306D">
        <w:t xml:space="preserve">Remote work grew from roughly </w:t>
      </w:r>
      <w:r w:rsidR="003C3459" w:rsidRPr="0091306D">
        <w:t xml:space="preserve">7% worker participation in the US and 5% across Europe to </w:t>
      </w:r>
      <w:r w:rsidR="003C3459" w:rsidRPr="00A6363C">
        <w:t xml:space="preserve">about </w:t>
      </w:r>
      <w:r w:rsidR="003E64BC" w:rsidRPr="00A6363C">
        <w:t xml:space="preserve">62% </w:t>
      </w:r>
      <w:r w:rsidR="003C3459" w:rsidRPr="00A6363C">
        <w:t xml:space="preserve">in the US and </w:t>
      </w:r>
      <w:r w:rsidR="003E64BC" w:rsidRPr="00A6363C">
        <w:t xml:space="preserve">37% </w:t>
      </w:r>
      <w:r w:rsidR="003C3459" w:rsidRPr="00A6363C">
        <w:t>across Europe</w:t>
      </w:r>
      <w:r w:rsidR="001C5071" w:rsidRPr="00A6363C">
        <w:t>, respectively,</w:t>
      </w:r>
      <w:r w:rsidR="003C3459">
        <w:t xml:space="preserve"> </w:t>
      </w:r>
      <w:r w:rsidRPr="001272C7">
        <w:t>throug</w:t>
      </w:r>
      <w:r w:rsidR="003C3459">
        <w:t>h</w:t>
      </w:r>
      <w:r w:rsidRPr="001272C7">
        <w:t xml:space="preserve"> the first few waves of the pandemic in 2020 and 2021 (</w:t>
      </w:r>
      <w:r w:rsidR="003C3459">
        <w:t xml:space="preserve">see </w:t>
      </w:r>
      <w:r w:rsidR="00C70726" w:rsidRPr="00F83DA2">
        <w:t>DeSilver, 2020</w:t>
      </w:r>
      <w:r w:rsidR="003C3459" w:rsidRPr="002C7091">
        <w:t xml:space="preserve">, Eurostat, 2020, </w:t>
      </w:r>
      <w:r w:rsidR="003E64BC" w:rsidRPr="00C70726">
        <w:t>Gallup, 2020,</w:t>
      </w:r>
      <w:r w:rsidR="003E64BC" w:rsidRPr="002C7091">
        <w:t xml:space="preserve"> and </w:t>
      </w:r>
      <w:proofErr w:type="spellStart"/>
      <w:r w:rsidR="002C7091" w:rsidRPr="00A6363C">
        <w:rPr>
          <w:color w:val="222222"/>
          <w:shd w:val="clear" w:color="auto" w:fill="FFFFFF"/>
        </w:rPr>
        <w:t>Eurofound</w:t>
      </w:r>
      <w:proofErr w:type="spellEnd"/>
      <w:r w:rsidR="002C7091" w:rsidRPr="00A6363C">
        <w:rPr>
          <w:color w:val="222222"/>
          <w:shd w:val="clear" w:color="auto" w:fill="FFFFFF"/>
        </w:rPr>
        <w:t xml:space="preserve">, 2020). </w:t>
      </w:r>
      <w:r w:rsidR="003C3459" w:rsidRPr="002C7091">
        <w:t>A similar trend took hold throughout the globe</w:t>
      </w:r>
      <w:r w:rsidR="003C3459">
        <w:t xml:space="preserve">. </w:t>
      </w:r>
      <w:r w:rsidRPr="001272C7">
        <w:t xml:space="preserve">But as society </w:t>
      </w:r>
      <w:r w:rsidR="003C3459">
        <w:t xml:space="preserve">started partially </w:t>
      </w:r>
      <w:r w:rsidRPr="001272C7">
        <w:t>opening up in the later months of 2021 and into 2022, individuals have sought to revisit pre-COVID commute patterns, and are exploring a portfolio of work arrangements and work</w:t>
      </w:r>
      <w:r w:rsidR="0021723C">
        <w:t xml:space="preserve">place </w:t>
      </w:r>
      <w:r w:rsidRPr="001272C7">
        <w:t>locations</w:t>
      </w:r>
      <w:r w:rsidR="0021723C">
        <w:t xml:space="preserve"> (WPLs)</w:t>
      </w:r>
      <w:r w:rsidRPr="001272C7">
        <w:t xml:space="preserve">. </w:t>
      </w:r>
    </w:p>
    <w:p w14:paraId="525EA289" w14:textId="464E94E1" w:rsidR="007E6974" w:rsidRDefault="006062B8" w:rsidP="00B40ED1">
      <w:pPr>
        <w:spacing w:after="0"/>
        <w:ind w:firstLine="720"/>
      </w:pPr>
      <w:r w:rsidRPr="001272C7">
        <w:t xml:space="preserve">In terms of </w:t>
      </w:r>
      <w:r>
        <w:t>WPL</w:t>
      </w:r>
      <w:r w:rsidR="0021723C">
        <w:t>s</w:t>
      </w:r>
      <w:r w:rsidRPr="001272C7">
        <w:t xml:space="preserve">, three possibilities (and their combinations) have become quite popular: the regular work place (the pre-COVID norm), the home (the </w:t>
      </w:r>
      <w:r w:rsidR="0021723C">
        <w:t>post-</w:t>
      </w:r>
      <w:r w:rsidRPr="001272C7">
        <w:t>COVID era norm), and a third workplace location such as coffee shops, designated co-working locations, hotels and restaurant</w:t>
      </w:r>
      <w:r w:rsidR="0021723C">
        <w:t xml:space="preserve"> (throughout this paper, we will use the label “Pre-COVID” to refer to the period </w:t>
      </w:r>
      <w:r w:rsidR="0021723C" w:rsidRPr="00AA1EC4">
        <w:rPr>
          <w:i/>
        </w:rPr>
        <w:t>before the onset</w:t>
      </w:r>
      <w:r w:rsidR="0021723C">
        <w:t xml:space="preserve"> of COVID in early 2020, and the term “Post-COVID” to refer to the period </w:t>
      </w:r>
      <w:r w:rsidR="0021723C" w:rsidRPr="00AA1EC4">
        <w:rPr>
          <w:i/>
        </w:rPr>
        <w:t>after the onset</w:t>
      </w:r>
      <w:r w:rsidR="0021723C">
        <w:t xml:space="preserve"> of COVID)</w:t>
      </w:r>
      <w:r w:rsidRPr="001272C7">
        <w:t>. Each of the</w:t>
      </w:r>
      <w:r w:rsidR="0021723C">
        <w:t xml:space="preserve"> three</w:t>
      </w:r>
      <w:r w:rsidRPr="001272C7">
        <w:t xml:space="preserve"> </w:t>
      </w:r>
      <w:r w:rsidR="0021723C">
        <w:t xml:space="preserve">WPLs just listed </w:t>
      </w:r>
      <w:r w:rsidRPr="001272C7">
        <w:t>has positive aspects as well as not-so-positive aspects in terms of social, personal and professional considerations (of course, what is positive and what is not-so-positive may itself vary across individuals). Thus, while working from home may be associated with a better work-family life balance for many individuals (</w:t>
      </w:r>
      <w:proofErr w:type="spellStart"/>
      <w:r w:rsidRPr="001272C7">
        <w:t>Belostecinic</w:t>
      </w:r>
      <w:proofErr w:type="spellEnd"/>
      <w:r w:rsidRPr="001272C7">
        <w:t xml:space="preserve"> et al., 2021), it also may be viewed as precluding the ability to socialize at the work place or reducing productive discussions as a unified team through face-to-face in-person conversations </w:t>
      </w:r>
      <w:r w:rsidR="003C3459">
        <w:t>(</w:t>
      </w:r>
      <w:r w:rsidRPr="001272C7">
        <w:t xml:space="preserve">Nash et al., 2021). Further, as in pre-COVID conditions, many employees may </w:t>
      </w:r>
      <w:r w:rsidR="003C3459">
        <w:t>associate</w:t>
      </w:r>
      <w:r w:rsidRPr="001272C7">
        <w:t xml:space="preserve"> extended absences from the work place with a lack of visibility to management and potential career </w:t>
      </w:r>
      <w:r w:rsidRPr="007C5F48">
        <w:t>stagnation implications. On the other hand, commuting every day to the work place (as was the case for a large fraction of workers pre-COVID) may promote socialization opportunities and provide more visibility (</w:t>
      </w:r>
      <w:proofErr w:type="spellStart"/>
      <w:r w:rsidRPr="007C5F48">
        <w:t>Tahlyan</w:t>
      </w:r>
      <w:proofErr w:type="spellEnd"/>
      <w:r w:rsidRPr="007C5F48">
        <w:t xml:space="preserve"> et al., 2022</w:t>
      </w:r>
      <w:r w:rsidR="003C3459" w:rsidRPr="007C5F48">
        <w:t xml:space="preserve"> </w:t>
      </w:r>
      <w:r w:rsidR="004E02A9">
        <w:t xml:space="preserve">and </w:t>
      </w:r>
      <w:proofErr w:type="spellStart"/>
      <w:r w:rsidRPr="007C5F48">
        <w:t>Jaff</w:t>
      </w:r>
      <w:proofErr w:type="spellEnd"/>
      <w:r w:rsidRPr="007C5F48">
        <w:t xml:space="preserve"> and </w:t>
      </w:r>
      <w:proofErr w:type="spellStart"/>
      <w:r w:rsidRPr="007C5F48">
        <w:t>Hamsa</w:t>
      </w:r>
      <w:proofErr w:type="spellEnd"/>
      <w:r w:rsidRPr="007C5F48">
        <w:t xml:space="preserve">, 2021), but can also be draining in terms of </w:t>
      </w:r>
      <w:r w:rsidR="0021723C" w:rsidRPr="007C5F48">
        <w:t xml:space="preserve">both </w:t>
      </w:r>
      <w:r w:rsidRPr="007C5F48">
        <w:t>financial considerations (for example, investment in clothing/attire and formal day care facilities for children</w:t>
      </w:r>
      <w:r w:rsidR="003C3459" w:rsidRPr="007C5F48">
        <w:t xml:space="preserve">; see </w:t>
      </w:r>
      <w:r w:rsidRPr="00C70726">
        <w:t>Thompson et al., 202</w:t>
      </w:r>
      <w:r w:rsidR="00C70726" w:rsidRPr="00C70726">
        <w:t>2</w:t>
      </w:r>
      <w:r w:rsidR="003C3459" w:rsidRPr="007C5F48">
        <w:t xml:space="preserve"> and</w:t>
      </w:r>
      <w:r w:rsidRPr="007C5F48">
        <w:t xml:space="preserve"> </w:t>
      </w:r>
      <w:proofErr w:type="spellStart"/>
      <w:r w:rsidRPr="007C5F48">
        <w:t>Bjursell</w:t>
      </w:r>
      <w:proofErr w:type="spellEnd"/>
      <w:r w:rsidRPr="007C5F48">
        <w:t xml:space="preserve"> et al., 2021) and time/emotional </w:t>
      </w:r>
      <w:r w:rsidRPr="001272C7">
        <w:t>considerations (for instance, long and tiresome commutes</w:t>
      </w:r>
      <w:r w:rsidR="003C3459">
        <w:t xml:space="preserve">; see </w:t>
      </w:r>
      <w:r w:rsidRPr="001272C7">
        <w:t>Nguyen, 2021). The third work place may appeal to some individuals because of fewer distractions and enriching small-scale socialization possibilities relative to working from home (Frick and Marx, 2021), while also eliminating a long commute and avoiding larger-scale gatherings at the usual work place (</w:t>
      </w:r>
      <w:proofErr w:type="spellStart"/>
      <w:r w:rsidRPr="001272C7">
        <w:t>Egbuta</w:t>
      </w:r>
      <w:proofErr w:type="spellEnd"/>
      <w:r w:rsidRPr="001272C7">
        <w:t xml:space="preserve"> et al., 2021). But this third workplace location arrangement may be expensive because of the need, for example, to rent hotel space (Nash et al., 2021); besides</w:t>
      </w:r>
      <w:r w:rsidR="00F5110D">
        <w:t>,</w:t>
      </w:r>
      <w:r w:rsidRPr="001272C7">
        <w:t xml:space="preserve"> it is still characterized by the decreased visibility associated with working away from the regular work place (Hermann and Paris, 2020).</w:t>
      </w:r>
    </w:p>
    <w:p w14:paraId="52B6FFA9" w14:textId="61E7F92A" w:rsidR="007E6974" w:rsidRDefault="006062B8" w:rsidP="00B40ED1">
      <w:pPr>
        <w:spacing w:after="0"/>
      </w:pPr>
      <w:r w:rsidRPr="001272C7">
        <w:t xml:space="preserve"> </w:t>
      </w:r>
      <w:r w:rsidR="007E6974">
        <w:tab/>
      </w:r>
      <w:r w:rsidRPr="001272C7">
        <w:t xml:space="preserve">It is clear from above that the three work location arrangements are not </w:t>
      </w:r>
      <w:r w:rsidR="001F1D28">
        <w:t xml:space="preserve">always </w:t>
      </w:r>
      <w:r w:rsidRPr="001272C7">
        <w:t xml:space="preserve">perfect substitutes of each other, but </w:t>
      </w:r>
      <w:r w:rsidR="001F1D28">
        <w:t>may be</w:t>
      </w:r>
      <w:r w:rsidRPr="001272C7">
        <w:t xml:space="preserve"> better viewed as imperfect substitutes. Each location arrangement may satisfy specific functional, social, productivity, emotional, privacy, visibility, </w:t>
      </w:r>
      <w:r w:rsidRPr="001272C7">
        <w:lastRenderedPageBreak/>
        <w:t xml:space="preserve">networking, financial </w:t>
      </w:r>
      <w:r>
        <w:t xml:space="preserve">and other </w:t>
      </w:r>
      <w:r w:rsidR="00D96E09">
        <w:t>personal/</w:t>
      </w:r>
      <w:r>
        <w:t xml:space="preserve">professional </w:t>
      </w:r>
      <w:r w:rsidRPr="00AA1EC4">
        <w:t>objectives</w:t>
      </w:r>
      <w:r w:rsidRPr="001272C7">
        <w:t xml:space="preserve"> to different extents. </w:t>
      </w:r>
      <w:r w:rsidR="00865752">
        <w:t>As a consequence</w:t>
      </w:r>
      <w:r w:rsidR="00D96E09">
        <w:t>, it is likely that, given full choice of where to work</w:t>
      </w:r>
      <w:r w:rsidR="002E5921">
        <w:t xml:space="preserve"> from</w:t>
      </w:r>
      <w:r w:rsidR="00D96E09">
        <w:t xml:space="preserve">, </w:t>
      </w:r>
      <w:r w:rsidR="001F1D28">
        <w:t>many</w:t>
      </w:r>
      <w:r w:rsidR="00D96E09">
        <w:t xml:space="preserve"> individuals will choose, </w:t>
      </w:r>
      <w:r w:rsidR="0021723C">
        <w:t xml:space="preserve">over a certain period of time and </w:t>
      </w:r>
      <w:r w:rsidR="00D96E09">
        <w:t>within the context of their chosen/current career, a combination of these three</w:t>
      </w:r>
      <w:r w:rsidR="0021723C">
        <w:t xml:space="preserve"> WPLs </w:t>
      </w:r>
      <w:r w:rsidR="00D96E09">
        <w:t xml:space="preserve">to satisfy different </w:t>
      </w:r>
      <w:r>
        <w:t>personal</w:t>
      </w:r>
      <w:r w:rsidR="00D96E09">
        <w:t xml:space="preserve"> </w:t>
      </w:r>
      <w:r>
        <w:t xml:space="preserve">and professional </w:t>
      </w:r>
      <w:r w:rsidR="00D96E09">
        <w:t>desires</w:t>
      </w:r>
      <w:r w:rsidRPr="001272C7">
        <w:t>.</w:t>
      </w:r>
      <w:r w:rsidR="00955CE4">
        <w:t xml:space="preserve"> </w:t>
      </w:r>
      <w:r w:rsidR="00865752">
        <w:t>Thus</w:t>
      </w:r>
      <w:r w:rsidR="00CA5A96">
        <w:t xml:space="preserve">, unlike the plethora of studies before the pandemic that focused on </w:t>
      </w:r>
      <w:r w:rsidR="00AE2CED">
        <w:t>whether an individual telecommuted from home at all or not over the course of a certain period of time (occasionally along with the frequency dimension of the number of days the individual works from home</w:t>
      </w:r>
      <w:r w:rsidR="0021723C">
        <w:t xml:space="preserve"> over the period of time</w:t>
      </w:r>
      <w:r w:rsidR="00AE2CED">
        <w:t xml:space="preserve">), the emphasis </w:t>
      </w:r>
      <w:r w:rsidR="00865752">
        <w:t xml:space="preserve">moving forward </w:t>
      </w:r>
      <w:r w:rsidR="00AE2CED">
        <w:t>needs to be on the mix of work locations sought after by individuals over a period of time, including not only home and the regular work location, but also possibly a third work location</w:t>
      </w:r>
      <w:r w:rsidR="00865752">
        <w:t xml:space="preserve"> (this third work location may be a hotel day room near the home or even a constantly varying </w:t>
      </w:r>
      <w:r w:rsidR="00865752" w:rsidRPr="00B81630">
        <w:rPr>
          <w:i/>
        </w:rPr>
        <w:t>digital nomadic</w:t>
      </w:r>
      <w:r w:rsidR="00865752">
        <w:t xml:space="preserve"> way of living/working on the move such as connecting from a ski resort or working from a beachfront; see Frick and Marx, 2021 and Nash et al., 202</w:t>
      </w:r>
      <w:r w:rsidR="00F56B21">
        <w:t>1</w:t>
      </w:r>
      <w:r w:rsidR="00865752">
        <w:t>)</w:t>
      </w:r>
      <w:r w:rsidR="00AE2CED">
        <w:t>.</w:t>
      </w:r>
      <w:r w:rsidR="00865752">
        <w:rPr>
          <w:rStyle w:val="FootnoteReference"/>
        </w:rPr>
        <w:footnoteReference w:id="1"/>
      </w:r>
      <w:r w:rsidR="00AE2CED">
        <w:t xml:space="preserve"> At the same time, rather than employing statistical devices to tie the </w:t>
      </w:r>
      <w:r w:rsidR="007F703E">
        <w:t xml:space="preserve">single </w:t>
      </w:r>
      <w:r w:rsidR="00AE2CED">
        <w:t xml:space="preserve">discrete choice of telecommuting from home with the frequency of telecommuting, as in </w:t>
      </w:r>
      <w:r w:rsidR="00DB7CE0">
        <w:t>alm</w:t>
      </w:r>
      <w:r w:rsidR="00E31C55">
        <w:t xml:space="preserve">ost all </w:t>
      </w:r>
      <w:r w:rsidR="00AE2CED">
        <w:t xml:space="preserve">pre-COVID studies, post-COVID decisions </w:t>
      </w:r>
      <w:r w:rsidR="007F703E">
        <w:t>may be better characterized as a true utility-maximizing multiple discrete “horizontal” choice situation in which individuals balance the many pros and cons of each work location to determine an ideal mix of work locations over a certain duration of time.</w:t>
      </w:r>
    </w:p>
    <w:p w14:paraId="39091A36" w14:textId="4958DCCB" w:rsidR="007E6974" w:rsidRDefault="007F703E" w:rsidP="00B40ED1">
      <w:pPr>
        <w:spacing w:after="0"/>
      </w:pPr>
      <w:r>
        <w:t xml:space="preserve"> </w:t>
      </w:r>
      <w:r w:rsidR="007E6974">
        <w:tab/>
      </w:r>
      <w:r>
        <w:t xml:space="preserve">The above discussion motivates the current study, which uses a multiple discrete-continuous model to determine the allocation of the monthly number of work days of an individual across three possible work location alternatives: (a) </w:t>
      </w:r>
      <w:r w:rsidR="00734752">
        <w:t xml:space="preserve">home, (b) </w:t>
      </w:r>
      <w:r>
        <w:t>regular work place, and (c) a third work place. Our analysis seeks to investigate this hybridization of the workplace location (WPL) in the emerging future where COVID becomes endemic</w:t>
      </w:r>
      <w:r w:rsidR="00EB521F">
        <w:t xml:space="preserve"> -- that is, COVID effects are not as severe as in the early days of its onset, but still remain enough of a threat that safety prevention measures at different WPLs factor in the WPL decision-making of individuals (especially those who are themselves immuno-compromised or live with someone who is immune-compromised). Such an investigation of the “optimal” work location mix of employees can help guide transportation and land-use planning</w:t>
      </w:r>
      <w:r w:rsidR="0021723C">
        <w:t>,</w:t>
      </w:r>
      <w:r w:rsidR="00BC7608">
        <w:t xml:space="preserve"> and </w:t>
      </w:r>
      <w:r w:rsidR="00EB521F">
        <w:t>residential and commerc</w:t>
      </w:r>
      <w:r w:rsidR="00BC7608">
        <w:t>i</w:t>
      </w:r>
      <w:r w:rsidR="00EB521F">
        <w:t xml:space="preserve">al real-estate development, </w:t>
      </w:r>
      <w:r w:rsidR="00BC7608">
        <w:t xml:space="preserve">while also helping employers craft appropriate WPL policies that harness the full potential of their employee workforce in a way that is also consistent with employee desires. On this last issue, </w:t>
      </w:r>
      <w:r w:rsidR="0021723C">
        <w:t xml:space="preserve">inadequate attention to employee WPL preferences can lead to </w:t>
      </w:r>
      <w:r w:rsidR="00BC7608">
        <w:t xml:space="preserve">dissonance between </w:t>
      </w:r>
      <w:r w:rsidR="00955CE4">
        <w:t xml:space="preserve">employee desires </w:t>
      </w:r>
      <w:r w:rsidR="00BC7608">
        <w:t xml:space="preserve">and </w:t>
      </w:r>
      <w:r w:rsidR="006062B8" w:rsidRPr="001272C7">
        <w:t>employer</w:t>
      </w:r>
      <w:r w:rsidR="00BC7608">
        <w:t xml:space="preserve"> WPL policies</w:t>
      </w:r>
      <w:r w:rsidR="0021723C">
        <w:t>, which can further result</w:t>
      </w:r>
      <w:r w:rsidR="00BC7608">
        <w:t xml:space="preserve"> </w:t>
      </w:r>
      <w:r w:rsidR="0021723C">
        <w:t xml:space="preserve">in </w:t>
      </w:r>
      <w:r w:rsidR="001D5E54">
        <w:t>employees seek</w:t>
      </w:r>
      <w:r w:rsidR="0021723C">
        <w:t>ing</w:t>
      </w:r>
      <w:r w:rsidR="001D5E54">
        <w:t xml:space="preserve"> other jobs</w:t>
      </w:r>
      <w:r w:rsidR="00BC7608">
        <w:t>.</w:t>
      </w:r>
    </w:p>
    <w:p w14:paraId="3E42F09E" w14:textId="7FDDD04C" w:rsidR="00E15922" w:rsidRDefault="00BC7608" w:rsidP="00B40ED1">
      <w:pPr>
        <w:spacing w:after="0"/>
        <w:ind w:firstLine="720"/>
      </w:pPr>
      <w:r>
        <w:t xml:space="preserve"> </w:t>
      </w:r>
      <w:r w:rsidR="00E15922">
        <w:t>To summarize, w</w:t>
      </w:r>
      <w:r w:rsidR="00E15922" w:rsidRPr="001272C7">
        <w:t xml:space="preserve">e apply a multiple discrete-continuous </w:t>
      </w:r>
      <w:r w:rsidR="00E15922">
        <w:t xml:space="preserve">(MDC) </w:t>
      </w:r>
      <w:r w:rsidR="00E15922" w:rsidRPr="001272C7">
        <w:t xml:space="preserve">model to identify the effects of sociodemographic characteristics, </w:t>
      </w:r>
      <w:r w:rsidR="00921CF0">
        <w:t>geographic and environmental attributes of each WPL alternative, jo</w:t>
      </w:r>
      <w:r w:rsidR="00A92F75">
        <w:t>b</w:t>
      </w:r>
      <w:r w:rsidR="00921CF0">
        <w:t>-related attributes, and COVID threat levels</w:t>
      </w:r>
      <w:r w:rsidR="00A92F75">
        <w:t xml:space="preserve"> on</w:t>
      </w:r>
      <w:r w:rsidR="00921CF0">
        <w:t xml:space="preserve"> </w:t>
      </w:r>
      <w:r w:rsidR="00E15922">
        <w:t>employee WPL</w:t>
      </w:r>
      <w:r w:rsidR="00A92F75">
        <w:t xml:space="preserve"> preferences</w:t>
      </w:r>
      <w:r w:rsidR="00E15922" w:rsidRPr="001272C7">
        <w:t xml:space="preserve">. The discrete component here refers to whether an individual partakes in a specific work location </w:t>
      </w:r>
      <w:r w:rsidR="00E15922" w:rsidRPr="001272C7">
        <w:lastRenderedPageBreak/>
        <w:t xml:space="preserve">arrangement at all or not, and the continuous component refers to the </w:t>
      </w:r>
      <w:r w:rsidR="00A12831">
        <w:t>number</w:t>
      </w:r>
      <w:r w:rsidR="00E15922" w:rsidRPr="001272C7">
        <w:t xml:space="preserve"> of the work day instances in a month of each work location arrangement. The “budget” </w:t>
      </w:r>
      <w:r w:rsidR="00E15922">
        <w:t xml:space="preserve">in the MDC model </w:t>
      </w:r>
      <w:r w:rsidR="00E15922" w:rsidRPr="001272C7">
        <w:t>is exogenous and</w:t>
      </w:r>
      <w:r w:rsidR="00E15922">
        <w:t xml:space="preserve"> </w:t>
      </w:r>
      <w:r w:rsidR="00A12831">
        <w:t xml:space="preserve">equal to </w:t>
      </w:r>
      <w:r w:rsidR="00E15922" w:rsidRPr="001272C7">
        <w:t>the number of days of work per month. The study uses data from a 202</w:t>
      </w:r>
      <w:r w:rsidR="00E15922">
        <w:t>2</w:t>
      </w:r>
      <w:r w:rsidR="00E15922" w:rsidRPr="001272C7">
        <w:t xml:space="preserve"> Texas-based </w:t>
      </w:r>
      <w:r w:rsidR="00E15922">
        <w:t xml:space="preserve">stated preference </w:t>
      </w:r>
      <w:r w:rsidR="00E15922" w:rsidRPr="001272C7">
        <w:t xml:space="preserve">survey on commute and employment behavior </w:t>
      </w:r>
      <w:r w:rsidR="00E15922">
        <w:t xml:space="preserve">in </w:t>
      </w:r>
      <w:r w:rsidR="0021723C">
        <w:t>the</w:t>
      </w:r>
      <w:r w:rsidR="00E15922">
        <w:t xml:space="preserve"> fast approaching future of a COVID endemic state</w:t>
      </w:r>
      <w:r w:rsidR="00E15922" w:rsidRPr="001272C7">
        <w:t>.</w:t>
      </w:r>
    </w:p>
    <w:p w14:paraId="00D37208" w14:textId="77777777" w:rsidR="007E6974" w:rsidRDefault="00E15922" w:rsidP="00B40ED1">
      <w:pPr>
        <w:spacing w:after="0"/>
        <w:ind w:firstLine="720"/>
      </w:pPr>
      <w:r w:rsidRPr="001272C7">
        <w:t>The rest of this paper is organized as follows. Section 2 provides a brief overview of past literature</w:t>
      </w:r>
      <w:r w:rsidR="0021723C">
        <w:t xml:space="preserve"> </w:t>
      </w:r>
      <w:r w:rsidRPr="001272C7">
        <w:t>relevant to understanding the WPL decision. Section 3 presents the survey administration process, data preparation steps, and the analytic framework. Section 4 presents the model estimation results and goodness of fit measures. Section 5 discusses policy implications. Finally, Section 6 concludes the paper with a summary discussion, along with an identification of future research directions.</w:t>
      </w:r>
    </w:p>
    <w:p w14:paraId="2915BFC8" w14:textId="16BD8CE9" w:rsidR="00E15922" w:rsidRDefault="00E15922" w:rsidP="00B40ED1">
      <w:pPr>
        <w:spacing w:after="0"/>
      </w:pPr>
      <w:r w:rsidRPr="001272C7">
        <w:t xml:space="preserve"> </w:t>
      </w:r>
    </w:p>
    <w:p w14:paraId="426B2217" w14:textId="77777777" w:rsidR="00972450" w:rsidRPr="00AA1EC4" w:rsidRDefault="00143172" w:rsidP="00B40ED1">
      <w:pPr>
        <w:pStyle w:val="ListParagraph"/>
        <w:numPr>
          <w:ilvl w:val="0"/>
          <w:numId w:val="1"/>
        </w:numPr>
        <w:spacing w:after="0"/>
        <w:contextualSpacing w:val="0"/>
      </w:pPr>
      <w:r w:rsidRPr="00AA1EC4">
        <w:rPr>
          <w:b/>
        </w:rPr>
        <w:t xml:space="preserve">PREVIOUS </w:t>
      </w:r>
      <w:r w:rsidR="00972450" w:rsidRPr="00AA1EC4">
        <w:rPr>
          <w:b/>
        </w:rPr>
        <w:t>LITERATURE</w:t>
      </w:r>
    </w:p>
    <w:p w14:paraId="23079C4E" w14:textId="77A5D21F" w:rsidR="0052581B" w:rsidRDefault="00972450" w:rsidP="00B40ED1">
      <w:pPr>
        <w:spacing w:after="0"/>
      </w:pPr>
      <w:r w:rsidRPr="00CA4850">
        <w:t xml:space="preserve">The global shift to remote and virtual environments during </w:t>
      </w:r>
      <w:r w:rsidR="00143172">
        <w:t xml:space="preserve">the </w:t>
      </w:r>
      <w:r w:rsidRPr="00CA4850">
        <w:t xml:space="preserve">“shutdown” period of the pandemic has accelerated the growth in literature dedicated to the study of telework. However, even </w:t>
      </w:r>
      <w:r w:rsidR="00143172">
        <w:t>pre-COVID, there was a healthy body of literature on the topic, though almost exclusively confined to working from home as the alternative to working from the regular work place</w:t>
      </w:r>
      <w:r w:rsidRPr="00CA4850">
        <w:t xml:space="preserve"> (see, for example, </w:t>
      </w:r>
      <w:r w:rsidR="001F05C8">
        <w:t>Groen</w:t>
      </w:r>
      <w:r w:rsidRPr="00CA4850">
        <w:t xml:space="preserve"> et al., 2018, Kaplan et al., 2018, </w:t>
      </w:r>
      <w:r w:rsidR="00546750">
        <w:t xml:space="preserve">and </w:t>
      </w:r>
      <w:r w:rsidR="00D06BD9" w:rsidRPr="00A03997">
        <w:rPr>
          <w:shd w:val="clear" w:color="auto" w:fill="FFFFFF"/>
        </w:rPr>
        <w:t>Silva-C</w:t>
      </w:r>
      <w:r w:rsidR="00ED6120">
        <w:rPr>
          <w:shd w:val="clear" w:color="auto" w:fill="FFFFFF"/>
        </w:rPr>
        <w:t xml:space="preserve"> </w:t>
      </w:r>
      <w:r w:rsidR="00ED6120" w:rsidRPr="00CA4850">
        <w:t>et al.</w:t>
      </w:r>
      <w:r w:rsidRPr="00CA4850">
        <w:t>, 2019</w:t>
      </w:r>
      <w:r w:rsidR="00546750">
        <w:t xml:space="preserve"> </w:t>
      </w:r>
      <w:r w:rsidR="00143172">
        <w:t>to identify just a few</w:t>
      </w:r>
      <w:r w:rsidR="00A12831">
        <w:t xml:space="preserve"> </w:t>
      </w:r>
      <w:r w:rsidR="00FF3BED">
        <w:t>with</w:t>
      </w:r>
      <w:r w:rsidR="00A12831">
        <w:t xml:space="preserve">in the </w:t>
      </w:r>
      <w:r w:rsidR="00FF3BED">
        <w:t>past five years</w:t>
      </w:r>
      <w:r w:rsidRPr="00CA4850">
        <w:t>)</w:t>
      </w:r>
      <w:r w:rsidR="00143172">
        <w:t>. However, as discussed in the previous section, the WPL upheaval caused by the pandemic suggests a multiple discrete horizontal hybridization choice process at play in the post-COVID era.</w:t>
      </w:r>
      <w:r w:rsidRPr="00CA4850">
        <w:t xml:space="preserve"> </w:t>
      </w:r>
      <w:r w:rsidR="00143172">
        <w:t>In this</w:t>
      </w:r>
      <w:r w:rsidR="00267339">
        <w:t xml:space="preserve"> </w:t>
      </w:r>
      <w:r w:rsidR="00143172">
        <w:t xml:space="preserve">context, while there have been </w:t>
      </w:r>
      <w:r w:rsidR="00267339">
        <w:t xml:space="preserve">very recent </w:t>
      </w:r>
      <w:r w:rsidR="00143172">
        <w:t xml:space="preserve">studies </w:t>
      </w:r>
      <w:r w:rsidR="00267339">
        <w:t xml:space="preserve">(within the past two years) </w:t>
      </w:r>
      <w:r w:rsidR="00143172">
        <w:t xml:space="preserve">that investigate </w:t>
      </w:r>
      <w:r w:rsidR="0021723C">
        <w:t xml:space="preserve">the kinds of </w:t>
      </w:r>
      <w:r w:rsidR="00143172">
        <w:t xml:space="preserve">WPL </w:t>
      </w:r>
      <w:r w:rsidR="00267339">
        <w:t xml:space="preserve">arrangements </w:t>
      </w:r>
      <w:r w:rsidR="0021723C">
        <w:t xml:space="preserve">that </w:t>
      </w:r>
      <w:r w:rsidR="00267339">
        <w:t xml:space="preserve">may </w:t>
      </w:r>
      <w:r w:rsidR="00D83DAD">
        <w:t xml:space="preserve">be most effective </w:t>
      </w:r>
      <w:r w:rsidR="00267339">
        <w:t>in the future</w:t>
      </w:r>
      <w:r w:rsidR="00D83DAD">
        <w:t>,</w:t>
      </w:r>
      <w:r w:rsidR="00267339">
        <w:t xml:space="preserve"> they do so more from a descriptive analysis standpoint or through the lens of what employees </w:t>
      </w:r>
      <w:r w:rsidR="002735D2">
        <w:t xml:space="preserve">and employers </w:t>
      </w:r>
      <w:r w:rsidR="00267339">
        <w:t>view as positives and negatives of different WPLs</w:t>
      </w:r>
      <w:r w:rsidR="002735D2">
        <w:t xml:space="preserve"> (</w:t>
      </w:r>
      <w:r w:rsidR="00D83DAD" w:rsidRPr="00CA4850">
        <w:t xml:space="preserve">see, for example, </w:t>
      </w:r>
      <w:proofErr w:type="spellStart"/>
      <w:r w:rsidR="00D83DAD" w:rsidRPr="00CA4850">
        <w:t>Knoesen</w:t>
      </w:r>
      <w:proofErr w:type="spellEnd"/>
      <w:r w:rsidR="00D83DAD" w:rsidRPr="00CA4850">
        <w:t xml:space="preserve"> and Seymour, 2021,</w:t>
      </w:r>
      <w:r w:rsidR="00D83DAD">
        <w:t xml:space="preserve"> </w:t>
      </w:r>
      <w:r w:rsidR="00BA4AB6">
        <w:t xml:space="preserve">and </w:t>
      </w:r>
      <w:proofErr w:type="spellStart"/>
      <w:r w:rsidR="00D83DAD" w:rsidRPr="00CA4850">
        <w:t>Chamakiotis</w:t>
      </w:r>
      <w:proofErr w:type="spellEnd"/>
      <w:r w:rsidR="00D83DAD" w:rsidRPr="00CA4850">
        <w:t xml:space="preserve"> et al., 2021</w:t>
      </w:r>
      <w:r w:rsidR="002735D2">
        <w:t>)</w:t>
      </w:r>
      <w:r w:rsidR="00267339">
        <w:t>, rather than as a</w:t>
      </w:r>
      <w:r w:rsidR="0021723C">
        <w:t xml:space="preserve"> multiple discrete horizontal </w:t>
      </w:r>
      <w:r w:rsidR="00267339">
        <w:t>process</w:t>
      </w:r>
      <w:r w:rsidR="0021723C">
        <w:t xml:space="preserve"> of WPL preference formation</w:t>
      </w:r>
      <w:r w:rsidR="00267339">
        <w:t>. In this section, we will focus on</w:t>
      </w:r>
      <w:r w:rsidR="00DC50AC">
        <w:t xml:space="preserve"> </w:t>
      </w:r>
      <w:r w:rsidR="00267339">
        <w:t>post-COVID studies</w:t>
      </w:r>
      <w:r w:rsidR="00DC50AC">
        <w:t xml:space="preserve"> and also those that directly investigate employee-side teleworking-related processes and decisions (rather than those that confine attention to identifying the pros and cons of different WPLs</w:t>
      </w:r>
      <w:r w:rsidR="00724917">
        <w:t>, or those that examine personality attributes that are important for mental wellness when working remotely</w:t>
      </w:r>
      <w:r w:rsidR="00D16A8D">
        <w:t>, or those that study the impacts of teleworking on wellbeing and health</w:t>
      </w:r>
      <w:r w:rsidR="00060CB6">
        <w:t>, or those that investigate job satisfaction levels of tel</w:t>
      </w:r>
      <w:r w:rsidR="002C7091">
        <w:t>e</w:t>
      </w:r>
      <w:r w:rsidR="00060CB6">
        <w:t>workers</w:t>
      </w:r>
      <w:r w:rsidR="00DC50AC">
        <w:t xml:space="preserve">). </w:t>
      </w:r>
      <w:r w:rsidR="00743CBE">
        <w:t>But w</w:t>
      </w:r>
      <w:r w:rsidR="00DC50AC">
        <w:t xml:space="preserve">e will also </w:t>
      </w:r>
      <w:r w:rsidR="00267339">
        <w:t>invok</w:t>
      </w:r>
      <w:r w:rsidR="00DC50AC">
        <w:t>e</w:t>
      </w:r>
      <w:r w:rsidR="00267339">
        <w:t xml:space="preserve"> pre-COVID studies as relevant for the purposes of our study. </w:t>
      </w:r>
      <w:r w:rsidR="00743CBE">
        <w:t xml:space="preserve">Our synthesis of </w:t>
      </w:r>
      <w:r w:rsidR="00EE3C5C">
        <w:t xml:space="preserve">previous investigations </w:t>
      </w:r>
      <w:r w:rsidR="00743CBE">
        <w:t xml:space="preserve">will be structured under </w:t>
      </w:r>
      <w:r w:rsidR="00EE3C5C">
        <w:t>four dimensions associated with teleworking</w:t>
      </w:r>
      <w:r w:rsidR="00743CBE">
        <w:t xml:space="preserve">, as identified by </w:t>
      </w:r>
      <w:r w:rsidR="002735D2">
        <w:t>Haddad et al., 2009</w:t>
      </w:r>
      <w:r w:rsidR="00EE3C5C">
        <w:t xml:space="preserve">: </w:t>
      </w:r>
      <w:r w:rsidRPr="00CA4850">
        <w:rPr>
          <w:i/>
        </w:rPr>
        <w:t xml:space="preserve">opportunity, preference, choice </w:t>
      </w:r>
      <w:r w:rsidRPr="00CA4850">
        <w:t xml:space="preserve">and </w:t>
      </w:r>
      <w:r w:rsidRPr="00CA4850">
        <w:rPr>
          <w:i/>
        </w:rPr>
        <w:t>frequency</w:t>
      </w:r>
      <w:r w:rsidR="002C7091" w:rsidRPr="007E6974">
        <w:t>.</w:t>
      </w:r>
      <w:r w:rsidR="00743CBE" w:rsidRPr="007E6974">
        <w:t xml:space="preserve"> </w:t>
      </w:r>
    </w:p>
    <w:p w14:paraId="4F74A606" w14:textId="77777777" w:rsidR="007E6974" w:rsidRPr="007E6974" w:rsidRDefault="007E6974" w:rsidP="00B40ED1">
      <w:pPr>
        <w:spacing w:after="0"/>
      </w:pPr>
    </w:p>
    <w:p w14:paraId="60384326" w14:textId="2D8C3649" w:rsidR="00E31C55" w:rsidRPr="00AA1EC4" w:rsidRDefault="00D83DAD" w:rsidP="00B40ED1">
      <w:pPr>
        <w:spacing w:after="0"/>
        <w:rPr>
          <w:b/>
        </w:rPr>
      </w:pPr>
      <w:r w:rsidRPr="00AA1EC4">
        <w:rPr>
          <w:b/>
        </w:rPr>
        <w:t xml:space="preserve">2.1. </w:t>
      </w:r>
      <w:r w:rsidR="0052581B" w:rsidRPr="00AA1EC4">
        <w:rPr>
          <w:b/>
        </w:rPr>
        <w:t>Opportunity</w:t>
      </w:r>
    </w:p>
    <w:p w14:paraId="19885A91" w14:textId="7C6321E3" w:rsidR="001E7D10" w:rsidRDefault="00EE3C5C" w:rsidP="00B40ED1">
      <w:pPr>
        <w:spacing w:after="0"/>
      </w:pPr>
      <w:r>
        <w:t xml:space="preserve">The first dimension of </w:t>
      </w:r>
      <w:r w:rsidRPr="00AA1EC4">
        <w:rPr>
          <w:i/>
        </w:rPr>
        <w:t>opportunity</w:t>
      </w:r>
      <w:r>
        <w:t xml:space="preserve"> refers to whether employers allow the possibility </w:t>
      </w:r>
      <w:r w:rsidR="00320B55">
        <w:t>of teleworking in the first place</w:t>
      </w:r>
      <w:r w:rsidR="00743CBE">
        <w:t xml:space="preserve"> (that is, whether employers officially sanction (with pay) the performance of work from a remote work place on one or more days over a period of a week or a month)</w:t>
      </w:r>
      <w:r w:rsidR="00320B55">
        <w:t xml:space="preserve">. </w:t>
      </w:r>
      <w:r w:rsidR="00DF2B13" w:rsidRPr="00CA4850">
        <w:t xml:space="preserve">Before COVID, in the US, teleworking </w:t>
      </w:r>
      <w:r w:rsidR="00DF2B13" w:rsidRPr="00BA296F">
        <w:t xml:space="preserve">allowance </w:t>
      </w:r>
      <w:r w:rsidR="00A12831" w:rsidRPr="00BA296F">
        <w:t xml:space="preserve">(that is allowance to work </w:t>
      </w:r>
      <w:r w:rsidR="00BA296F" w:rsidRPr="00BA296F">
        <w:t xml:space="preserve">remote at any point in time) </w:t>
      </w:r>
      <w:r w:rsidR="00DF2B13" w:rsidRPr="00BA296F">
        <w:t>was</w:t>
      </w:r>
      <w:r w:rsidR="00DF2B13" w:rsidRPr="00CA4850">
        <w:t xml:space="preserve"> at an </w:t>
      </w:r>
      <w:r w:rsidR="00DF2B13" w:rsidRPr="00CA4850">
        <w:lastRenderedPageBreak/>
        <w:t>average of 50%-60% across all industries (</w:t>
      </w:r>
      <w:r w:rsidR="001F05C8">
        <w:t>Groen</w:t>
      </w:r>
      <w:r w:rsidR="00DF2B13" w:rsidRPr="00CA4850">
        <w:t xml:space="preserve"> et al., 20</w:t>
      </w:r>
      <w:r w:rsidR="00546750">
        <w:t>18</w:t>
      </w:r>
      <w:r w:rsidR="00DF2B13" w:rsidRPr="00CA4850">
        <w:t xml:space="preserve">), though only about </w:t>
      </w:r>
      <w:r w:rsidR="00060CB6">
        <w:t>20</w:t>
      </w:r>
      <w:r w:rsidR="00DF2B13" w:rsidRPr="00CA4850">
        <w:t xml:space="preserve">% of employees </w:t>
      </w:r>
      <w:r w:rsidR="00060CB6">
        <w:t xml:space="preserve">appeared to have </w:t>
      </w:r>
      <w:r w:rsidR="00595315">
        <w:t>embraced</w:t>
      </w:r>
      <w:r w:rsidR="00DF2B13" w:rsidRPr="00CA4850">
        <w:t xml:space="preserve"> the opportunity</w:t>
      </w:r>
      <w:r w:rsidR="00060CB6">
        <w:t xml:space="preserve"> (Parker et al., 2020)</w:t>
      </w:r>
      <w:r w:rsidR="00DF2B13" w:rsidRPr="00CA4850">
        <w:t>. The opportunit</w:t>
      </w:r>
      <w:r w:rsidR="00595315">
        <w:t>y/</w:t>
      </w:r>
      <w:r w:rsidR="00DF2B13" w:rsidRPr="00CA4850">
        <w:t xml:space="preserve">allowance for teleworking </w:t>
      </w:r>
      <w:r w:rsidR="00595315">
        <w:t xml:space="preserve">increased </w:t>
      </w:r>
      <w:r w:rsidR="00DF2B13" w:rsidRPr="00CA4850">
        <w:t xml:space="preserve">during the pandemic, and </w:t>
      </w:r>
      <w:r w:rsidR="00595315">
        <w:t>currently</w:t>
      </w:r>
      <w:r w:rsidR="00DF2B13" w:rsidRPr="00CA4850">
        <w:t xml:space="preserve"> almost 80% of employers allow their employees to telework (</w:t>
      </w:r>
      <w:proofErr w:type="spellStart"/>
      <w:r w:rsidR="00DF2B13" w:rsidRPr="00CA4850">
        <w:t>Tokarchuk</w:t>
      </w:r>
      <w:proofErr w:type="spellEnd"/>
      <w:r w:rsidR="00DF2B13" w:rsidRPr="00CA4850">
        <w:t xml:space="preserve"> et al., 2021), with over 70% </w:t>
      </w:r>
      <w:r w:rsidR="00595315">
        <w:t xml:space="preserve">of </w:t>
      </w:r>
      <w:r w:rsidR="00060CB6">
        <w:t xml:space="preserve">employees availing of </w:t>
      </w:r>
      <w:r w:rsidR="00595315">
        <w:t xml:space="preserve">the opportunity, even if only occasionally </w:t>
      </w:r>
      <w:r w:rsidR="00060CB6">
        <w:t>(Parker et al., 2020</w:t>
      </w:r>
      <w:r w:rsidR="00DF2B13" w:rsidRPr="00CA4850">
        <w:t>).</w:t>
      </w:r>
      <w:r w:rsidR="00EE439A">
        <w:t xml:space="preserve"> E</w:t>
      </w:r>
      <w:r w:rsidR="00595315">
        <w:t xml:space="preserve">arlier studies on opportunity </w:t>
      </w:r>
      <w:r w:rsidR="00EE439A">
        <w:t xml:space="preserve">fall under two broad categories: </w:t>
      </w:r>
      <w:r w:rsidR="00743CBE">
        <w:t xml:space="preserve">(a) </w:t>
      </w:r>
      <w:r w:rsidR="00EE439A">
        <w:t>e</w:t>
      </w:r>
      <w:r w:rsidR="00595315">
        <w:t xml:space="preserve">mployer perceptions of </w:t>
      </w:r>
      <w:r w:rsidR="00595315" w:rsidRPr="00CA4850">
        <w:t xml:space="preserve">teleworking </w:t>
      </w:r>
      <w:r w:rsidR="00EE439A">
        <w:t xml:space="preserve">and </w:t>
      </w:r>
      <w:r w:rsidR="00743CBE">
        <w:t xml:space="preserve">(b) </w:t>
      </w:r>
      <w:r w:rsidR="00EE439A">
        <w:t xml:space="preserve">the types of jobs/occupation sectors that typically allow teleworking. In the </w:t>
      </w:r>
      <w:r w:rsidR="00EE439A" w:rsidRPr="00AA1EC4">
        <w:rPr>
          <w:u w:val="single"/>
        </w:rPr>
        <w:t>first broad category of employer perceptions</w:t>
      </w:r>
      <w:r w:rsidR="00EE439A">
        <w:t>, many pre</w:t>
      </w:r>
      <w:r w:rsidR="00595315">
        <w:t>-</w:t>
      </w:r>
      <w:r w:rsidR="002C7091">
        <w:t xml:space="preserve">COVID </w:t>
      </w:r>
      <w:r w:rsidR="00595315">
        <w:t xml:space="preserve">studies </w:t>
      </w:r>
      <w:r w:rsidR="00EE439A">
        <w:t xml:space="preserve">suggested </w:t>
      </w:r>
      <w:r w:rsidR="00743CBE">
        <w:t xml:space="preserve">managerial </w:t>
      </w:r>
      <w:r w:rsidR="00EE439A">
        <w:t>skepticism about allowing teleworking</w:t>
      </w:r>
      <w:r w:rsidR="00743CBE">
        <w:t xml:space="preserve">, much of which </w:t>
      </w:r>
      <w:r w:rsidR="00972450" w:rsidRPr="00CA4850">
        <w:t>revolve</w:t>
      </w:r>
      <w:r w:rsidR="00EE439A">
        <w:t>d</w:t>
      </w:r>
      <w:r w:rsidR="00972450" w:rsidRPr="00CA4850">
        <w:t xml:space="preserve"> around mistrust of employees</w:t>
      </w:r>
      <w:r w:rsidR="00595315">
        <w:t>’ use of time</w:t>
      </w:r>
      <w:r w:rsidR="00972450" w:rsidRPr="00CA4850">
        <w:t xml:space="preserve"> (see </w:t>
      </w:r>
      <w:r w:rsidR="00EE439A">
        <w:t xml:space="preserve">Peters et al., 2004 and </w:t>
      </w:r>
      <w:r w:rsidR="00972450" w:rsidRPr="00CA4850">
        <w:t xml:space="preserve">Kaplan et al., 2018), </w:t>
      </w:r>
      <w:r w:rsidR="00EE439A">
        <w:t xml:space="preserve">lack of in-person </w:t>
      </w:r>
      <w:r w:rsidR="00972450" w:rsidRPr="00CA4850">
        <w:t xml:space="preserve">communication amongst a team of employees (see </w:t>
      </w:r>
      <w:proofErr w:type="spellStart"/>
      <w:r w:rsidR="00972450" w:rsidRPr="00CA4850">
        <w:t>Beham</w:t>
      </w:r>
      <w:proofErr w:type="spellEnd"/>
      <w:r w:rsidR="00972450" w:rsidRPr="00CA4850">
        <w:t xml:space="preserve"> et al., 2015, and Peters et al., 2004)</w:t>
      </w:r>
      <w:r w:rsidR="00EE439A">
        <w:t>,</w:t>
      </w:r>
      <w:r w:rsidR="00972450" w:rsidRPr="00CA4850">
        <w:t xml:space="preserve"> and the manager’s reluctance to invest in change (see </w:t>
      </w:r>
      <w:r w:rsidR="00D06BD9" w:rsidRPr="00A03997">
        <w:rPr>
          <w:shd w:val="clear" w:color="auto" w:fill="FFFFFF"/>
        </w:rPr>
        <w:t>Silva-C</w:t>
      </w:r>
      <w:r w:rsidR="00ED6120" w:rsidRPr="00ED6120">
        <w:t xml:space="preserve"> </w:t>
      </w:r>
      <w:r w:rsidR="00ED6120" w:rsidRPr="00CA4850">
        <w:t>et al.</w:t>
      </w:r>
      <w:r w:rsidR="00972450" w:rsidRPr="00CA4850">
        <w:t xml:space="preserve">, 2019 and </w:t>
      </w:r>
      <w:proofErr w:type="spellStart"/>
      <w:r w:rsidR="00972450" w:rsidRPr="00CA4850">
        <w:t>Egbuta</w:t>
      </w:r>
      <w:proofErr w:type="spellEnd"/>
      <w:r w:rsidR="00ED6120" w:rsidRPr="00ED6120">
        <w:t xml:space="preserve"> </w:t>
      </w:r>
      <w:r w:rsidR="00ED6120" w:rsidRPr="00CA4850">
        <w:t>et al.</w:t>
      </w:r>
      <w:r w:rsidR="00972450" w:rsidRPr="00CA4850">
        <w:t>, 2021). But</w:t>
      </w:r>
      <w:r w:rsidR="00EE439A">
        <w:t xml:space="preserve"> after companies </w:t>
      </w:r>
      <w:r w:rsidR="00972450" w:rsidRPr="00CA4850">
        <w:t xml:space="preserve">were forced to move their companies into a virtual </w:t>
      </w:r>
      <w:r w:rsidR="00EE439A">
        <w:t>mode</w:t>
      </w:r>
      <w:r w:rsidR="00972450" w:rsidRPr="00CA4850">
        <w:t xml:space="preserve"> during the pandemic</w:t>
      </w:r>
      <w:r w:rsidR="00EE439A">
        <w:t>, it appears that attitudes</w:t>
      </w:r>
      <w:r w:rsidR="001A51D4">
        <w:t xml:space="preserve"> </w:t>
      </w:r>
      <w:r w:rsidR="00EE439A">
        <w:t>have shifted.</w:t>
      </w:r>
      <w:r w:rsidR="001A51D4">
        <w:t xml:space="preserve"> </w:t>
      </w:r>
      <w:r w:rsidR="00972450" w:rsidRPr="00CA4850">
        <w:t>Specifically</w:t>
      </w:r>
      <w:r w:rsidR="001A51D4">
        <w:t>, most of the recent literature has found that,</w:t>
      </w:r>
      <w:r w:rsidR="00972450" w:rsidRPr="00CA4850">
        <w:t xml:space="preserve"> by investing in more digital technology (</w:t>
      </w:r>
      <w:proofErr w:type="spellStart"/>
      <w:r w:rsidR="00972450" w:rsidRPr="00CA4850">
        <w:rPr>
          <w:shd w:val="clear" w:color="auto" w:fill="FFFFFF"/>
        </w:rPr>
        <w:t>Athanasiadou</w:t>
      </w:r>
      <w:proofErr w:type="spellEnd"/>
      <w:r w:rsidR="00972450" w:rsidRPr="00CA4850">
        <w:rPr>
          <w:shd w:val="clear" w:color="auto" w:fill="FFFFFF"/>
        </w:rPr>
        <w:t xml:space="preserve"> and </w:t>
      </w:r>
      <w:proofErr w:type="spellStart"/>
      <w:r w:rsidR="00972450" w:rsidRPr="00CA4850">
        <w:rPr>
          <w:shd w:val="clear" w:color="auto" w:fill="FFFFFF"/>
        </w:rPr>
        <w:t>Theriou</w:t>
      </w:r>
      <w:proofErr w:type="spellEnd"/>
      <w:r w:rsidR="00972450" w:rsidRPr="00CA4850">
        <w:rPr>
          <w:shd w:val="clear" w:color="auto" w:fill="FFFFFF"/>
        </w:rPr>
        <w:t>, 2021</w:t>
      </w:r>
      <w:r w:rsidR="00972450" w:rsidRPr="00CA4850">
        <w:t xml:space="preserve">) and by recognizing the benefits teleworking </w:t>
      </w:r>
      <w:r w:rsidR="00EE439A">
        <w:t xml:space="preserve">brings to </w:t>
      </w:r>
      <w:r w:rsidR="00972450" w:rsidRPr="00CA4850">
        <w:t>their employees (</w:t>
      </w:r>
      <w:proofErr w:type="spellStart"/>
      <w:r w:rsidR="00972450" w:rsidRPr="00CA4850">
        <w:t>Chamakiotis</w:t>
      </w:r>
      <w:proofErr w:type="spellEnd"/>
      <w:r w:rsidR="00972450" w:rsidRPr="00CA4850">
        <w:t xml:space="preserve"> et al., 2021, </w:t>
      </w:r>
      <w:proofErr w:type="spellStart"/>
      <w:r w:rsidR="00972450" w:rsidRPr="00CA4850">
        <w:t>Tokarchuk</w:t>
      </w:r>
      <w:proofErr w:type="spellEnd"/>
      <w:r w:rsidR="00972450" w:rsidRPr="00CA4850">
        <w:t xml:space="preserve"> et al., 2021), managers </w:t>
      </w:r>
      <w:r w:rsidR="001A51D4">
        <w:t xml:space="preserve">appear more comfortable </w:t>
      </w:r>
      <w:r w:rsidR="00743CBE">
        <w:t xml:space="preserve">in </w:t>
      </w:r>
      <w:r w:rsidR="00EE439A">
        <w:t>provi</w:t>
      </w:r>
      <w:r w:rsidR="001A51D4">
        <w:t>d</w:t>
      </w:r>
      <w:r w:rsidR="00743CBE">
        <w:t>ing</w:t>
      </w:r>
      <w:r w:rsidR="00EE439A">
        <w:t xml:space="preserve"> a </w:t>
      </w:r>
      <w:r w:rsidR="00972450" w:rsidRPr="00CA4850">
        <w:t xml:space="preserve">work-from-home or hybrid </w:t>
      </w:r>
      <w:r w:rsidR="001A51D4">
        <w:t xml:space="preserve">work location option </w:t>
      </w:r>
      <w:r w:rsidR="00972450" w:rsidRPr="00CA4850">
        <w:t>into the future</w:t>
      </w:r>
      <w:r w:rsidR="00EE439A">
        <w:t xml:space="preserve"> </w:t>
      </w:r>
      <w:r w:rsidR="00972450" w:rsidRPr="00CA4850">
        <w:t>(</w:t>
      </w:r>
      <w:bookmarkStart w:id="1" w:name="_Hlk108342051"/>
      <w:proofErr w:type="spellStart"/>
      <w:r w:rsidR="00972450" w:rsidRPr="00CA4850">
        <w:t>Belostecinic</w:t>
      </w:r>
      <w:bookmarkEnd w:id="1"/>
      <w:proofErr w:type="spellEnd"/>
      <w:r w:rsidR="00972450" w:rsidRPr="00CA4850">
        <w:t xml:space="preserve"> et al., 202</w:t>
      </w:r>
      <w:r w:rsidR="008345DA">
        <w:t>1</w:t>
      </w:r>
      <w:r w:rsidR="00972450" w:rsidRPr="00CA4850">
        <w:t xml:space="preserve">). </w:t>
      </w:r>
      <w:r w:rsidR="001A51D4">
        <w:t xml:space="preserve">In the </w:t>
      </w:r>
      <w:r w:rsidR="001A51D4" w:rsidRPr="00AA1EC4">
        <w:rPr>
          <w:u w:val="single"/>
        </w:rPr>
        <w:t xml:space="preserve">second broad category of </w:t>
      </w:r>
      <w:r w:rsidR="008173BC" w:rsidRPr="00AA1EC4">
        <w:rPr>
          <w:u w:val="single"/>
        </w:rPr>
        <w:t>jobs/occupation sectors</w:t>
      </w:r>
      <w:r w:rsidR="008173BC">
        <w:t xml:space="preserve"> more likely to allow teleworking, </w:t>
      </w:r>
      <w:r w:rsidR="001F05C8">
        <w:t>Groen</w:t>
      </w:r>
      <w:r w:rsidR="00972450" w:rsidRPr="00CA4850">
        <w:t xml:space="preserve"> et al. </w:t>
      </w:r>
      <w:r w:rsidR="008173BC">
        <w:t xml:space="preserve">(2018) </w:t>
      </w:r>
      <w:r w:rsidR="00972450" w:rsidRPr="00CA4850">
        <w:t>found that 69% of employees at financial service institutions were allowed to telework, compared to 16% for public administration position</w:t>
      </w:r>
      <w:r w:rsidR="00CA5B9C">
        <w:t xml:space="preserve">s. </w:t>
      </w:r>
      <w:r w:rsidR="001E7D10">
        <w:t xml:space="preserve">Similarly, </w:t>
      </w:r>
      <w:proofErr w:type="spellStart"/>
      <w:r w:rsidR="001E7D10">
        <w:t>Cetrulo</w:t>
      </w:r>
      <w:proofErr w:type="spellEnd"/>
      <w:r w:rsidR="001E7D10">
        <w:t xml:space="preserve"> et al. (2020) found low </w:t>
      </w:r>
      <w:r w:rsidR="00144F11">
        <w:t xml:space="preserve">levels of </w:t>
      </w:r>
      <w:r w:rsidR="00E31C55">
        <w:t xml:space="preserve">remote working </w:t>
      </w:r>
      <w:r w:rsidR="001E7D10">
        <w:t>allowance fo</w:t>
      </w:r>
      <w:r w:rsidR="00E31C55">
        <w:t xml:space="preserve">r </w:t>
      </w:r>
      <w:r w:rsidR="001E7D10">
        <w:t>blue collar</w:t>
      </w:r>
      <w:r w:rsidR="00E31C55">
        <w:t xml:space="preserve"> workers </w:t>
      </w:r>
      <w:r w:rsidR="001E7D10">
        <w:t>(</w:t>
      </w:r>
      <w:r w:rsidR="00144F11">
        <w:t xml:space="preserve">0% of </w:t>
      </w:r>
      <w:r w:rsidR="001E7D10">
        <w:t>plant and machine operator</w:t>
      </w:r>
      <w:r w:rsidR="00144F11">
        <w:t xml:space="preserve">s, only 0.5% of crafts, agriculture and specialized workers and 5% of service and sale workers were allowed to telework), as compared to the </w:t>
      </w:r>
      <w:r w:rsidR="001F05C8">
        <w:t>white-collar</w:t>
      </w:r>
      <w:r w:rsidR="00144F11">
        <w:t xml:space="preserve"> workers, with over 50% </w:t>
      </w:r>
      <w:r w:rsidR="00952DF7">
        <w:t xml:space="preserve">allowance </w:t>
      </w:r>
      <w:r w:rsidR="00725DC2">
        <w:t xml:space="preserve">to work remotely </w:t>
      </w:r>
      <w:r w:rsidR="00144F11">
        <w:t>(71.5% of clerical workers, 57% of technical professionals</w:t>
      </w:r>
      <w:r w:rsidR="00144F11" w:rsidRPr="00BA296F">
        <w:t xml:space="preserve">, </w:t>
      </w:r>
      <w:r w:rsidR="00BA296F" w:rsidRPr="00740334">
        <w:t>58</w:t>
      </w:r>
      <w:r w:rsidR="00144F11" w:rsidRPr="00740334">
        <w:t>%</w:t>
      </w:r>
      <w:r w:rsidR="00144F11">
        <w:t xml:space="preserve"> of intellectual and scientific workers, and 61% of legislators, managers and entrepreneurs). </w:t>
      </w:r>
    </w:p>
    <w:p w14:paraId="45A9039D" w14:textId="77777777" w:rsidR="007E6974" w:rsidRDefault="00972450" w:rsidP="00B40ED1">
      <w:pPr>
        <w:spacing w:after="0"/>
        <w:ind w:firstLine="720"/>
      </w:pPr>
      <w:r w:rsidRPr="00CA4850">
        <w:t xml:space="preserve">A limitation </w:t>
      </w:r>
      <w:r w:rsidR="00376906">
        <w:t xml:space="preserve">of these earlier studies is they </w:t>
      </w:r>
      <w:r w:rsidR="0052581B">
        <w:t xml:space="preserve">do not adequately consider </w:t>
      </w:r>
      <w:r w:rsidR="00376906">
        <w:t>an employee perspective. Two recent studies f</w:t>
      </w:r>
      <w:r w:rsidRPr="00CA4850">
        <w:t>ollowing the COVID-19 pandemic</w:t>
      </w:r>
      <w:r w:rsidR="00376906">
        <w:t xml:space="preserve"> </w:t>
      </w:r>
      <w:r w:rsidR="00376906" w:rsidRPr="00CA4850">
        <w:t>(</w:t>
      </w:r>
      <w:proofErr w:type="spellStart"/>
      <w:r w:rsidR="00376906" w:rsidRPr="00CA4850">
        <w:t>Sheather</w:t>
      </w:r>
      <w:proofErr w:type="spellEnd"/>
      <w:r w:rsidR="00376906" w:rsidRPr="00CA4850">
        <w:t xml:space="preserve"> and Slattery, 2021</w:t>
      </w:r>
      <w:r w:rsidR="00376906">
        <w:t xml:space="preserve"> and</w:t>
      </w:r>
      <w:r w:rsidR="00376906" w:rsidRPr="00CA4850">
        <w:t xml:space="preserve"> Hopkins and Figaro, 2021) </w:t>
      </w:r>
      <w:r w:rsidR="00376906">
        <w:t>suggest that</w:t>
      </w:r>
      <w:r w:rsidRPr="00CA4850">
        <w:t xml:space="preserve"> a new period </w:t>
      </w:r>
      <w:r w:rsidR="00376906">
        <w:t xml:space="preserve">of the </w:t>
      </w:r>
      <w:r w:rsidRPr="00CA4850">
        <w:t>“great resignation” has fallen upon us</w:t>
      </w:r>
      <w:r w:rsidR="00376906">
        <w:t xml:space="preserve">, and that </w:t>
      </w:r>
      <w:r w:rsidRPr="00CA4850">
        <w:t xml:space="preserve">employers and managers need to start </w:t>
      </w:r>
      <w:r w:rsidR="00376906">
        <w:t xml:space="preserve">being more sensitive </w:t>
      </w:r>
      <w:r w:rsidRPr="00CA4850">
        <w:t xml:space="preserve">to </w:t>
      </w:r>
      <w:r w:rsidR="00376906">
        <w:t xml:space="preserve">employee </w:t>
      </w:r>
      <w:r w:rsidRPr="00CA4850">
        <w:t xml:space="preserve">needs </w:t>
      </w:r>
      <w:r w:rsidR="00376906">
        <w:t xml:space="preserve">to </w:t>
      </w:r>
      <w:r w:rsidR="00FD72AD">
        <w:t xml:space="preserve">develop customized WPL opportunity policies to </w:t>
      </w:r>
      <w:r w:rsidR="00376906">
        <w:t xml:space="preserve">retain their workforce. </w:t>
      </w:r>
      <w:r w:rsidRPr="00CA4850">
        <w:t xml:space="preserve">The current study </w:t>
      </w:r>
      <w:r w:rsidR="0081519F">
        <w:t>examines employee desires, while indirectly considering an employer perspective too by investigating how employees themselves filter the reality of the needs of their occupation sector/job type when</w:t>
      </w:r>
      <w:r w:rsidR="00FD72AD">
        <w:t xml:space="preserve"> developing</w:t>
      </w:r>
      <w:r w:rsidR="0081519F">
        <w:t xml:space="preserve"> their optimal WPL desires.</w:t>
      </w:r>
    </w:p>
    <w:p w14:paraId="71C4EEAE" w14:textId="2BD5D715" w:rsidR="00972450" w:rsidRPr="00CA4850" w:rsidRDefault="0081519F" w:rsidP="00B40ED1">
      <w:pPr>
        <w:spacing w:after="0"/>
      </w:pPr>
      <w:r>
        <w:t xml:space="preserve"> </w:t>
      </w:r>
    </w:p>
    <w:p w14:paraId="2B057389" w14:textId="77777777" w:rsidR="00F82A05" w:rsidRPr="0086491D" w:rsidRDefault="00F82A05" w:rsidP="00B40ED1">
      <w:pPr>
        <w:spacing w:after="0"/>
        <w:rPr>
          <w:b/>
        </w:rPr>
      </w:pPr>
      <w:r w:rsidRPr="0086491D">
        <w:rPr>
          <w:b/>
        </w:rPr>
        <w:t xml:space="preserve">2.2. </w:t>
      </w:r>
      <w:r w:rsidR="0052581B" w:rsidRPr="0086491D">
        <w:rPr>
          <w:b/>
        </w:rPr>
        <w:t>Preference and Choice</w:t>
      </w:r>
    </w:p>
    <w:p w14:paraId="0B2E1F05" w14:textId="7FFC86B5" w:rsidR="00972450" w:rsidRDefault="00972450" w:rsidP="00B40ED1">
      <w:pPr>
        <w:spacing w:after="0"/>
      </w:pPr>
      <w:r w:rsidRPr="00060CB6">
        <w:t xml:space="preserve">The </w:t>
      </w:r>
      <w:r w:rsidR="005D0E4F" w:rsidRPr="00AA1EC4">
        <w:rPr>
          <w:i/>
        </w:rPr>
        <w:t>preference</w:t>
      </w:r>
      <w:r w:rsidR="005D0E4F" w:rsidRPr="00060CB6">
        <w:t xml:space="preserve"> and </w:t>
      </w:r>
      <w:r w:rsidRPr="00060CB6">
        <w:rPr>
          <w:i/>
        </w:rPr>
        <w:t xml:space="preserve">choice </w:t>
      </w:r>
      <w:r w:rsidRPr="00060CB6">
        <w:t xml:space="preserve">dimension </w:t>
      </w:r>
      <w:r w:rsidR="005D0E4F" w:rsidRPr="00060CB6">
        <w:t xml:space="preserve">are intricately linked, with the former focusing </w:t>
      </w:r>
      <w:r w:rsidR="005D0E4F" w:rsidRPr="00E136D1">
        <w:t xml:space="preserve">on the process (perspectives toward teleworking if the opportunity is available) and the latter representing the actual manifested decision. Because of the close overlap of the two dimensions, our synthesis of the literature will simultaneously examine both these dimensions. Much of the earlier literature </w:t>
      </w:r>
      <w:r w:rsidR="005D0E4F" w:rsidRPr="00E136D1">
        <w:lastRenderedPageBreak/>
        <w:t>along these dimensions focus on sociodemographic factors impacting WPL preference/choice, while there is also some literature</w:t>
      </w:r>
      <w:r w:rsidR="0052581B" w:rsidRPr="00E136D1">
        <w:t xml:space="preserve"> </w:t>
      </w:r>
      <w:r w:rsidR="005D0E4F" w:rsidRPr="00E136D1">
        <w:t xml:space="preserve">on </w:t>
      </w:r>
      <w:r w:rsidR="00743CBE">
        <w:t xml:space="preserve">job-related </w:t>
      </w:r>
      <w:r w:rsidR="005D0E4F" w:rsidRPr="00E136D1">
        <w:t xml:space="preserve">and location-related effects. On the former </w:t>
      </w:r>
      <w:r w:rsidR="005D0E4F" w:rsidRPr="00AA1EC4">
        <w:rPr>
          <w:u w:val="single"/>
        </w:rPr>
        <w:t>sociodemographic factors</w:t>
      </w:r>
      <w:r w:rsidR="005D0E4F" w:rsidRPr="00060CB6">
        <w:t xml:space="preserve">, </w:t>
      </w:r>
      <w:r w:rsidR="005D0E4F" w:rsidRPr="00E136D1">
        <w:t>studies</w:t>
      </w:r>
      <w:r w:rsidR="00C3766B">
        <w:t xml:space="preserve">, for the most part, have </w:t>
      </w:r>
      <w:r w:rsidR="005D0E4F" w:rsidRPr="00E136D1">
        <w:t>consistently found that w</w:t>
      </w:r>
      <w:r w:rsidRPr="00E136D1">
        <w:t>omen</w:t>
      </w:r>
      <w:r w:rsidR="00894D8E" w:rsidRPr="00E136D1">
        <w:t>,</w:t>
      </w:r>
      <w:r w:rsidRPr="00E136D1">
        <w:t xml:space="preserve"> younger workers, employees with children</w:t>
      </w:r>
      <w:r w:rsidRPr="00E136D1">
        <w:rPr>
          <w:shd w:val="clear" w:color="auto" w:fill="FFFFFF"/>
        </w:rPr>
        <w:t xml:space="preserve">, </w:t>
      </w:r>
      <w:r w:rsidRPr="00E136D1">
        <w:t xml:space="preserve">married employees, </w:t>
      </w:r>
      <w:r w:rsidR="00830327" w:rsidRPr="00E136D1">
        <w:t xml:space="preserve">and </w:t>
      </w:r>
      <w:r w:rsidRPr="00E136D1">
        <w:t xml:space="preserve">higher educated individuals </w:t>
      </w:r>
      <w:r w:rsidR="008565AA" w:rsidRPr="00E136D1">
        <w:t xml:space="preserve">have a higher teleworking preference and </w:t>
      </w:r>
      <w:r w:rsidRPr="00E136D1">
        <w:t xml:space="preserve">are more likely to </w:t>
      </w:r>
      <w:r w:rsidR="00A73AC1" w:rsidRPr="00E136D1">
        <w:t xml:space="preserve">choose to </w:t>
      </w:r>
      <w:r w:rsidRPr="00E136D1">
        <w:t xml:space="preserve">telework </w:t>
      </w:r>
      <w:r w:rsidR="00A73AC1" w:rsidRPr="00E136D1">
        <w:t>relative to other individuals</w:t>
      </w:r>
      <w:r w:rsidRPr="00E136D1">
        <w:t>.</w:t>
      </w:r>
      <w:r w:rsidRPr="00060CB6">
        <w:t xml:space="preserve"> </w:t>
      </w:r>
      <w:r w:rsidR="00C3766B">
        <w:t xml:space="preserve">But </w:t>
      </w:r>
      <w:r w:rsidR="008712C0" w:rsidRPr="00060CB6">
        <w:t>Zhang et al. (2020)</w:t>
      </w:r>
      <w:r w:rsidR="00865752">
        <w:t>, while reviewing these earlier studies,</w:t>
      </w:r>
      <w:r w:rsidR="008712C0" w:rsidRPr="00060CB6">
        <w:t xml:space="preserve"> poi</w:t>
      </w:r>
      <w:r w:rsidR="00C3766B">
        <w:t xml:space="preserve">nt out occasional </w:t>
      </w:r>
      <w:r w:rsidR="0052581B" w:rsidRPr="00E136D1">
        <w:t xml:space="preserve">inconsistencies </w:t>
      </w:r>
      <w:r w:rsidR="00865752">
        <w:t xml:space="preserve">in the studies </w:t>
      </w:r>
      <w:r w:rsidR="008712C0" w:rsidRPr="00E136D1">
        <w:t xml:space="preserve">for the effect of gender, presence children, and married employees. They conjecture that these differences may be because earlier studies have not adequately considered the </w:t>
      </w:r>
      <w:r w:rsidR="003360B3" w:rsidRPr="00E136D1">
        <w:t xml:space="preserve">interaction effects of </w:t>
      </w:r>
      <w:proofErr w:type="spellStart"/>
      <w:r w:rsidR="003360B3" w:rsidRPr="00E136D1">
        <w:t>sociodemographics</w:t>
      </w:r>
      <w:proofErr w:type="spellEnd"/>
      <w:r w:rsidR="003360B3" w:rsidRPr="00E136D1">
        <w:t xml:space="preserve">, especially the </w:t>
      </w:r>
      <w:r w:rsidR="008712C0" w:rsidRPr="00E136D1">
        <w:t xml:space="preserve">three-way interaction of </w:t>
      </w:r>
      <w:r w:rsidR="008712C0" w:rsidRPr="00AA1EC4">
        <w:t xml:space="preserve">gender, marital status and parenthood (in their terminology, “gendered family-life stage”). Their study </w:t>
      </w:r>
      <w:r w:rsidR="0084133B" w:rsidRPr="00AA1EC4">
        <w:t xml:space="preserve">uses multiple telework theories </w:t>
      </w:r>
      <w:r w:rsidR="008565AA" w:rsidRPr="00060CB6">
        <w:t xml:space="preserve">of teleworking preference </w:t>
      </w:r>
      <w:r w:rsidR="0084133B" w:rsidRPr="00AA1EC4">
        <w:t xml:space="preserve">to position earlier empirical results, and suggests that telework </w:t>
      </w:r>
      <w:r w:rsidR="008565AA" w:rsidRPr="00060CB6">
        <w:t>preference</w:t>
      </w:r>
      <w:r w:rsidR="0084133B" w:rsidRPr="00AA1EC4">
        <w:t xml:space="preserve"> will increase as individuals attempt to reduce work-to-family </w:t>
      </w:r>
      <w:r w:rsidR="00671E03" w:rsidRPr="00AA1EC4">
        <w:t xml:space="preserve">(WTF) </w:t>
      </w:r>
      <w:r w:rsidR="0084133B" w:rsidRPr="00AA1EC4">
        <w:t xml:space="preserve">conflict </w:t>
      </w:r>
      <w:r w:rsidR="00671E03" w:rsidRPr="00AA1EC4">
        <w:t xml:space="preserve">(work interfering with family) at </w:t>
      </w:r>
      <w:r w:rsidR="0084133B" w:rsidRPr="00AA1EC4">
        <w:t xml:space="preserve">the cost of increasing family-to-work </w:t>
      </w:r>
      <w:r w:rsidR="00671E03" w:rsidRPr="00AA1EC4">
        <w:t xml:space="preserve">(FTW) </w:t>
      </w:r>
      <w:r w:rsidR="0084133B" w:rsidRPr="00AA1EC4">
        <w:t>conflict</w:t>
      </w:r>
      <w:r w:rsidR="00671E03" w:rsidRPr="00AA1EC4">
        <w:t xml:space="preserve"> (family interfering with work)</w:t>
      </w:r>
      <w:r w:rsidR="0084133B" w:rsidRPr="00AA1EC4">
        <w:t xml:space="preserve">. </w:t>
      </w:r>
      <w:r w:rsidR="00671E03" w:rsidRPr="00AA1EC4">
        <w:t xml:space="preserve">Based on these theoretical conflict constructs, they note that, while </w:t>
      </w:r>
      <w:r w:rsidR="00725DC2">
        <w:t xml:space="preserve">employees with </w:t>
      </w:r>
      <w:r w:rsidR="00671E03" w:rsidRPr="00AA1EC4">
        <w:t>children are more likely to telework</w:t>
      </w:r>
      <w:r w:rsidR="003360B3" w:rsidRPr="00AA1EC4">
        <w:t xml:space="preserve"> irrespective of gender and marital status, single individuals without children are more likely to telework than non-single individuals without children, and men without children are more likely than women without children to telework. But, for </w:t>
      </w:r>
      <w:r w:rsidR="00671E03" w:rsidRPr="00AA1EC4">
        <w:t xml:space="preserve">individuals </w:t>
      </w:r>
      <w:r w:rsidR="00671E03" w:rsidRPr="00AA1EC4">
        <w:rPr>
          <w:u w:val="single"/>
        </w:rPr>
        <w:t>with</w:t>
      </w:r>
      <w:r w:rsidR="00671E03" w:rsidRPr="00AA1EC4">
        <w:t xml:space="preserve"> children, </w:t>
      </w:r>
      <w:r w:rsidR="003360B3" w:rsidRPr="00AA1EC4">
        <w:t>non-single</w:t>
      </w:r>
      <w:r w:rsidR="00671E03" w:rsidRPr="00AA1EC4">
        <w:t xml:space="preserve"> parents are more likely to telework than single parents, and</w:t>
      </w:r>
      <w:r w:rsidR="003360B3" w:rsidRPr="00AA1EC4">
        <w:t xml:space="preserve"> women </w:t>
      </w:r>
      <w:r w:rsidR="00671E03" w:rsidRPr="00AA1EC4">
        <w:t>are more likely to telework than m</w:t>
      </w:r>
      <w:r w:rsidR="003360B3" w:rsidRPr="00AA1EC4">
        <w:t>en</w:t>
      </w:r>
      <w:r w:rsidR="00671E03" w:rsidRPr="00AA1EC4">
        <w:t xml:space="preserve">. </w:t>
      </w:r>
      <w:r w:rsidR="00CE54B3" w:rsidRPr="00AA1EC4">
        <w:t>In summary, the</w:t>
      </w:r>
      <w:r w:rsidR="00A712E4" w:rsidRPr="00060CB6">
        <w:t xml:space="preserve"> Zhang et al</w:t>
      </w:r>
      <w:r w:rsidR="00494999">
        <w:t>.</w:t>
      </w:r>
      <w:r w:rsidR="00A712E4" w:rsidRPr="00060CB6">
        <w:t xml:space="preserve"> study </w:t>
      </w:r>
      <w:r w:rsidR="00CE54B3" w:rsidRPr="00AA1EC4">
        <w:t>note</w:t>
      </w:r>
      <w:r w:rsidR="00A712E4" w:rsidRPr="00060CB6">
        <w:t>s</w:t>
      </w:r>
      <w:r w:rsidR="00CE54B3" w:rsidRPr="00AA1EC4">
        <w:t xml:space="preserve"> that the presence of children changes the effects of gender and marital status, and sociodemographic interaction effects with the presence of children is important in explaining telework propensity</w:t>
      </w:r>
      <w:r w:rsidR="008565AA" w:rsidRPr="00C3766B">
        <w:t xml:space="preserve">. Accordingly, in this study, we consider a number of possible multi-way interaction effects of </w:t>
      </w:r>
      <w:proofErr w:type="spellStart"/>
      <w:r w:rsidR="008565AA" w:rsidRPr="00C3766B">
        <w:t>sociodemographics</w:t>
      </w:r>
      <w:proofErr w:type="spellEnd"/>
      <w:r w:rsidR="008565AA" w:rsidRPr="00C3766B">
        <w:t xml:space="preserve">, not only among themselves but also with environment and location-related effects. </w:t>
      </w:r>
      <w:r w:rsidR="00CD5C29" w:rsidRPr="00C3766B">
        <w:t xml:space="preserve">Related to </w:t>
      </w:r>
      <w:r w:rsidR="00F82A05" w:rsidRPr="00C3766B">
        <w:rPr>
          <w:u w:val="single"/>
        </w:rPr>
        <w:t>job-related</w:t>
      </w:r>
      <w:r w:rsidR="00310AE7" w:rsidRPr="00AA1EC4">
        <w:rPr>
          <w:u w:val="single"/>
        </w:rPr>
        <w:t xml:space="preserve"> </w:t>
      </w:r>
      <w:r w:rsidR="00CD5C29" w:rsidRPr="00AA1EC4">
        <w:rPr>
          <w:u w:val="single"/>
        </w:rPr>
        <w:t>and location-related effects,</w:t>
      </w:r>
      <w:r w:rsidR="00CD5C29" w:rsidRPr="00C3766B">
        <w:t xml:space="preserve"> earlier studies have </w:t>
      </w:r>
      <w:r w:rsidR="00830327" w:rsidRPr="00C3766B">
        <w:t xml:space="preserve">generally </w:t>
      </w:r>
      <w:r w:rsidR="00CD5C29" w:rsidRPr="00C3766B">
        <w:t xml:space="preserve">found that </w:t>
      </w:r>
      <w:r w:rsidR="00830327" w:rsidRPr="00C3766B">
        <w:t xml:space="preserve">part-time workers, those residing far away from their regular work location, those residing in high density urban areas, </w:t>
      </w:r>
      <w:r w:rsidR="00310AE7" w:rsidRPr="00C3766B">
        <w:t xml:space="preserve">those who live closer to non-work and </w:t>
      </w:r>
      <w:r w:rsidR="00310AE7" w:rsidRPr="00A2012B">
        <w:t xml:space="preserve">leisure activity opportunities, </w:t>
      </w:r>
      <w:r w:rsidR="00830327" w:rsidRPr="00A2012B">
        <w:t xml:space="preserve">and those working in small-sized firms tend to telework more than other individuals (see, for </w:t>
      </w:r>
      <w:r w:rsidR="00830327" w:rsidRPr="007C5F48">
        <w:t>example, Zhang et al</w:t>
      </w:r>
      <w:r w:rsidR="000A11D4" w:rsidRPr="007C5F48">
        <w:t>.</w:t>
      </w:r>
      <w:r w:rsidR="00830327" w:rsidRPr="007C5F48">
        <w:t>, 2020</w:t>
      </w:r>
      <w:r w:rsidR="00E31C55">
        <w:t xml:space="preserve"> and</w:t>
      </w:r>
      <w:r w:rsidR="00A2012B" w:rsidRPr="007C5F48">
        <w:t xml:space="preserve"> </w:t>
      </w:r>
      <w:proofErr w:type="spellStart"/>
      <w:r w:rsidR="00007EFB" w:rsidRPr="007C5F48">
        <w:rPr>
          <w:shd w:val="clear" w:color="auto" w:fill="FFFFFF"/>
        </w:rPr>
        <w:t>Caldarola</w:t>
      </w:r>
      <w:proofErr w:type="spellEnd"/>
      <w:r w:rsidR="00007EFB" w:rsidRPr="007C5F48">
        <w:rPr>
          <w:shd w:val="clear" w:color="auto" w:fill="FFFFFF"/>
        </w:rPr>
        <w:t xml:space="preserve"> and Sorrell, 2022</w:t>
      </w:r>
      <w:r w:rsidR="00310AE7" w:rsidRPr="007C5F48">
        <w:t>).</w:t>
      </w:r>
    </w:p>
    <w:p w14:paraId="6E689B1F" w14:textId="4C77000A" w:rsidR="007E6974" w:rsidRDefault="00823F5A" w:rsidP="00B40ED1">
      <w:pPr>
        <w:spacing w:after="0"/>
        <w:ind w:firstLine="720"/>
      </w:pPr>
      <w:r w:rsidRPr="00757E6F">
        <w:t xml:space="preserve">Most of the preference/choice studies identified above use revealed preference studies </w:t>
      </w:r>
      <w:r w:rsidR="00C3766B" w:rsidRPr="00757E6F">
        <w:t xml:space="preserve">of </w:t>
      </w:r>
      <w:r w:rsidRPr="00757E6F">
        <w:t>pre-COVID teleworking choice or “</w:t>
      </w:r>
      <w:r w:rsidR="001C4512" w:rsidRPr="00757E6F">
        <w:t>at present</w:t>
      </w:r>
      <w:r w:rsidRPr="00757E6F">
        <w:t xml:space="preserve">” teleworking choice in the midst of the pandemic. </w:t>
      </w:r>
      <w:r w:rsidR="00C65C00" w:rsidRPr="00757E6F">
        <w:t>Only t</w:t>
      </w:r>
      <w:r w:rsidR="00D16A8D" w:rsidRPr="00757E6F">
        <w:t>hree</w:t>
      </w:r>
      <w:r w:rsidR="00C65C00" w:rsidRPr="00757E6F">
        <w:t xml:space="preserve"> </w:t>
      </w:r>
      <w:r w:rsidRPr="00757E6F">
        <w:t>studies</w:t>
      </w:r>
      <w:r w:rsidR="00B60D60" w:rsidRPr="00757E6F">
        <w:t xml:space="preserve">, to our knowledge </w:t>
      </w:r>
      <w:r w:rsidRPr="00757E6F">
        <w:t xml:space="preserve">have focused on </w:t>
      </w:r>
      <w:r w:rsidR="00B60D60" w:rsidRPr="00757E6F">
        <w:t xml:space="preserve">WPL </w:t>
      </w:r>
      <w:r w:rsidR="00C3766B" w:rsidRPr="00757E6F">
        <w:t>desires</w:t>
      </w:r>
      <w:r w:rsidR="00B60D60" w:rsidRPr="00757E6F">
        <w:t xml:space="preserve"> in </w:t>
      </w:r>
      <w:r w:rsidRPr="00757E6F">
        <w:t>the more distant future using stated preference data.</w:t>
      </w:r>
      <w:r w:rsidR="00FD6E42" w:rsidRPr="00757E6F" w:rsidDel="00823F5A">
        <w:t xml:space="preserve"> </w:t>
      </w:r>
      <w:r w:rsidRPr="00757E6F">
        <w:t>Nayak and P</w:t>
      </w:r>
      <w:r w:rsidR="008345DA">
        <w:t>a</w:t>
      </w:r>
      <w:r w:rsidRPr="00757E6F">
        <w:t>ndit (2021)</w:t>
      </w:r>
      <w:r w:rsidR="00D16A8D" w:rsidRPr="00757E6F">
        <w:t xml:space="preserve"> and Jain et al. (2022)</w:t>
      </w:r>
      <w:r w:rsidRPr="00757E6F">
        <w:t xml:space="preserve"> study an employee’s </w:t>
      </w:r>
      <w:r w:rsidR="00C65C00" w:rsidRPr="00757E6F">
        <w:t xml:space="preserve">intention to </w:t>
      </w:r>
      <w:r w:rsidRPr="00757E6F">
        <w:t>telework based on a direct question</w:t>
      </w:r>
      <w:r w:rsidR="00C65C00" w:rsidRPr="00757E6F">
        <w:t xml:space="preserve"> regarding </w:t>
      </w:r>
      <w:r w:rsidR="00D16A8D" w:rsidRPr="00757E6F">
        <w:t xml:space="preserve">stated </w:t>
      </w:r>
      <w:r w:rsidR="00C65C00" w:rsidRPr="00757E6F">
        <w:t>intent</w:t>
      </w:r>
      <w:r w:rsidR="00D16A8D" w:rsidRPr="00757E6F">
        <w:t xml:space="preserve"> in a </w:t>
      </w:r>
      <w:r w:rsidR="00C3766B" w:rsidRPr="00757E6F">
        <w:t>future when “travel and other restrictions would be withdrawn after the elimination or control of the pandemic” (Nayak and P</w:t>
      </w:r>
      <w:r w:rsidR="008345DA">
        <w:t>a</w:t>
      </w:r>
      <w:r w:rsidR="00C3766B" w:rsidRPr="00757E6F">
        <w:t xml:space="preserve">ndit) or the virus is “gone” (Jain et al., 2022). Specifically, </w:t>
      </w:r>
      <w:r w:rsidR="00381D18" w:rsidRPr="00757E6F">
        <w:t>Nayak and P</w:t>
      </w:r>
      <w:r w:rsidR="008345DA">
        <w:t>a</w:t>
      </w:r>
      <w:r w:rsidR="00381D18" w:rsidRPr="00757E6F">
        <w:t xml:space="preserve">ndit elicit a </w:t>
      </w:r>
      <w:r w:rsidR="009E4357" w:rsidRPr="00757E6F">
        <w:t xml:space="preserve">binary </w:t>
      </w:r>
      <w:r w:rsidR="00381D18" w:rsidRPr="00757E6F">
        <w:t>response to whether the employee w</w:t>
      </w:r>
      <w:r w:rsidR="00C3766B" w:rsidRPr="00757E6F">
        <w:t>ould</w:t>
      </w:r>
      <w:r w:rsidR="00381D18" w:rsidRPr="00757E6F">
        <w:t xml:space="preserve"> be willing to telework in the future, while Jain et al</w:t>
      </w:r>
      <w:r w:rsidR="000B44CA">
        <w:t>.</w:t>
      </w:r>
      <w:r w:rsidR="00381D18" w:rsidRPr="00757E6F">
        <w:t xml:space="preserve"> pose a question related to how much more likely (as collected on a seven-point Likert scale) w</w:t>
      </w:r>
      <w:r w:rsidR="00C3766B" w:rsidRPr="00757E6F">
        <w:t>ould</w:t>
      </w:r>
      <w:r w:rsidR="00381D18" w:rsidRPr="00757E6F">
        <w:t xml:space="preserve"> the respondent be to telework </w:t>
      </w:r>
      <w:r w:rsidR="00C3766B" w:rsidRPr="00757E6F">
        <w:t xml:space="preserve">in the future </w:t>
      </w:r>
      <w:r w:rsidR="00381D18" w:rsidRPr="00757E6F">
        <w:t>compared to pre-COVID times</w:t>
      </w:r>
      <w:r w:rsidR="00C65C00" w:rsidRPr="00757E6F">
        <w:t xml:space="preserve">. </w:t>
      </w:r>
      <w:r w:rsidR="008570C7" w:rsidRPr="00757E6F">
        <w:t xml:space="preserve">The results </w:t>
      </w:r>
      <w:r w:rsidR="00381D18" w:rsidRPr="00757E6F">
        <w:t xml:space="preserve">from these studies </w:t>
      </w:r>
      <w:r w:rsidR="008570C7" w:rsidRPr="00757E6F">
        <w:t>indicate that highly educated individuals, those from small-sized households, younger individuals, women with children, married women</w:t>
      </w:r>
      <w:r w:rsidR="00381D18" w:rsidRPr="00757E6F">
        <w:t>, and those whose coworkers also telework</w:t>
      </w:r>
      <w:r w:rsidR="008570C7" w:rsidRPr="00757E6F">
        <w:t xml:space="preserve"> </w:t>
      </w:r>
      <w:r w:rsidR="008570C7" w:rsidRPr="00757E6F">
        <w:lastRenderedPageBreak/>
        <w:t xml:space="preserve">indicate a higher willingness to telework in the future, as do individuals in occupation sectors other than service and sales. Commute time did not affect stated teleworking adoption. </w:t>
      </w:r>
      <w:r w:rsidR="00C3766B" w:rsidRPr="00757E6F">
        <w:t>But t</w:t>
      </w:r>
      <w:r w:rsidR="008570C7" w:rsidRPr="00757E6F">
        <w:t>h</w:t>
      </w:r>
      <w:r w:rsidR="009E4357" w:rsidRPr="00757E6F">
        <w:t>ese</w:t>
      </w:r>
      <w:r w:rsidR="008570C7" w:rsidRPr="00757E6F">
        <w:t xml:space="preserve"> stud</w:t>
      </w:r>
      <w:r w:rsidR="009E4357" w:rsidRPr="00757E6F">
        <w:t>ies</w:t>
      </w:r>
      <w:r w:rsidR="00C3766B" w:rsidRPr="00757E6F">
        <w:t xml:space="preserve"> </w:t>
      </w:r>
      <w:r w:rsidR="008570C7" w:rsidRPr="00757E6F">
        <w:t xml:space="preserve">did not consider work </w:t>
      </w:r>
      <w:r w:rsidR="00FA7B2B" w:rsidRPr="00757E6F">
        <w:t>environment attributes (such as noise and crowdedness) and COVID threat</w:t>
      </w:r>
      <w:r w:rsidR="00FA7B2B" w:rsidRPr="0086491D">
        <w:t>.</w:t>
      </w:r>
    </w:p>
    <w:p w14:paraId="3293277B" w14:textId="512D3FB8" w:rsidR="007E6974" w:rsidRDefault="00FA7B2B" w:rsidP="00B40ED1">
      <w:pPr>
        <w:spacing w:after="0"/>
        <w:ind w:firstLine="720"/>
      </w:pPr>
      <w:r w:rsidRPr="0086491D">
        <w:t xml:space="preserve"> </w:t>
      </w:r>
      <w:bookmarkStart w:id="2" w:name="_Hlk105060422"/>
      <w:r w:rsidRPr="0086491D">
        <w:t xml:space="preserve">The </w:t>
      </w:r>
      <w:r w:rsidR="00F77957" w:rsidRPr="0086491D">
        <w:t xml:space="preserve">third </w:t>
      </w:r>
      <w:r w:rsidRPr="0086491D">
        <w:t xml:space="preserve">study by </w:t>
      </w:r>
      <w:r w:rsidR="008345DA" w:rsidRPr="008345DA">
        <w:rPr>
          <w:shd w:val="clear" w:color="auto" w:fill="FFFFFF"/>
        </w:rPr>
        <w:t>Appel-</w:t>
      </w:r>
      <w:proofErr w:type="spellStart"/>
      <w:r w:rsidR="008345DA" w:rsidRPr="008345DA">
        <w:rPr>
          <w:shd w:val="clear" w:color="auto" w:fill="FFFFFF"/>
        </w:rPr>
        <w:t>Meulenbroek</w:t>
      </w:r>
      <w:proofErr w:type="spellEnd"/>
      <w:r w:rsidR="00594D1A">
        <w:t xml:space="preserve"> (AM) </w:t>
      </w:r>
      <w:r w:rsidRPr="0086491D">
        <w:t xml:space="preserve">et al. </w:t>
      </w:r>
      <w:r w:rsidR="00594D1A">
        <w:t xml:space="preserve">(2022) </w:t>
      </w:r>
      <w:r w:rsidRPr="0086491D">
        <w:t>is the closest in spirit to the current study</w:t>
      </w:r>
      <w:r w:rsidR="00594D1A">
        <w:t>, and so will be discussed in more detail</w:t>
      </w:r>
      <w:r w:rsidRPr="0086491D">
        <w:t xml:space="preserve">. </w:t>
      </w:r>
      <w:r w:rsidR="004F6DDC" w:rsidRPr="0086491D">
        <w:t xml:space="preserve">As in our current paper, </w:t>
      </w:r>
      <w:r w:rsidR="00594D1A">
        <w:t>th</w:t>
      </w:r>
      <w:r w:rsidR="00865752">
        <w:t>is study</w:t>
      </w:r>
      <w:r w:rsidR="004F6DDC" w:rsidRPr="0086491D">
        <w:t xml:space="preserve"> </w:t>
      </w:r>
      <w:r w:rsidR="00823F5A" w:rsidRPr="0086491D">
        <w:t>analyzes the results from a stated choice experiment</w:t>
      </w:r>
      <w:r w:rsidR="004F6DDC" w:rsidRPr="0086491D">
        <w:t xml:space="preserve">. </w:t>
      </w:r>
      <w:r w:rsidR="00204BF1" w:rsidRPr="0086491D">
        <w:t xml:space="preserve">Also, as in the current paper that asks individuals to provide their </w:t>
      </w:r>
      <w:r w:rsidR="00667820" w:rsidRPr="0086491D">
        <w:t xml:space="preserve">ideal </w:t>
      </w:r>
      <w:r w:rsidR="00204BF1" w:rsidRPr="0086491D">
        <w:t xml:space="preserve">preferred </w:t>
      </w:r>
      <w:r w:rsidR="00667820" w:rsidRPr="0086491D">
        <w:t xml:space="preserve">WPL </w:t>
      </w:r>
      <w:r w:rsidR="00204BF1" w:rsidRPr="0086491D">
        <w:t>choice</w:t>
      </w:r>
      <w:r w:rsidR="00667820" w:rsidRPr="0086491D">
        <w:t xml:space="preserve">, </w:t>
      </w:r>
      <w:r w:rsidR="00594D1A">
        <w:t xml:space="preserve">AM </w:t>
      </w:r>
      <w:r w:rsidR="00594D1A" w:rsidRPr="0060127E">
        <w:t xml:space="preserve">et al. </w:t>
      </w:r>
      <w:r w:rsidR="00667820" w:rsidRPr="0086491D">
        <w:t xml:space="preserve">ask respondents to assume that </w:t>
      </w:r>
      <w:r w:rsidR="00EC3A69" w:rsidRPr="0086491D">
        <w:t>w</w:t>
      </w:r>
      <w:r w:rsidR="00667820" w:rsidRPr="0086491D">
        <w:t xml:space="preserve">orking from home is allowed as a free choice each day. </w:t>
      </w:r>
      <w:r w:rsidR="004F6DDC" w:rsidRPr="0086491D">
        <w:t>In the</w:t>
      </w:r>
      <w:r w:rsidR="00667820" w:rsidRPr="0086491D">
        <w:t>ir</w:t>
      </w:r>
      <w:r w:rsidR="004F6DDC" w:rsidRPr="0086491D">
        <w:t xml:space="preserve"> experiment, </w:t>
      </w:r>
      <w:r w:rsidR="00823F5A" w:rsidRPr="0086491D">
        <w:t xml:space="preserve">a respondent is asked to choose their preferred discrete WPL choice </w:t>
      </w:r>
      <w:r w:rsidR="00204BF1" w:rsidRPr="0086491D">
        <w:t xml:space="preserve">during a specified day </w:t>
      </w:r>
      <w:r w:rsidR="00823F5A" w:rsidRPr="0086491D">
        <w:t xml:space="preserve">from </w:t>
      </w:r>
      <w:r w:rsidR="004F6DDC" w:rsidRPr="0086491D">
        <w:t xml:space="preserve">among </w:t>
      </w:r>
      <w:r w:rsidR="00823F5A" w:rsidRPr="0086491D">
        <w:t xml:space="preserve">three varying in-person workplace alternatives </w:t>
      </w:r>
      <w:r w:rsidR="004F6DDC" w:rsidRPr="0086491D">
        <w:t>and</w:t>
      </w:r>
      <w:r w:rsidR="00823F5A" w:rsidRPr="0086491D">
        <w:t xml:space="preserve"> one “work from home” alternative</w:t>
      </w:r>
      <w:r w:rsidR="00092EB7">
        <w:t xml:space="preserve">. The in-person work alternatives are characterized by </w:t>
      </w:r>
      <w:r w:rsidR="002B5D52">
        <w:t>work environment</w:t>
      </w:r>
      <w:r w:rsidR="00092EB7">
        <w:t xml:space="preserve"> </w:t>
      </w:r>
      <w:r w:rsidR="00823F5A" w:rsidRPr="0086491D">
        <w:t>attribute</w:t>
      </w:r>
      <w:r w:rsidR="002B5D52">
        <w:t xml:space="preserve">s </w:t>
      </w:r>
      <w:r w:rsidR="00204BF1" w:rsidRPr="0086491D">
        <w:t>(</w:t>
      </w:r>
      <w:r w:rsidR="006A7F72" w:rsidRPr="0086491D">
        <w:t xml:space="preserve">noise, openness, space size, crowdedness, concentration spaces, communication spaces, and positioning workplace in relation to walking route) and work activity day type </w:t>
      </w:r>
      <w:r w:rsidR="00667820" w:rsidRPr="0086491D">
        <w:t>(</w:t>
      </w:r>
      <w:r w:rsidR="006A7F72" w:rsidRPr="0086491D">
        <w:t xml:space="preserve">communication work day type with </w:t>
      </w:r>
      <w:r w:rsidR="00667820" w:rsidRPr="0086491D">
        <w:t xml:space="preserve">unplanned meetings </w:t>
      </w:r>
      <w:r w:rsidR="006A7F72" w:rsidRPr="0086491D">
        <w:t xml:space="preserve">and </w:t>
      </w:r>
      <w:r w:rsidR="00667820" w:rsidRPr="0086491D">
        <w:t>relatively little concentrated individu</w:t>
      </w:r>
      <w:r w:rsidR="006A7F72" w:rsidRPr="0086491D">
        <w:t>a</w:t>
      </w:r>
      <w:r w:rsidR="00667820" w:rsidRPr="0086491D">
        <w:t>l desk time</w:t>
      </w:r>
      <w:r w:rsidR="002B5D52">
        <w:t>;</w:t>
      </w:r>
      <w:r w:rsidR="00667820" w:rsidRPr="0086491D">
        <w:t xml:space="preserve"> </w:t>
      </w:r>
      <w:r w:rsidR="006A7F72" w:rsidRPr="0086491D">
        <w:t>concentrated work day type with few unplanned meetings and high intensity of concentrated individual desk time</w:t>
      </w:r>
      <w:r w:rsidR="002B5D52">
        <w:t>;</w:t>
      </w:r>
      <w:r w:rsidR="006A7F72" w:rsidRPr="0086491D">
        <w:t xml:space="preserve"> and a 50/50 work day type of the hybrid of the first two). </w:t>
      </w:r>
      <w:r w:rsidR="00582F4B" w:rsidRPr="0086491D">
        <w:t xml:space="preserve">The results underscore the importance of work environment characteristics that have received </w:t>
      </w:r>
      <w:r w:rsidR="00C21BEF">
        <w:t>little</w:t>
      </w:r>
      <w:r w:rsidR="00582F4B" w:rsidRPr="0086491D">
        <w:t xml:space="preserve"> attention in the literature. In particular</w:t>
      </w:r>
      <w:r w:rsidR="00DA4B99" w:rsidRPr="0086491D">
        <w:t>, crowdedness and noise were important in deciding whether to telework or not, while openness of the office</w:t>
      </w:r>
      <w:r w:rsidR="00865752">
        <w:t xml:space="preserve"> layout</w:t>
      </w:r>
      <w:r w:rsidR="00DA4B99" w:rsidRPr="0086491D">
        <w:t xml:space="preserve"> had no effect</w:t>
      </w:r>
      <w:r w:rsidR="00594D1A">
        <w:t>. E</w:t>
      </w:r>
      <w:r w:rsidR="00592596" w:rsidRPr="0086491D">
        <w:t xml:space="preserve">mployees </w:t>
      </w:r>
      <w:r w:rsidR="00FD6E42" w:rsidRPr="0086491D">
        <w:t>d</w:t>
      </w:r>
      <w:r w:rsidR="00594D1A">
        <w:t>id</w:t>
      </w:r>
      <w:r w:rsidR="00FD6E42" w:rsidRPr="0086491D">
        <w:t xml:space="preserve"> not like </w:t>
      </w:r>
      <w:r w:rsidR="00592596" w:rsidRPr="0086491D">
        <w:t>workspace surrounded by regular intelligible conversations and/or a busy floor where almost all surrounding desks are occupied</w:t>
      </w:r>
      <w:r w:rsidR="00FD6E42" w:rsidRPr="0086491D">
        <w:t>.</w:t>
      </w:r>
    </w:p>
    <w:p w14:paraId="0F0A4B73" w14:textId="131F4B29" w:rsidR="007E6974" w:rsidRDefault="00594D1A" w:rsidP="00B40ED1">
      <w:pPr>
        <w:spacing w:after="0"/>
        <w:ind w:firstLine="720"/>
      </w:pPr>
      <w:r>
        <w:t xml:space="preserve">Overall, while close in spirit to the current paper, our research is also quite different from that of AM </w:t>
      </w:r>
      <w:r w:rsidRPr="0060127E">
        <w:t xml:space="preserve">et al. </w:t>
      </w:r>
      <w:r w:rsidR="00EC3A69" w:rsidRPr="0086491D">
        <w:t>paper</w:t>
      </w:r>
      <w:r>
        <w:t>. While AM et al.</w:t>
      </w:r>
      <w:r w:rsidR="00EC3A69" w:rsidRPr="0086491D">
        <w:t xml:space="preserve"> consider a single day as the analysis</w:t>
      </w:r>
      <w:r>
        <w:t xml:space="preserve"> frame</w:t>
      </w:r>
      <w:r w:rsidR="00EC3A69" w:rsidRPr="0086491D">
        <w:t xml:space="preserve">, </w:t>
      </w:r>
      <w:r>
        <w:t xml:space="preserve">we investigate </w:t>
      </w:r>
      <w:r w:rsidR="00EC3A69" w:rsidRPr="0086491D">
        <w:t>individual</w:t>
      </w:r>
      <w:r>
        <w:t xml:space="preserve"> desires for working from different WPLs</w:t>
      </w:r>
      <w:r w:rsidR="00EC3A69" w:rsidRPr="0086491D">
        <w:t xml:space="preserve"> </w:t>
      </w:r>
      <w:r w:rsidR="001A0A2B">
        <w:t xml:space="preserve">over a period of a month. </w:t>
      </w:r>
      <w:r w:rsidR="00EC3A69" w:rsidRPr="0086491D">
        <w:t>Also, t</w:t>
      </w:r>
      <w:r>
        <w:t xml:space="preserve">he </w:t>
      </w:r>
      <w:r w:rsidRPr="0060127E">
        <w:t>A</w:t>
      </w:r>
      <w:r w:rsidR="001A0A2B">
        <w:t>M</w:t>
      </w:r>
      <w:r>
        <w:t xml:space="preserve"> </w:t>
      </w:r>
      <w:r w:rsidRPr="0060127E">
        <w:t xml:space="preserve">et al. </w:t>
      </w:r>
      <w:r w:rsidR="00EC3A69" w:rsidRPr="0086491D">
        <w:t>study assumes zero effect of COVID moving forward (respondents were asked to assume that the COVID-19 pandemic will no longer affect the work situation in the office), while we believe a more reasonable assumption would be that COVID would still be a threat at least for some individuals (such as immun</w:t>
      </w:r>
      <w:r w:rsidR="000212C1" w:rsidRPr="0086491D">
        <w:t>o</w:t>
      </w:r>
      <w:r w:rsidR="00EC3A69" w:rsidRPr="0086491D">
        <w:t>-compromised individuals</w:t>
      </w:r>
      <w:r w:rsidR="00C21BEF">
        <w:t>)</w:t>
      </w:r>
      <w:r w:rsidR="00EC3A69" w:rsidRPr="0086491D">
        <w:t xml:space="preserve">. </w:t>
      </w:r>
      <w:r w:rsidR="000212C1" w:rsidRPr="0086491D">
        <w:t>Besides, th</w:t>
      </w:r>
      <w:r w:rsidR="00F82A05" w:rsidRPr="00060CB6">
        <w:t xml:space="preserve">e </w:t>
      </w:r>
      <w:r w:rsidR="001A0A2B">
        <w:t xml:space="preserve">AM </w:t>
      </w:r>
      <w:r w:rsidR="00F82A05" w:rsidRPr="00060CB6">
        <w:t xml:space="preserve">et al. </w:t>
      </w:r>
      <w:r w:rsidR="001A0A2B">
        <w:t>study</w:t>
      </w:r>
      <w:r w:rsidR="000212C1" w:rsidRPr="0086491D">
        <w:t xml:space="preserve"> does not consider the frequency dimension of teleworking</w:t>
      </w:r>
      <w:r w:rsidR="001A0A2B">
        <w:t>.</w:t>
      </w:r>
    </w:p>
    <w:p w14:paraId="1FD0A968" w14:textId="46503B93" w:rsidR="00823F5A" w:rsidRPr="00AA1EC4" w:rsidRDefault="001A0A2B" w:rsidP="00B40ED1">
      <w:pPr>
        <w:pStyle w:val="Default"/>
        <w:spacing w:line="276" w:lineRule="auto"/>
        <w:jc w:val="both"/>
      </w:pPr>
      <w:r>
        <w:rPr>
          <w:rFonts w:ascii="Times New Roman" w:hAnsi="Times New Roman" w:cs="Times New Roman"/>
        </w:rPr>
        <w:t xml:space="preserve"> </w:t>
      </w:r>
      <w:bookmarkEnd w:id="2"/>
    </w:p>
    <w:p w14:paraId="22FFABB6" w14:textId="77777777" w:rsidR="00F82A05" w:rsidRPr="00060CB6" w:rsidRDefault="00F82A05" w:rsidP="00B40ED1">
      <w:pPr>
        <w:spacing w:after="0"/>
        <w:rPr>
          <w:b/>
        </w:rPr>
      </w:pPr>
      <w:r w:rsidRPr="00060CB6">
        <w:rPr>
          <w:b/>
        </w:rPr>
        <w:t>2.3. F</w:t>
      </w:r>
      <w:r w:rsidR="00CD5C29" w:rsidRPr="0086491D">
        <w:rPr>
          <w:b/>
        </w:rPr>
        <w:t>requency</w:t>
      </w:r>
    </w:p>
    <w:p w14:paraId="456B300C" w14:textId="2D083A15" w:rsidR="00E136D1" w:rsidRDefault="00E136D1" w:rsidP="00B40ED1">
      <w:pPr>
        <w:spacing w:after="0"/>
      </w:pPr>
      <w:r w:rsidRPr="00060CB6">
        <w:t>This dimension</w:t>
      </w:r>
      <w:r w:rsidR="00CD5C29" w:rsidRPr="00060CB6">
        <w:t xml:space="preserve"> reflects how many times employees telework within a temporal period, such as a week, month, or year</w:t>
      </w:r>
      <w:r w:rsidR="007B3621" w:rsidRPr="00060CB6">
        <w:t xml:space="preserve">. </w:t>
      </w:r>
      <w:r w:rsidR="000A6EA2" w:rsidRPr="00060CB6">
        <w:t xml:space="preserve">Some of the studies </w:t>
      </w:r>
      <w:r w:rsidRPr="00060CB6">
        <w:t xml:space="preserve">that consider this dimension </w:t>
      </w:r>
      <w:r w:rsidR="000A6EA2" w:rsidRPr="00060CB6">
        <w:t>consider zero frequency as part of the frequency range (see, for example</w:t>
      </w:r>
      <w:r w:rsidR="000A6EA2" w:rsidRPr="00E52075">
        <w:t xml:space="preserve">, </w:t>
      </w:r>
      <w:r w:rsidR="00D44D6D" w:rsidRPr="00A6363C">
        <w:t>Beck et al., 2020</w:t>
      </w:r>
      <w:r w:rsidR="00D44D6D" w:rsidRPr="00E52075">
        <w:t>),</w:t>
      </w:r>
      <w:r w:rsidR="00D44D6D" w:rsidRPr="00060CB6">
        <w:t xml:space="preserve"> </w:t>
      </w:r>
      <w:r w:rsidR="000A6EA2" w:rsidRPr="00060CB6">
        <w:t>while a few consider telework adoption (telework at least once) separately from telework frequency and use statistical stitching mechanisms to jointly model adoption with frequency</w:t>
      </w:r>
      <w:r w:rsidR="00841D6F" w:rsidRPr="00060CB6">
        <w:t xml:space="preserve"> (Popuri and Bhat, 2003</w:t>
      </w:r>
      <w:r w:rsidR="004D2F86">
        <w:t>, Sener and Bhat, 2011,</w:t>
      </w:r>
      <w:r w:rsidR="00546EB6" w:rsidRPr="00060CB6">
        <w:t xml:space="preserve"> and </w:t>
      </w:r>
      <w:proofErr w:type="spellStart"/>
      <w:r w:rsidR="00546EB6" w:rsidRPr="00060CB6">
        <w:t>Shabanpour</w:t>
      </w:r>
      <w:proofErr w:type="spellEnd"/>
      <w:r w:rsidR="00E3255E" w:rsidRPr="00E3255E">
        <w:t xml:space="preserve"> </w:t>
      </w:r>
      <w:r w:rsidR="00E3255E" w:rsidRPr="00060CB6">
        <w:t>et al.</w:t>
      </w:r>
      <w:r w:rsidR="00546EB6" w:rsidRPr="00060CB6">
        <w:t>, 2018</w:t>
      </w:r>
      <w:r w:rsidR="00841D6F" w:rsidRPr="00060CB6">
        <w:t>)</w:t>
      </w:r>
      <w:r w:rsidR="000A6EA2" w:rsidRPr="00060CB6">
        <w:t xml:space="preserve">. </w:t>
      </w:r>
      <w:r w:rsidR="007B3621" w:rsidRPr="00060CB6">
        <w:t xml:space="preserve">There have been </w:t>
      </w:r>
      <w:r w:rsidR="00841D6F" w:rsidRPr="00060CB6">
        <w:t>many</w:t>
      </w:r>
      <w:r w:rsidR="007B3621" w:rsidRPr="00060CB6">
        <w:t xml:space="preserve"> pre-COVID studies focusing on this </w:t>
      </w:r>
      <w:r w:rsidR="001A0A2B">
        <w:t xml:space="preserve">frequency </w:t>
      </w:r>
      <w:r w:rsidR="007B3621" w:rsidRPr="00060CB6">
        <w:t>dimension</w:t>
      </w:r>
      <w:r w:rsidR="00841D6F" w:rsidRPr="00060CB6">
        <w:t xml:space="preserve"> (see</w:t>
      </w:r>
      <w:r w:rsidR="001C31FD">
        <w:t>, for example,</w:t>
      </w:r>
      <w:r w:rsidR="00841D6F" w:rsidRPr="00060CB6">
        <w:t xml:space="preserve"> </w:t>
      </w:r>
      <w:r w:rsidR="00AF21F9" w:rsidRPr="00AF21F9">
        <w:t>e Silva</w:t>
      </w:r>
      <w:r w:rsidR="00AF21F9">
        <w:t xml:space="preserve"> </w:t>
      </w:r>
      <w:r w:rsidR="00AF21F9" w:rsidRPr="00AF21F9">
        <w:t>and Melo, 2018</w:t>
      </w:r>
      <w:r w:rsidR="002C1411" w:rsidRPr="00060CB6">
        <w:t xml:space="preserve">, and </w:t>
      </w:r>
      <w:bookmarkStart w:id="3" w:name="_Hlk105001054"/>
      <w:proofErr w:type="spellStart"/>
      <w:r w:rsidR="00CD5C29" w:rsidRPr="00060CB6">
        <w:t>Shabanpour</w:t>
      </w:r>
      <w:proofErr w:type="spellEnd"/>
      <w:r w:rsidR="00CD5C29" w:rsidRPr="00060CB6">
        <w:t xml:space="preserve"> et al., 2018</w:t>
      </w:r>
      <w:bookmarkEnd w:id="3"/>
      <w:r w:rsidR="00841D6F" w:rsidRPr="00060CB6">
        <w:t>)</w:t>
      </w:r>
      <w:r w:rsidR="00CD5C29" w:rsidRPr="00060CB6">
        <w:t xml:space="preserve"> </w:t>
      </w:r>
      <w:r w:rsidR="002C1411" w:rsidRPr="00060CB6">
        <w:t xml:space="preserve">as well as </w:t>
      </w:r>
      <w:r w:rsidR="00841D6F" w:rsidRPr="00060CB6">
        <w:t>several</w:t>
      </w:r>
      <w:r w:rsidR="002C1411" w:rsidRPr="00060CB6">
        <w:t xml:space="preserve"> </w:t>
      </w:r>
      <w:r w:rsidR="00A712E4" w:rsidRPr="00060CB6">
        <w:t>post-</w:t>
      </w:r>
      <w:r w:rsidR="002C1411" w:rsidRPr="00060CB6">
        <w:t>COVID studies</w:t>
      </w:r>
      <w:r w:rsidR="00841D6F" w:rsidRPr="00060CB6">
        <w:t xml:space="preserve"> </w:t>
      </w:r>
      <w:r w:rsidR="002C1411" w:rsidRPr="00060CB6">
        <w:t>(see</w:t>
      </w:r>
      <w:r w:rsidR="00F40C8C">
        <w:t>, for example,</w:t>
      </w:r>
      <w:r w:rsidR="002C1411" w:rsidRPr="00060CB6">
        <w:t xml:space="preserve"> </w:t>
      </w:r>
      <w:r w:rsidR="00CD5C29" w:rsidRPr="00060CB6">
        <w:t xml:space="preserve">Zhang et al., 2020, </w:t>
      </w:r>
      <w:proofErr w:type="spellStart"/>
      <w:r w:rsidR="00CD5C29" w:rsidRPr="00060CB6">
        <w:t>Hensher</w:t>
      </w:r>
      <w:proofErr w:type="spellEnd"/>
      <w:r w:rsidR="00CD5C29" w:rsidRPr="00060CB6">
        <w:t xml:space="preserve"> et al., 2021, </w:t>
      </w:r>
      <w:bookmarkStart w:id="4" w:name="_Hlk105000498"/>
      <w:proofErr w:type="spellStart"/>
      <w:r w:rsidR="00CD5C29" w:rsidRPr="00060CB6">
        <w:t>Heiden</w:t>
      </w:r>
      <w:proofErr w:type="spellEnd"/>
      <w:r w:rsidR="00CD5C29" w:rsidRPr="00060CB6">
        <w:t xml:space="preserve"> et al., 2021, Jain et al., 2022</w:t>
      </w:r>
      <w:bookmarkEnd w:id="4"/>
      <w:r w:rsidR="00CD5C29" w:rsidRPr="00060CB6">
        <w:t xml:space="preserve">). </w:t>
      </w:r>
      <w:r w:rsidR="009111D6" w:rsidRPr="00060CB6">
        <w:t>T</w:t>
      </w:r>
      <w:r w:rsidR="002C1411" w:rsidRPr="00060CB6">
        <w:t xml:space="preserve">he pre-COVID studies </w:t>
      </w:r>
      <w:r w:rsidR="00841D6F" w:rsidRPr="00060CB6">
        <w:t xml:space="preserve">predominantly </w:t>
      </w:r>
      <w:r w:rsidR="003D5E60" w:rsidRPr="00060CB6">
        <w:t xml:space="preserve">focus on </w:t>
      </w:r>
      <w:r w:rsidR="00E52750" w:rsidRPr="00060CB6">
        <w:t>demographic</w:t>
      </w:r>
      <w:r w:rsidR="001A0A2B">
        <w:t xml:space="preserve"> and job-related </w:t>
      </w:r>
      <w:r w:rsidR="003D5E60" w:rsidRPr="00060CB6">
        <w:t>factors influencing teleworking frequency</w:t>
      </w:r>
      <w:r w:rsidR="009111D6" w:rsidRPr="00060CB6">
        <w:t>. But</w:t>
      </w:r>
      <w:r w:rsidR="00841D6F" w:rsidRPr="00060CB6">
        <w:t xml:space="preserve"> </w:t>
      </w:r>
      <w:r w:rsidR="009111D6" w:rsidRPr="00060CB6">
        <w:t xml:space="preserve">the pandemic </w:t>
      </w:r>
      <w:r w:rsidR="008825B7" w:rsidRPr="00060CB6">
        <w:t xml:space="preserve">has </w:t>
      </w:r>
      <w:r w:rsidR="009111D6" w:rsidRPr="00060CB6">
        <w:lastRenderedPageBreak/>
        <w:t xml:space="preserve">disrupted work configurations, and has led to a </w:t>
      </w:r>
      <w:r w:rsidR="008825B7" w:rsidRPr="00060CB6">
        <w:t xml:space="preserve">wholesale </w:t>
      </w:r>
      <w:r w:rsidR="009111D6" w:rsidRPr="00060CB6">
        <w:t>rethinking of priorities and desires among employees</w:t>
      </w:r>
      <w:r w:rsidR="00841D6F" w:rsidRPr="00060CB6">
        <w:t xml:space="preserve"> (see Smite et al., 2022)</w:t>
      </w:r>
      <w:r w:rsidR="009111D6" w:rsidRPr="00060CB6">
        <w:t xml:space="preserve">. </w:t>
      </w:r>
      <w:r w:rsidR="001A0A2B">
        <w:t xml:space="preserve">And most </w:t>
      </w:r>
      <w:r w:rsidR="003D5E60" w:rsidRPr="00060CB6">
        <w:t>of the post-COVID studies</w:t>
      </w:r>
      <w:r w:rsidR="001A0A2B">
        <w:t xml:space="preserve"> </w:t>
      </w:r>
      <w:r w:rsidR="009111D6" w:rsidRPr="00060CB6">
        <w:t xml:space="preserve">attempt to investigate the </w:t>
      </w:r>
      <w:r w:rsidR="00724917" w:rsidRPr="00060CB6">
        <w:t xml:space="preserve">immediate </w:t>
      </w:r>
      <w:r w:rsidR="00841D6F" w:rsidRPr="00060CB6">
        <w:t>“</w:t>
      </w:r>
      <w:r w:rsidR="001A0A2B">
        <w:t>at present</w:t>
      </w:r>
      <w:r w:rsidR="00841D6F" w:rsidRPr="00060CB6">
        <w:t xml:space="preserve">” </w:t>
      </w:r>
      <w:r w:rsidR="003D5E60" w:rsidRPr="00060CB6">
        <w:t xml:space="preserve">change </w:t>
      </w:r>
      <w:r w:rsidR="00E52750" w:rsidRPr="00060CB6">
        <w:t xml:space="preserve">in telework frequency </w:t>
      </w:r>
      <w:r w:rsidR="003D5E60" w:rsidRPr="00060CB6">
        <w:t>brought about by COVID</w:t>
      </w:r>
      <w:r w:rsidR="009111D6" w:rsidRPr="00060CB6">
        <w:t xml:space="preserve"> (using revealed preference d</w:t>
      </w:r>
      <w:r w:rsidR="00841D6F" w:rsidRPr="00060CB6">
        <w:t>ata</w:t>
      </w:r>
      <w:r w:rsidR="009111D6" w:rsidRPr="00060CB6">
        <w:t>)</w:t>
      </w:r>
      <w:r w:rsidR="008825B7" w:rsidRPr="00060CB6">
        <w:t xml:space="preserve">. These studies </w:t>
      </w:r>
      <w:r w:rsidR="009111D6" w:rsidRPr="00060CB6">
        <w:t xml:space="preserve">tend to use an </w:t>
      </w:r>
      <w:r w:rsidR="00724917" w:rsidRPr="00060CB6">
        <w:t xml:space="preserve">aggregate level </w:t>
      </w:r>
      <w:r w:rsidR="009111D6" w:rsidRPr="00060CB6">
        <w:t>of analysis</w:t>
      </w:r>
      <w:r w:rsidR="001A0A2B">
        <w:t xml:space="preserve"> </w:t>
      </w:r>
      <w:r w:rsidR="00841D6F" w:rsidRPr="00060CB6">
        <w:t>(</w:t>
      </w:r>
      <w:r w:rsidR="009111D6" w:rsidRPr="00060CB6">
        <w:t xml:space="preserve">rather than </w:t>
      </w:r>
      <w:r w:rsidR="001A0A2B">
        <w:t xml:space="preserve">an </w:t>
      </w:r>
      <w:r w:rsidR="009111D6" w:rsidRPr="00060CB6">
        <w:t xml:space="preserve">individual-level </w:t>
      </w:r>
      <w:r w:rsidR="001A0A2B">
        <w:t>of analysis</w:t>
      </w:r>
      <w:r w:rsidR="00841D6F" w:rsidRPr="00060CB6">
        <w:t>)</w:t>
      </w:r>
      <w:r w:rsidR="00E52750" w:rsidRPr="00060CB6">
        <w:t>, and use a single teleworking variable to capture both telework adoption and frequency</w:t>
      </w:r>
      <w:r w:rsidR="00841D6F" w:rsidRPr="00060CB6">
        <w:t>.</w:t>
      </w:r>
      <w:r w:rsidR="00D62526" w:rsidRPr="00060CB6">
        <w:t xml:space="preserve"> </w:t>
      </w:r>
      <w:r w:rsidR="008825B7" w:rsidRPr="00060CB6">
        <w:t>Besides, a</w:t>
      </w:r>
      <w:r w:rsidR="00D62526" w:rsidRPr="00060CB6">
        <w:t xml:space="preserve"> few</w:t>
      </w:r>
      <w:r w:rsidR="00841D6F" w:rsidRPr="00060CB6">
        <w:t xml:space="preserve"> of these </w:t>
      </w:r>
      <w:r w:rsidR="00D62526" w:rsidRPr="00060CB6">
        <w:t>“</w:t>
      </w:r>
      <w:r w:rsidR="001A0A2B">
        <w:t>at present</w:t>
      </w:r>
      <w:r w:rsidR="00D62526" w:rsidRPr="00060CB6">
        <w:t xml:space="preserve">” teleworking </w:t>
      </w:r>
      <w:r w:rsidR="00841D6F" w:rsidRPr="00060CB6">
        <w:t xml:space="preserve">studies do not model the actual count of teleworking days, but consider frequency in ordinal categories (such as </w:t>
      </w:r>
      <w:r w:rsidR="00E52075">
        <w:t>work</w:t>
      </w:r>
      <w:r w:rsidR="00725CC1">
        <w:t>ing</w:t>
      </w:r>
      <w:r w:rsidR="00E52075">
        <w:t xml:space="preserve"> remote “</w:t>
      </w:r>
      <w:r w:rsidR="00725CC1">
        <w:t>A</w:t>
      </w:r>
      <w:r w:rsidR="00E52075">
        <w:t xml:space="preserve">lways”, </w:t>
      </w:r>
      <w:r w:rsidR="00725CC1">
        <w:t>“Several times per week”,</w:t>
      </w:r>
      <w:r w:rsidR="00725CC1" w:rsidRPr="00725CC1">
        <w:t xml:space="preserve"> </w:t>
      </w:r>
      <w:r w:rsidR="00E52075">
        <w:t>“</w:t>
      </w:r>
      <w:r w:rsidR="00725CC1">
        <w:t>S</w:t>
      </w:r>
      <w:r w:rsidR="00E52075">
        <w:t xml:space="preserve">everal times a month”, </w:t>
      </w:r>
      <w:r w:rsidR="00725CC1">
        <w:t xml:space="preserve">“Less than once per month”, </w:t>
      </w:r>
      <w:r w:rsidR="00E52075">
        <w:t xml:space="preserve">and </w:t>
      </w:r>
      <w:r w:rsidR="00725CC1">
        <w:t xml:space="preserve">finally </w:t>
      </w:r>
      <w:r w:rsidR="00D62526" w:rsidRPr="0086491D">
        <w:t>“Never”</w:t>
      </w:r>
      <w:r w:rsidR="00725CC1">
        <w:t>,</w:t>
      </w:r>
      <w:r w:rsidR="00D62526" w:rsidRPr="0086491D">
        <w:t xml:space="preserve"> for did not work at home at all</w:t>
      </w:r>
      <w:r w:rsidR="00546EB6" w:rsidRPr="0086491D">
        <w:t xml:space="preserve">; see </w:t>
      </w:r>
      <w:proofErr w:type="spellStart"/>
      <w:r w:rsidR="00E52075" w:rsidRPr="00E52075">
        <w:t>Shabanpour</w:t>
      </w:r>
      <w:proofErr w:type="spellEnd"/>
      <w:r w:rsidR="00D62526" w:rsidRPr="0086491D">
        <w:t xml:space="preserve"> et al., </w:t>
      </w:r>
      <w:r w:rsidR="00E52075" w:rsidRPr="0086491D">
        <w:t>20</w:t>
      </w:r>
      <w:r w:rsidR="00E52075">
        <w:t xml:space="preserve">18 and </w:t>
      </w:r>
      <w:proofErr w:type="spellStart"/>
      <w:r w:rsidR="00E52075" w:rsidRPr="00CA2822">
        <w:rPr>
          <w:shd w:val="clear" w:color="auto" w:fill="FFFFFF"/>
        </w:rPr>
        <w:t>Heiden</w:t>
      </w:r>
      <w:proofErr w:type="spellEnd"/>
      <w:r w:rsidR="00E52075">
        <w:rPr>
          <w:shd w:val="clear" w:color="auto" w:fill="FFFFFF"/>
        </w:rPr>
        <w:t xml:space="preserve"> et al., 2021</w:t>
      </w:r>
      <w:r w:rsidR="00546EB6" w:rsidRPr="0086491D">
        <w:t>)</w:t>
      </w:r>
      <w:r w:rsidR="003D5E60" w:rsidRPr="00060CB6">
        <w:t xml:space="preserve">. </w:t>
      </w:r>
      <w:r w:rsidR="001A0A2B">
        <w:t xml:space="preserve">And the three </w:t>
      </w:r>
      <w:r w:rsidR="008825B7" w:rsidRPr="00060CB6">
        <w:t xml:space="preserve">post-COVID </w:t>
      </w:r>
      <w:r w:rsidR="003D5E60" w:rsidRPr="00060CB6">
        <w:t xml:space="preserve">studies </w:t>
      </w:r>
      <w:r w:rsidR="001A0A2B">
        <w:t xml:space="preserve">that examine </w:t>
      </w:r>
      <w:r w:rsidR="009111D6" w:rsidRPr="00060CB6">
        <w:t xml:space="preserve">possible </w:t>
      </w:r>
      <w:r w:rsidR="003D5E60" w:rsidRPr="00060CB6">
        <w:t>trends in</w:t>
      </w:r>
      <w:r w:rsidR="009111D6" w:rsidRPr="00060CB6">
        <w:t>to</w:t>
      </w:r>
      <w:r w:rsidR="003D5E60" w:rsidRPr="00060CB6">
        <w:t xml:space="preserve"> a </w:t>
      </w:r>
      <w:r w:rsidR="00E21EA0" w:rsidRPr="00060CB6">
        <w:t xml:space="preserve">more distant </w:t>
      </w:r>
      <w:r w:rsidR="003D5E60" w:rsidRPr="00060CB6">
        <w:t>future</w:t>
      </w:r>
      <w:r w:rsidR="001A0A2B">
        <w:t xml:space="preserve"> (see previous section),</w:t>
      </w:r>
      <w:r w:rsidR="003D5E60" w:rsidRPr="00060CB6">
        <w:t xml:space="preserve"> using stated intentions </w:t>
      </w:r>
      <w:r w:rsidR="001E1B9E" w:rsidRPr="00060CB6">
        <w:t>data</w:t>
      </w:r>
      <w:r w:rsidR="001A0A2B">
        <w:t xml:space="preserve">, model </w:t>
      </w:r>
      <w:r w:rsidR="00570E9B" w:rsidRPr="00060CB6">
        <w:t>only</w:t>
      </w:r>
      <w:r w:rsidR="00A712E4" w:rsidRPr="00060CB6">
        <w:t xml:space="preserve"> telework adoption and not telework frequency</w:t>
      </w:r>
      <w:r w:rsidR="001A0A2B">
        <w:t xml:space="preserve"> too</w:t>
      </w:r>
      <w:r w:rsidR="003D5E60" w:rsidRPr="00060CB6">
        <w:t xml:space="preserve">. </w:t>
      </w:r>
      <w:r w:rsidR="00E21EA0" w:rsidRPr="00060CB6">
        <w:t xml:space="preserve">Further, all earlier </w:t>
      </w:r>
      <w:r w:rsidR="003D5E60" w:rsidRPr="00060CB6">
        <w:t xml:space="preserve">studies consider a binary distinction between regular work place and a remote work place (with most explicitly considering the remote work place as home), and do not </w:t>
      </w:r>
      <w:r w:rsidR="001A0A2B">
        <w:t>consider a third WPL as a possible alternative.</w:t>
      </w:r>
    </w:p>
    <w:p w14:paraId="44D2DA8D" w14:textId="77777777" w:rsidR="007E6974" w:rsidRPr="00060CB6" w:rsidRDefault="007E6974" w:rsidP="00B40ED1">
      <w:pPr>
        <w:spacing w:after="0"/>
      </w:pPr>
    </w:p>
    <w:p w14:paraId="3C1F086A" w14:textId="77777777" w:rsidR="00E136D1" w:rsidRPr="0086491D" w:rsidRDefault="00F82A05" w:rsidP="00B40ED1">
      <w:pPr>
        <w:pStyle w:val="Default"/>
        <w:spacing w:line="276" w:lineRule="auto"/>
        <w:rPr>
          <w:rFonts w:ascii="Times New Roman" w:hAnsi="Times New Roman" w:cs="Times New Roman"/>
          <w:b/>
        </w:rPr>
      </w:pPr>
      <w:r w:rsidRPr="0086491D">
        <w:rPr>
          <w:rFonts w:ascii="Times New Roman" w:hAnsi="Times New Roman" w:cs="Times New Roman"/>
          <w:b/>
        </w:rPr>
        <w:t xml:space="preserve">2.4. Current </w:t>
      </w:r>
      <w:r w:rsidR="00E136D1" w:rsidRPr="0086491D">
        <w:rPr>
          <w:rFonts w:ascii="Times New Roman" w:hAnsi="Times New Roman" w:cs="Times New Roman"/>
          <w:b/>
        </w:rPr>
        <w:t xml:space="preserve">Paper </w:t>
      </w:r>
      <w:r w:rsidRPr="0086491D">
        <w:rPr>
          <w:rFonts w:ascii="Times New Roman" w:hAnsi="Times New Roman" w:cs="Times New Roman"/>
          <w:b/>
        </w:rPr>
        <w:t>in</w:t>
      </w:r>
      <w:r w:rsidR="00E136D1" w:rsidRPr="0086491D">
        <w:rPr>
          <w:rFonts w:ascii="Times New Roman" w:hAnsi="Times New Roman" w:cs="Times New Roman"/>
          <w:b/>
        </w:rPr>
        <w:t xml:space="preserve"> Contex</w:t>
      </w:r>
      <w:r w:rsidR="00570E9B" w:rsidRPr="0086491D">
        <w:rPr>
          <w:rFonts w:ascii="Times New Roman" w:hAnsi="Times New Roman" w:cs="Times New Roman"/>
          <w:b/>
        </w:rPr>
        <w:t>t</w:t>
      </w:r>
    </w:p>
    <w:p w14:paraId="5C92EBB3" w14:textId="77777777" w:rsidR="007E6974" w:rsidRDefault="00570E9B" w:rsidP="00B40ED1">
      <w:pPr>
        <w:spacing w:after="0"/>
      </w:pPr>
      <w:r w:rsidRPr="00060CB6">
        <w:t xml:space="preserve">In the current paper, we build on past literature in multiple ways. </w:t>
      </w:r>
      <w:r w:rsidRPr="0086491D">
        <w:rPr>
          <w:u w:val="single"/>
        </w:rPr>
        <w:t>First</w:t>
      </w:r>
      <w:r w:rsidRPr="00060CB6">
        <w:t>, we examine WPL choices and corresponding frequencies from the perspective of a unified (across choice and frequency) utility-based horizontal choice optimal arousal theory</w:t>
      </w:r>
      <w:r w:rsidRPr="00060CB6">
        <w:rPr>
          <w:rStyle w:val="FootnoteReference"/>
        </w:rPr>
        <w:footnoteReference w:id="2"/>
      </w:r>
      <w:r w:rsidRPr="00060CB6">
        <w:t xml:space="preserve">. That is, in the WPL context, an employee will choose the optimal combination of WPL frequencies </w:t>
      </w:r>
      <w:r w:rsidR="007A47F1" w:rsidRPr="00060CB6">
        <w:t>across their days of work over a period of time</w:t>
      </w:r>
      <w:r w:rsidR="00757E6F">
        <w:t xml:space="preserve"> (a month in this paper)</w:t>
      </w:r>
      <w:r w:rsidR="007A47F1" w:rsidRPr="00060CB6">
        <w:t xml:space="preserve">. </w:t>
      </w:r>
      <w:r w:rsidR="007A47F1" w:rsidRPr="0086491D">
        <w:rPr>
          <w:u w:val="single"/>
        </w:rPr>
        <w:t>Second</w:t>
      </w:r>
      <w:r w:rsidR="007A47F1" w:rsidRPr="00060CB6">
        <w:t xml:space="preserve">, we </w:t>
      </w:r>
      <w:r w:rsidR="00433D6A" w:rsidRPr="00060CB6">
        <w:t xml:space="preserve">consider three possible WPL locations; Home, </w:t>
      </w:r>
      <w:r w:rsidR="00A257BB">
        <w:t>an established</w:t>
      </w:r>
      <w:r w:rsidR="00433D6A" w:rsidRPr="00060CB6">
        <w:t xml:space="preserve"> </w:t>
      </w:r>
      <w:r w:rsidR="00A257BB">
        <w:t xml:space="preserve">in-person </w:t>
      </w:r>
      <w:r w:rsidR="00433D6A" w:rsidRPr="00060CB6">
        <w:t>work office</w:t>
      </w:r>
      <w:r w:rsidR="00A257BB">
        <w:t xml:space="preserve"> (which we will refer to henceforth simply as work office)</w:t>
      </w:r>
      <w:r w:rsidR="00433D6A" w:rsidRPr="00060CB6">
        <w:t>, and a third work place (such as a hotel or a coffee shop</w:t>
      </w:r>
      <w:r w:rsidR="00757E6F">
        <w:t>)</w:t>
      </w:r>
      <w:r w:rsidR="00433D6A" w:rsidRPr="00060CB6">
        <w:t xml:space="preserve">. </w:t>
      </w:r>
      <w:r w:rsidR="00EC1F65" w:rsidRPr="00060CB6">
        <w:t>In doing so, we examine the characteristics of</w:t>
      </w:r>
      <w:r w:rsidR="00757E6F">
        <w:t xml:space="preserve"> </w:t>
      </w:r>
      <w:r w:rsidR="00EC1F65" w:rsidRPr="00060CB6">
        <w:t xml:space="preserve">“digital nomads”. </w:t>
      </w:r>
      <w:r w:rsidR="00433D6A" w:rsidRPr="0086491D">
        <w:rPr>
          <w:u w:val="single"/>
        </w:rPr>
        <w:t>Third</w:t>
      </w:r>
      <w:r w:rsidR="00433D6A" w:rsidRPr="00060CB6">
        <w:t xml:space="preserve">, we </w:t>
      </w:r>
      <w:r w:rsidR="007A47F1" w:rsidRPr="00060CB6">
        <w:t xml:space="preserve">recognize that the </w:t>
      </w:r>
      <w:r w:rsidR="00A5396D">
        <w:t xml:space="preserve">desired </w:t>
      </w:r>
      <w:r w:rsidR="007A47F1" w:rsidRPr="00060CB6">
        <w:t xml:space="preserve">WPL choice combination over a month will be impacted by a comprehensive </w:t>
      </w:r>
      <w:r w:rsidR="00E750F0" w:rsidRPr="00060CB6">
        <w:t xml:space="preserve">combination </w:t>
      </w:r>
      <w:r w:rsidR="007A47F1" w:rsidRPr="00060CB6">
        <w:t xml:space="preserve">of three distinct sets of attributes associated with work location and </w:t>
      </w:r>
      <w:r w:rsidR="00725DC2">
        <w:t>job</w:t>
      </w:r>
      <w:r w:rsidR="007A47F1" w:rsidRPr="00060CB6">
        <w:t xml:space="preserve"> characteristics: (1) the geographic attributes of the alternative WPL locations, (2) the environment attributes of </w:t>
      </w:r>
      <w:r w:rsidR="00212581" w:rsidRPr="00060CB6">
        <w:t xml:space="preserve">each of the </w:t>
      </w:r>
      <w:r w:rsidR="007A47F1" w:rsidRPr="00060CB6">
        <w:t xml:space="preserve">alternative WPL locations, and </w:t>
      </w:r>
      <w:r w:rsidR="00E750F0" w:rsidRPr="00060CB6">
        <w:t>(3) job-related attributes</w:t>
      </w:r>
      <w:r w:rsidR="007A47F1" w:rsidRPr="00060CB6">
        <w:t xml:space="preserve">. </w:t>
      </w:r>
      <w:r w:rsidR="007A47F1" w:rsidRPr="0086491D">
        <w:rPr>
          <w:i/>
        </w:rPr>
        <w:t xml:space="preserve">Geographic </w:t>
      </w:r>
      <w:r w:rsidR="00E750F0" w:rsidRPr="0086491D">
        <w:rPr>
          <w:i/>
        </w:rPr>
        <w:t xml:space="preserve">WPL </w:t>
      </w:r>
      <w:r w:rsidR="007A47F1" w:rsidRPr="0086491D">
        <w:rPr>
          <w:i/>
        </w:rPr>
        <w:t>attributes</w:t>
      </w:r>
      <w:r w:rsidR="007A47F1" w:rsidRPr="00060CB6">
        <w:t xml:space="preserve"> refer to such “external” characteristics of the location as commute time </w:t>
      </w:r>
      <w:r w:rsidR="00433D6A" w:rsidRPr="00060CB6">
        <w:t xml:space="preserve">to the non-home WPL locations, congestion levels during the commute, </w:t>
      </w:r>
      <w:r w:rsidR="007A47F1" w:rsidRPr="00060CB6">
        <w:t>and the built environment characteristics around the location (</w:t>
      </w:r>
      <w:r w:rsidR="00433D6A" w:rsidRPr="0086491D">
        <w:t xml:space="preserve">captured, admittedly, in a simple but important way through a density classification scheme of locations). </w:t>
      </w:r>
      <w:r w:rsidR="007A47F1" w:rsidRPr="0086491D">
        <w:rPr>
          <w:i/>
        </w:rPr>
        <w:t xml:space="preserve">Environment </w:t>
      </w:r>
      <w:r w:rsidR="00E750F0" w:rsidRPr="0086491D">
        <w:rPr>
          <w:i/>
        </w:rPr>
        <w:t xml:space="preserve">WPL </w:t>
      </w:r>
      <w:r w:rsidR="007A47F1" w:rsidRPr="0086491D">
        <w:rPr>
          <w:i/>
        </w:rPr>
        <w:t>attributes</w:t>
      </w:r>
      <w:r w:rsidR="007A47F1" w:rsidRPr="00060CB6">
        <w:t>, on the other hand, refer to such “internal” characteristics of the locatio</w:t>
      </w:r>
      <w:r w:rsidR="00E750F0" w:rsidRPr="00060CB6">
        <w:t xml:space="preserve">n </w:t>
      </w:r>
      <w:r w:rsidR="007A47F1" w:rsidRPr="00060CB6">
        <w:t xml:space="preserve">such as distraction level, crowding level, </w:t>
      </w:r>
      <w:r w:rsidR="00E750F0" w:rsidRPr="00060CB6">
        <w:t xml:space="preserve">and </w:t>
      </w:r>
      <w:r w:rsidR="007A47F1" w:rsidRPr="00060CB6">
        <w:t>socialization opportunities and access</w:t>
      </w:r>
      <w:r w:rsidR="00E750F0" w:rsidRPr="00060CB6">
        <w:t xml:space="preserve">. </w:t>
      </w:r>
      <w:r w:rsidR="00433D6A" w:rsidRPr="00060CB6">
        <w:t xml:space="preserve">We also include, for the first time to our knowledge, two home-related attributes within the environmental WPL set of attributes, including the tenure type of the house (renting versus owning) and the presence of a study/office at home. </w:t>
      </w:r>
      <w:r w:rsidR="00E750F0" w:rsidRPr="0086491D">
        <w:rPr>
          <w:i/>
        </w:rPr>
        <w:t>Job-related attributes</w:t>
      </w:r>
      <w:r w:rsidR="00E750F0" w:rsidRPr="00060CB6">
        <w:t xml:space="preserve"> include </w:t>
      </w:r>
      <w:r w:rsidR="00A12831">
        <w:t xml:space="preserve">number of work days per month, </w:t>
      </w:r>
      <w:r w:rsidR="00212581" w:rsidRPr="00060CB6">
        <w:t>employment status (full time or part-time</w:t>
      </w:r>
      <w:r w:rsidR="00A12831">
        <w:t>), employment structure (</w:t>
      </w:r>
      <w:r w:rsidR="00212581" w:rsidRPr="00060CB6">
        <w:t xml:space="preserve">self-employed versus </w:t>
      </w:r>
      <w:r w:rsidR="00A12831">
        <w:t>non-self-employed),</w:t>
      </w:r>
      <w:r w:rsidR="00E750F0" w:rsidRPr="00060CB6">
        <w:t xml:space="preserve"> </w:t>
      </w:r>
      <w:r w:rsidR="00DB2471">
        <w:t xml:space="preserve">occupation </w:t>
      </w:r>
      <w:r w:rsidR="00E750F0" w:rsidRPr="00060CB6">
        <w:t>secto</w:t>
      </w:r>
      <w:r w:rsidR="00DB2471">
        <w:t>r</w:t>
      </w:r>
      <w:r w:rsidR="00E750F0" w:rsidRPr="00060CB6">
        <w:t xml:space="preserve">, </w:t>
      </w:r>
      <w:r w:rsidR="00A13355">
        <w:t xml:space="preserve">and </w:t>
      </w:r>
      <w:r w:rsidR="002F5800" w:rsidRPr="00060CB6">
        <w:t xml:space="preserve">the </w:t>
      </w:r>
      <w:r w:rsidR="00DB2471">
        <w:t>ability to shift work hours over the course of the day</w:t>
      </w:r>
      <w:r w:rsidR="002F5800" w:rsidRPr="00060CB6">
        <w:t xml:space="preserve">. As discussed earlier, some of </w:t>
      </w:r>
      <w:r w:rsidR="002F5800" w:rsidRPr="00060CB6">
        <w:lastRenderedPageBreak/>
        <w:t xml:space="preserve">these job-related attributes proxy employer-provided opportunity effects by investigating how employees themselves filter the reality of the needs of their </w:t>
      </w:r>
      <w:r w:rsidR="00757E6F">
        <w:t xml:space="preserve">respective </w:t>
      </w:r>
      <w:r w:rsidR="002F5800" w:rsidRPr="00060CB6">
        <w:t>job</w:t>
      </w:r>
      <w:r w:rsidR="00757E6F">
        <w:t>s</w:t>
      </w:r>
      <w:r w:rsidR="002F5800" w:rsidRPr="00060CB6">
        <w:t xml:space="preserve"> when developing optimal WPL desires. </w:t>
      </w:r>
      <w:r w:rsidR="002F5800" w:rsidRPr="0086491D">
        <w:rPr>
          <w:u w:val="single"/>
        </w:rPr>
        <w:t>Fourth</w:t>
      </w:r>
      <w:r w:rsidR="002F5800" w:rsidRPr="00060CB6">
        <w:t xml:space="preserve">, we do consider COVID threat levels, and how this may impact WPL choices in general, and particularly for specific segments of the population. </w:t>
      </w:r>
      <w:r w:rsidR="00EC1F65" w:rsidRPr="0086491D">
        <w:rPr>
          <w:u w:val="single"/>
        </w:rPr>
        <w:t>Fifth</w:t>
      </w:r>
      <w:r w:rsidR="00EC1F65" w:rsidRPr="00060CB6">
        <w:t>, in addition to including the many attributes identified above, we also consider multi-</w:t>
      </w:r>
      <w:r w:rsidR="00720BE1" w:rsidRPr="00060CB6">
        <w:t xml:space="preserve">way </w:t>
      </w:r>
      <w:r w:rsidR="00EC1F65" w:rsidRPr="00060CB6">
        <w:t xml:space="preserve">interactions among these attributes </w:t>
      </w:r>
      <w:r w:rsidR="00577D3B" w:rsidRPr="00060CB6">
        <w:t>using a sample size of 1,</w:t>
      </w:r>
      <w:r w:rsidR="00707657" w:rsidRPr="00060CB6">
        <w:t>1</w:t>
      </w:r>
      <w:r w:rsidR="00707657">
        <w:t>36</w:t>
      </w:r>
      <w:r w:rsidR="00707657" w:rsidRPr="00060CB6">
        <w:t xml:space="preserve"> </w:t>
      </w:r>
      <w:r w:rsidR="00577D3B" w:rsidRPr="00060CB6">
        <w:t>individuals, each of whom provides responses to two stated preference questions for a total of 2,</w:t>
      </w:r>
      <w:r w:rsidR="00707657">
        <w:t>272</w:t>
      </w:r>
      <w:r w:rsidR="00707657" w:rsidRPr="00060CB6">
        <w:t xml:space="preserve"> </w:t>
      </w:r>
      <w:r w:rsidR="00577D3B" w:rsidRPr="00060CB6">
        <w:t>choice occasions for analysis</w:t>
      </w:r>
      <w:r w:rsidR="00EC1F65" w:rsidRPr="00060CB6">
        <w:t>.</w:t>
      </w:r>
      <w:r w:rsidR="00577D3B" w:rsidRPr="00060CB6">
        <w:t xml:space="preserve"> As Zhang et al. (2020) indicate, earlier studies have been rather limited in </w:t>
      </w:r>
      <w:r w:rsidR="00757E6F">
        <w:t>investigating interaction effects</w:t>
      </w:r>
      <w:r w:rsidR="00EC2767" w:rsidRPr="00060CB6">
        <w:t xml:space="preserve">, at least in part because of the small sample sizes </w:t>
      </w:r>
      <w:r w:rsidR="006409F0" w:rsidRPr="00060CB6">
        <w:t>available for analysis.</w:t>
      </w:r>
      <w:r w:rsidR="00EC1F65" w:rsidRPr="00060CB6">
        <w:t xml:space="preserve"> </w:t>
      </w:r>
      <w:r w:rsidR="006409F0" w:rsidRPr="00A6363C">
        <w:rPr>
          <w:u w:val="single"/>
        </w:rPr>
        <w:t>Sixth</w:t>
      </w:r>
      <w:r w:rsidR="00720BE1" w:rsidRPr="00060CB6">
        <w:t xml:space="preserve">, from a methodological standpoint, we explicitly accommodate covariances across </w:t>
      </w:r>
      <w:r w:rsidR="0051347B" w:rsidRPr="00060CB6">
        <w:t xml:space="preserve">the baseline utilities of </w:t>
      </w:r>
      <w:r w:rsidR="00D972A2" w:rsidRPr="00060CB6">
        <w:t xml:space="preserve">the different WPL </w:t>
      </w:r>
      <w:r w:rsidR="00A5396D">
        <w:t xml:space="preserve">alternatives </w:t>
      </w:r>
      <w:r w:rsidR="00D972A2" w:rsidRPr="00060CB6">
        <w:t xml:space="preserve">as well as consider </w:t>
      </w:r>
      <w:r w:rsidR="00577D3B" w:rsidRPr="00060CB6">
        <w:t xml:space="preserve">panel effects (unobserved individual effects that permeate across the two stated preference choice occasions of the same individual; ignoring such effects can lead to an underestimation of standard errors and potentially incorrect inferences about the statistical significance of the parameter estimates). </w:t>
      </w:r>
      <w:r w:rsidR="006409F0" w:rsidRPr="00A6363C">
        <w:rPr>
          <w:u w:val="single"/>
        </w:rPr>
        <w:t>Finally</w:t>
      </w:r>
      <w:r w:rsidR="006409F0" w:rsidRPr="00060CB6">
        <w:t xml:space="preserve">, </w:t>
      </w:r>
      <w:r w:rsidR="00E31C55">
        <w:t xml:space="preserve">a majority of </w:t>
      </w:r>
      <w:r w:rsidR="006409F0" w:rsidRPr="00060CB6">
        <w:t>the published post-COVID telework studies are at non-US locations</w:t>
      </w:r>
      <w:r w:rsidR="00A5396D">
        <w:t xml:space="preserve"> and</w:t>
      </w:r>
      <w:r w:rsidR="00E31C55">
        <w:t>/or</w:t>
      </w:r>
      <w:r w:rsidR="00A5396D">
        <w:t xml:space="preserve"> focus on current telework (from home) choice</w:t>
      </w:r>
      <w:r w:rsidR="006409F0" w:rsidRPr="00060CB6">
        <w:t xml:space="preserve">. In this paper, we </w:t>
      </w:r>
      <w:r w:rsidR="00A5396D">
        <w:t xml:space="preserve">examine the desired WPL state of individuals </w:t>
      </w:r>
      <w:r w:rsidR="005F4532">
        <w:t>into the future using survey data collected from the State of Texas in the US.</w:t>
      </w:r>
    </w:p>
    <w:p w14:paraId="4A118609" w14:textId="68172FD5" w:rsidR="00972450" w:rsidRPr="00060CB6" w:rsidRDefault="006409F0" w:rsidP="00B40ED1">
      <w:pPr>
        <w:spacing w:after="0"/>
      </w:pPr>
      <w:r w:rsidRPr="00060CB6">
        <w:t xml:space="preserve"> </w:t>
      </w:r>
      <w:r w:rsidR="00972450" w:rsidRPr="00060CB6">
        <w:t xml:space="preserve"> </w:t>
      </w:r>
    </w:p>
    <w:p w14:paraId="1D4FDD4A" w14:textId="77777777" w:rsidR="002C25F5" w:rsidRDefault="002C25F5" w:rsidP="00B40ED1">
      <w:pPr>
        <w:pStyle w:val="Heading1"/>
        <w:numPr>
          <w:ilvl w:val="0"/>
          <w:numId w:val="1"/>
        </w:numPr>
        <w:spacing w:before="0"/>
      </w:pPr>
      <w:r>
        <w:t xml:space="preserve">Methodology </w:t>
      </w:r>
    </w:p>
    <w:p w14:paraId="1BE92771" w14:textId="77777777" w:rsidR="002C25F5" w:rsidRPr="002C25F5" w:rsidRDefault="002C25F5" w:rsidP="00B40ED1">
      <w:pPr>
        <w:pStyle w:val="Heading2"/>
        <w:numPr>
          <w:ilvl w:val="1"/>
          <w:numId w:val="1"/>
        </w:numPr>
        <w:spacing w:before="0"/>
        <w:ind w:left="450"/>
      </w:pPr>
      <w:r w:rsidRPr="002C25F5">
        <w:t>The Survey</w:t>
      </w:r>
    </w:p>
    <w:p w14:paraId="580D346A" w14:textId="49EEF418" w:rsidR="007E6974" w:rsidRDefault="002C25F5" w:rsidP="00B40ED1">
      <w:pPr>
        <w:spacing w:after="0"/>
      </w:pPr>
      <w:r w:rsidRPr="00E12BCB">
        <w:t>The primary data for the current study is drawn from a workplace location</w:t>
      </w:r>
      <w:r>
        <w:t xml:space="preserve"> (WPL)</w:t>
      </w:r>
      <w:r w:rsidRPr="00E12BCB">
        <w:t xml:space="preserve"> choice survey deployed across Texas, US in </w:t>
      </w:r>
      <w:r w:rsidR="00725DC2">
        <w:t>February-March</w:t>
      </w:r>
      <w:r w:rsidRPr="00E12BCB">
        <w:t xml:space="preserve"> 2022, coordinated through efforts with the Texas Department of Transportation (TxDOT). The survey administration approach included an array of communication and information recruitment strategies, including promotion via e-mail to several chambers of commerce across the state of Texas, alongside other businesses, professional organizations, and media outlets, as well as a database of roughly 55,000 Texas residents’ email addresses. Survey access was restricted to </w:t>
      </w:r>
      <w:r w:rsidR="000C2636">
        <w:t xml:space="preserve">individuals who were </w:t>
      </w:r>
      <w:r w:rsidR="00A1710A">
        <w:t>employed</w:t>
      </w:r>
      <w:r w:rsidR="000C2636">
        <w:t xml:space="preserve">/students, </w:t>
      </w:r>
      <w:r w:rsidRPr="00E12BCB">
        <w:t xml:space="preserve">who </w:t>
      </w:r>
      <w:r w:rsidR="00A5396D">
        <w:t xml:space="preserve">were </w:t>
      </w:r>
      <w:r w:rsidRPr="00E12BCB">
        <w:t>reside</w:t>
      </w:r>
      <w:r w:rsidR="00A5396D">
        <w:t xml:space="preserve">nts of </w:t>
      </w:r>
      <w:r w:rsidRPr="00E12BCB">
        <w:t>the state of Texas</w:t>
      </w:r>
      <w:r w:rsidR="00A5396D">
        <w:t xml:space="preserve"> at the time of the survey</w:t>
      </w:r>
      <w:r w:rsidRPr="00E12BCB">
        <w:t xml:space="preserve">. Of the 1,450 responses from the target population (workers/students), </w:t>
      </w:r>
      <w:r w:rsidR="00FE3F81">
        <w:t>304</w:t>
      </w:r>
      <w:r w:rsidR="00C221ED">
        <w:t xml:space="preserve"> individuals did not respond to </w:t>
      </w:r>
      <w:r w:rsidR="00C221ED" w:rsidRPr="00E12BCB">
        <w:t xml:space="preserve">commute and </w:t>
      </w:r>
      <w:r w:rsidR="00FE3F81">
        <w:t xml:space="preserve">current </w:t>
      </w:r>
      <w:r w:rsidR="00C221ED" w:rsidRPr="00E12BCB">
        <w:t xml:space="preserve">workplace-related questions </w:t>
      </w:r>
      <w:r w:rsidR="00C221ED">
        <w:t>and/</w:t>
      </w:r>
      <w:r w:rsidR="00C221ED" w:rsidRPr="00E12BCB">
        <w:t xml:space="preserve">or did not </w:t>
      </w:r>
      <w:r w:rsidR="00C221ED">
        <w:t xml:space="preserve">adequately respond to </w:t>
      </w:r>
      <w:r w:rsidR="00C221ED" w:rsidRPr="00E12BCB">
        <w:t xml:space="preserve">the SP </w:t>
      </w:r>
      <w:r w:rsidR="00C221ED">
        <w:t xml:space="preserve">experiments that formed the main </w:t>
      </w:r>
      <w:r w:rsidR="00C221ED" w:rsidRPr="00E12BCB">
        <w:t xml:space="preserve">outcome </w:t>
      </w:r>
      <w:r w:rsidR="00C221ED">
        <w:t>variable in the analysis. T</w:t>
      </w:r>
      <w:r w:rsidRPr="00E12BCB">
        <w:t xml:space="preserve">he </w:t>
      </w:r>
      <w:r w:rsidR="00A1710A">
        <w:t>resulting</w:t>
      </w:r>
      <w:r w:rsidRPr="00E12BCB">
        <w:t xml:space="preserve"> sample </w:t>
      </w:r>
      <w:r w:rsidR="00A1710A">
        <w:t xml:space="preserve">of </w:t>
      </w:r>
      <w:r w:rsidRPr="00E12BCB">
        <w:t>1,1</w:t>
      </w:r>
      <w:r w:rsidR="00FE3F81">
        <w:t xml:space="preserve">46 </w:t>
      </w:r>
      <w:r w:rsidR="00C221ED">
        <w:t xml:space="preserve">respondents </w:t>
      </w:r>
      <w:r w:rsidR="00A1710A">
        <w:t xml:space="preserve">had </w:t>
      </w:r>
      <w:r w:rsidR="00F2140D">
        <w:t>1</w:t>
      </w:r>
      <w:r w:rsidR="00FE3F81">
        <w:t>0</w:t>
      </w:r>
      <w:r w:rsidR="00F2140D">
        <w:t xml:space="preserve"> </w:t>
      </w:r>
      <w:r w:rsidR="00A1710A">
        <w:t xml:space="preserve">students </w:t>
      </w:r>
      <w:r w:rsidR="00F2140D">
        <w:t xml:space="preserve">who were not employed, who were then removed to retain </w:t>
      </w:r>
      <w:r w:rsidR="00FE3F81">
        <w:t xml:space="preserve">a final sample of </w:t>
      </w:r>
      <w:r w:rsidR="00A257BB">
        <w:t xml:space="preserve">1,136 </w:t>
      </w:r>
      <w:r w:rsidR="00F2140D">
        <w:t>employed individuals</w:t>
      </w:r>
      <w:r w:rsidR="00A257BB">
        <w:t xml:space="preserve"> (and 1,136</w:t>
      </w:r>
      <w:r w:rsidR="000B44CA">
        <w:t>×</w:t>
      </w:r>
      <w:r w:rsidR="00A257BB">
        <w:t>2 = 2</w:t>
      </w:r>
      <w:r w:rsidR="004E02A9">
        <w:t>,</w:t>
      </w:r>
      <w:r w:rsidR="00A257BB">
        <w:t>272 choice occasions)</w:t>
      </w:r>
      <w:r w:rsidR="00F2140D">
        <w:t xml:space="preserve">. </w:t>
      </w:r>
      <w:r w:rsidR="00A257BB">
        <w:t xml:space="preserve">All these individuals had a work office </w:t>
      </w:r>
      <w:r w:rsidR="00A1710A">
        <w:t xml:space="preserve">at the time of the survey (even if they never commuted to that location). </w:t>
      </w:r>
      <w:bookmarkStart w:id="5" w:name="_Hlk125780094"/>
      <w:r w:rsidR="00F1198B">
        <w:t xml:space="preserve">The survey was deployed </w:t>
      </w:r>
      <w:r w:rsidR="00C221ED">
        <w:t>at a time</w:t>
      </w:r>
      <w:r w:rsidR="00725DC2">
        <w:t xml:space="preserve"> </w:t>
      </w:r>
      <w:r w:rsidR="00C221ED">
        <w:t xml:space="preserve">when the Omicron variant was </w:t>
      </w:r>
      <w:r w:rsidR="00E31C55">
        <w:t xml:space="preserve">past its peak </w:t>
      </w:r>
      <w:r w:rsidR="00C221ED">
        <w:t xml:space="preserve">in Texas, </w:t>
      </w:r>
      <w:r w:rsidR="00E31C55">
        <w:t>and</w:t>
      </w:r>
      <w:r w:rsidR="00A13355">
        <w:t xml:space="preserve"> </w:t>
      </w:r>
      <w:r w:rsidR="00B403DD">
        <w:t xml:space="preserve">there were absolutely no COVID-related </w:t>
      </w:r>
      <w:r w:rsidR="00F1198B">
        <w:t>restricti</w:t>
      </w:r>
      <w:r w:rsidR="00C221ED">
        <w:t xml:space="preserve">ons </w:t>
      </w:r>
      <w:r w:rsidR="00F1198B">
        <w:t>and safety measure</w:t>
      </w:r>
      <w:r w:rsidR="00C221ED">
        <w:t>s</w:t>
      </w:r>
      <w:r w:rsidR="00F1198B">
        <w:t xml:space="preserve"> </w:t>
      </w:r>
      <w:r w:rsidR="00B403DD">
        <w:t xml:space="preserve">in place in Texas. In fact, Texas had lifted all COVID-related mandates/restrictions as early as March </w:t>
      </w:r>
      <w:r w:rsidR="00B403DD" w:rsidRPr="006533D8">
        <w:t>2021</w:t>
      </w:r>
      <w:r w:rsidR="00AB6441" w:rsidRPr="006533D8">
        <w:t xml:space="preserve"> (</w:t>
      </w:r>
      <w:r w:rsidR="006533D8" w:rsidRPr="006533D8">
        <w:rPr>
          <w:shd w:val="clear" w:color="auto" w:fill="FFFFFF"/>
        </w:rPr>
        <w:t>Office of the Texas Governor, 2021</w:t>
      </w:r>
      <w:r w:rsidR="00AB6441" w:rsidRPr="006533D8">
        <w:t>)</w:t>
      </w:r>
      <w:r w:rsidR="00B403DD" w:rsidRPr="006533D8">
        <w:t>.</w:t>
      </w:r>
      <w:r w:rsidR="00B403DD">
        <w:t xml:space="preserve"> </w:t>
      </w:r>
      <w:bookmarkEnd w:id="5"/>
      <w:r w:rsidRPr="00E12BCB">
        <w:t xml:space="preserve">The survey collected information </w:t>
      </w:r>
      <w:r>
        <w:t xml:space="preserve">on </w:t>
      </w:r>
      <w:r w:rsidRPr="00E12BCB">
        <w:t xml:space="preserve">pre-COVID, during the worst of COVID, and current work patterns. In addition, socio-demographics (age, gender, employment type, education level, household annual </w:t>
      </w:r>
      <w:r w:rsidRPr="00E12BCB">
        <w:lastRenderedPageBreak/>
        <w:t xml:space="preserve">income, and number of children in a household) and the </w:t>
      </w:r>
      <w:r w:rsidR="003673BC">
        <w:t xml:space="preserve">current work </w:t>
      </w:r>
      <w:r w:rsidR="00A257BB">
        <w:t>office</w:t>
      </w:r>
      <w:r w:rsidRPr="00E12BCB">
        <w:t xml:space="preserve">/home location information </w:t>
      </w:r>
      <w:r w:rsidR="00C221ED">
        <w:t>w</w:t>
      </w:r>
      <w:r w:rsidR="003673BC">
        <w:t>as</w:t>
      </w:r>
      <w:r w:rsidRPr="00E12BCB">
        <w:t xml:space="preserve"> obtained.</w:t>
      </w:r>
    </w:p>
    <w:p w14:paraId="6790185A" w14:textId="21B63268" w:rsidR="007E6974" w:rsidRDefault="00C221ED" w:rsidP="00B40ED1">
      <w:pPr>
        <w:spacing w:after="0"/>
        <w:ind w:firstLine="720"/>
      </w:pPr>
      <w:r>
        <w:t xml:space="preserve">For this analysis, the focus, as in </w:t>
      </w:r>
      <w:r w:rsidR="008345DA" w:rsidRPr="008345DA">
        <w:rPr>
          <w:shd w:val="clear" w:color="auto" w:fill="FFFFFF"/>
        </w:rPr>
        <w:t>Appel-</w:t>
      </w:r>
      <w:proofErr w:type="spellStart"/>
      <w:r w:rsidR="008345DA" w:rsidRPr="008345DA">
        <w:rPr>
          <w:shd w:val="clear" w:color="auto" w:fill="FFFFFF"/>
        </w:rPr>
        <w:t>Meulenbroek</w:t>
      </w:r>
      <w:proofErr w:type="spellEnd"/>
      <w:r w:rsidRPr="0060127E">
        <w:t xml:space="preserve"> et al.</w:t>
      </w:r>
      <w:r w:rsidR="003F2062" w:rsidRPr="003F2062">
        <w:t xml:space="preserve"> </w:t>
      </w:r>
      <w:r w:rsidR="003F2062" w:rsidRPr="0060127E">
        <w:t>(2022)</w:t>
      </w:r>
      <w:r>
        <w:t xml:space="preserve">, </w:t>
      </w:r>
      <w:bookmarkStart w:id="6" w:name="_Hlk125778352"/>
      <w:r>
        <w:t xml:space="preserve">is the response to </w:t>
      </w:r>
      <w:r w:rsidR="00A257BB">
        <w:t xml:space="preserve">the </w:t>
      </w:r>
      <w:r>
        <w:t xml:space="preserve">stated preference questions regarding desired WPL </w:t>
      </w:r>
      <w:r w:rsidR="005F4532">
        <w:t xml:space="preserve">state </w:t>
      </w:r>
      <w:r w:rsidR="00312720">
        <w:t>at a future</w:t>
      </w:r>
      <w:r>
        <w:t xml:space="preserve"> time</w:t>
      </w:r>
      <w:r w:rsidR="005F4532">
        <w:t>, though</w:t>
      </w:r>
      <w:r>
        <w:t xml:space="preserve"> wh</w:t>
      </w:r>
      <w:r w:rsidR="00312720">
        <w:t xml:space="preserve">en COVID </w:t>
      </w:r>
      <w:r w:rsidR="005F4532">
        <w:t xml:space="preserve">still </w:t>
      </w:r>
      <w:r w:rsidR="007C1538">
        <w:t>would be</w:t>
      </w:r>
      <w:r w:rsidR="005F4532">
        <w:t xml:space="preserve"> present in an </w:t>
      </w:r>
      <w:r w:rsidR="00312720">
        <w:t>endemic</w:t>
      </w:r>
      <w:r w:rsidR="005F4532">
        <w:t xml:space="preserve"> state and enough of a threat to warrant some level of consideration</w:t>
      </w:r>
      <w:r w:rsidR="00312720">
        <w:t>.</w:t>
      </w:r>
      <w:bookmarkEnd w:id="6"/>
      <w:r w:rsidR="00312720">
        <w:t xml:space="preserve"> Pre-COVID or current WPL choices would not represent this future desired state well because these </w:t>
      </w:r>
      <w:r w:rsidR="005F4532">
        <w:t xml:space="preserve">earlier/current actual </w:t>
      </w:r>
      <w:r w:rsidR="00312720">
        <w:t>choices are likely to have been constrained by employer allowance/opportunity</w:t>
      </w:r>
      <w:r w:rsidR="005F4532">
        <w:t xml:space="preserve"> and other general safety restrictions because of the pandemic</w:t>
      </w:r>
      <w:r w:rsidR="00312720">
        <w:t>.</w:t>
      </w:r>
      <w:r w:rsidR="002564CF">
        <w:rPr>
          <w:rStyle w:val="FootnoteReference"/>
        </w:rPr>
        <w:footnoteReference w:id="3"/>
      </w:r>
      <w:r w:rsidR="00312720">
        <w:t xml:space="preserve"> Besides, as discussed earlier, motivations and priorities are likely to have changed because of the pandemic. Thus, in this analysis, we do not use these </w:t>
      </w:r>
      <w:r w:rsidR="00A13355">
        <w:t xml:space="preserve">current </w:t>
      </w:r>
      <w:r w:rsidR="00312720">
        <w:t xml:space="preserve">WPL choices to explain future desired WPL </w:t>
      </w:r>
      <w:r w:rsidR="00BD6789">
        <w:t>states</w:t>
      </w:r>
      <w:r w:rsidR="00312720">
        <w:t xml:space="preserve">, though we do use current </w:t>
      </w:r>
      <w:r w:rsidR="003673BC">
        <w:t xml:space="preserve">work office geographic attributes and </w:t>
      </w:r>
      <w:r w:rsidR="00312720">
        <w:t xml:space="preserve">job characteristics (including sector </w:t>
      </w:r>
      <w:r w:rsidR="00BD6789">
        <w:t xml:space="preserve">of work, </w:t>
      </w:r>
      <w:r w:rsidR="00AF4537">
        <w:t xml:space="preserve">employee’s perspective of how easy it is to have work be undertaken remotely, </w:t>
      </w:r>
      <w:r w:rsidR="006E58F0">
        <w:t>part time versus full time work</w:t>
      </w:r>
      <w:r w:rsidR="00A257BB">
        <w:t xml:space="preserve"> status</w:t>
      </w:r>
      <w:r w:rsidR="006E58F0">
        <w:t>,</w:t>
      </w:r>
      <w:r w:rsidR="00AF4537">
        <w:t xml:space="preserve"> </w:t>
      </w:r>
      <w:r w:rsidR="006E58F0">
        <w:t>urban/suburban/rural location of the work</w:t>
      </w:r>
      <w:r w:rsidR="00A257BB">
        <w:t xml:space="preserve"> office</w:t>
      </w:r>
      <w:r w:rsidR="00AF4537">
        <w:t xml:space="preserve">, and perceived congestion </w:t>
      </w:r>
      <w:r w:rsidR="006D0F83">
        <w:t xml:space="preserve">levels to </w:t>
      </w:r>
      <w:r w:rsidR="00A257BB">
        <w:t>the work office</w:t>
      </w:r>
      <w:r w:rsidR="006E58F0">
        <w:t>) to explain future desired WPL</w:t>
      </w:r>
      <w:r w:rsidR="00BD6789">
        <w:t xml:space="preserve"> </w:t>
      </w:r>
      <w:r w:rsidR="006E58F0">
        <w:t>state. The implicit assumption here is that individuals will generally stay in their current occupations and work arrangements</w:t>
      </w:r>
      <w:r w:rsidR="005F4532">
        <w:t xml:space="preserve"> into the not-too-distant future</w:t>
      </w:r>
      <w:r w:rsidR="006E58F0">
        <w:t xml:space="preserve">, even if their desired future WPL state may </w:t>
      </w:r>
      <w:r w:rsidR="005F4532">
        <w:t xml:space="preserve">(and generally will) </w:t>
      </w:r>
      <w:r w:rsidR="006E58F0">
        <w:t>be quite different from pre-COVID or current WPL choice.</w:t>
      </w:r>
      <w:r w:rsidR="00AF4537">
        <w:rPr>
          <w:rStyle w:val="FootnoteReference"/>
        </w:rPr>
        <w:footnoteReference w:id="4"/>
      </w:r>
      <w:r w:rsidR="006E58F0">
        <w:t xml:space="preserve"> </w:t>
      </w:r>
    </w:p>
    <w:p w14:paraId="5A4897B3" w14:textId="720DA4E5" w:rsidR="004F5F68" w:rsidRDefault="00E31C55" w:rsidP="00B40ED1">
      <w:pPr>
        <w:spacing w:after="0"/>
        <w:ind w:firstLine="720"/>
      </w:pPr>
      <w:r>
        <w:lastRenderedPageBreak/>
        <w:t>In the SP part of the survey, e</w:t>
      </w:r>
      <w:r w:rsidR="002C25F5" w:rsidRPr="00E12BCB">
        <w:t xml:space="preserve">ach respondent was presented two scenarios and asked to allocate their </w:t>
      </w:r>
      <w:r w:rsidR="00F44715">
        <w:t xml:space="preserve">total </w:t>
      </w:r>
      <w:r w:rsidR="002C25F5" w:rsidRPr="00E12BCB">
        <w:t>number of working days per month across the three different</w:t>
      </w:r>
      <w:r w:rsidR="00F44715">
        <w:t xml:space="preserve"> WPL </w:t>
      </w:r>
      <w:r w:rsidR="002C25F5" w:rsidRPr="00E12BCB">
        <w:t xml:space="preserve">alternatives: </w:t>
      </w:r>
      <w:r w:rsidR="00F44715">
        <w:t>(</w:t>
      </w:r>
      <w:r w:rsidR="002C25F5" w:rsidRPr="00E12BCB">
        <w:t xml:space="preserve">1) </w:t>
      </w:r>
      <w:r w:rsidR="00F44715">
        <w:t>h</w:t>
      </w:r>
      <w:r w:rsidR="002C25F5" w:rsidRPr="00E12BCB">
        <w:t xml:space="preserve">ome, </w:t>
      </w:r>
      <w:r w:rsidR="00F44715">
        <w:t>(</w:t>
      </w:r>
      <w:r w:rsidR="002C25F5" w:rsidRPr="00E12BCB">
        <w:t xml:space="preserve">2) </w:t>
      </w:r>
      <w:r w:rsidR="00F44715">
        <w:t>work office</w:t>
      </w:r>
      <w:r w:rsidR="002C25F5" w:rsidRPr="00E12BCB">
        <w:t xml:space="preserve">, and </w:t>
      </w:r>
      <w:r w:rsidR="00F44715">
        <w:t>(</w:t>
      </w:r>
      <w:r w:rsidR="002C25F5" w:rsidRPr="00E12BCB">
        <w:t>3)</w:t>
      </w:r>
      <w:r w:rsidR="00F44715">
        <w:t xml:space="preserve"> </w:t>
      </w:r>
      <w:r w:rsidR="002C25F5" w:rsidRPr="00E12BCB">
        <w:t xml:space="preserve">third </w:t>
      </w:r>
      <w:r w:rsidR="00F44715">
        <w:t>WPL</w:t>
      </w:r>
      <w:r w:rsidR="00577594">
        <w:rPr>
          <w:rStyle w:val="FootnoteReference"/>
        </w:rPr>
        <w:footnoteReference w:id="5"/>
      </w:r>
      <w:r w:rsidR="002C25F5" w:rsidRPr="00E12BCB">
        <w:t xml:space="preserve">. </w:t>
      </w:r>
      <w:r w:rsidR="00F44715">
        <w:t>For example, in response to a specific scenario of attributes, a full-time worker employed 22 days in a month may split things up as five days from the work office, 15 days from home, and two days from a third WPL</w:t>
      </w:r>
      <w:r w:rsidR="0086491D">
        <w:t>.</w:t>
      </w:r>
      <w:r w:rsidR="00F44715" w:rsidRPr="00E12BCB">
        <w:t xml:space="preserve"> </w:t>
      </w:r>
      <w:r w:rsidR="00173E47" w:rsidRPr="00173E47">
        <w:t>The attributes used in each scenario include commute time</w:t>
      </w:r>
      <w:r w:rsidR="00F44715">
        <w:t>s</w:t>
      </w:r>
      <w:r w:rsidR="00173E47" w:rsidRPr="00173E47">
        <w:t xml:space="preserve"> to the </w:t>
      </w:r>
      <w:r w:rsidR="00F44715">
        <w:t xml:space="preserve">work </w:t>
      </w:r>
      <w:r w:rsidR="00F44715" w:rsidRPr="002966C0">
        <w:t>office and</w:t>
      </w:r>
      <w:r w:rsidR="00F44715">
        <w:t xml:space="preserve"> third WPL</w:t>
      </w:r>
      <w:r w:rsidR="00173E47" w:rsidRPr="00173E47">
        <w:t xml:space="preserve">, measures of distraction and crowding level for different work locations, flexibility of work hours (both the permission to shift working start time and to split up hours across the day), and COVID-19 risk intensities associated with each possible </w:t>
      </w:r>
      <w:r w:rsidR="00173E47" w:rsidRPr="002966C0">
        <w:t>location</w:t>
      </w:r>
      <w:r w:rsidR="00122011" w:rsidRPr="002966C0">
        <w:t xml:space="preserve">. </w:t>
      </w:r>
      <w:r w:rsidR="002C25F5" w:rsidRPr="002966C0">
        <w:t>The attributes and their respective levels</w:t>
      </w:r>
      <w:r w:rsidR="00122011" w:rsidRPr="002966C0">
        <w:t xml:space="preserve"> are presented in Table 1, along with </w:t>
      </w:r>
      <w:r w:rsidR="002C25F5" w:rsidRPr="002966C0">
        <w:t xml:space="preserve">a sample </w:t>
      </w:r>
      <w:r w:rsidR="00122011" w:rsidRPr="002966C0">
        <w:t>SP</w:t>
      </w:r>
      <w:r w:rsidR="002C25F5" w:rsidRPr="002966C0">
        <w:t xml:space="preserve"> WPL question</w:t>
      </w:r>
      <w:r w:rsidR="00122011" w:rsidRPr="002966C0">
        <w:t xml:space="preserve"> in Figure 1. Different </w:t>
      </w:r>
      <w:r w:rsidR="00122011">
        <w:t xml:space="preserve">from typical SP choice experiments (see, for example, </w:t>
      </w:r>
      <w:proofErr w:type="spellStart"/>
      <w:r w:rsidR="00122011">
        <w:t>Hensher</w:t>
      </w:r>
      <w:proofErr w:type="spellEnd"/>
      <w:r w:rsidR="00122011">
        <w:t xml:space="preserve"> et al., 20</w:t>
      </w:r>
      <w:r w:rsidR="001C31FD">
        <w:t>21</w:t>
      </w:r>
      <w:r w:rsidR="00122011">
        <w:t xml:space="preserve">) that elicit a single choice response (as also undertaken by </w:t>
      </w:r>
      <w:r w:rsidR="00757E6F">
        <w:t xml:space="preserve">AM </w:t>
      </w:r>
      <w:r w:rsidR="00122011" w:rsidRPr="00060CB6">
        <w:t>et al.</w:t>
      </w:r>
      <w:r w:rsidR="00540A1A">
        <w:t>, 2022</w:t>
      </w:r>
      <w:r w:rsidR="00122011">
        <w:t>), we use a horizontal choice structure approach to elicit responses where the respondent decides an optimal combination of allocation of the total number of work days across the three WPL locations.</w:t>
      </w:r>
      <w:r w:rsidR="005006CE">
        <w:t xml:space="preserve"> </w:t>
      </w:r>
      <w:r w:rsidR="002C25F5" w:rsidRPr="00E12BCB">
        <w:t xml:space="preserve">The attribute levels </w:t>
      </w:r>
      <w:r w:rsidR="005006CE">
        <w:t xml:space="preserve">(for the experiment) themselves </w:t>
      </w:r>
      <w:r w:rsidR="002C25F5" w:rsidRPr="00E12BCB">
        <w:t>were de</w:t>
      </w:r>
      <w:r w:rsidR="002C25F5">
        <w:t>signed</w:t>
      </w:r>
      <w:r w:rsidR="002C25F5" w:rsidRPr="00E12BCB">
        <w:t xml:space="preserve"> with </w:t>
      </w:r>
      <w:r w:rsidR="00122011">
        <w:t xml:space="preserve">the </w:t>
      </w:r>
      <w:r w:rsidR="002C25F5">
        <w:t xml:space="preserve">intention to </w:t>
      </w:r>
      <w:r w:rsidR="002C25F5" w:rsidRPr="00E12BCB">
        <w:t xml:space="preserve">keep the scenarios realistic, while </w:t>
      </w:r>
      <w:r w:rsidR="00122011">
        <w:t xml:space="preserve">engendering good </w:t>
      </w:r>
      <w:r w:rsidR="002C25F5" w:rsidRPr="00E12BCB">
        <w:t>variability in the attribute values across scenarios.</w:t>
      </w:r>
      <w:r w:rsidR="002C25F5">
        <w:t xml:space="preserve"> In all, t</w:t>
      </w:r>
      <w:r w:rsidR="002C25F5" w:rsidRPr="00E12BCB">
        <w:t xml:space="preserve">here were 23,040 possible combinations of the attribute levels. From these combinations, a fractional factorial design </w:t>
      </w:r>
      <w:r w:rsidR="002C25F5">
        <w:t xml:space="preserve">selected </w:t>
      </w:r>
      <w:r w:rsidR="002C25F5" w:rsidRPr="00E12BCB">
        <w:t xml:space="preserve">40 different scenarios with the emphasis on isolating main effects </w:t>
      </w:r>
      <w:r w:rsidR="00122011">
        <w:t xml:space="preserve">and, to some limited extent, two-way and higher-order interaction effects. </w:t>
      </w:r>
      <w:r w:rsidR="007E514E" w:rsidRPr="000E0C39">
        <w:t xml:space="preserve">It is clearly infeasible to present </w:t>
      </w:r>
      <w:r w:rsidR="005C0838">
        <w:t>40</w:t>
      </w:r>
      <w:r w:rsidR="007E514E" w:rsidRPr="000E0C39">
        <w:t xml:space="preserve"> SP choice questions to each respondent, and hence we </w:t>
      </w:r>
      <w:r w:rsidR="004F5F68">
        <w:t xml:space="preserve">used the randomization feature in the survey design software Qualtrics to randomly assign two of the 40 SP questions to each respondent. The randomization feature automatically monitors the frequency of </w:t>
      </w:r>
      <w:r w:rsidR="001B3839">
        <w:t xml:space="preserve">presentation of </w:t>
      </w:r>
      <w:r w:rsidR="004F5F68">
        <w:t xml:space="preserve">each of the 40 questions </w:t>
      </w:r>
      <w:r w:rsidR="001B3839">
        <w:t>to respondents</w:t>
      </w:r>
      <w:r w:rsidR="004F5F68">
        <w:t xml:space="preserve">, in order to evenly pace and distribute every one of the 40 questions throughout the entire sample of responses. </w:t>
      </w:r>
    </w:p>
    <w:p w14:paraId="7C02CDDF" w14:textId="77777777" w:rsidR="007E6974" w:rsidRDefault="007E6974" w:rsidP="00B40ED1">
      <w:pPr>
        <w:spacing w:after="0"/>
      </w:pPr>
    </w:p>
    <w:p w14:paraId="01484DED" w14:textId="01B9CE16" w:rsidR="002D27F0" w:rsidRPr="00740334" w:rsidRDefault="00E53A83" w:rsidP="00B40ED1">
      <w:pPr>
        <w:pStyle w:val="Heading2"/>
        <w:numPr>
          <w:ilvl w:val="1"/>
          <w:numId w:val="1"/>
        </w:numPr>
        <w:tabs>
          <w:tab w:val="left" w:pos="540"/>
        </w:tabs>
        <w:spacing w:before="0"/>
        <w:ind w:left="450"/>
      </w:pPr>
      <w:r w:rsidRPr="00BA296F">
        <w:t>Sample</w:t>
      </w:r>
      <w:r w:rsidR="002D27F0" w:rsidRPr="00BA296F">
        <w:t xml:space="preserve"> Description</w:t>
      </w:r>
      <w:r w:rsidR="00DB2471" w:rsidRPr="00BA296F">
        <w:t xml:space="preserve"> </w:t>
      </w:r>
    </w:p>
    <w:p w14:paraId="3EA56314" w14:textId="65595BF0" w:rsidR="007E6974" w:rsidRDefault="00E53A83" w:rsidP="00B40ED1">
      <w:pPr>
        <w:spacing w:after="0"/>
      </w:pPr>
      <w:r>
        <w:t>W</w:t>
      </w:r>
      <w:r w:rsidR="00027E41">
        <w:t xml:space="preserve">e are unable to compare the individual-level </w:t>
      </w:r>
      <w:r>
        <w:t xml:space="preserve">demographic </w:t>
      </w:r>
      <w:r w:rsidR="00027E41">
        <w:t xml:space="preserve">characteristics with the Census Bureau data or the five-year American Community Survey, because these latter databases do not distinguish between employed and non-employed individuals. </w:t>
      </w:r>
      <w:r w:rsidR="000C1E44">
        <w:t>But, in terms of geographic WPL attributes and job characteristics,</w:t>
      </w:r>
      <w:r w:rsidR="000C2815">
        <w:t xml:space="preserve"> </w:t>
      </w:r>
      <w:r w:rsidR="00424F6C">
        <w:t>we are able to compare our sample statistics with those drawn from</w:t>
      </w:r>
      <w:r w:rsidR="007B444E">
        <w:t xml:space="preserve"> the </w:t>
      </w:r>
      <w:r w:rsidR="001F244B">
        <w:t xml:space="preserve">2020 </w:t>
      </w:r>
      <w:r w:rsidR="007B444E">
        <w:t xml:space="preserve">Texas Census </w:t>
      </w:r>
      <w:r w:rsidR="001F244B">
        <w:t xml:space="preserve">(Texas Demographic Center, 2022). </w:t>
      </w:r>
      <w:r w:rsidR="00424F6C">
        <w:t>O</w:t>
      </w:r>
      <w:r w:rsidR="002D27F0">
        <w:t xml:space="preserve">ur sample slightly </w:t>
      </w:r>
      <w:r w:rsidR="00E21168">
        <w:t xml:space="preserve">overrepresents </w:t>
      </w:r>
      <w:r w:rsidR="002D27F0">
        <w:t xml:space="preserve">the self-employed population in Texas </w:t>
      </w:r>
      <w:r w:rsidR="00E21168">
        <w:t xml:space="preserve">(16.8% </w:t>
      </w:r>
      <w:r w:rsidR="002D27F0">
        <w:t xml:space="preserve">of the sample </w:t>
      </w:r>
      <w:r w:rsidR="000C1E44">
        <w:t xml:space="preserve">relative to 7% </w:t>
      </w:r>
      <w:r w:rsidR="002D27F0">
        <w:t>self-employed in Texas</w:t>
      </w:r>
      <w:r w:rsidR="00424F6C">
        <w:t xml:space="preserve"> as identified in </w:t>
      </w:r>
      <w:r w:rsidR="001F244B">
        <w:t xml:space="preserve">the 2020 Texas Census). </w:t>
      </w:r>
      <w:r w:rsidR="00725DC2">
        <w:t>On the other hand</w:t>
      </w:r>
      <w:r w:rsidR="002D27F0">
        <w:t xml:space="preserve">, our sample underrepresents part-time employees </w:t>
      </w:r>
      <w:r w:rsidR="00E21168">
        <w:t xml:space="preserve">(6.6% </w:t>
      </w:r>
      <w:r w:rsidR="002D27F0">
        <w:t>as compared with 11.4% of the Texas population).</w:t>
      </w:r>
      <w:r w:rsidR="000C1E44">
        <w:t xml:space="preserve"> </w:t>
      </w:r>
      <w:bookmarkStart w:id="9" w:name="_Hlk125853671"/>
      <w:r w:rsidR="000C1E44">
        <w:t xml:space="preserve">But </w:t>
      </w:r>
      <w:r w:rsidR="002D27F0">
        <w:t>our sample is pretty representative of industry t</w:t>
      </w:r>
      <w:r w:rsidR="000C1E44">
        <w:t xml:space="preserve">ypes. </w:t>
      </w:r>
      <w:r w:rsidR="000C2815">
        <w:t>Also, in terms of commute times, t</w:t>
      </w:r>
      <w:r w:rsidR="002D27F0">
        <w:t>he average</w:t>
      </w:r>
      <w:r w:rsidR="000C2815">
        <w:t xml:space="preserve"> one-way commute time </w:t>
      </w:r>
      <w:r w:rsidR="002D27F0">
        <w:t>in Texas is 26.</w:t>
      </w:r>
      <w:r w:rsidR="00BA296F">
        <w:t xml:space="preserve">4 </w:t>
      </w:r>
      <w:r w:rsidR="002D27F0">
        <w:t xml:space="preserve">minutes, while our sample’s average commute time is </w:t>
      </w:r>
      <w:r w:rsidR="002D27F0">
        <w:lastRenderedPageBreak/>
        <w:t xml:space="preserve">25.2 minutes. Similarly, the average number of days an employee works in a month is 22 days, and our sample reported working an average of 21.5 days. </w:t>
      </w:r>
      <w:bookmarkStart w:id="10" w:name="_Hlk125853586"/>
      <w:bookmarkEnd w:id="9"/>
      <w:r w:rsidR="002D27F0">
        <w:t>Additionally, before COVID, about 5% of Texans worked from home every day, wh</w:t>
      </w:r>
      <w:r w:rsidR="00B90C1D">
        <w:t>ile</w:t>
      </w:r>
      <w:r w:rsidR="002D27F0">
        <w:t xml:space="preserve"> 9.3% reported </w:t>
      </w:r>
      <w:r w:rsidR="00B90C1D">
        <w:t xml:space="preserve">doing so </w:t>
      </w:r>
      <w:r w:rsidR="002D27F0">
        <w:t>to in our sample</w:t>
      </w:r>
      <w:r w:rsidR="00932190">
        <w:t xml:space="preserve">. </w:t>
      </w:r>
      <w:r w:rsidR="00424F6C">
        <w:t>T</w:t>
      </w:r>
      <w:r w:rsidR="002D27F0">
        <w:t>hese numbers increase to 22% and 19.</w:t>
      </w:r>
      <w:r w:rsidR="00A06A74">
        <w:t>4</w:t>
      </w:r>
      <w:r w:rsidR="002D27F0">
        <w:t xml:space="preserve">%, respectively, when considering if an employee worked from home </w:t>
      </w:r>
      <w:r w:rsidR="00A06A74">
        <w:t xml:space="preserve">at least once a week. </w:t>
      </w:r>
      <w:bookmarkStart w:id="11" w:name="_Hlk125874530"/>
      <w:r w:rsidR="00D613C7">
        <w:t>Additionally</w:t>
      </w:r>
      <w:r w:rsidR="00FF5112">
        <w:t>, about 50% in our sample never worked remotely pre-COVID, which is close to the 47% in the population that never worked remotely</w:t>
      </w:r>
      <w:r w:rsidR="00D613C7">
        <w:t>.</w:t>
      </w:r>
      <w:r w:rsidR="00FF5112">
        <w:t xml:space="preserve"> </w:t>
      </w:r>
      <w:r w:rsidR="00A670E6">
        <w:t>The above statistics do suggest that our sample reasonably represent</w:t>
      </w:r>
      <w:r w:rsidR="001656CE">
        <w:t>s</w:t>
      </w:r>
      <w:r w:rsidR="00A670E6">
        <w:t xml:space="preserve"> characteristics of the employed population in Texas</w:t>
      </w:r>
      <w:bookmarkEnd w:id="11"/>
      <w:r w:rsidR="001656CE">
        <w:t xml:space="preserve">; </w:t>
      </w:r>
      <w:r w:rsidR="00A670E6">
        <w:t xml:space="preserve">the desired WPL status in the future as expressed in our sample may be </w:t>
      </w:r>
      <w:r w:rsidR="001656CE">
        <w:t xml:space="preserve">considered a good </w:t>
      </w:r>
      <w:r w:rsidR="00A670E6">
        <w:t xml:space="preserve">reflection of the </w:t>
      </w:r>
      <w:r w:rsidR="00AD0057">
        <w:t xml:space="preserve">future WPL </w:t>
      </w:r>
      <w:r w:rsidR="00A670E6">
        <w:t>desires of the Texas employed population</w:t>
      </w:r>
      <w:r w:rsidR="001656CE">
        <w:t xml:space="preserve"> as a whole</w:t>
      </w:r>
      <w:r w:rsidR="00A670E6">
        <w:t>.</w:t>
      </w:r>
      <w:r w:rsidR="007A5D2B">
        <w:t xml:space="preserve"> </w:t>
      </w:r>
      <w:bookmarkEnd w:id="10"/>
      <w:r w:rsidR="007A5D2B">
        <w:t xml:space="preserve">We include a detailed table of the sample’s descriptive statistics in an online supplement (available at </w:t>
      </w:r>
      <w:hyperlink r:id="rId13" w:tgtFrame="_blank" w:history="1">
        <w:r w:rsidR="007A5D2B" w:rsidRPr="00152376">
          <w:rPr>
            <w:rStyle w:val="Hyperlink"/>
            <w:color w:val="1155CC"/>
            <w:shd w:val="clear" w:color="auto" w:fill="FFFFFF"/>
          </w:rPr>
          <w:t>https://www.caee.utexas.edu/prof/bhat/ABSTRACTS/WPLSP/OnlineSupp.pdf</w:t>
        </w:r>
      </w:hyperlink>
      <w:r w:rsidR="007A5D2B" w:rsidRPr="00152376">
        <w:t>)</w:t>
      </w:r>
      <w:r w:rsidR="007A5D2B">
        <w:t xml:space="preserve">. </w:t>
      </w:r>
    </w:p>
    <w:p w14:paraId="71818766" w14:textId="36F522B4" w:rsidR="007E6974" w:rsidRDefault="00A670E6" w:rsidP="00B40ED1">
      <w:pPr>
        <w:spacing w:after="0"/>
        <w:ind w:firstLine="720"/>
      </w:pPr>
      <w:r>
        <w:t xml:space="preserve"> </w:t>
      </w:r>
      <w:r w:rsidR="00E53A83">
        <w:t>In terms of the main outcome variable of analysis, a</w:t>
      </w:r>
      <w:r w:rsidR="00426C7F">
        <w:t>s previously mentioned, there are two dimensions (or components) related to WPL choice</w:t>
      </w:r>
      <w:r w:rsidR="00E53A83">
        <w:t>:</w:t>
      </w:r>
      <w:r w:rsidR="00426C7F">
        <w:t xml:space="preserve"> </w:t>
      </w:r>
      <w:r w:rsidR="00E53A83">
        <w:t>a</w:t>
      </w:r>
      <w:r w:rsidR="00426C7F" w:rsidRPr="00D21654">
        <w:t xml:space="preserve"> discrete component </w:t>
      </w:r>
      <w:r w:rsidR="00E53A83">
        <w:t xml:space="preserve">associated with </w:t>
      </w:r>
      <w:r w:rsidR="00426C7F" w:rsidRPr="00D21654">
        <w:t xml:space="preserve">whether an individual </w:t>
      </w:r>
      <w:r w:rsidR="00757E6F">
        <w:t xml:space="preserve">desires to </w:t>
      </w:r>
      <w:r w:rsidR="00426C7F" w:rsidRPr="00D21654">
        <w:t>partake in a specific work location arrangement at all or n</w:t>
      </w:r>
      <w:r w:rsidR="00E53A83">
        <w:t>ot</w:t>
      </w:r>
      <w:r w:rsidR="00426C7F">
        <w:t xml:space="preserve"> (the preference dimension)</w:t>
      </w:r>
      <w:r w:rsidR="00426C7F" w:rsidRPr="00D21654">
        <w:t>, an</w:t>
      </w:r>
      <w:r w:rsidR="00E53A83">
        <w:t>d a</w:t>
      </w:r>
      <w:r w:rsidR="00426C7F" w:rsidRPr="00D21654">
        <w:t xml:space="preserve"> continuous component </w:t>
      </w:r>
      <w:r w:rsidR="00E53A83">
        <w:t xml:space="preserve">referring </w:t>
      </w:r>
      <w:r w:rsidR="00426C7F" w:rsidRPr="00D21654">
        <w:t xml:space="preserve">to the </w:t>
      </w:r>
      <w:r w:rsidR="007D3D74">
        <w:t>number</w:t>
      </w:r>
      <w:r w:rsidR="00426C7F" w:rsidRPr="00D21654">
        <w:t xml:space="preserve"> of work day insta</w:t>
      </w:r>
      <w:r w:rsidR="00757E6F">
        <w:t xml:space="preserve">nces </w:t>
      </w:r>
      <w:r w:rsidR="00426C7F">
        <w:t xml:space="preserve">of each </w:t>
      </w:r>
      <w:r w:rsidR="00E53A83">
        <w:t>WPL alternative if that WPL alternative has positive participation.</w:t>
      </w:r>
      <w:r w:rsidR="007D3D74">
        <w:rPr>
          <w:rStyle w:val="FootnoteReference"/>
          <w:color w:val="000000"/>
        </w:rPr>
        <w:footnoteReference w:id="6"/>
      </w:r>
      <w:r w:rsidR="007D3D74">
        <w:rPr>
          <w:b/>
        </w:rPr>
        <w:t xml:space="preserve"> </w:t>
      </w:r>
      <w:r w:rsidR="00F524A9">
        <w:t xml:space="preserve">Table </w:t>
      </w:r>
      <w:r w:rsidR="00297182">
        <w:t xml:space="preserve">2 </w:t>
      </w:r>
      <w:r w:rsidR="00F524A9">
        <w:t>provides t</w:t>
      </w:r>
      <w:r w:rsidR="00411137">
        <w:t xml:space="preserve">he descriptive statistics of the discrete </w:t>
      </w:r>
      <w:r w:rsidR="00BA053E">
        <w:t xml:space="preserve">and continuous </w:t>
      </w:r>
      <w:r w:rsidR="00411137">
        <w:t>component</w:t>
      </w:r>
      <w:r w:rsidR="00BA053E">
        <w:t>s</w:t>
      </w:r>
      <w:r w:rsidR="00411137">
        <w:t xml:space="preserve"> </w:t>
      </w:r>
      <w:r w:rsidR="001656CE">
        <w:t>ac</w:t>
      </w:r>
      <w:r w:rsidR="001656CE" w:rsidRPr="00FD3C5B">
        <w:t>ross the 2,272 choice occasions</w:t>
      </w:r>
      <w:r w:rsidR="00BA053E">
        <w:t xml:space="preserve">. The second and third columns indicate the number (percentage) of occasions involving the choice of each WPL alternative and the mean </w:t>
      </w:r>
      <w:r w:rsidR="00084489">
        <w:t xml:space="preserve">number of days </w:t>
      </w:r>
      <w:r w:rsidR="00BA053E">
        <w:t xml:space="preserve">of participation conditional on positive participation in each WPL, respectively. </w:t>
      </w:r>
      <w:r w:rsidR="00E44D4B">
        <w:t>Two</w:t>
      </w:r>
      <w:r w:rsidR="00BA053E">
        <w:t xml:space="preserve"> observations may be made from the statistics in these two columns.  First, the home and work office alternatives are about equally chosen with close to about 70% participation, while the third WPL location is less likely to be chosen at only 14.5%. </w:t>
      </w:r>
      <w:r w:rsidR="00047CC3">
        <w:t xml:space="preserve">Second, conditional on each of the home and work office locations being selected as options, each of these alternatives has a mean </w:t>
      </w:r>
      <w:r w:rsidR="00B72D15">
        <w:t xml:space="preserve">number of days of </w:t>
      </w:r>
      <w:r w:rsidR="00B72D15" w:rsidRPr="002C51A0">
        <w:t>participation</w:t>
      </w:r>
      <w:r w:rsidR="00047CC3" w:rsidRPr="002C51A0">
        <w:t xml:space="preserve"> of about </w:t>
      </w:r>
      <w:r w:rsidR="00D20D54" w:rsidRPr="002C51A0">
        <w:t>14.5</w:t>
      </w:r>
      <w:r w:rsidR="00BA296F" w:rsidRPr="002C51A0">
        <w:t xml:space="preserve"> </w:t>
      </w:r>
      <w:r w:rsidR="00B72D15" w:rsidRPr="002C51A0">
        <w:t>days</w:t>
      </w:r>
      <w:r w:rsidR="00BA296F" w:rsidRPr="002C51A0">
        <w:t xml:space="preserve"> </w:t>
      </w:r>
      <w:r w:rsidR="00B72D15" w:rsidRPr="002C51A0">
        <w:t>per month</w:t>
      </w:r>
      <w:r w:rsidR="00047CC3" w:rsidRPr="002C51A0">
        <w:t>. On the other hand, the third WPL location, even when chosen</w:t>
      </w:r>
      <w:r w:rsidR="00047CC3">
        <w:t xml:space="preserve">, has a mean </w:t>
      </w:r>
      <w:r w:rsidR="00B72D15">
        <w:t>number of days of participation of about 7 days</w:t>
      </w:r>
      <w:r w:rsidR="00047CC3">
        <w:t xml:space="preserve">. </w:t>
      </w:r>
      <w:r w:rsidR="00BA053E">
        <w:t>Th</w:t>
      </w:r>
      <w:r w:rsidR="00047CC3">
        <w:t>ese</w:t>
      </w:r>
      <w:r w:rsidR="00BA053E">
        <w:t xml:space="preserve"> suggest an overall high baseline preference</w:t>
      </w:r>
      <w:r w:rsidR="00047CC3">
        <w:t xml:space="preserve"> (high discrete participation) and relatively low satiation effect (high participation intensity) for the home and work office WPLs, and an overall low baseline preference (low discrete participation) and high satiation effect (low participation intensity) for the third WPL.</w:t>
      </w:r>
    </w:p>
    <w:p w14:paraId="1F381DA9" w14:textId="4ACBC672" w:rsidR="007E6974" w:rsidRDefault="00047CC3" w:rsidP="00B40ED1">
      <w:pPr>
        <w:spacing w:after="0"/>
        <w:ind w:firstLine="720"/>
      </w:pPr>
      <w:r>
        <w:t xml:space="preserve"> </w:t>
      </w:r>
      <w:r w:rsidR="00BA053E">
        <w:t xml:space="preserve">The last </w:t>
      </w:r>
      <w:r w:rsidR="00EB2A89">
        <w:t xml:space="preserve">broad </w:t>
      </w:r>
      <w:r w:rsidR="00BA053E">
        <w:t xml:space="preserve">column </w:t>
      </w:r>
      <w:r w:rsidR="00EB2A89">
        <w:t>of</w:t>
      </w:r>
      <w:r w:rsidR="00BA053E">
        <w:t xml:space="preserve"> Table </w:t>
      </w:r>
      <w:r w:rsidR="00297182">
        <w:t xml:space="preserve">2 </w:t>
      </w:r>
      <w:r w:rsidR="00EB2A89">
        <w:t>provides</w:t>
      </w:r>
      <w:r w:rsidR="00BA053E">
        <w:t xml:space="preserve"> the split </w:t>
      </w:r>
      <w:r w:rsidR="00EB2A89">
        <w:t>among the four possible</w:t>
      </w:r>
      <w:r w:rsidR="00E44D4B">
        <w:t xml:space="preserve"> WPL combinations for each WPL alternative. </w:t>
      </w:r>
      <w:r w:rsidR="00BA053E">
        <w:t>Thus, the number</w:t>
      </w:r>
      <w:r w:rsidR="00E44D4B">
        <w:t xml:space="preserve">s in the </w:t>
      </w:r>
      <w:r w:rsidR="00050BEF">
        <w:t>second</w:t>
      </w:r>
      <w:r w:rsidR="00E44D4B">
        <w:t xml:space="preserve"> row indicate that, of the 1635 choice occasions in which “Home” is chosen as a WPL location, 599 occasions </w:t>
      </w:r>
      <w:r w:rsidR="00050BEF">
        <w:t xml:space="preserve">(36.6% of 1635) </w:t>
      </w:r>
      <w:r w:rsidR="00E44D4B">
        <w:t xml:space="preserve">involve only the “Home” as </w:t>
      </w:r>
      <w:r w:rsidR="00EB2A89">
        <w:t>the selected</w:t>
      </w:r>
      <w:r w:rsidR="00E44D4B">
        <w:t xml:space="preserve"> WPL location</w:t>
      </w:r>
      <w:r w:rsidR="00EB2A89">
        <w:t xml:space="preserve"> over the entire monthly period of employment</w:t>
      </w:r>
      <w:r w:rsidR="00050BEF">
        <w:t xml:space="preserve">, while 771 occasions (47.2% of 1635) involve </w:t>
      </w:r>
      <w:r w:rsidR="00EB2A89">
        <w:t xml:space="preserve">a mix of days of </w:t>
      </w:r>
      <w:r w:rsidR="00050BEF">
        <w:t xml:space="preserve">working from home </w:t>
      </w:r>
      <w:r w:rsidR="00050BEF">
        <w:lastRenderedPageBreak/>
        <w:t xml:space="preserve">and work office, 83 occasions (5.1% of 1635) involve </w:t>
      </w:r>
      <w:r w:rsidR="00EB2A89">
        <w:t xml:space="preserve">a mix of days of </w:t>
      </w:r>
      <w:r w:rsidR="00050BEF">
        <w:t xml:space="preserve">working from home and a third WPL, and 182 (11.1% of 1685) involve </w:t>
      </w:r>
      <w:r w:rsidR="00EB2A89">
        <w:t xml:space="preserve">a mix of days of </w:t>
      </w:r>
      <w:r w:rsidR="00050BEF">
        <w:t xml:space="preserve">working from all three of the WPLs. The numbers in the subsequent two rows can be similarly interpreted. These numbers clearly indicate that WPL </w:t>
      </w:r>
      <w:r w:rsidR="00EB2A89">
        <w:t xml:space="preserve">stated </w:t>
      </w:r>
      <w:r w:rsidR="00050BEF">
        <w:t>choice</w:t>
      </w:r>
      <w:r w:rsidR="00EB2A89">
        <w:t>s</w:t>
      </w:r>
      <w:r w:rsidR="00050BEF">
        <w:t xml:space="preserve"> over a period of a month is a multiple discrete situation, with close to 47.2% of the occasions involving the choice of a hybrid of WPLs rather than a single WPL to work from (a total of 599+572+29=1200 occasions or 52.8% of the 2,272 occasions involve the choice of a single WPL on all days of work</w:t>
      </w:r>
      <w:r w:rsidR="001B3839">
        <w:t xml:space="preserve">; 26.3% of the occasions involve working only from home; the corresponding percentages for work office and third WPL are 25.1% and 1.4%, respectively). </w:t>
      </w:r>
      <w:r w:rsidR="00EB2A89">
        <w:t xml:space="preserve">Also, the splits across the different WPL combinations when each of the home and work offices are chosen as an alternative are quite similar (see the numbers in the second and third rows), except that it is more likely that the combination of home and a third WPL is chosen than the combination of work office and a third WPL. Additionally, the last row of Table </w:t>
      </w:r>
      <w:r w:rsidR="00297182">
        <w:t xml:space="preserve">2 </w:t>
      </w:r>
      <w:r w:rsidR="00EB2A89">
        <w:t xml:space="preserve">indicates that the third WPL is much less likely to be participated in as the sole location for work across all days of employment over the month (this occurs only 8.8% of the time when WPL is chosen as an alternative). Basically, </w:t>
      </w:r>
      <w:r w:rsidR="003A57CD">
        <w:t xml:space="preserve">the third </w:t>
      </w:r>
      <w:r w:rsidR="00EB2A89">
        <w:t xml:space="preserve">WPL is most likely to be participated in within </w:t>
      </w:r>
      <w:r w:rsidR="003A57CD">
        <w:t xml:space="preserve">a hybrid combination of all three WPLs together (this happens in 55.2% of occasions when the third WPL is chosen as an alternative; see the last row and last column of Table </w:t>
      </w:r>
      <w:r w:rsidR="00297182">
        <w:t>2</w:t>
      </w:r>
      <w:r w:rsidR="003A57CD">
        <w:t>).</w:t>
      </w:r>
    </w:p>
    <w:p w14:paraId="322EBA9B" w14:textId="7EA9C93D" w:rsidR="007E6974" w:rsidRDefault="004D7F6A" w:rsidP="00B40ED1">
      <w:pPr>
        <w:spacing w:after="0"/>
        <w:ind w:firstLine="720"/>
      </w:pPr>
      <w:r w:rsidRPr="002C51A0">
        <w:t>A</w:t>
      </w:r>
      <w:r w:rsidR="003A57CD" w:rsidRPr="002C51A0">
        <w:t xml:space="preserve">cross all the 2,272 choice occasions, the mean </w:t>
      </w:r>
      <w:r w:rsidR="00CA0D27" w:rsidRPr="002C51A0">
        <w:t xml:space="preserve">number </w:t>
      </w:r>
      <w:r w:rsidR="003A57CD" w:rsidRPr="002C51A0">
        <w:t xml:space="preserve">of </w:t>
      </w:r>
      <w:r w:rsidR="00CA0D27" w:rsidRPr="002C51A0">
        <w:t xml:space="preserve">days of </w:t>
      </w:r>
      <w:r w:rsidR="003A57CD" w:rsidRPr="002C51A0">
        <w:t xml:space="preserve">participation in each of the three WPLs are as follows: </w:t>
      </w:r>
      <w:r w:rsidR="00297182" w:rsidRPr="002C51A0">
        <w:t>home (1</w:t>
      </w:r>
      <w:r w:rsidR="002C51A0" w:rsidRPr="002C51A0">
        <w:t>0</w:t>
      </w:r>
      <w:r w:rsidR="00297182" w:rsidRPr="002C51A0">
        <w:t xml:space="preserve">.5), </w:t>
      </w:r>
      <w:r w:rsidR="00DB2471" w:rsidRPr="002C51A0">
        <w:t xml:space="preserve">work office </w:t>
      </w:r>
      <w:r w:rsidR="00297182" w:rsidRPr="002C51A0">
        <w:t>(</w:t>
      </w:r>
      <w:r w:rsidR="002C51A0" w:rsidRPr="002C51A0">
        <w:t>10.0</w:t>
      </w:r>
      <w:r w:rsidR="00297182" w:rsidRPr="002C51A0">
        <w:t xml:space="preserve">), </w:t>
      </w:r>
      <w:r w:rsidR="003A57CD" w:rsidRPr="002C51A0">
        <w:t xml:space="preserve">and third WPL </w:t>
      </w:r>
      <w:r w:rsidR="00297182" w:rsidRPr="002C51A0">
        <w:t>(</w:t>
      </w:r>
      <w:r w:rsidR="002C51A0" w:rsidRPr="002C51A0">
        <w:t>1.0</w:t>
      </w:r>
      <w:r w:rsidR="00297182" w:rsidRPr="002C51A0">
        <w:t>)</w:t>
      </w:r>
      <w:r w:rsidR="001B3839">
        <w:t>, totaling up to the mean number of 21.5 work days per month in the sample.</w:t>
      </w:r>
    </w:p>
    <w:p w14:paraId="24E2E754" w14:textId="46D69C15" w:rsidR="003A57CD" w:rsidRDefault="001B3839" w:rsidP="00B40ED1">
      <w:pPr>
        <w:spacing w:after="0"/>
      </w:pPr>
      <w:r>
        <w:t xml:space="preserve"> </w:t>
      </w:r>
      <w:r w:rsidR="00297182">
        <w:t xml:space="preserve"> </w:t>
      </w:r>
      <w:r w:rsidR="00D20D54">
        <w:t xml:space="preserve"> </w:t>
      </w:r>
    </w:p>
    <w:p w14:paraId="1D8D0FB9" w14:textId="75412F8D" w:rsidR="003B15D0" w:rsidRDefault="0046654E" w:rsidP="00B40ED1">
      <w:pPr>
        <w:pStyle w:val="Heading2"/>
        <w:numPr>
          <w:ilvl w:val="1"/>
          <w:numId w:val="1"/>
        </w:numPr>
        <w:spacing w:before="0"/>
        <w:ind w:left="450"/>
      </w:pPr>
      <w:r w:rsidRPr="00740334">
        <w:t xml:space="preserve">Modeling </w:t>
      </w:r>
      <w:bookmarkStart w:id="12" w:name="_Hlk101342985"/>
      <w:r w:rsidR="003B15D0" w:rsidRPr="000A11D4">
        <w:t>Framework</w:t>
      </w:r>
    </w:p>
    <w:p w14:paraId="13D38954" w14:textId="0C994B4C" w:rsidR="00551D7C" w:rsidRDefault="00551D7C" w:rsidP="00B40ED1">
      <w:pPr>
        <w:spacing w:after="0"/>
      </w:pPr>
      <w:bookmarkStart w:id="13" w:name="_Hlk125774472"/>
      <w:bookmarkEnd w:id="12"/>
      <w:r w:rsidRPr="00F11C5E">
        <w:t xml:space="preserve">In this paper, a </w:t>
      </w:r>
      <w:r>
        <w:t xml:space="preserve">panel version of the </w:t>
      </w:r>
      <w:r w:rsidRPr="00F11C5E">
        <w:t>mixed multiple discrete-continuous extreme value (MMDCEV) model</w:t>
      </w:r>
      <w:r>
        <w:t xml:space="preserve"> (see Bhat, 2008, </w:t>
      </w:r>
      <w:proofErr w:type="spellStart"/>
      <w:r>
        <w:t>Spissu</w:t>
      </w:r>
      <w:proofErr w:type="spellEnd"/>
      <w:r>
        <w:t xml:space="preserve"> et al., 2009)</w:t>
      </w:r>
      <w:r w:rsidRPr="00F11C5E">
        <w:t xml:space="preserve"> is </w:t>
      </w:r>
      <w:r>
        <w:t>implemented</w:t>
      </w:r>
      <w:r w:rsidRPr="00F11C5E">
        <w:t xml:space="preserve"> to analyze </w:t>
      </w:r>
      <w:r>
        <w:t>individual’s monthly split of workplace location choices in the followin</w:t>
      </w:r>
      <w:r w:rsidRPr="003F53C3">
        <w:t xml:space="preserve">g three categories: (1) Work from home, (2) Work from in-person </w:t>
      </w:r>
      <w:r w:rsidR="006476E7">
        <w:t xml:space="preserve">work </w:t>
      </w:r>
      <w:r w:rsidRPr="003F53C3">
        <w:t xml:space="preserve">office, and (3) </w:t>
      </w:r>
      <w:r w:rsidRPr="00F207F8">
        <w:t>Work from a third work</w:t>
      </w:r>
      <w:r w:rsidR="0051625A" w:rsidRPr="00F207F8">
        <w:t xml:space="preserve"> </w:t>
      </w:r>
      <w:r w:rsidRPr="00F207F8">
        <w:t>place.</w:t>
      </w:r>
      <w:r w:rsidR="00932693" w:rsidRPr="00F207F8">
        <w:t xml:space="preserve"> The model was estimated using libraries and routines written by the research team in </w:t>
      </w:r>
      <w:r w:rsidR="00507DBB" w:rsidRPr="00F207F8">
        <w:t xml:space="preserve">the </w:t>
      </w:r>
      <w:r w:rsidR="00932693" w:rsidRPr="00F207F8">
        <w:t>G</w:t>
      </w:r>
      <w:r w:rsidR="00507DBB" w:rsidRPr="00F207F8">
        <w:t xml:space="preserve">AUSS matrix programming language (Aptech, </w:t>
      </w:r>
      <w:r w:rsidR="00F207F8" w:rsidRPr="00F207F8">
        <w:t>2022</w:t>
      </w:r>
      <w:r w:rsidR="00507DBB" w:rsidRPr="00F207F8">
        <w:t>)</w:t>
      </w:r>
      <w:r w:rsidR="00932693" w:rsidRPr="00F207F8">
        <w:t>.</w:t>
      </w:r>
    </w:p>
    <w:bookmarkEnd w:id="13"/>
    <w:p w14:paraId="35481D9A" w14:textId="65909E54" w:rsidR="00551D7C" w:rsidRDefault="00551D7C" w:rsidP="00B40ED1">
      <w:pPr>
        <w:spacing w:after="0"/>
        <w:ind w:firstLine="720"/>
      </w:pPr>
      <w:r w:rsidRPr="00F11C5E">
        <w:t>The model formulation accommodates heterogeneity (</w:t>
      </w:r>
      <w:r w:rsidRPr="00F11C5E">
        <w:rPr>
          <w:i/>
        </w:rPr>
        <w:t>i.e.</w:t>
      </w:r>
      <w:r w:rsidRPr="00F11C5E">
        <w:t>, differences in behavior) across individuals due to both observed and unobserved individual attributes</w:t>
      </w:r>
      <w:r>
        <w:t xml:space="preserve"> while considering the panel structure</w:t>
      </w:r>
      <w:r w:rsidRPr="00F11C5E">
        <w:t xml:space="preserve">. In the following presentation of the </w:t>
      </w:r>
      <w:r>
        <w:t xml:space="preserve">panel MMDCEV </w:t>
      </w:r>
      <w:r w:rsidRPr="00F11C5E">
        <w:t xml:space="preserve">model structure, the index </w:t>
      </w:r>
      <w:r w:rsidRPr="00F11C5E">
        <w:rPr>
          <w:i/>
          <w:color w:val="000000"/>
        </w:rPr>
        <w:t>q</w:t>
      </w:r>
      <w:r w:rsidRPr="00F11C5E">
        <w:rPr>
          <w:color w:val="000000"/>
        </w:rPr>
        <w:t xml:space="preserve"> (</w:t>
      </w:r>
      <w:r w:rsidRPr="00F11C5E">
        <w:rPr>
          <w:i/>
          <w:color w:val="000000"/>
        </w:rPr>
        <w:t>q</w:t>
      </w:r>
      <w:r>
        <w:rPr>
          <w:color w:val="000000"/>
        </w:rPr>
        <w:t xml:space="preserve"> = 1, 2, </w:t>
      </w:r>
      <w:r w:rsidRPr="00F11C5E">
        <w:rPr>
          <w:color w:val="000000"/>
        </w:rPr>
        <w:t xml:space="preserve">…, </w:t>
      </w:r>
      <w:r w:rsidRPr="00F11C5E">
        <w:rPr>
          <w:i/>
          <w:color w:val="000000"/>
        </w:rPr>
        <w:t>Q</w:t>
      </w:r>
      <w:r w:rsidRPr="00F11C5E">
        <w:rPr>
          <w:color w:val="000000"/>
        </w:rPr>
        <w:t xml:space="preserve">) is used to denote individuals, </w:t>
      </w:r>
      <w:r w:rsidRPr="002A2DC4">
        <w:rPr>
          <w:i/>
          <w:color w:val="000000"/>
        </w:rPr>
        <w:t>t</w:t>
      </w:r>
      <w:r w:rsidRPr="00F11C5E">
        <w:rPr>
          <w:i/>
          <w:color w:val="000000"/>
        </w:rPr>
        <w:t xml:space="preserve"> </w:t>
      </w:r>
      <w:r w:rsidRPr="00F11C5E">
        <w:rPr>
          <w:color w:val="000000"/>
        </w:rPr>
        <w:t>(</w:t>
      </w:r>
      <w:r w:rsidRPr="00F11C5E">
        <w:rPr>
          <w:i/>
          <w:color w:val="000000"/>
        </w:rPr>
        <w:t xml:space="preserve">t </w:t>
      </w:r>
      <w:r w:rsidRPr="00F11C5E">
        <w:rPr>
          <w:color w:val="000000"/>
        </w:rPr>
        <w:t>= 1, 2,</w:t>
      </w:r>
      <w:r>
        <w:rPr>
          <w:color w:val="000000"/>
        </w:rPr>
        <w:t xml:space="preserve"> </w:t>
      </w:r>
      <w:r w:rsidRPr="00F11C5E">
        <w:rPr>
          <w:color w:val="000000"/>
        </w:rPr>
        <w:t xml:space="preserve">…, </w:t>
      </w:r>
      <w:r w:rsidRPr="00F11C5E">
        <w:rPr>
          <w:i/>
          <w:color w:val="000000"/>
        </w:rPr>
        <w:t>T</w:t>
      </w:r>
      <w:r w:rsidRPr="00F11C5E">
        <w:rPr>
          <w:color w:val="000000"/>
        </w:rPr>
        <w:t xml:space="preserve">) </w:t>
      </w:r>
      <w:r w:rsidRPr="0071202A">
        <w:rPr>
          <w:color w:val="000000" w:themeColor="text1"/>
        </w:rPr>
        <w:t xml:space="preserve">for the choice occasions, </w:t>
      </w:r>
      <w:r w:rsidRPr="00F11C5E">
        <w:rPr>
          <w:color w:val="000000"/>
        </w:rPr>
        <w:t xml:space="preserve">and </w:t>
      </w:r>
      <w:r w:rsidRPr="00F11C5E">
        <w:rPr>
          <w:i/>
          <w:color w:val="000000"/>
        </w:rPr>
        <w:t>k</w:t>
      </w:r>
      <w:r w:rsidRPr="00F11C5E">
        <w:rPr>
          <w:color w:val="000000"/>
        </w:rPr>
        <w:t xml:space="preserve"> (</w:t>
      </w:r>
      <w:r w:rsidRPr="00F11C5E">
        <w:rPr>
          <w:i/>
          <w:color w:val="000000"/>
        </w:rPr>
        <w:t>k</w:t>
      </w:r>
      <w:r>
        <w:rPr>
          <w:color w:val="000000"/>
        </w:rPr>
        <w:t xml:space="preserve"> = 1, 2, </w:t>
      </w:r>
      <w:r w:rsidRPr="00F11C5E">
        <w:rPr>
          <w:color w:val="000000"/>
        </w:rPr>
        <w:t xml:space="preserve">…, </w:t>
      </w:r>
      <w:r w:rsidRPr="00F11C5E">
        <w:rPr>
          <w:i/>
          <w:color w:val="000000"/>
        </w:rPr>
        <w:t>K</w:t>
      </w:r>
      <w:r w:rsidRPr="00F11C5E">
        <w:rPr>
          <w:color w:val="000000"/>
        </w:rPr>
        <w:t xml:space="preserve">) for </w:t>
      </w:r>
      <w:r>
        <w:rPr>
          <w:color w:val="000000"/>
        </w:rPr>
        <w:t>workplace location alternatives</w:t>
      </w:r>
      <w:r w:rsidRPr="00F11C5E">
        <w:rPr>
          <w:color w:val="000000"/>
        </w:rPr>
        <w:t xml:space="preserve">. Let </w:t>
      </w:r>
      <w:r w:rsidR="00616249" w:rsidRPr="00F11C5E">
        <w:rPr>
          <w:position w:val="-14"/>
        </w:rPr>
        <w:object w:dxaOrig="2400" w:dyaOrig="380" w14:anchorId="5B9784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18.85pt" o:ole="" o:preferrelative="f">
            <v:imagedata r:id="rId14" o:title=""/>
            <o:lock v:ext="edit" aspectratio="f"/>
          </v:shape>
          <o:OLEObject Type="Embed" ProgID="Equation.DSMT4" ShapeID="_x0000_i1025" DrawAspect="Content" ObjectID="_1741591377" r:id="rId15"/>
        </w:object>
      </w:r>
      <w:r w:rsidRPr="00F11C5E">
        <w:rPr>
          <w:color w:val="000000"/>
        </w:rPr>
        <w:t xml:space="preserve"> be the </w:t>
      </w:r>
      <w:r w:rsidRPr="00F11C5E">
        <w:t xml:space="preserve">vector </w:t>
      </w:r>
      <w:r>
        <w:t xml:space="preserve">denoting the number </w:t>
      </w:r>
      <w:r w:rsidR="0082509D">
        <w:t xml:space="preserve">of </w:t>
      </w:r>
      <w:r>
        <w:t xml:space="preserve">days chosen by individual </w:t>
      </w:r>
      <w:r>
        <w:rPr>
          <w:i/>
        </w:rPr>
        <w:t xml:space="preserve">q </w:t>
      </w:r>
      <w:r>
        <w:t xml:space="preserve">for the workplace location </w:t>
      </w:r>
      <w:r>
        <w:rPr>
          <w:i/>
        </w:rPr>
        <w:t xml:space="preserve">k </w:t>
      </w:r>
      <w:r>
        <w:t xml:space="preserve">during choice occasion </w:t>
      </w:r>
      <w:r>
        <w:rPr>
          <w:i/>
        </w:rPr>
        <w:t>t.</w:t>
      </w:r>
      <w:r>
        <w:t xml:space="preserve"> </w:t>
      </w:r>
      <w:r w:rsidRPr="00F11C5E">
        <w:t xml:space="preserve">Using these notational preliminaries, the structure of the </w:t>
      </w:r>
      <w:r>
        <w:t>monthly distribution of workplace location days</w:t>
      </w:r>
      <w:r w:rsidRPr="00F11C5E">
        <w:t xml:space="preserve"> model for panel (or repeated choice) data is discussed </w:t>
      </w:r>
      <w:r>
        <w:t>below.</w:t>
      </w:r>
    </w:p>
    <w:p w14:paraId="2AA47EBA" w14:textId="77777777" w:rsidR="00551D7C" w:rsidRPr="00F11C5E" w:rsidRDefault="00551D7C" w:rsidP="00B40ED1">
      <w:pPr>
        <w:pStyle w:val="text"/>
        <w:keepNext/>
        <w:spacing w:line="276" w:lineRule="auto"/>
        <w:ind w:firstLine="720"/>
      </w:pPr>
      <w:r w:rsidRPr="00F11C5E">
        <w:t>Consider the following additive utility functional form:</w:t>
      </w:r>
    </w:p>
    <w:p w14:paraId="039E80FD" w14:textId="7AEFA6A3" w:rsidR="00551D7C" w:rsidRPr="00F11C5E" w:rsidRDefault="00B40ED1" w:rsidP="00B40ED1">
      <w:pPr>
        <w:tabs>
          <w:tab w:val="right" w:pos="9360"/>
        </w:tabs>
        <w:spacing w:before="60" w:after="60"/>
        <w:rPr>
          <w:rFonts w:cs="Arial"/>
        </w:rPr>
      </w:pPr>
      <w:r w:rsidRPr="003D08CD">
        <w:rPr>
          <w:rFonts w:cs="Arial"/>
          <w:position w:val="-34"/>
        </w:rPr>
        <w:object w:dxaOrig="3460" w:dyaOrig="800" w14:anchorId="5EBFE505">
          <v:shape id="_x0000_i1026" type="#_x0000_t75" style="width:172.3pt;height:41.15pt" o:ole="" o:preferrelative="f">
            <v:imagedata r:id="rId16" o:title=""/>
            <o:lock v:ext="edit" aspectratio="f"/>
          </v:shape>
          <o:OLEObject Type="Embed" ProgID="Equation.DSMT4" ShapeID="_x0000_i1026" DrawAspect="Content" ObjectID="_1741591378" r:id="rId17"/>
        </w:object>
      </w:r>
      <w:r w:rsidR="00551D7C" w:rsidRPr="00F11C5E">
        <w:rPr>
          <w:rFonts w:cs="Arial"/>
        </w:rPr>
        <w:t>.</w:t>
      </w:r>
      <w:r w:rsidR="00551D7C">
        <w:rPr>
          <w:rFonts w:cs="Arial"/>
        </w:rPr>
        <w:t xml:space="preserve"> </w:t>
      </w:r>
      <w:r>
        <w:rPr>
          <w:rFonts w:cs="Arial"/>
        </w:rPr>
        <w:tab/>
      </w:r>
      <w:r w:rsidR="00551D7C" w:rsidRPr="00F11C5E">
        <w:rPr>
          <w:rFonts w:cs="Arial"/>
        </w:rPr>
        <w:t>(1)</w:t>
      </w:r>
    </w:p>
    <w:p w14:paraId="72C70E19" w14:textId="77777777" w:rsidR="00551D7C" w:rsidRDefault="00551D7C" w:rsidP="00B40ED1">
      <w:pPr>
        <w:spacing w:after="0"/>
        <w:outlineLvl w:val="0"/>
        <w:rPr>
          <w:rFonts w:cs="Arial"/>
        </w:rPr>
      </w:pPr>
      <w:r w:rsidRPr="00F11C5E">
        <w:lastRenderedPageBreak/>
        <w:t xml:space="preserve">In the above utility function, </w:t>
      </w:r>
      <w:r w:rsidRPr="00F11C5E">
        <w:rPr>
          <w:rFonts w:cs="Arial"/>
          <w:position w:val="-14"/>
        </w:rPr>
        <w:object w:dxaOrig="840" w:dyaOrig="380" w14:anchorId="02C1DD18">
          <v:shape id="_x0000_i1027" type="#_x0000_t75" style="width:42pt;height:19.3pt" o:ole="">
            <v:imagedata r:id="rId18" o:title=""/>
          </v:shape>
          <o:OLEObject Type="Embed" ProgID="Equation.DSMT4" ShapeID="_x0000_i1027" DrawAspect="Content" ObjectID="_1741591379" r:id="rId19"/>
        </w:object>
      </w:r>
      <w:r w:rsidRPr="00F11C5E">
        <w:rPr>
          <w:rFonts w:cs="Arial"/>
        </w:rPr>
        <w:t xml:space="preserve"> refers to the utility accrued to the individual due to </w:t>
      </w:r>
      <w:r>
        <w:rPr>
          <w:rFonts w:cs="Arial"/>
        </w:rPr>
        <w:t xml:space="preserve">the chosen horizontal monthly distribution </w:t>
      </w:r>
      <w:r w:rsidRPr="00F11C5E">
        <w:rPr>
          <w:position w:val="-14"/>
        </w:rPr>
        <w:object w:dxaOrig="340" w:dyaOrig="380" w14:anchorId="624B80E3">
          <v:shape id="_x0000_i1028" type="#_x0000_t75" style="width:17.15pt;height:19.3pt" o:ole="">
            <v:imagedata r:id="rId20" o:title=""/>
          </v:shape>
          <o:OLEObject Type="Embed" ProgID="Equation.DSMT4" ShapeID="_x0000_i1028" DrawAspect="Content" ObjectID="_1741591380" r:id="rId21"/>
        </w:object>
      </w:r>
      <w:r>
        <w:rPr>
          <w:rFonts w:cs="Arial"/>
        </w:rPr>
        <w:t>of the workplace location days</w:t>
      </w:r>
      <w:r w:rsidRPr="00F11C5E">
        <w:t xml:space="preserve"> </w:t>
      </w:r>
      <w:r>
        <w:t>for choice occasion</w:t>
      </w:r>
      <w:r w:rsidRPr="00F11C5E">
        <w:t xml:space="preserve"> </w:t>
      </w:r>
      <w:r w:rsidRPr="00F11C5E">
        <w:rPr>
          <w:i/>
        </w:rPr>
        <w:t>t</w:t>
      </w:r>
      <w:r w:rsidRPr="00F11C5E">
        <w:t xml:space="preserve">. </w:t>
      </w:r>
      <w:r>
        <w:t>T</w:t>
      </w:r>
      <w:r w:rsidRPr="00F11C5E">
        <w:t>he</w:t>
      </w:r>
      <w:r>
        <w:t xml:space="preserve"> term</w:t>
      </w:r>
      <w:r w:rsidRPr="00F11C5E">
        <w:t xml:space="preserve"> </w:t>
      </w:r>
      <w:bookmarkStart w:id="14" w:name="_Hlk125922352"/>
      <w:r w:rsidRPr="00F11C5E">
        <w:rPr>
          <w:rFonts w:cs="Arial"/>
          <w:position w:val="-14"/>
        </w:rPr>
        <w:object w:dxaOrig="400" w:dyaOrig="380" w14:anchorId="059C73E4">
          <v:shape id="_x0000_i1029" type="#_x0000_t75" style="width:19.7pt;height:19.3pt" o:ole="">
            <v:imagedata r:id="rId22" o:title=""/>
          </v:shape>
          <o:OLEObject Type="Embed" ProgID="Equation.DSMT4" ShapeID="_x0000_i1029" DrawAspect="Content" ObjectID="_1741591381" r:id="rId23"/>
        </w:object>
      </w:r>
      <w:bookmarkEnd w:id="14"/>
      <w:r>
        <w:rPr>
          <w:rFonts w:cs="Arial"/>
        </w:rPr>
        <w:t xml:space="preserve"> refers to the baseline preference of the three alternative workplace locations</w:t>
      </w:r>
      <w:r w:rsidRPr="00F11C5E">
        <w:t xml:space="preserve"> </w:t>
      </w:r>
      <w:r>
        <w:t>and</w:t>
      </w:r>
      <w:r w:rsidRPr="00F11C5E">
        <w:t xml:space="preserve"> control</w:t>
      </w:r>
      <w:r>
        <w:t>s</w:t>
      </w:r>
      <w:r w:rsidRPr="00F11C5E">
        <w:t xml:space="preserve"> the discrete choice participation decision in </w:t>
      </w:r>
      <w:r>
        <w:t>the</w:t>
      </w:r>
      <w:r w:rsidRPr="00F11C5E">
        <w:t xml:space="preserve"> alternative </w:t>
      </w:r>
      <w:r w:rsidRPr="00F11C5E">
        <w:rPr>
          <w:i/>
        </w:rPr>
        <w:t>k</w:t>
      </w:r>
      <w:r>
        <w:t xml:space="preserve"> </w:t>
      </w:r>
      <w:r w:rsidRPr="00F11C5E">
        <w:t>(</w:t>
      </w:r>
      <w:r w:rsidRPr="00F11C5E">
        <w:rPr>
          <w:i/>
        </w:rPr>
        <w:t xml:space="preserve">k </w:t>
      </w:r>
      <w:r w:rsidRPr="00F11C5E">
        <w:t xml:space="preserve">= </w:t>
      </w:r>
      <w:r>
        <w:t xml:space="preserve">1, </w:t>
      </w:r>
      <w:r w:rsidRPr="00F11C5E">
        <w:t xml:space="preserve">2, 3, …, </w:t>
      </w:r>
      <w:r w:rsidRPr="00F11C5E">
        <w:rPr>
          <w:i/>
        </w:rPr>
        <w:t>K</w:t>
      </w:r>
      <w:r w:rsidRPr="00F11C5E">
        <w:t xml:space="preserve">) for </w:t>
      </w:r>
      <w:r w:rsidRPr="00F11C5E">
        <w:rPr>
          <w:rFonts w:cs="Arial"/>
        </w:rPr>
        <w:t xml:space="preserve">individual </w:t>
      </w:r>
      <w:r w:rsidRPr="00F11C5E">
        <w:rPr>
          <w:rFonts w:cs="Arial"/>
          <w:i/>
        </w:rPr>
        <w:t>q</w:t>
      </w:r>
      <w:r w:rsidRPr="00F11C5E">
        <w:rPr>
          <w:rFonts w:cs="Arial"/>
        </w:rPr>
        <w:t xml:space="preserve"> at choice occasion </w:t>
      </w:r>
      <w:r w:rsidRPr="00F11C5E">
        <w:rPr>
          <w:rFonts w:cs="Arial"/>
          <w:i/>
        </w:rPr>
        <w:t>t</w:t>
      </w:r>
      <w:r>
        <w:rPr>
          <w:rFonts w:cs="Arial"/>
          <w:i/>
        </w:rPr>
        <w:t xml:space="preserve">.  </w:t>
      </w:r>
      <w:r w:rsidRPr="00F11C5E">
        <w:rPr>
          <w:rFonts w:cs="Arial"/>
        </w:rPr>
        <w:t xml:space="preserve">The term </w:t>
      </w:r>
      <w:bookmarkStart w:id="15" w:name="_Hlk125922372"/>
      <w:r w:rsidRPr="0043234C">
        <w:rPr>
          <w:position w:val="-14"/>
        </w:rPr>
        <w:object w:dxaOrig="380" w:dyaOrig="380" w14:anchorId="5E1699C3">
          <v:shape id="_x0000_i1030" type="#_x0000_t75" style="width:18.85pt;height:18.85pt" o:ole="">
            <v:imagedata r:id="rId24" o:title=""/>
          </v:shape>
          <o:OLEObject Type="Embed" ProgID="Equation.DSMT4" ShapeID="_x0000_i1030" DrawAspect="Content" ObjectID="_1741591382" r:id="rId25"/>
        </w:object>
      </w:r>
      <w:bookmarkEnd w:id="15"/>
      <w:r w:rsidRPr="00F11C5E">
        <w:rPr>
          <w:rFonts w:cs="Arial"/>
        </w:rPr>
        <w:t>(</w:t>
      </w:r>
      <w:r w:rsidRPr="0043234C">
        <w:rPr>
          <w:position w:val="-14"/>
        </w:rPr>
        <w:object w:dxaOrig="380" w:dyaOrig="380" w14:anchorId="2415C6ED">
          <v:shape id="_x0000_i1031" type="#_x0000_t75" style="width:18.85pt;height:18.85pt" o:ole="">
            <v:imagedata r:id="rId26" o:title=""/>
          </v:shape>
          <o:OLEObject Type="Embed" ProgID="Equation.DSMT4" ShapeID="_x0000_i1031" DrawAspect="Content" ObjectID="_1741591383" r:id="rId27"/>
        </w:object>
      </w:r>
      <w:r w:rsidRPr="00F11C5E">
        <w:rPr>
          <w:rFonts w:cs="Arial"/>
        </w:rPr>
        <w:t xml:space="preserve">&gt;0) is a translation parameter that serves to allow corner solutions (zero </w:t>
      </w:r>
      <w:r>
        <w:rPr>
          <w:rFonts w:cs="Arial"/>
        </w:rPr>
        <w:t>selection</w:t>
      </w:r>
      <w:r w:rsidRPr="00F11C5E">
        <w:rPr>
          <w:rFonts w:cs="Arial"/>
        </w:rPr>
        <w:t>) for the alternatives</w:t>
      </w:r>
      <w:r>
        <w:rPr>
          <w:rFonts w:cs="Arial"/>
        </w:rPr>
        <w:t xml:space="preserve"> as well as</w:t>
      </w:r>
      <w:r w:rsidRPr="00F11C5E">
        <w:rPr>
          <w:rFonts w:cs="Arial"/>
        </w:rPr>
        <w:t xml:space="preserve"> allow differential satiation effects across these alternatives, with values of </w:t>
      </w:r>
      <w:r w:rsidRPr="0043234C">
        <w:rPr>
          <w:position w:val="-14"/>
        </w:rPr>
        <w:object w:dxaOrig="380" w:dyaOrig="380" w14:anchorId="727D39F3">
          <v:shape id="_x0000_i1032" type="#_x0000_t75" style="width:18.85pt;height:18.85pt" o:ole="">
            <v:imagedata r:id="rId28" o:title=""/>
          </v:shape>
          <o:OLEObject Type="Embed" ProgID="Equation.DSMT4" ShapeID="_x0000_i1032" DrawAspect="Content" ObjectID="_1741591384" r:id="rId29"/>
        </w:object>
      </w:r>
      <w:r w:rsidRPr="00F11C5E">
        <w:rPr>
          <w:rFonts w:cs="Arial"/>
        </w:rPr>
        <w:t>closer to zero implying higher satiation (or</w:t>
      </w:r>
      <w:r>
        <w:rPr>
          <w:rFonts w:cs="Arial"/>
        </w:rPr>
        <w:t xml:space="preserve"> lower number of days selection for a particular workplace</w:t>
      </w:r>
      <w:r w:rsidRPr="00F11C5E">
        <w:rPr>
          <w:rFonts w:cs="Arial"/>
        </w:rPr>
        <w:t>) for a given level of baseline preference (see Bhat, 2008 for details). To complete the model specification, the baseline parameter for</w:t>
      </w:r>
      <w:r>
        <w:rPr>
          <w:rFonts w:cs="Arial"/>
        </w:rPr>
        <w:t xml:space="preserve"> the three workplace alternatives</w:t>
      </w:r>
      <w:r w:rsidRPr="00F11C5E">
        <w:rPr>
          <w:rFonts w:cs="Arial"/>
        </w:rPr>
        <w:t xml:space="preserve"> </w:t>
      </w:r>
      <w:r>
        <w:rPr>
          <w:rFonts w:cs="Arial"/>
        </w:rPr>
        <w:t>are given by</w:t>
      </w:r>
      <w:r w:rsidRPr="00F11C5E">
        <w:rPr>
          <w:rFonts w:cs="Arial"/>
        </w:rPr>
        <w:t xml:space="preserve"> </w:t>
      </w:r>
    </w:p>
    <w:p w14:paraId="5974CB05" w14:textId="65E72368" w:rsidR="00551D7C" w:rsidRPr="00F11C5E" w:rsidRDefault="00B40ED1" w:rsidP="00B40ED1">
      <w:pPr>
        <w:tabs>
          <w:tab w:val="right" w:pos="9360"/>
        </w:tabs>
        <w:spacing w:before="60" w:after="60"/>
        <w:outlineLvl w:val="0"/>
        <w:rPr>
          <w:rFonts w:cs="Arial"/>
        </w:rPr>
      </w:pPr>
      <w:r w:rsidRPr="00F11C5E">
        <w:rPr>
          <w:rFonts w:cs="Arial"/>
          <w:position w:val="-14"/>
        </w:rPr>
        <w:object w:dxaOrig="3980" w:dyaOrig="400" w14:anchorId="492526E6">
          <v:shape id="_x0000_i1033" type="#_x0000_t75" style="width:198.45pt;height:20.15pt" o:ole="" o:preferrelative="f">
            <v:imagedata r:id="rId30" o:title=""/>
            <o:lock v:ext="edit" aspectratio="f"/>
          </v:shape>
          <o:OLEObject Type="Embed" ProgID="Equation.DSMT4" ShapeID="_x0000_i1033" DrawAspect="Content" ObjectID="_1741591385" r:id="rId31"/>
        </w:object>
      </w:r>
      <w:r w:rsidR="00551D7C" w:rsidRPr="00F11C5E">
        <w:rPr>
          <w:rFonts w:cs="Arial"/>
        </w:rPr>
        <w:t>.</w:t>
      </w:r>
      <w:r w:rsidR="00551D7C">
        <w:rPr>
          <w:rFonts w:cs="Arial"/>
        </w:rPr>
        <w:t xml:space="preserve">  </w:t>
      </w:r>
      <w:r>
        <w:rPr>
          <w:rFonts w:cs="Arial"/>
        </w:rPr>
        <w:tab/>
      </w:r>
      <w:r w:rsidR="00551D7C">
        <w:rPr>
          <w:rFonts w:cs="Arial"/>
        </w:rPr>
        <w:t>(2)</w:t>
      </w:r>
    </w:p>
    <w:p w14:paraId="709D550E" w14:textId="28F9411D" w:rsidR="00551D7C" w:rsidRPr="00E501B1" w:rsidRDefault="00551D7C" w:rsidP="00B40ED1">
      <w:pPr>
        <w:spacing w:after="0"/>
        <w:outlineLvl w:val="0"/>
      </w:pPr>
      <w:r w:rsidRPr="00F11C5E">
        <w:t xml:space="preserve">The terms in the baseline parameter expression for the </w:t>
      </w:r>
      <w:r w:rsidRPr="00F11C5E">
        <w:rPr>
          <w:rFonts w:cs="Arial"/>
        </w:rPr>
        <w:t>alternatives in Equation (</w:t>
      </w:r>
      <w:r>
        <w:rPr>
          <w:rFonts w:cs="Arial"/>
        </w:rPr>
        <w:t xml:space="preserve">2) </w:t>
      </w:r>
      <w:r w:rsidRPr="00F11C5E">
        <w:rPr>
          <w:rFonts w:cs="Arial"/>
        </w:rPr>
        <w:t xml:space="preserve">are as follows. The </w:t>
      </w:r>
      <w:r w:rsidRPr="00F11C5E">
        <w:rPr>
          <w:rFonts w:cs="Arial"/>
          <w:u w:val="single"/>
        </w:rPr>
        <w:t>first term</w:t>
      </w:r>
      <w:r w:rsidRPr="00F11C5E">
        <w:rPr>
          <w:rFonts w:cs="Arial"/>
        </w:rPr>
        <w:t xml:space="preserve"> </w:t>
      </w:r>
      <w:r w:rsidRPr="00F11C5E">
        <w:rPr>
          <w:position w:val="-12"/>
        </w:rPr>
        <w:object w:dxaOrig="260" w:dyaOrig="360" w14:anchorId="315216B4">
          <v:shape id="_x0000_i1034" type="#_x0000_t75" style="width:12.85pt;height:18pt" o:ole="">
            <v:imagedata r:id="rId32" o:title=""/>
          </v:shape>
          <o:OLEObject Type="Embed" ProgID="Equation.DSMT4" ShapeID="_x0000_i1034" DrawAspect="Content" ObjectID="_1741591386" r:id="rId33"/>
        </w:object>
      </w:r>
      <w:r w:rsidRPr="00F11C5E">
        <w:t xml:space="preserve"> </w:t>
      </w:r>
      <w:r>
        <w:t>is</w:t>
      </w:r>
      <w:r w:rsidRPr="00F11C5E">
        <w:t xml:space="preserve"> </w:t>
      </w:r>
      <w:r>
        <w:t>a constant that denotes the</w:t>
      </w:r>
      <w:r w:rsidRPr="00F11C5E">
        <w:t xml:space="preserve"> “average” (across individuals) effect of unobserved variables on the baseline utility associated with </w:t>
      </w:r>
      <w:r>
        <w:t xml:space="preserve">workplace </w:t>
      </w:r>
      <w:r w:rsidRPr="00F11C5E">
        <w:rPr>
          <w:i/>
        </w:rPr>
        <w:t>k</w:t>
      </w:r>
      <w:r w:rsidRPr="00F11C5E">
        <w:t xml:space="preserve">. The </w:t>
      </w:r>
      <w:r w:rsidRPr="00F11C5E">
        <w:rPr>
          <w:u w:val="single"/>
        </w:rPr>
        <w:t>second component</w:t>
      </w:r>
      <w:r w:rsidRPr="00F11C5E">
        <w:t xml:space="preserve"> </w:t>
      </w:r>
      <w:r w:rsidRPr="0043234C">
        <w:rPr>
          <w:position w:val="-14"/>
        </w:rPr>
        <w:object w:dxaOrig="540" w:dyaOrig="400" w14:anchorId="353DC65E">
          <v:shape id="_x0000_i1035" type="#_x0000_t75" style="width:26.15pt;height:19.7pt" o:ole="">
            <v:imagedata r:id="rId34" o:title=""/>
          </v:shape>
          <o:OLEObject Type="Embed" ProgID="Equation.DSMT4" ShapeID="_x0000_i1035" DrawAspect="Content" ObjectID="_1741591387" r:id="rId35"/>
        </w:object>
      </w:r>
      <w:r w:rsidRPr="00F11C5E">
        <w:t xml:space="preserve"> </w:t>
      </w:r>
      <w:r>
        <w:t>accounts for the impacts of individual specific attributes as well as alternative attributes on the choice decision</w:t>
      </w:r>
      <w:r w:rsidRPr="00F11C5E">
        <w:t>. In this component,</w:t>
      </w:r>
      <w:r>
        <w:t xml:space="preserve"> </w:t>
      </w:r>
      <w:r w:rsidRPr="00F11C5E">
        <w:rPr>
          <w:position w:val="-10"/>
        </w:rPr>
        <w:object w:dxaOrig="240" w:dyaOrig="320" w14:anchorId="1DEFC8DC">
          <v:shape id="_x0000_i1036" type="#_x0000_t75" style="width:12pt;height:16.3pt" o:ole="">
            <v:imagedata r:id="rId36" o:title=""/>
          </v:shape>
          <o:OLEObject Type="Embed" ProgID="Equation.DSMT4" ShapeID="_x0000_i1036" DrawAspect="Content" ObjectID="_1741591388" r:id="rId37"/>
        </w:object>
      </w:r>
      <w:r w:rsidRPr="00F11C5E">
        <w:t xml:space="preserve"> is a vector of coefficients, and </w:t>
      </w:r>
      <w:r w:rsidRPr="00F11C5E">
        <w:rPr>
          <w:position w:val="-14"/>
        </w:rPr>
        <w:object w:dxaOrig="320" w:dyaOrig="380" w14:anchorId="12F9690E">
          <v:shape id="_x0000_i1037" type="#_x0000_t75" style="width:16.3pt;height:19.3pt" o:ole="">
            <v:imagedata r:id="rId38" o:title=""/>
          </v:shape>
          <o:OLEObject Type="Embed" ProgID="Equation.DSMT4" ShapeID="_x0000_i1037" DrawAspect="Content" ObjectID="_1741591389" r:id="rId39"/>
        </w:object>
      </w:r>
      <w:r w:rsidRPr="00F11C5E">
        <w:t xml:space="preserve"> is a vector of observed attributes specific to individual </w:t>
      </w:r>
      <w:r w:rsidRPr="00F11C5E">
        <w:rPr>
          <w:i/>
        </w:rPr>
        <w:t>q</w:t>
      </w:r>
      <w:r w:rsidRPr="00F11C5E">
        <w:t xml:space="preserve"> and </w:t>
      </w:r>
      <w:r>
        <w:t xml:space="preserve">alternative </w:t>
      </w:r>
      <w:r>
        <w:rPr>
          <w:i/>
        </w:rPr>
        <w:t>k</w:t>
      </w:r>
      <w:r>
        <w:t>.</w:t>
      </w:r>
      <w:r w:rsidRPr="00F11C5E">
        <w:t xml:space="preserve"> The </w:t>
      </w:r>
      <w:r w:rsidRPr="00F11C5E">
        <w:rPr>
          <w:u w:val="single"/>
        </w:rPr>
        <w:t>third component</w:t>
      </w:r>
      <w:r w:rsidRPr="00F11C5E">
        <w:t xml:space="preserve"> </w:t>
      </w:r>
      <w:r w:rsidRPr="00F11C5E">
        <w:rPr>
          <w:position w:val="-14"/>
        </w:rPr>
        <w:object w:dxaOrig="499" w:dyaOrig="400" w14:anchorId="053FFC5B">
          <v:shape id="_x0000_i1038" type="#_x0000_t75" style="width:24.85pt;height:19.7pt" o:ole="">
            <v:imagedata r:id="rId40" o:title=""/>
          </v:shape>
          <o:OLEObject Type="Embed" ProgID="Equation.DSMT4" ShapeID="_x0000_i1038" DrawAspect="Content" ObjectID="_1741591390" r:id="rId41"/>
        </w:object>
      </w:r>
      <w:r w:rsidRPr="00F11C5E">
        <w:t xml:space="preserve"> represents individual </w:t>
      </w:r>
      <w:r w:rsidRPr="00F11C5E">
        <w:rPr>
          <w:i/>
        </w:rPr>
        <w:t>q</w:t>
      </w:r>
      <w:r w:rsidRPr="00F11C5E">
        <w:t xml:space="preserve">’s differential preference for the alternative </w:t>
      </w:r>
      <w:r w:rsidRPr="00F11C5E">
        <w:rPr>
          <w:i/>
        </w:rPr>
        <w:t>k</w:t>
      </w:r>
      <w:r w:rsidRPr="00F11C5E">
        <w:t xml:space="preserve"> </w:t>
      </w:r>
      <w:r>
        <w:t xml:space="preserve">across the choice occasions </w:t>
      </w:r>
      <w:r w:rsidRPr="00F11C5E">
        <w:rPr>
          <w:color w:val="000000"/>
        </w:rPr>
        <w:t xml:space="preserve">compared to </w:t>
      </w:r>
      <w:r>
        <w:rPr>
          <w:color w:val="000000"/>
        </w:rPr>
        <w:t>the other</w:t>
      </w:r>
      <w:r w:rsidRPr="00F11C5E">
        <w:rPr>
          <w:color w:val="000000"/>
        </w:rPr>
        <w:t xml:space="preserve"> alternative</w:t>
      </w:r>
      <w:r>
        <w:rPr>
          <w:color w:val="000000"/>
        </w:rPr>
        <w:t>s, thereby capturing the panel effects embedded in the model structure</w:t>
      </w:r>
      <w:r w:rsidRPr="00F11C5E">
        <w:rPr>
          <w:color w:val="000000"/>
        </w:rPr>
        <w:t xml:space="preserve">. </w:t>
      </w:r>
      <w:r w:rsidRPr="00F11C5E">
        <w:t xml:space="preserve">In this component, </w:t>
      </w:r>
      <w:r w:rsidRPr="0043234C">
        <w:rPr>
          <w:position w:val="-12"/>
        </w:rPr>
        <w:object w:dxaOrig="260" w:dyaOrig="360" w14:anchorId="02C0E05E">
          <v:shape id="_x0000_i1039" type="#_x0000_t75" style="width:12.85pt;height:18pt" o:ole="">
            <v:imagedata r:id="rId42" o:title=""/>
          </v:shape>
          <o:OLEObject Type="Embed" ProgID="Equation.DSMT4" ShapeID="_x0000_i1039" DrawAspect="Content" ObjectID="_1741591391" r:id="rId43"/>
        </w:object>
      </w:r>
      <w:r w:rsidR="003F2062">
        <w:t xml:space="preserve"> </w:t>
      </w:r>
      <w:r w:rsidRPr="00F11C5E">
        <w:t xml:space="preserve">is a column vector of dimension </w:t>
      </w:r>
      <w:r w:rsidRPr="00F11C5E">
        <w:rPr>
          <w:i/>
        </w:rPr>
        <w:t>K</w:t>
      </w:r>
      <w:r w:rsidRPr="00F11C5E">
        <w:t xml:space="preserve"> with each row representing an alternative (the row corresponding to alternative </w:t>
      </w:r>
      <w:r w:rsidRPr="00F11C5E">
        <w:rPr>
          <w:i/>
        </w:rPr>
        <w:t>k</w:t>
      </w:r>
      <w:r w:rsidRPr="00F11C5E">
        <w:t xml:space="preserve"> takes a value of 1 and all other rows take a value of 0), and the vector </w:t>
      </w:r>
      <w:r w:rsidRPr="00F11C5E">
        <w:rPr>
          <w:position w:val="-14"/>
        </w:rPr>
        <w:object w:dxaOrig="300" w:dyaOrig="380" w14:anchorId="3C6C1731">
          <v:shape id="_x0000_i1040" type="#_x0000_t75" style="width:15.85pt;height:19.3pt" o:ole="">
            <v:imagedata r:id="rId44" o:title=""/>
          </v:shape>
          <o:OLEObject Type="Embed" ProgID="Equation.DSMT4" ShapeID="_x0000_i1040" DrawAspect="Content" ObjectID="_1741591392" r:id="rId45"/>
        </w:object>
      </w:r>
      <w:r>
        <w:t xml:space="preserve"> </w:t>
      </w:r>
      <w:r w:rsidRPr="00F11C5E">
        <w:t xml:space="preserve">is </w:t>
      </w:r>
      <w:r>
        <w:t xml:space="preserve">a </w:t>
      </w:r>
      <w:r w:rsidRPr="002C51A0">
        <w:rPr>
          <w:i/>
        </w:rPr>
        <w:t>K</w:t>
      </w:r>
      <w:r w:rsidR="003F2062">
        <w:t>×</w:t>
      </w:r>
      <w:r>
        <w:t xml:space="preserve">1-column vector with each element </w:t>
      </w:r>
      <w:r w:rsidRPr="00F11C5E">
        <w:rPr>
          <w:position w:val="-14"/>
        </w:rPr>
        <w:object w:dxaOrig="1520" w:dyaOrig="400" w14:anchorId="19C2909E">
          <v:shape id="_x0000_i1041" type="#_x0000_t75" style="width:76.7pt;height:19.7pt" o:ole="">
            <v:imagedata r:id="rId46" o:title=""/>
          </v:shape>
          <o:OLEObject Type="Embed" ProgID="Equation.DSMT4" ShapeID="_x0000_i1041" DrawAspect="Content" ObjectID="_1741591393" r:id="rId47"/>
        </w:object>
      </w:r>
      <w:r>
        <w:t xml:space="preserve"> </w:t>
      </w:r>
      <w:r w:rsidRPr="00F11C5E">
        <w:t xml:space="preserve">The reader will note here that the </w:t>
      </w:r>
      <w:r w:rsidRPr="00F11C5E">
        <w:rPr>
          <w:position w:val="-14"/>
        </w:rPr>
        <w:object w:dxaOrig="300" w:dyaOrig="380" w14:anchorId="5832B166">
          <v:shape id="_x0000_i1042" type="#_x0000_t75" style="width:15.85pt;height:19.3pt" o:ole="">
            <v:imagedata r:id="rId44" o:title=""/>
          </v:shape>
          <o:OLEObject Type="Embed" ProgID="Equation.DSMT4" ShapeID="_x0000_i1042" DrawAspect="Content" ObjectID="_1741591394" r:id="rId48"/>
        </w:object>
      </w:r>
      <w:r w:rsidR="003F2062">
        <w:t xml:space="preserve"> </w:t>
      </w:r>
      <w:r w:rsidRPr="00F11C5E">
        <w:t>vectors</w:t>
      </w:r>
      <w:r>
        <w:t xml:space="preserve"> </w:t>
      </w:r>
      <w:r w:rsidRPr="00F11C5E">
        <w:t>take the same value for all observations (or choice occasions) of a given individual. This generates correlations across the choice occasions of a given individual</w:t>
      </w:r>
      <w:r>
        <w:t>, capturing the panel effect.</w:t>
      </w:r>
      <w:r w:rsidRPr="00F11C5E">
        <w:t xml:space="preserve"> The </w:t>
      </w:r>
      <w:r w:rsidRPr="00F11C5E">
        <w:rPr>
          <w:u w:val="single"/>
        </w:rPr>
        <w:t>fourth component</w:t>
      </w:r>
      <w:r w:rsidRPr="00F11C5E">
        <w:t xml:space="preserve"> </w:t>
      </w:r>
      <w:r w:rsidRPr="0043234C">
        <w:rPr>
          <w:position w:val="-14"/>
        </w:rPr>
        <w:object w:dxaOrig="520" w:dyaOrig="400" w14:anchorId="2BCC7225">
          <v:shape id="_x0000_i1043" type="#_x0000_t75" style="width:25.7pt;height:19.7pt" o:ole="">
            <v:imagedata r:id="rId49" o:title=""/>
          </v:shape>
          <o:OLEObject Type="Embed" ProgID="Equation.DSMT4" ShapeID="_x0000_i1043" DrawAspect="Content" ObjectID="_1741591395" r:id="rId50"/>
        </w:object>
      </w:r>
      <w:r>
        <w:t xml:space="preserve"> </w:t>
      </w:r>
      <w:r w:rsidRPr="00F11C5E">
        <w:t>constitutes the mechanism to generate individual level correlation across unobserved utility components of the alternatives. In this component,</w:t>
      </w:r>
      <w:r w:rsidRPr="00F11C5E">
        <w:rPr>
          <w:position w:val="-12"/>
        </w:rPr>
        <w:object w:dxaOrig="320" w:dyaOrig="360" w14:anchorId="5D43B1FB">
          <v:shape id="_x0000_i1044" type="#_x0000_t75" style="width:16.3pt;height:18pt" o:ole="">
            <v:imagedata r:id="rId51" o:title=""/>
          </v:shape>
          <o:OLEObject Type="Embed" ProgID="Equation.DSMT4" ShapeID="_x0000_i1044" DrawAspect="Content" ObjectID="_1741591396" r:id="rId52"/>
        </w:object>
      </w:r>
      <w:r w:rsidRPr="00F11C5E">
        <w:t xml:space="preserve"> is specified to be a column vector of dimension </w:t>
      </w:r>
      <w:r w:rsidRPr="00F11C5E">
        <w:rPr>
          <w:i/>
        </w:rPr>
        <w:t>H</w:t>
      </w:r>
      <w:r w:rsidRPr="00F11C5E">
        <w:t xml:space="preserve"> with each row representing a group </w:t>
      </w:r>
      <w:r w:rsidRPr="00F11C5E">
        <w:rPr>
          <w:i/>
        </w:rPr>
        <w:t>h</w:t>
      </w:r>
      <w:r w:rsidRPr="00F11C5E">
        <w:t xml:space="preserve"> (</w:t>
      </w:r>
      <w:r w:rsidRPr="00F11C5E">
        <w:rPr>
          <w:i/>
        </w:rPr>
        <w:t>h</w:t>
      </w:r>
      <w:r w:rsidRPr="00F11C5E">
        <w:t xml:space="preserve"> = 1, 2, …, </w:t>
      </w:r>
      <w:r w:rsidRPr="00F11C5E">
        <w:rPr>
          <w:i/>
        </w:rPr>
        <w:t>H</w:t>
      </w:r>
      <w:r w:rsidRPr="00F11C5E">
        <w:t xml:space="preserve">) of alternatives sharing common individual-specific unobserved components (the row(s) corresponding to the group(s) of which </w:t>
      </w:r>
      <w:r w:rsidRPr="00F11C5E">
        <w:rPr>
          <w:i/>
        </w:rPr>
        <w:t>k</w:t>
      </w:r>
      <w:r w:rsidRPr="00F11C5E">
        <w:t xml:space="preserve"> is a member take(s) a value of one and other rows take a value of zero; </w:t>
      </w:r>
      <w:r w:rsidRPr="00F11C5E">
        <w:rPr>
          <w:i/>
        </w:rPr>
        <w:t xml:space="preserve">i.e., </w:t>
      </w:r>
      <w:proofErr w:type="spellStart"/>
      <w:r w:rsidRPr="00F11C5E">
        <w:rPr>
          <w:i/>
        </w:rPr>
        <w:t>w</w:t>
      </w:r>
      <w:r w:rsidRPr="00F11C5E">
        <w:rPr>
          <w:i/>
          <w:vertAlign w:val="subscript"/>
        </w:rPr>
        <w:t>hk</w:t>
      </w:r>
      <w:proofErr w:type="spellEnd"/>
      <w:r w:rsidRPr="00F11C5E">
        <w:t xml:space="preserve"> =1 if </w:t>
      </w:r>
      <w:r w:rsidRPr="00F11C5E">
        <w:rPr>
          <w:i/>
        </w:rPr>
        <w:t>k</w:t>
      </w:r>
      <w:r w:rsidRPr="00F11C5E">
        <w:t xml:space="preserve"> belongs to group </w:t>
      </w:r>
      <w:r w:rsidRPr="00F11C5E">
        <w:rPr>
          <w:i/>
        </w:rPr>
        <w:t>h</w:t>
      </w:r>
      <w:r w:rsidRPr="00F11C5E">
        <w:t xml:space="preserve"> and 0 otherwise), and the vector </w:t>
      </w:r>
      <w:r w:rsidRPr="00F11C5E">
        <w:rPr>
          <w:position w:val="-14"/>
        </w:rPr>
        <w:object w:dxaOrig="279" w:dyaOrig="380" w14:anchorId="090FE166">
          <v:shape id="_x0000_i1045" type="#_x0000_t75" style="width:13.7pt;height:19.3pt" o:ole="">
            <v:imagedata r:id="rId53" o:title=""/>
          </v:shape>
          <o:OLEObject Type="Embed" ProgID="Equation.DSMT4" ShapeID="_x0000_i1045" DrawAspect="Content" ObjectID="_1741591397" r:id="rId54"/>
        </w:object>
      </w:r>
      <w:r w:rsidR="003F2062">
        <w:t xml:space="preserve"> </w:t>
      </w:r>
      <w:r w:rsidRPr="00F11C5E">
        <w:t xml:space="preserve">(of dimension </w:t>
      </w:r>
      <w:r w:rsidRPr="00F11C5E">
        <w:rPr>
          <w:i/>
        </w:rPr>
        <w:t>H</w:t>
      </w:r>
      <w:r w:rsidRPr="00F11C5E">
        <w:t xml:space="preserve">) may be specified as a </w:t>
      </w:r>
      <w:r w:rsidRPr="00F11C5E">
        <w:rPr>
          <w:i/>
        </w:rPr>
        <w:t>H</w:t>
      </w:r>
      <w:r w:rsidRPr="00F11C5E">
        <w:t xml:space="preserve">-dimensional realization from a multivariate normally distributed random vector </w:t>
      </w:r>
      <w:r w:rsidRPr="00F11C5E">
        <w:rPr>
          <w:position w:val="-10"/>
        </w:rPr>
        <w:object w:dxaOrig="220" w:dyaOrig="260" w14:anchorId="4146B928">
          <v:shape id="_x0000_i1046" type="#_x0000_t75" style="width:11.15pt;height:12.85pt" o:ole="">
            <v:imagedata r:id="rId55" o:title=""/>
          </v:shape>
          <o:OLEObject Type="Embed" ProgID="Equation.DSMT4" ShapeID="_x0000_i1046" DrawAspect="Content" ObjectID="_1741591398" r:id="rId56"/>
        </w:object>
      </w:r>
      <w:r w:rsidRPr="00F11C5E">
        <w:t xml:space="preserve">, each of whose elements have a variance of </w:t>
      </w:r>
      <w:r w:rsidRPr="00F11C5E">
        <w:rPr>
          <w:position w:val="-12"/>
        </w:rPr>
        <w:object w:dxaOrig="320" w:dyaOrig="380" w14:anchorId="513A08B9">
          <v:shape id="_x0000_i1047" type="#_x0000_t75" style="width:16.3pt;height:19.3pt" o:ole="">
            <v:imagedata r:id="rId57" o:title=""/>
          </v:shape>
          <o:OLEObject Type="Embed" ProgID="Equation.DSMT4" ShapeID="_x0000_i1047" DrawAspect="Content" ObjectID="_1741591399" r:id="rId58"/>
        </w:object>
      </w:r>
      <w:r w:rsidRPr="00F11C5E">
        <w:t xml:space="preserve">. The elements of </w:t>
      </w:r>
      <w:r w:rsidRPr="00F11C5E">
        <w:rPr>
          <w:position w:val="-10"/>
        </w:rPr>
        <w:object w:dxaOrig="220" w:dyaOrig="260" w14:anchorId="3A6D8F34">
          <v:shape id="_x0000_i1048" type="#_x0000_t75" style="width:11.15pt;height:12.85pt" o:ole="">
            <v:imagedata r:id="rId55" o:title=""/>
          </v:shape>
          <o:OLEObject Type="Embed" ProgID="Equation.DSMT4" ShapeID="_x0000_i1048" DrawAspect="Content" ObjectID="_1741591400" r:id="rId59"/>
        </w:object>
      </w:r>
      <w:r w:rsidR="003F2062">
        <w:t xml:space="preserve"> </w:t>
      </w:r>
      <w:r w:rsidRPr="00F11C5E">
        <w:t xml:space="preserve">are assumed to be independent of each other, and the realization vector for any individual is independent of the </w:t>
      </w:r>
      <w:r w:rsidRPr="00F11C5E">
        <w:lastRenderedPageBreak/>
        <w:t xml:space="preserve">realization vector of other individuals. The result is a variance of </w:t>
      </w:r>
      <w:r w:rsidR="00B40ED1" w:rsidRPr="00F11C5E">
        <w:rPr>
          <w:position w:val="-28"/>
        </w:rPr>
        <w:object w:dxaOrig="960" w:dyaOrig="540" w14:anchorId="181B8A3F">
          <v:shape id="_x0000_i1049" type="#_x0000_t75" style="width:48pt;height:27.85pt" o:ole="" o:preferrelative="f">
            <v:imagedata r:id="rId60" o:title=""/>
            <o:lock v:ext="edit" aspectratio="f"/>
          </v:shape>
          <o:OLEObject Type="Embed" ProgID="Equation.3" ShapeID="_x0000_i1049" DrawAspect="Content" ObjectID="_1741591401" r:id="rId61"/>
        </w:object>
      </w:r>
      <w:r>
        <w:t xml:space="preserve"> </w:t>
      </w:r>
      <w:r w:rsidRPr="00F11C5E">
        <w:t xml:space="preserve">across individuals in the utility of alternative </w:t>
      </w:r>
      <w:r w:rsidRPr="00F11C5E">
        <w:rPr>
          <w:i/>
        </w:rPr>
        <w:t>k</w:t>
      </w:r>
      <w:r w:rsidRPr="00F11C5E">
        <w:t xml:space="preserve"> with an associated covariance between alternatives </w:t>
      </w:r>
      <w:r w:rsidRPr="00F11C5E">
        <w:rPr>
          <w:i/>
        </w:rPr>
        <w:t>k</w:t>
      </w:r>
      <w:r w:rsidRPr="00F11C5E">
        <w:t xml:space="preserve"> and </w:t>
      </w:r>
      <w:r w:rsidRPr="00F11C5E">
        <w:rPr>
          <w:i/>
        </w:rPr>
        <w:t>l</w:t>
      </w:r>
      <w:r w:rsidRPr="00F11C5E">
        <w:t xml:space="preserve"> of </w:t>
      </w:r>
      <w:r w:rsidR="00B40ED1" w:rsidRPr="00F11C5E">
        <w:rPr>
          <w:position w:val="-28"/>
        </w:rPr>
        <w:object w:dxaOrig="1260" w:dyaOrig="540" w14:anchorId="739349E2">
          <v:shape id="_x0000_i1050" type="#_x0000_t75" style="width:63.85pt;height:27.85pt" o:ole="" o:preferrelative="f">
            <v:imagedata r:id="rId62" o:title=""/>
            <o:lock v:ext="edit" aspectratio="f"/>
          </v:shape>
          <o:OLEObject Type="Embed" ProgID="Equation.3" ShapeID="_x0000_i1050" DrawAspect="Content" ObjectID="_1741591402" r:id="rId63"/>
        </w:object>
      </w:r>
      <w:r w:rsidRPr="00F11C5E">
        <w:t xml:space="preserve">. Thus, this fourth component captures heterogeneity due to unobserved attributes that are correlated across </w:t>
      </w:r>
      <w:r>
        <w:t xml:space="preserve">alternatives. </w:t>
      </w:r>
      <w:r w:rsidRPr="00F11C5E">
        <w:t xml:space="preserve">The </w:t>
      </w:r>
      <w:r w:rsidRPr="00F11C5E">
        <w:rPr>
          <w:u w:val="single"/>
        </w:rPr>
        <w:t>fifth term</w:t>
      </w:r>
      <w:r w:rsidRPr="00F11C5E">
        <w:t xml:space="preserve"> </w:t>
      </w:r>
      <w:r w:rsidRPr="00F11C5E">
        <w:rPr>
          <w:position w:val="-14"/>
        </w:rPr>
        <w:object w:dxaOrig="380" w:dyaOrig="380" w14:anchorId="74864960">
          <v:shape id="_x0000_i1051" type="#_x0000_t75" style="width:19.3pt;height:19.3pt" o:ole="">
            <v:imagedata r:id="rId64" o:title=""/>
          </v:shape>
          <o:OLEObject Type="Embed" ProgID="Equation.DSMT4" ShapeID="_x0000_i1051" DrawAspect="Content" ObjectID="_1741591403" r:id="rId65"/>
        </w:object>
      </w:r>
      <w:r w:rsidRPr="00F11C5E">
        <w:t xml:space="preserve"> is an idiosyncratic choice-occasion specific term for individual </w:t>
      </w:r>
      <w:r w:rsidRPr="00F11C5E">
        <w:rPr>
          <w:i/>
        </w:rPr>
        <w:t>q</w:t>
      </w:r>
      <w:r w:rsidRPr="00F11C5E">
        <w:t xml:space="preserve"> and alternative </w:t>
      </w:r>
      <w:r w:rsidRPr="00F11C5E">
        <w:rPr>
          <w:i/>
        </w:rPr>
        <w:t>k</w:t>
      </w:r>
      <w:r w:rsidRPr="00F11C5E">
        <w:t>, assumed to be identically and independently standard type I extreme-value distributed across individuals, alternatives (activity purposes), and choice occasions</w:t>
      </w:r>
      <w:r>
        <w:t xml:space="preserve"> (with a fixed scale)</w:t>
      </w:r>
      <w:r w:rsidRPr="00F11C5E">
        <w:t>.</w:t>
      </w:r>
    </w:p>
    <w:p w14:paraId="5ED4FCE9" w14:textId="07494FB7" w:rsidR="00551D7C" w:rsidRPr="00F11C5E" w:rsidRDefault="00551D7C" w:rsidP="00B40ED1">
      <w:pPr>
        <w:spacing w:after="0"/>
        <w:ind w:firstLine="720"/>
        <w:outlineLvl w:val="0"/>
      </w:pPr>
      <w:r w:rsidRPr="00F11C5E">
        <w:t xml:space="preserve">Let </w:t>
      </w:r>
      <w:r w:rsidRPr="00F11C5E">
        <w:rPr>
          <w:position w:val="-6"/>
        </w:rPr>
        <w:object w:dxaOrig="220" w:dyaOrig="279" w14:anchorId="5EB9E5D4">
          <v:shape id="_x0000_i1052" type="#_x0000_t75" style="width:11.15pt;height:13.7pt" o:ole="">
            <v:imagedata r:id="rId66" o:title=""/>
          </v:shape>
          <o:OLEObject Type="Embed" ProgID="Equation.DSMT4" ShapeID="_x0000_i1052" DrawAspect="Content" ObjectID="_1741591404" r:id="rId67"/>
        </w:object>
      </w:r>
      <w:r w:rsidRPr="00F11C5E">
        <w:t xml:space="preserve"> be a vector of the </w:t>
      </w:r>
      <w:r w:rsidRPr="00F11C5E">
        <w:rPr>
          <w:position w:val="-12"/>
        </w:rPr>
        <w:object w:dxaOrig="260" w:dyaOrig="360" w14:anchorId="1CB2DCE5">
          <v:shape id="_x0000_i1053" type="#_x0000_t75" style="width:12.85pt;height:18pt" o:ole="">
            <v:imagedata r:id="rId68" o:title=""/>
          </v:shape>
          <o:OLEObject Type="Embed" ProgID="Equation.DSMT4" ShapeID="_x0000_i1053" DrawAspect="Content" ObjectID="_1741591405" r:id="rId69"/>
        </w:object>
      </w:r>
      <w:r w:rsidRPr="00F11C5E">
        <w:t xml:space="preserve"> elements; </w:t>
      </w:r>
      <w:r w:rsidRPr="00F11C5E">
        <w:rPr>
          <w:position w:val="-10"/>
        </w:rPr>
        <w:object w:dxaOrig="220" w:dyaOrig="260" w14:anchorId="14D0FFBB">
          <v:shape id="_x0000_i1054" type="#_x0000_t75" style="width:11.15pt;height:12.85pt" o:ole="">
            <v:imagedata r:id="rId70" o:title=""/>
          </v:shape>
          <o:OLEObject Type="Embed" ProgID="Equation.DSMT4" ShapeID="_x0000_i1054" DrawAspect="Content" ObjectID="_1741591406" r:id="rId71"/>
        </w:object>
      </w:r>
      <w:r w:rsidRPr="00F11C5E">
        <w:t xml:space="preserve"> be a vector of the </w:t>
      </w:r>
      <w:r w:rsidRPr="005F15EA">
        <w:rPr>
          <w:position w:val="-14"/>
        </w:rPr>
        <w:object w:dxaOrig="380" w:dyaOrig="380" w14:anchorId="30EF67CD">
          <v:shape id="_x0000_i1055" type="#_x0000_t75" style="width:18.85pt;height:18.85pt" o:ole="">
            <v:imagedata r:id="rId72" o:title=""/>
          </v:shape>
          <o:OLEObject Type="Embed" ProgID="Equation.DSMT4" ShapeID="_x0000_i1055" DrawAspect="Content" ObjectID="_1741591407" r:id="rId73"/>
        </w:object>
      </w:r>
      <w:r>
        <w:t xml:space="preserve"> </w:t>
      </w:r>
      <w:r w:rsidRPr="00F11C5E">
        <w:t xml:space="preserve">elements, </w:t>
      </w:r>
      <w:r w:rsidRPr="00F11C5E">
        <w:rPr>
          <w:position w:val="-6"/>
        </w:rPr>
        <w:object w:dxaOrig="240" w:dyaOrig="220" w14:anchorId="6B6DE628">
          <v:shape id="_x0000_i1056" type="#_x0000_t75" style="width:12pt;height:10.7pt" o:ole="">
            <v:imagedata r:id="rId74" o:title=""/>
          </v:shape>
          <o:OLEObject Type="Embed" ProgID="Equation.DSMT4" ShapeID="_x0000_i1056" DrawAspect="Content" ObjectID="_1741591408" r:id="rId75"/>
        </w:object>
      </w:r>
      <w:r w:rsidRPr="00F11C5E">
        <w:t xml:space="preserve"> be a vector of parameters characterizing the </w:t>
      </w:r>
      <w:r w:rsidRPr="00F11C5E">
        <w:rPr>
          <w:position w:val="-12"/>
        </w:rPr>
        <w:object w:dxaOrig="320" w:dyaOrig="380" w14:anchorId="72237FB1">
          <v:shape id="_x0000_i1057" type="#_x0000_t75" style="width:16.3pt;height:19.3pt" o:ole="">
            <v:imagedata r:id="rId76" o:title=""/>
          </v:shape>
          <o:OLEObject Type="Embed" ProgID="Equation.DSMT4" ShapeID="_x0000_i1057" DrawAspect="Content" ObjectID="_1741591409" r:id="rId77"/>
        </w:object>
      </w:r>
      <w:r w:rsidRPr="00F11C5E">
        <w:t xml:space="preserve"> elements</w:t>
      </w:r>
      <w:r>
        <w:t xml:space="preserve">, and </w:t>
      </w:r>
      <w:r w:rsidRPr="00E501B1">
        <w:rPr>
          <w:position w:val="-6"/>
        </w:rPr>
        <w:object w:dxaOrig="240" w:dyaOrig="220" w14:anchorId="56E6B08C">
          <v:shape id="_x0000_i1058" type="#_x0000_t75" style="width:12pt;height:11.15pt" o:ole="">
            <v:imagedata r:id="rId78" o:title=""/>
          </v:shape>
          <o:OLEObject Type="Embed" ProgID="Equation.DSMT4" ShapeID="_x0000_i1058" DrawAspect="Content" ObjectID="_1741591410" r:id="rId79"/>
        </w:object>
      </w:r>
      <w:r w:rsidRPr="00E501B1">
        <w:t xml:space="preserve"> </w:t>
      </w:r>
      <w:r w:rsidRPr="00F11C5E">
        <w:t>be a vector of parameters characterizing the</w:t>
      </w:r>
      <w:r>
        <w:t xml:space="preserve"> </w:t>
      </w:r>
      <w:r w:rsidRPr="00F11C5E">
        <w:rPr>
          <w:position w:val="-12"/>
        </w:rPr>
        <w:object w:dxaOrig="320" w:dyaOrig="380" w14:anchorId="6B0FBF73">
          <v:shape id="_x0000_i1059" type="#_x0000_t75" style="width:16.3pt;height:19.3pt" o:ole="">
            <v:imagedata r:id="rId57" o:title=""/>
          </v:shape>
          <o:OLEObject Type="Embed" ProgID="Equation.DSMT4" ShapeID="_x0000_i1059" DrawAspect="Content" ObjectID="_1741591411" r:id="rId80"/>
        </w:object>
      </w:r>
      <w:r w:rsidRPr="00F11C5E">
        <w:t xml:space="preserve"> elements</w:t>
      </w:r>
      <w:r>
        <w:t>.</w:t>
      </w:r>
      <w:r w:rsidRPr="00F11C5E">
        <w:t xml:space="preserve"> The parameters to be estimated in the </w:t>
      </w:r>
      <w:r>
        <w:t xml:space="preserve">panel </w:t>
      </w:r>
      <w:r w:rsidRPr="00F11C5E">
        <w:t xml:space="preserve">MMDCEV model include the </w:t>
      </w:r>
      <w:r w:rsidR="001B3839" w:rsidRPr="00F11C5E">
        <w:rPr>
          <w:position w:val="-6"/>
        </w:rPr>
        <w:object w:dxaOrig="220" w:dyaOrig="279" w14:anchorId="6A612293">
          <v:shape id="_x0000_i1060" type="#_x0000_t75" style="width:11.15pt;height:13.7pt" o:ole="">
            <v:imagedata r:id="rId66" o:title=""/>
          </v:shape>
          <o:OLEObject Type="Embed" ProgID="Equation.DSMT4" ShapeID="_x0000_i1060" DrawAspect="Content" ObjectID="_1741591412" r:id="rId81"/>
        </w:object>
      </w:r>
      <w:r w:rsidRPr="00F11C5E">
        <w:t>,</w:t>
      </w:r>
      <w:r w:rsidRPr="00F11C5E">
        <w:rPr>
          <w:position w:val="-10"/>
        </w:rPr>
        <w:object w:dxaOrig="260" w:dyaOrig="320" w14:anchorId="22BA3013">
          <v:shape id="_x0000_i1061" type="#_x0000_t75" style="width:12.85pt;height:16.3pt" o:ole="">
            <v:imagedata r:id="rId82" o:title=""/>
          </v:shape>
          <o:OLEObject Type="Embed" ProgID="Equation.DSMT4" ShapeID="_x0000_i1061" DrawAspect="Content" ObjectID="_1741591413" r:id="rId83"/>
        </w:object>
      </w:r>
      <w:r w:rsidR="001B3839">
        <w:t>,</w:t>
      </w:r>
      <w:r w:rsidR="000E141D" w:rsidRPr="00F11C5E">
        <w:rPr>
          <w:position w:val="-10"/>
        </w:rPr>
        <w:object w:dxaOrig="320" w:dyaOrig="260" w14:anchorId="5BD2FCE7">
          <v:shape id="_x0000_i1062" type="#_x0000_t75" style="width:16.3pt;height:12.85pt" o:ole="">
            <v:imagedata r:id="rId84" o:title=""/>
          </v:shape>
          <o:OLEObject Type="Embed" ProgID="Equation.DSMT4" ShapeID="_x0000_i1062" DrawAspect="Content" ObjectID="_1741591414" r:id="rId85"/>
        </w:object>
      </w:r>
      <w:r w:rsidR="000E141D" w:rsidRPr="00F11C5E">
        <w:rPr>
          <w:position w:val="-6"/>
        </w:rPr>
        <w:object w:dxaOrig="240" w:dyaOrig="220" w14:anchorId="3EFE3852">
          <v:shape id="_x0000_i1063" type="#_x0000_t75" style="width:12pt;height:10.7pt" o:ole="">
            <v:imagedata r:id="rId74" o:title=""/>
          </v:shape>
          <o:OLEObject Type="Embed" ProgID="Equation.DSMT4" ShapeID="_x0000_i1063" DrawAspect="Content" ObjectID="_1741591415" r:id="rId86"/>
        </w:object>
      </w:r>
      <w:r w:rsidR="000E141D">
        <w:t xml:space="preserve"> and </w:t>
      </w:r>
      <w:r w:rsidR="000E141D" w:rsidRPr="00E501B1">
        <w:rPr>
          <w:position w:val="-6"/>
        </w:rPr>
        <w:object w:dxaOrig="240" w:dyaOrig="220" w14:anchorId="56BF9357">
          <v:shape id="_x0000_i1064" type="#_x0000_t75" style="width:12pt;height:11.15pt" o:ole="">
            <v:imagedata r:id="rId78" o:title=""/>
          </v:shape>
          <o:OLEObject Type="Embed" ProgID="Equation.DSMT4" ShapeID="_x0000_i1064" DrawAspect="Content" ObjectID="_1741591416" r:id="rId87"/>
        </w:object>
      </w:r>
      <w:r w:rsidR="000E141D">
        <w:t xml:space="preserve"> </w:t>
      </w:r>
      <w:r>
        <w:t>vector</w:t>
      </w:r>
      <w:r w:rsidR="000E141D">
        <w:t>s</w:t>
      </w:r>
      <w:r>
        <w:t>.</w:t>
      </w:r>
      <w:r w:rsidRPr="00F11C5E">
        <w:t xml:space="preserve"> For given values o</w:t>
      </w:r>
      <w:r>
        <w:t xml:space="preserve">f </w:t>
      </w:r>
      <w:r w:rsidRPr="00F11C5E">
        <w:rPr>
          <w:position w:val="-14"/>
        </w:rPr>
        <w:object w:dxaOrig="300" w:dyaOrig="380" w14:anchorId="1D8122EB">
          <v:shape id="_x0000_i1065" type="#_x0000_t75" style="width:15.85pt;height:19.3pt" o:ole="">
            <v:imagedata r:id="rId44" o:title=""/>
          </v:shape>
          <o:OLEObject Type="Embed" ProgID="Equation.DSMT4" ShapeID="_x0000_i1065" DrawAspect="Content" ObjectID="_1741591417" r:id="rId88"/>
        </w:object>
      </w:r>
      <w:r>
        <w:t xml:space="preserve"> </w:t>
      </w:r>
      <w:r w:rsidRPr="00F11C5E">
        <w:t>and</w:t>
      </w:r>
      <w:r>
        <w:t xml:space="preserve"> </w:t>
      </w:r>
      <w:r w:rsidRPr="00F11C5E">
        <w:rPr>
          <w:position w:val="-14"/>
        </w:rPr>
        <w:object w:dxaOrig="279" w:dyaOrig="380" w14:anchorId="7E254478">
          <v:shape id="_x0000_i1066" type="#_x0000_t75" style="width:13.7pt;height:19.3pt" o:ole="">
            <v:imagedata r:id="rId53" o:title=""/>
          </v:shape>
          <o:OLEObject Type="Embed" ProgID="Equation.DSMT4" ShapeID="_x0000_i1066" DrawAspect="Content" ObjectID="_1741591418" r:id="rId89"/>
        </w:object>
      </w:r>
      <w:r w:rsidRPr="00F11C5E">
        <w:t xml:space="preserve">, the probability of the observed </w:t>
      </w:r>
      <w:r>
        <w:t>workplace location distribution of days</w:t>
      </w:r>
      <w:r w:rsidRPr="00F11C5E">
        <w:t xml:space="preserve"> </w:t>
      </w:r>
      <w:r w:rsidRPr="00F11C5E">
        <w:rPr>
          <w:position w:val="-14"/>
        </w:rPr>
        <w:object w:dxaOrig="2400" w:dyaOrig="400" w14:anchorId="76C0AB26">
          <v:shape id="_x0000_i1067" type="#_x0000_t75" style="width:120pt;height:19.7pt" o:ole="">
            <v:imagedata r:id="rId90" o:title=""/>
          </v:shape>
          <o:OLEObject Type="Embed" ProgID="Equation.DSMT4" ShapeID="_x0000_i1067" DrawAspect="Content" ObjectID="_1741591419" r:id="rId91"/>
        </w:object>
      </w:r>
      <w:r>
        <w:t xml:space="preserve"> </w:t>
      </w:r>
      <w:r w:rsidRPr="00F11C5E">
        <w:t xml:space="preserve">of individual </w:t>
      </w:r>
      <w:r w:rsidRPr="00F11C5E">
        <w:rPr>
          <w:i/>
        </w:rPr>
        <w:t>q</w:t>
      </w:r>
      <w:r w:rsidRPr="00F11C5E">
        <w:t xml:space="preserve"> at choice occasion </w:t>
      </w:r>
      <w:r w:rsidRPr="00F11C5E">
        <w:rPr>
          <w:i/>
        </w:rPr>
        <w:t>t</w:t>
      </w:r>
      <w:r w:rsidRPr="00F11C5E">
        <w:t xml:space="preserve"> is given by (Bhat, 2008): </w:t>
      </w:r>
    </w:p>
    <w:p w14:paraId="2BF7562E" w14:textId="1600BE35" w:rsidR="00551D7C" w:rsidRPr="00F11C5E" w:rsidRDefault="00B40ED1" w:rsidP="00AE180F">
      <w:pPr>
        <w:tabs>
          <w:tab w:val="right" w:pos="9360"/>
        </w:tabs>
        <w:spacing w:before="60" w:after="60"/>
        <w:outlineLvl w:val="0"/>
      </w:pPr>
      <w:r w:rsidRPr="00BF2362">
        <w:rPr>
          <w:position w:val="-70"/>
        </w:rPr>
        <w:object w:dxaOrig="6580" w:dyaOrig="1520" w14:anchorId="5872BEE0">
          <v:shape id="_x0000_i1068" type="#_x0000_t75" style="width:328.3pt;height:76.7pt" o:ole="">
            <v:imagedata r:id="rId92" o:title=""/>
          </v:shape>
          <o:OLEObject Type="Embed" ProgID="Equation.DSMT4" ShapeID="_x0000_i1068" DrawAspect="Content" ObjectID="_1741591420" r:id="rId93"/>
        </w:object>
      </w:r>
      <w:r w:rsidR="00551D7C" w:rsidRPr="00F11C5E">
        <w:t xml:space="preserve">, where     </w:t>
      </w:r>
      <w:r w:rsidR="00AE180F">
        <w:tab/>
      </w:r>
      <w:r w:rsidR="00551D7C" w:rsidRPr="00F11C5E">
        <w:t>(</w:t>
      </w:r>
      <w:r w:rsidR="00551D7C">
        <w:t>3</w:t>
      </w:r>
      <w:r w:rsidR="00551D7C" w:rsidRPr="00F11C5E">
        <w:t>)</w:t>
      </w:r>
    </w:p>
    <w:p w14:paraId="4AB1ECE4" w14:textId="77777777" w:rsidR="00551D7C" w:rsidRPr="00F11C5E" w:rsidRDefault="00551D7C" w:rsidP="00B40ED1">
      <w:pPr>
        <w:pStyle w:val="text"/>
        <w:spacing w:line="276" w:lineRule="auto"/>
        <w:outlineLvl w:val="0"/>
      </w:pPr>
      <w:r w:rsidRPr="00F11C5E">
        <w:rPr>
          <w:position w:val="-14"/>
        </w:rPr>
        <w:object w:dxaOrig="420" w:dyaOrig="380" w14:anchorId="45116AC5">
          <v:shape id="_x0000_i1069" type="#_x0000_t75" style="width:22.3pt;height:19.3pt" o:ole="">
            <v:imagedata r:id="rId94" o:title=""/>
          </v:shape>
          <o:OLEObject Type="Embed" ProgID="Equation.DSMT4" ShapeID="_x0000_i1069" DrawAspect="Content" ObjectID="_1741591421" r:id="rId95"/>
        </w:object>
      </w:r>
      <w:r w:rsidRPr="00F11C5E">
        <w:t xml:space="preserve">= the number of alternatives chosen by individual </w:t>
      </w:r>
      <w:r w:rsidRPr="00F11C5E">
        <w:rPr>
          <w:i/>
        </w:rPr>
        <w:t>q</w:t>
      </w:r>
      <w:r w:rsidRPr="00F11C5E">
        <w:t xml:space="preserve"> at choice occasion </w:t>
      </w:r>
      <w:r w:rsidRPr="00F11C5E">
        <w:rPr>
          <w:i/>
        </w:rPr>
        <w:t>t</w:t>
      </w:r>
      <w:r w:rsidRPr="00F11C5E">
        <w:t xml:space="preserve">, </w:t>
      </w:r>
    </w:p>
    <w:p w14:paraId="26D9B9ED" w14:textId="77777777" w:rsidR="00551D7C" w:rsidRDefault="00551D7C" w:rsidP="00B40ED1">
      <w:pPr>
        <w:pStyle w:val="text"/>
        <w:spacing w:line="276" w:lineRule="auto"/>
      </w:pPr>
      <w:r w:rsidRPr="00F11C5E">
        <w:rPr>
          <w:position w:val="-34"/>
        </w:rPr>
        <w:object w:dxaOrig="1760" w:dyaOrig="800" w14:anchorId="4839E7C6">
          <v:shape id="_x0000_i1070" type="#_x0000_t75" style="width:89.15pt;height:41.15pt" o:ole="">
            <v:imagedata r:id="rId96" o:title=""/>
          </v:shape>
          <o:OLEObject Type="Embed" ProgID="Equation.DSMT4" ShapeID="_x0000_i1070" DrawAspect="Content" ObjectID="_1741591422" r:id="rId97"/>
        </w:object>
      </w:r>
      <w:r w:rsidRPr="00F11C5E">
        <w:t xml:space="preserve"> for</w:t>
      </w:r>
      <w:r>
        <w:t xml:space="preserve"> </w:t>
      </w:r>
      <w:r>
        <w:rPr>
          <w:i/>
        </w:rPr>
        <w:t>k</w:t>
      </w:r>
      <w:r w:rsidRPr="00F11C5E">
        <w:rPr>
          <w:i/>
        </w:rPr>
        <w:t xml:space="preserve"> </w:t>
      </w:r>
      <w:r w:rsidRPr="00F11C5E">
        <w:t xml:space="preserve">= </w:t>
      </w:r>
      <w:r>
        <w:t xml:space="preserve">1, </w:t>
      </w:r>
      <w:r w:rsidRPr="00F11C5E">
        <w:t xml:space="preserve">2, 3, …, </w:t>
      </w:r>
      <w:r w:rsidRPr="00F11C5E">
        <w:rPr>
          <w:i/>
        </w:rPr>
        <w:t>M</w:t>
      </w:r>
      <w:r w:rsidRPr="00F11C5E">
        <w:t>,</w:t>
      </w:r>
    </w:p>
    <w:p w14:paraId="09BE7D70" w14:textId="77777777" w:rsidR="00551D7C" w:rsidRPr="00E501B1" w:rsidRDefault="00551D7C" w:rsidP="00B40ED1">
      <w:pPr>
        <w:pStyle w:val="text"/>
        <w:spacing w:line="276" w:lineRule="auto"/>
      </w:pPr>
      <w:r w:rsidRPr="00F11C5E">
        <w:rPr>
          <w:position w:val="-34"/>
        </w:rPr>
        <w:object w:dxaOrig="4220" w:dyaOrig="800" w14:anchorId="707D7975">
          <v:shape id="_x0000_i1071" type="#_x0000_t75" style="width:210.85pt;height:41.15pt" o:ole="">
            <v:imagedata r:id="rId98" o:title=""/>
          </v:shape>
          <o:OLEObject Type="Embed" ProgID="Equation.DSMT4" ShapeID="_x0000_i1071" DrawAspect="Content" ObjectID="_1741591423" r:id="rId99"/>
        </w:object>
      </w:r>
      <w:r w:rsidRPr="00F11C5E">
        <w:t xml:space="preserve"> (</w:t>
      </w:r>
      <w:r w:rsidRPr="00F11C5E">
        <w:rPr>
          <w:i/>
        </w:rPr>
        <w:t>k</w:t>
      </w:r>
      <w:r w:rsidRPr="00F11C5E">
        <w:t xml:space="preserve"> = </w:t>
      </w:r>
      <w:r>
        <w:t xml:space="preserve">1, </w:t>
      </w:r>
      <w:r w:rsidRPr="00F11C5E">
        <w:t xml:space="preserve">2, 3, …, </w:t>
      </w:r>
      <w:r w:rsidRPr="00F11C5E">
        <w:rPr>
          <w:i/>
        </w:rPr>
        <w:t>K</w:t>
      </w:r>
      <w:r w:rsidRPr="00F11C5E">
        <w:t>).</w:t>
      </w:r>
    </w:p>
    <w:p w14:paraId="6BDED7F9" w14:textId="7D43B598" w:rsidR="00551D7C" w:rsidRPr="00F11C5E" w:rsidRDefault="00551D7C" w:rsidP="00B40ED1">
      <w:pPr>
        <w:pStyle w:val="text"/>
        <w:spacing w:line="276" w:lineRule="auto"/>
        <w:jc w:val="both"/>
      </w:pPr>
      <w:r w:rsidRPr="00F11C5E">
        <w:t xml:space="preserve">To develop the likelihood function for parameter estimation, the probability of each sample individual’s set of observed </w:t>
      </w:r>
      <w:r>
        <w:t>workplace location days’ distribution</w:t>
      </w:r>
      <w:r w:rsidRPr="00F11C5E">
        <w:t xml:space="preserve"> is needed. Conditional on </w:t>
      </w:r>
      <w:r w:rsidRPr="00F11C5E">
        <w:rPr>
          <w:position w:val="-14"/>
        </w:rPr>
        <w:object w:dxaOrig="300" w:dyaOrig="380" w14:anchorId="18A9783D">
          <v:shape id="_x0000_i1072" type="#_x0000_t75" style="width:15.85pt;height:19.3pt" o:ole="">
            <v:imagedata r:id="rId100" o:title=""/>
          </v:shape>
          <o:OLEObject Type="Embed" ProgID="Equation.DSMT4" ShapeID="_x0000_i1072" DrawAspect="Content" ObjectID="_1741591424" r:id="rId101"/>
        </w:object>
      </w:r>
      <w:r>
        <w:t>and</w:t>
      </w:r>
      <w:r w:rsidR="003F2062">
        <w:t xml:space="preserve"> </w:t>
      </w:r>
      <w:r w:rsidRPr="00F11C5E">
        <w:rPr>
          <w:position w:val="-14"/>
        </w:rPr>
        <w:object w:dxaOrig="279" w:dyaOrig="380" w14:anchorId="38768404">
          <v:shape id="_x0000_i1073" type="#_x0000_t75" style="width:13.7pt;height:19.3pt" o:ole="">
            <v:imagedata r:id="rId102" o:title=""/>
          </v:shape>
          <o:OLEObject Type="Embed" ProgID="Equation.DSMT4" ShapeID="_x0000_i1073" DrawAspect="Content" ObjectID="_1741591425" r:id="rId103"/>
        </w:object>
      </w:r>
      <w:r w:rsidRPr="00F11C5E">
        <w:t xml:space="preserve">, the likelihood function for individual </w:t>
      </w:r>
      <w:r w:rsidRPr="00F11C5E">
        <w:rPr>
          <w:i/>
        </w:rPr>
        <w:t>q</w:t>
      </w:r>
      <w:r w:rsidRPr="00F11C5E">
        <w:t xml:space="preserve">’s observed set of time investments is: </w:t>
      </w:r>
    </w:p>
    <w:p w14:paraId="5F1064B0" w14:textId="7482AD8B" w:rsidR="00551D7C" w:rsidRPr="00F11C5E" w:rsidRDefault="00AE180F" w:rsidP="00AE180F">
      <w:pPr>
        <w:pStyle w:val="text"/>
        <w:tabs>
          <w:tab w:val="right" w:pos="9360"/>
        </w:tabs>
        <w:spacing w:before="60" w:after="60" w:line="276" w:lineRule="auto"/>
      </w:pPr>
      <w:r w:rsidRPr="00F11C5E">
        <w:rPr>
          <w:position w:val="-28"/>
        </w:rPr>
        <w:object w:dxaOrig="4920" w:dyaOrig="720" w14:anchorId="35B36EB6">
          <v:shape id="_x0000_i1074" type="#_x0000_t75" style="width:245.15pt;height:36pt" o:ole="">
            <v:imagedata r:id="rId104" o:title=""/>
          </v:shape>
          <o:OLEObject Type="Embed" ProgID="Equation.DSMT4" ShapeID="_x0000_i1074" DrawAspect="Content" ObjectID="_1741591426" r:id="rId105"/>
        </w:object>
      </w:r>
      <w:r w:rsidR="00551D7C" w:rsidRPr="00F11C5E">
        <w:t>.</w:t>
      </w:r>
      <w:r w:rsidR="00551D7C" w:rsidRPr="00F11C5E">
        <w:tab/>
      </w:r>
      <w:r w:rsidR="00551D7C">
        <w:t xml:space="preserve"> </w:t>
      </w:r>
      <w:r w:rsidR="00551D7C" w:rsidRPr="00F11C5E">
        <w:t>(</w:t>
      </w:r>
      <w:r w:rsidR="00551D7C">
        <w:t>4</w:t>
      </w:r>
      <w:r w:rsidR="00551D7C" w:rsidRPr="00F11C5E">
        <w:t>)</w:t>
      </w:r>
    </w:p>
    <w:p w14:paraId="12F3B03F" w14:textId="77777777" w:rsidR="00551D7C" w:rsidRPr="00F11C5E" w:rsidRDefault="00551D7C" w:rsidP="00B40ED1">
      <w:pPr>
        <w:pStyle w:val="text"/>
        <w:spacing w:line="276" w:lineRule="auto"/>
      </w:pPr>
      <w:r w:rsidRPr="00F11C5E">
        <w:t xml:space="preserve">The unconditional likelihood function for individual </w:t>
      </w:r>
      <w:r w:rsidRPr="00F11C5E">
        <w:rPr>
          <w:i/>
        </w:rPr>
        <w:t>q</w:t>
      </w:r>
      <w:r w:rsidRPr="00F11C5E">
        <w:t>’s observed set of choices is:</w:t>
      </w:r>
    </w:p>
    <w:p w14:paraId="29BD217A" w14:textId="6B9D1154" w:rsidR="00551D7C" w:rsidRPr="00F11C5E" w:rsidRDefault="00551D7C" w:rsidP="00AE180F">
      <w:pPr>
        <w:pStyle w:val="text"/>
        <w:tabs>
          <w:tab w:val="right" w:pos="9360"/>
        </w:tabs>
        <w:spacing w:before="60" w:after="60" w:line="276" w:lineRule="auto"/>
      </w:pPr>
      <w:r w:rsidRPr="00F11C5E">
        <w:rPr>
          <w:position w:val="-34"/>
        </w:rPr>
        <w:object w:dxaOrig="6259" w:dyaOrig="620" w14:anchorId="3FAB0D1D">
          <v:shape id="_x0000_i1075" type="#_x0000_t75" style="width:313.7pt;height:31.3pt" o:ole="">
            <v:imagedata r:id="rId106" o:title=""/>
          </v:shape>
          <o:OLEObject Type="Embed" ProgID="Equation.DSMT4" ShapeID="_x0000_i1075" DrawAspect="Content" ObjectID="_1741591427" r:id="rId107"/>
        </w:object>
      </w:r>
      <w:r w:rsidR="00AE180F">
        <w:t>.</w:t>
      </w:r>
      <w:r w:rsidRPr="00F11C5E">
        <w:t xml:space="preserve">    </w:t>
      </w:r>
      <w:r w:rsidR="00AE180F">
        <w:tab/>
      </w:r>
      <w:r w:rsidRPr="00F11C5E">
        <w:t>(</w:t>
      </w:r>
      <w:r>
        <w:t>5</w:t>
      </w:r>
      <w:r w:rsidRPr="00F11C5E">
        <w:t>)</w:t>
      </w:r>
    </w:p>
    <w:p w14:paraId="57BA0ED3" w14:textId="77777777" w:rsidR="00551D7C" w:rsidRPr="00F11C5E" w:rsidRDefault="00551D7C" w:rsidP="00B40ED1">
      <w:pPr>
        <w:pStyle w:val="text"/>
        <w:spacing w:line="276" w:lineRule="auto"/>
      </w:pPr>
      <w:r w:rsidRPr="00F11C5E">
        <w:t>The log-likelihood function is:</w:t>
      </w:r>
    </w:p>
    <w:p w14:paraId="17D795C3" w14:textId="468CE447" w:rsidR="00551D7C" w:rsidRPr="00F11C5E" w:rsidRDefault="00AE180F" w:rsidP="00AE180F">
      <w:pPr>
        <w:pStyle w:val="text"/>
        <w:tabs>
          <w:tab w:val="right" w:pos="9360"/>
        </w:tabs>
        <w:spacing w:before="60" w:after="60" w:line="276" w:lineRule="auto"/>
      </w:pPr>
      <w:r w:rsidRPr="00F11C5E">
        <w:rPr>
          <w:position w:val="-30"/>
        </w:rPr>
        <w:object w:dxaOrig="4060" w:dyaOrig="560" w14:anchorId="2022F8F0">
          <v:shape id="_x0000_i1076" type="#_x0000_t75" style="width:203.15pt;height:27.85pt" o:ole="" o:preferrelative="f">
            <v:imagedata r:id="rId108" o:title=""/>
            <o:lock v:ext="edit" aspectratio="f"/>
          </v:shape>
          <o:OLEObject Type="Embed" ProgID="Equation.DSMT4" ShapeID="_x0000_i1076" DrawAspect="Content" ObjectID="_1741591428" r:id="rId109"/>
        </w:object>
      </w:r>
      <w:r>
        <w:t>,</w:t>
      </w:r>
      <w:r w:rsidR="00551D7C" w:rsidRPr="00F11C5E">
        <w:tab/>
      </w:r>
      <w:proofErr w:type="gramStart"/>
      <w:r w:rsidR="00551D7C" w:rsidRPr="00F11C5E">
        <w:t xml:space="preserve">   (</w:t>
      </w:r>
      <w:proofErr w:type="gramEnd"/>
      <w:r w:rsidR="00551D7C">
        <w:t>6</w:t>
      </w:r>
      <w:r w:rsidR="00551D7C" w:rsidRPr="00F11C5E">
        <w:t>)</w:t>
      </w:r>
    </w:p>
    <w:p w14:paraId="3D5E59B7" w14:textId="6DF25BA8" w:rsidR="00F207F8" w:rsidRDefault="00551D7C" w:rsidP="0073414C">
      <w:pPr>
        <w:spacing w:after="0"/>
      </w:pPr>
      <w:r w:rsidRPr="00F11C5E">
        <w:t xml:space="preserve">where </w:t>
      </w:r>
      <w:r w:rsidRPr="00F11C5E">
        <w:rPr>
          <w:b/>
          <w:i/>
          <w:iCs/>
        </w:rPr>
        <w:t>F</w:t>
      </w:r>
      <w:r w:rsidRPr="00F11C5E">
        <w:t xml:space="preserve"> is the multivariate cumulative normal distribution. The reader will note that the dimensionality of the integration in the above expression depends on the number of elements in </w:t>
      </w:r>
      <w:r w:rsidRPr="00F11C5E">
        <w:rPr>
          <w:position w:val="-10"/>
        </w:rPr>
        <w:object w:dxaOrig="240" w:dyaOrig="260" w14:anchorId="78B4DC23">
          <v:shape id="_x0000_i1077" type="#_x0000_t75" style="width:12pt;height:12.85pt" o:ole="">
            <v:imagedata r:id="rId110" o:title=""/>
          </v:shape>
          <o:OLEObject Type="Embed" ProgID="Equation.DSMT4" ShapeID="_x0000_i1077" DrawAspect="Content" ObjectID="_1741591429" r:id="rId111"/>
        </w:object>
      </w:r>
      <w:r w:rsidR="00AE180F">
        <w:t xml:space="preserve"> </w:t>
      </w:r>
      <w:r>
        <w:t xml:space="preserve">and </w:t>
      </w:r>
      <w:r w:rsidRPr="00333147">
        <w:rPr>
          <w:position w:val="-10"/>
        </w:rPr>
        <w:object w:dxaOrig="220" w:dyaOrig="260" w14:anchorId="4D6E1975">
          <v:shape id="_x0000_i1078" type="#_x0000_t75" style="width:11.15pt;height:12.85pt" o:ole="">
            <v:imagedata r:id="rId112" o:title=""/>
          </v:shape>
          <o:OLEObject Type="Embed" ProgID="Equation.DSMT4" ShapeID="_x0000_i1078" DrawAspect="Content" ObjectID="_1741591430" r:id="rId113"/>
        </w:object>
      </w:r>
      <w:r>
        <w:t xml:space="preserve">. </w:t>
      </w:r>
      <w:r w:rsidRPr="00F11C5E">
        <w:t>Simulation techniques are applied to approximate the multidimensional integral in Equation (</w:t>
      </w:r>
      <w:r>
        <w:t>6</w:t>
      </w:r>
      <w:r w:rsidRPr="00F11C5E">
        <w:t>), and the resulting simulated log-likelihood function is maximized</w:t>
      </w:r>
      <w:r>
        <w:t xml:space="preserve"> using a</w:t>
      </w:r>
      <w:r w:rsidRPr="00F11C5E">
        <w:t xml:space="preserve"> scrambled Halton sequence</w:t>
      </w:r>
      <w:r>
        <w:t xml:space="preserve"> method</w:t>
      </w:r>
      <w:r w:rsidRPr="00F11C5E">
        <w:t xml:space="preserve"> (see Bhat, 2003)</w:t>
      </w:r>
      <w:r>
        <w:t>.</w:t>
      </w:r>
    </w:p>
    <w:p w14:paraId="05B3381E" w14:textId="77777777" w:rsidR="0073414C" w:rsidRDefault="0073414C" w:rsidP="0073414C">
      <w:pPr>
        <w:spacing w:after="0"/>
      </w:pPr>
    </w:p>
    <w:p w14:paraId="754EAF55" w14:textId="1B0F8497" w:rsidR="006F14C4" w:rsidRDefault="00240F69" w:rsidP="0073414C">
      <w:pPr>
        <w:pStyle w:val="Heading1"/>
        <w:numPr>
          <w:ilvl w:val="0"/>
          <w:numId w:val="1"/>
        </w:numPr>
        <w:spacing w:before="0"/>
      </w:pPr>
      <w:r>
        <w:t>Model results</w:t>
      </w:r>
    </w:p>
    <w:p w14:paraId="3C5A32EF" w14:textId="3CA54C1F" w:rsidR="00240F69" w:rsidRDefault="00240F69" w:rsidP="0073414C">
      <w:pPr>
        <w:spacing w:after="0"/>
      </w:pPr>
      <w:r>
        <w:t xml:space="preserve">During the modeling specification process, we pursued a systematic </w:t>
      </w:r>
      <w:r w:rsidR="008D3798">
        <w:t xml:space="preserve">(and elaborate) </w:t>
      </w:r>
      <w:r>
        <w:t xml:space="preserve">process </w:t>
      </w:r>
      <w:r w:rsidR="008D3798">
        <w:t xml:space="preserve">of </w:t>
      </w:r>
      <w:r>
        <w:t>consider</w:t>
      </w:r>
      <w:r w:rsidR="008D3798">
        <w:t>ing</w:t>
      </w:r>
      <w:r>
        <w:t xml:space="preserve"> several functional forms and combinations of explanatory variables, while eliminating statistically insignificant ones. Individual demographic and household characteristics</w:t>
      </w:r>
      <w:r w:rsidR="008D3798">
        <w:t xml:space="preserve"> </w:t>
      </w:r>
      <w:r>
        <w:t xml:space="preserve">such as </w:t>
      </w:r>
      <w:r w:rsidR="008D3798">
        <w:t xml:space="preserve">respondent </w:t>
      </w:r>
      <w:r>
        <w:t>age</w:t>
      </w:r>
      <w:r w:rsidR="008D3798">
        <w:t xml:space="preserve">, respondent’s household </w:t>
      </w:r>
      <w:r>
        <w:t>income</w:t>
      </w:r>
      <w:r w:rsidR="008D3798">
        <w:t>, and presence of children by age (which were collected in categorical form as opposed to in a continuous form</w:t>
      </w:r>
      <w:r>
        <w:t>), as well as work characteristics (such as</w:t>
      </w:r>
      <w:r w:rsidR="008D3798">
        <w:t xml:space="preserve"> </w:t>
      </w:r>
      <w:r>
        <w:t xml:space="preserve">occupation </w:t>
      </w:r>
      <w:r w:rsidR="008D3798">
        <w:t xml:space="preserve">type </w:t>
      </w:r>
      <w:r>
        <w:t xml:space="preserve">and </w:t>
      </w:r>
      <w:r w:rsidR="008D3798">
        <w:t xml:space="preserve">perceived </w:t>
      </w:r>
      <w:r>
        <w:t xml:space="preserve">commute congestion levels), were tested as dummy variables in the most disaggregate form </w:t>
      </w:r>
      <w:r w:rsidR="008D3798">
        <w:t>collected</w:t>
      </w:r>
      <w:r>
        <w:t xml:space="preserve">, and gradually combined based on statistical tests to yield parsimonious specifications. </w:t>
      </w:r>
      <w:bookmarkStart w:id="16" w:name="_Hlk125929351"/>
      <w:r>
        <w:t xml:space="preserve">Similarly, continuous variables (such as </w:t>
      </w:r>
      <w:r w:rsidR="00707657">
        <w:t xml:space="preserve">number of days worked per month, </w:t>
      </w:r>
      <w:r>
        <w:t>population density</w:t>
      </w:r>
      <w:r w:rsidR="00707657">
        <w:t>, and</w:t>
      </w:r>
      <w:r>
        <w:t xml:space="preserve"> employment density) were tested in their linear form</w:t>
      </w:r>
      <w:r w:rsidR="008D3798">
        <w:t xml:space="preserve"> as well as non-linear dummy variable forms. Except for one </w:t>
      </w:r>
      <w:r>
        <w:t>explanatory variable</w:t>
      </w:r>
      <w:r w:rsidR="008D3798">
        <w:t xml:space="preserve"> (commute time), the non-linear dummy variable form outperformed the linear form in terms of data fit</w:t>
      </w:r>
      <w:r>
        <w:t xml:space="preserve">. </w:t>
      </w:r>
      <w:bookmarkEnd w:id="16"/>
    </w:p>
    <w:p w14:paraId="6A64C124" w14:textId="2D3209FD" w:rsidR="000E141D" w:rsidRPr="00A6363C" w:rsidRDefault="00AC1247" w:rsidP="00B40ED1">
      <w:pPr>
        <w:spacing w:after="0"/>
        <w:ind w:firstLine="720"/>
        <w:rPr>
          <w:lang w:val="en-IN" w:eastAsia="en-IN"/>
        </w:rPr>
      </w:pPr>
      <w:r>
        <w:t xml:space="preserve">A </w:t>
      </w:r>
      <w:r w:rsidR="00AF5F72">
        <w:t xml:space="preserve">few </w:t>
      </w:r>
      <w:r>
        <w:t xml:space="preserve">other points about our specification. </w:t>
      </w:r>
      <w:r w:rsidR="00316206" w:rsidRPr="005D76C0">
        <w:t>F</w:t>
      </w:r>
      <w:r>
        <w:t>irst, t</w:t>
      </w:r>
      <w:r w:rsidR="00316206" w:rsidRPr="005D76C0">
        <w:t xml:space="preserve">o accommodate heterogeneity across individuals in the effect of observed variables not only in the baseline preference function (the </w:t>
      </w:r>
      <w:r w:rsidR="006123FE" w:rsidRPr="006123FE">
        <w:rPr>
          <w:rFonts w:eastAsia="Times New Roman"/>
          <w:bCs/>
          <w:position w:val="-14"/>
          <w:lang w:val="en-IN" w:eastAsia="en-IN"/>
        </w:rPr>
        <w:object w:dxaOrig="420" w:dyaOrig="380" w14:anchorId="05D3D763">
          <v:shape id="_x0000_i1079" type="#_x0000_t75" style="width:22.3pt;height:18.85pt" o:ole="">
            <v:imagedata r:id="rId114" o:title=""/>
          </v:shape>
          <o:OLEObject Type="Embed" ProgID="Equation.DSMT4" ShapeID="_x0000_i1079" DrawAspect="Content" ObjectID="_1741591431" r:id="rId115"/>
        </w:object>
      </w:r>
      <w:r w:rsidR="00316206" w:rsidRPr="005D76C0">
        <w:t xml:space="preserve"> function </w:t>
      </w:r>
      <w:r w:rsidR="00316206" w:rsidRPr="003F53C3">
        <w:t xml:space="preserve">as in Equation </w:t>
      </w:r>
      <w:r w:rsidRPr="003F53C3">
        <w:t>(</w:t>
      </w:r>
      <w:r w:rsidR="003F53C3" w:rsidRPr="003F53C3">
        <w:t>2</w:t>
      </w:r>
      <w:r w:rsidR="00316206" w:rsidRPr="003F53C3">
        <w:t>)), but also</w:t>
      </w:r>
      <w:r w:rsidR="00316206" w:rsidRPr="005D76C0">
        <w:t xml:space="preserve"> in the satiation parameters (the </w:t>
      </w:r>
      <w:r w:rsidR="006123FE" w:rsidRPr="006123FE">
        <w:rPr>
          <w:rFonts w:eastAsia="Times New Roman"/>
          <w:bCs/>
          <w:position w:val="-14"/>
          <w:lang w:val="en-IN" w:eastAsia="en-IN"/>
        </w:rPr>
        <w:object w:dxaOrig="380" w:dyaOrig="380" w14:anchorId="2AFA9B9A">
          <v:shape id="_x0000_i1080" type="#_x0000_t75" style="width:18pt;height:18.85pt" o:ole="">
            <v:imagedata r:id="rId116" o:title=""/>
          </v:shape>
          <o:OLEObject Type="Embed" ProgID="Equation.DSMT4" ShapeID="_x0000_i1080" DrawAspect="Content" ObjectID="_1741591432" r:id="rId117"/>
        </w:object>
      </w:r>
      <w:r w:rsidR="00316206" w:rsidRPr="005D76C0">
        <w:t xml:space="preserve"> parameters), we parameterized the satiation parameters as </w:t>
      </w:r>
      <w:r w:rsidR="006123FE" w:rsidRPr="006123FE">
        <w:rPr>
          <w:rFonts w:eastAsia="Times New Roman"/>
          <w:bCs/>
          <w:position w:val="-14"/>
          <w:lang w:eastAsia="en-IN"/>
        </w:rPr>
        <w:object w:dxaOrig="1100" w:dyaOrig="380" w14:anchorId="6B3023FB">
          <v:shape id="_x0000_i1081" type="#_x0000_t75" style="width:56.15pt;height:18.85pt" o:ole="">
            <v:imagedata r:id="rId118" o:title=""/>
          </v:shape>
          <o:OLEObject Type="Embed" ProgID="Equation.DSMT4" ShapeID="_x0000_i1081" DrawAspect="Content" ObjectID="_1741591433" r:id="rId119"/>
        </w:object>
      </w:r>
      <w:r w:rsidR="00316206" w:rsidRPr="005D76C0">
        <w:t xml:space="preserve">, where </w:t>
      </w:r>
      <w:r w:rsidR="006123FE" w:rsidRPr="006123FE">
        <w:rPr>
          <w:rFonts w:eastAsia="Times New Roman"/>
          <w:bCs/>
          <w:position w:val="-14"/>
          <w:lang w:eastAsia="en-IN"/>
        </w:rPr>
        <w:object w:dxaOrig="360" w:dyaOrig="380" w14:anchorId="30E14780">
          <v:shape id="_x0000_i1082" type="#_x0000_t75" style="width:18pt;height:18.85pt" o:ole="">
            <v:imagedata r:id="rId120" o:title=""/>
          </v:shape>
          <o:OLEObject Type="Embed" ProgID="Equation.DSMT4" ShapeID="_x0000_i1082" DrawAspect="Content" ObjectID="_1741591434" r:id="rId121"/>
        </w:object>
      </w:r>
      <w:r w:rsidR="00316206" w:rsidRPr="005D76C0">
        <w:t xml:space="preserve"> is a vector of </w:t>
      </w:r>
      <w:r>
        <w:t xml:space="preserve">independent variable </w:t>
      </w:r>
      <w:r w:rsidR="00316206" w:rsidRPr="005D76C0">
        <w:t xml:space="preserve">characteristics and </w:t>
      </w:r>
      <w:r w:rsidR="006123FE" w:rsidRPr="005D76C0">
        <w:rPr>
          <w:rFonts w:eastAsia="Times New Roman"/>
          <w:bCs/>
          <w:position w:val="-12"/>
          <w:lang w:eastAsia="en-IN"/>
        </w:rPr>
        <w:object w:dxaOrig="279" w:dyaOrig="360" w14:anchorId="4D80C1F5">
          <v:shape id="_x0000_i1083" type="#_x0000_t75" style="width:14.15pt;height:18pt" o:ole="">
            <v:imagedata r:id="rId122" o:title=""/>
          </v:shape>
          <o:OLEObject Type="Embed" ProgID="Equation.DSMT4" ShapeID="_x0000_i1083" DrawAspect="Content" ObjectID="_1741591435" r:id="rId123"/>
        </w:object>
      </w:r>
      <w:r w:rsidR="00316206" w:rsidRPr="005D76C0">
        <w:t xml:space="preserve"> is a vector to be estimated (note that </w:t>
      </w:r>
      <w:r w:rsidR="006123FE" w:rsidRPr="006123FE">
        <w:rPr>
          <w:rFonts w:eastAsia="Times New Roman"/>
          <w:bCs/>
          <w:position w:val="-14"/>
          <w:lang w:val="en-IN" w:eastAsia="en-IN"/>
        </w:rPr>
        <w:object w:dxaOrig="1280" w:dyaOrig="380" w14:anchorId="5F9DA048">
          <v:shape id="_x0000_i1084" type="#_x0000_t75" style="width:64.7pt;height:18.85pt" o:ole="">
            <v:imagedata r:id="rId124" o:title=""/>
          </v:shape>
          <o:OLEObject Type="Embed" ProgID="Equation.DSMT4" ShapeID="_x0000_i1084" DrawAspect="Content" ObjectID="_1741591436" r:id="rId125"/>
        </w:object>
      </w:r>
      <w:r w:rsidR="00316206" w:rsidRPr="005D76C0">
        <w:t xml:space="preserve"> This allows the discrete choice decision of </w:t>
      </w:r>
      <w:r>
        <w:t xml:space="preserve">choosing a specific WPL </w:t>
      </w:r>
      <w:r w:rsidR="00316206" w:rsidRPr="005D76C0">
        <w:t xml:space="preserve">to be less closely tied to the continuous </w:t>
      </w:r>
      <w:r>
        <w:t>intensity choice of the fraction of days of investment in that WPL</w:t>
      </w:r>
      <w:r w:rsidR="00316206" w:rsidRPr="005D76C0">
        <w:t xml:space="preserve"> (see Bhat, 2008). </w:t>
      </w:r>
      <w:r>
        <w:t xml:space="preserve"> Second, </w:t>
      </w:r>
      <w:r w:rsidR="00D613C7" w:rsidRPr="00D0155A">
        <w:t xml:space="preserve">we </w:t>
      </w:r>
      <w:r w:rsidR="00D613C7">
        <w:t>used a t-statistic threshold of 1.00 to retain variables</w:t>
      </w:r>
      <w:r w:rsidR="0013044B">
        <w:t xml:space="preserve"> (corresponding to a 0.32 level of significance or 68% confidence level)</w:t>
      </w:r>
      <w:r w:rsidR="00D613C7" w:rsidRPr="00D0155A">
        <w:t>, because of the moderate</w:t>
      </w:r>
      <w:r w:rsidR="00D613C7">
        <w:t>-</w:t>
      </w:r>
      <w:r w:rsidR="00D613C7" w:rsidRPr="00D0155A">
        <w:t>sized sample used in the analysis</w:t>
      </w:r>
      <w:r w:rsidR="00D613C7">
        <w:t xml:space="preserve">, the small share of individuals who use the third workplace location, and the potential for such included variables </w:t>
      </w:r>
      <w:r w:rsidR="0013044B">
        <w:t xml:space="preserve">to guide </w:t>
      </w:r>
      <w:r w:rsidR="00240F69">
        <w:t xml:space="preserve">future WPL investigations with larger sample sizes. </w:t>
      </w:r>
      <w:r w:rsidR="00AF5F72">
        <w:t>Third, while we attempted a host of different interaction effects, only those related to gendered life</w:t>
      </w:r>
      <w:r w:rsidR="00503CDF">
        <w:t>cycle</w:t>
      </w:r>
      <w:r w:rsidR="00AF5F72">
        <w:t xml:space="preserve"> (interaction of gender with presence of children and household structure) turned up as being important. For example, we attempted interactions related to age and being immunocompromised with COVID risk (to test the notion that older individuals and those immunocompromised would be more concerned about high COVID risk levels relative to other individuals). But these and other interaction effects did not even turn up marginally significant in our specifications. </w:t>
      </w:r>
      <w:bookmarkStart w:id="17" w:name="_Hlk125774364"/>
      <w:r w:rsidR="00CF0723">
        <w:t xml:space="preserve">Fourth, while we tested race and ethnicity effects, these effects turned out to be statistically insignificant at even the </w:t>
      </w:r>
      <w:r w:rsidR="00A97C20">
        <w:t xml:space="preserve">0.32 level of significance after controlling for income effects and occupation effects. When these other effects were not </w:t>
      </w:r>
      <w:r w:rsidR="00A97C20">
        <w:lastRenderedPageBreak/>
        <w:t xml:space="preserve">added, those who were non-Hispanic White were more likely to work from home or a third work place relative to their peers of other race/ethnicity </w:t>
      </w:r>
      <w:r w:rsidR="00A97C20" w:rsidRPr="00F207F8">
        <w:t xml:space="preserve">groups </w:t>
      </w:r>
      <w:bookmarkEnd w:id="17"/>
      <w:r w:rsidR="00A97C20" w:rsidRPr="00F207F8">
        <w:t>(</w:t>
      </w:r>
      <w:r w:rsidR="00F207F8" w:rsidRPr="00F207F8">
        <w:t>Ray and Ong, 2020</w:t>
      </w:r>
      <w:r w:rsidR="00A97C20" w:rsidRPr="00F207F8">
        <w:t>).</w:t>
      </w:r>
      <w:r w:rsidR="00A97C20">
        <w:t xml:space="preserve"> </w:t>
      </w:r>
    </w:p>
    <w:p w14:paraId="05438AFB" w14:textId="77777777" w:rsidR="00B40ED1" w:rsidRDefault="00AC1247" w:rsidP="00B40ED1">
      <w:pPr>
        <w:spacing w:after="0"/>
        <w:ind w:firstLine="720"/>
      </w:pPr>
      <w:r w:rsidRPr="00DF3D8D">
        <w:rPr>
          <w:iCs/>
        </w:rPr>
        <w:t xml:space="preserve">The </w:t>
      </w:r>
      <w:r>
        <w:rPr>
          <w:iCs/>
        </w:rPr>
        <w:t xml:space="preserve">model results for the effects of variables on the logarithm of the baseline preference (that is, the effects of variables on </w:t>
      </w:r>
      <w:r w:rsidR="00B57341" w:rsidRPr="00B57341">
        <w:rPr>
          <w:position w:val="-12"/>
        </w:rPr>
        <w:object w:dxaOrig="680" w:dyaOrig="360" w14:anchorId="63EF25F2">
          <v:shape id="_x0000_i1085" type="#_x0000_t75" style="width:35.15pt;height:18pt" o:ole="">
            <v:imagedata r:id="rId126" o:title=""/>
          </v:shape>
          <o:OLEObject Type="Embed" ProgID="Equation.DSMT4" ShapeID="_x0000_i1085" DrawAspect="Content" ObjectID="_1741591437" r:id="rId127"/>
        </w:object>
      </w:r>
      <w:r>
        <w:t xml:space="preserve">, or the elements of the </w:t>
      </w:r>
      <w:r w:rsidR="00606209" w:rsidRPr="00DF1A9B">
        <w:rPr>
          <w:position w:val="-10"/>
        </w:rPr>
        <w:object w:dxaOrig="240" w:dyaOrig="320" w14:anchorId="26363E40">
          <v:shape id="_x0000_i1086" type="#_x0000_t75" style="width:13.7pt;height:16.3pt" o:ole="">
            <v:imagedata r:id="rId128" o:title=""/>
          </v:shape>
          <o:OLEObject Type="Embed" ProgID="Equation.DSMT4" ShapeID="_x0000_i1086" DrawAspect="Content" ObjectID="_1741591438" r:id="rId129"/>
        </w:object>
      </w:r>
      <w:r w:rsidR="00DF7B5A">
        <w:t xml:space="preserve">and </w:t>
      </w:r>
      <w:r w:rsidR="00DF7B5A" w:rsidRPr="00F11C5E">
        <w:rPr>
          <w:position w:val="-6"/>
        </w:rPr>
        <w:object w:dxaOrig="220" w:dyaOrig="279" w14:anchorId="5D39033D">
          <v:shape id="_x0000_i1087" type="#_x0000_t75" style="width:11.15pt;height:13.7pt" o:ole="">
            <v:imagedata r:id="rId66" o:title=""/>
          </v:shape>
          <o:OLEObject Type="Embed" ProgID="Equation.DSMT4" ShapeID="_x0000_i1087" DrawAspect="Content" ObjectID="_1741591439" r:id="rId130"/>
        </w:object>
      </w:r>
      <w:r w:rsidR="00DF7B5A">
        <w:t xml:space="preserve"> </w:t>
      </w:r>
      <w:r>
        <w:t>vector</w:t>
      </w:r>
      <w:r w:rsidR="00DF7B5A">
        <w:t>s</w:t>
      </w:r>
      <w:r>
        <w:t xml:space="preserve">) </w:t>
      </w:r>
      <w:r>
        <w:rPr>
          <w:iCs/>
        </w:rPr>
        <w:t>are presented in the next section, while the effects of variables on the</w:t>
      </w:r>
      <w:r w:rsidR="000B100A">
        <w:rPr>
          <w:iCs/>
        </w:rPr>
        <w:t xml:space="preserve"> logarithm of the </w:t>
      </w:r>
      <w:r w:rsidR="00B57341" w:rsidRPr="00B57341">
        <w:rPr>
          <w:position w:val="-12"/>
        </w:rPr>
        <w:object w:dxaOrig="279" w:dyaOrig="360" w14:anchorId="04C51A3A">
          <v:shape id="_x0000_i1088" type="#_x0000_t75" style="width:13.7pt;height:18pt" o:ole="">
            <v:imagedata r:id="rId131" o:title=""/>
          </v:shape>
          <o:OLEObject Type="Embed" ProgID="Equation.DSMT4" ShapeID="_x0000_i1088" DrawAspect="Content" ObjectID="_1741591440" r:id="rId132"/>
        </w:object>
      </w:r>
      <w:r>
        <w:rPr>
          <w:iCs/>
        </w:rPr>
        <w:t xml:space="preserve"> </w:t>
      </w:r>
      <w:r w:rsidR="000B100A">
        <w:rPr>
          <w:iCs/>
        </w:rPr>
        <w:t xml:space="preserve">parameters (that is, the elements of the </w:t>
      </w:r>
      <w:r w:rsidR="00DF7B5A" w:rsidRPr="005D76C0">
        <w:rPr>
          <w:position w:val="-12"/>
        </w:rPr>
        <w:object w:dxaOrig="279" w:dyaOrig="360" w14:anchorId="152B1650">
          <v:shape id="_x0000_i1089" type="#_x0000_t75" style="width:14.15pt;height:18pt" o:ole="">
            <v:imagedata r:id="rId133" o:title=""/>
          </v:shape>
          <o:OLEObject Type="Embed" ProgID="Equation.DSMT4" ShapeID="_x0000_i1089" DrawAspect="Content" ObjectID="_1741591441" r:id="rId134"/>
        </w:object>
      </w:r>
      <w:r w:rsidR="000B100A">
        <w:t>vector) are presented in the subsequent section.</w:t>
      </w:r>
    </w:p>
    <w:p w14:paraId="04C6BBA3" w14:textId="3A16518E" w:rsidR="000B100A" w:rsidRDefault="000B100A" w:rsidP="00B40ED1">
      <w:pPr>
        <w:spacing w:after="0"/>
        <w:ind w:firstLine="720"/>
      </w:pPr>
      <w:r>
        <w:t xml:space="preserve"> </w:t>
      </w:r>
    </w:p>
    <w:p w14:paraId="79059940" w14:textId="28B5E752" w:rsidR="000B100A" w:rsidRPr="00A6363C" w:rsidRDefault="000B100A" w:rsidP="00B40ED1">
      <w:pPr>
        <w:pStyle w:val="ListParagraph"/>
        <w:keepNext/>
        <w:keepLines/>
        <w:numPr>
          <w:ilvl w:val="1"/>
          <w:numId w:val="1"/>
        </w:numPr>
        <w:spacing w:after="0"/>
        <w:ind w:left="450"/>
        <w:contextualSpacing w:val="0"/>
        <w:rPr>
          <w:b/>
          <w:iCs/>
        </w:rPr>
      </w:pPr>
      <w:bookmarkStart w:id="18" w:name="_Hlk109208215"/>
      <w:r w:rsidRPr="00A6363C">
        <w:rPr>
          <w:b/>
          <w:iCs/>
        </w:rPr>
        <w:t xml:space="preserve">Baseline Preference Parameter Estimates </w:t>
      </w:r>
    </w:p>
    <w:p w14:paraId="6BB1D27C" w14:textId="77777777" w:rsidR="00B40ED1" w:rsidRDefault="009927C9" w:rsidP="00B40ED1">
      <w:pPr>
        <w:spacing w:after="0"/>
      </w:pPr>
      <w:r w:rsidRPr="002C2A9D">
        <w:t xml:space="preserve">Table </w:t>
      </w:r>
      <w:r w:rsidR="00297182">
        <w:t>3</w:t>
      </w:r>
      <w:r w:rsidR="00297182" w:rsidRPr="002C2A9D">
        <w:t xml:space="preserve"> </w:t>
      </w:r>
      <w:r w:rsidRPr="002C2A9D">
        <w:t xml:space="preserve">presents the </w:t>
      </w:r>
      <w:r w:rsidR="000B100A">
        <w:t>model results</w:t>
      </w:r>
      <w:r w:rsidR="003725BA">
        <w:t xml:space="preserve">. In instances where some variables have no effect on a specific WPL alternative (denoted by a “—” in the table), the corresponding alternatives constitute the base category in introducing the variable’s effect. The results are discussed below by </w:t>
      </w:r>
      <w:r w:rsidR="00DB2471">
        <w:t>five</w:t>
      </w:r>
      <w:r w:rsidR="003725BA">
        <w:t xml:space="preserve"> categories of variables: individual</w:t>
      </w:r>
      <w:r w:rsidR="00DB2471">
        <w:t xml:space="preserve"> and household </w:t>
      </w:r>
      <w:r w:rsidR="003725BA">
        <w:t xml:space="preserve">demographics, geographic </w:t>
      </w:r>
      <w:r w:rsidR="0050619F">
        <w:t xml:space="preserve">WPL </w:t>
      </w:r>
      <w:r w:rsidR="003725BA">
        <w:t>attributes,</w:t>
      </w:r>
      <w:r w:rsidR="0050619F">
        <w:t xml:space="preserve"> </w:t>
      </w:r>
      <w:r w:rsidR="003725BA">
        <w:t xml:space="preserve">environment </w:t>
      </w:r>
      <w:r w:rsidR="0050619F">
        <w:t xml:space="preserve">WPL </w:t>
      </w:r>
      <w:r w:rsidR="003725BA">
        <w:t>attributes, job-related attributes, and general COVID threat levels.</w:t>
      </w:r>
    </w:p>
    <w:p w14:paraId="5D886DDA" w14:textId="0B378339" w:rsidR="003725BA" w:rsidRDefault="003725BA" w:rsidP="00B40ED1">
      <w:pPr>
        <w:spacing w:after="0"/>
      </w:pPr>
      <w:r>
        <w:t xml:space="preserve"> </w:t>
      </w:r>
    </w:p>
    <w:p w14:paraId="12F04D16" w14:textId="17E9993A" w:rsidR="009927C9" w:rsidRPr="00096CC3" w:rsidRDefault="009927C9" w:rsidP="00B40ED1">
      <w:pPr>
        <w:spacing w:after="0"/>
        <w:rPr>
          <w:b/>
          <w:i/>
          <w:u w:val="single"/>
        </w:rPr>
      </w:pPr>
      <w:bookmarkStart w:id="19" w:name="_Hlk106797041"/>
      <w:r w:rsidRPr="00096CC3">
        <w:rPr>
          <w:b/>
          <w:i/>
          <w:u w:val="single"/>
        </w:rPr>
        <w:t>Individual</w:t>
      </w:r>
      <w:r w:rsidR="00F516D9">
        <w:rPr>
          <w:b/>
          <w:i/>
          <w:u w:val="single"/>
        </w:rPr>
        <w:t xml:space="preserve"> and Household Demographics</w:t>
      </w:r>
    </w:p>
    <w:p w14:paraId="7BC51195" w14:textId="371EEFD6" w:rsidR="005936E5" w:rsidRDefault="004426D3" w:rsidP="00B40ED1">
      <w:pPr>
        <w:spacing w:after="0"/>
      </w:pPr>
      <w:bookmarkStart w:id="20" w:name="_Hlk106797671"/>
      <w:r>
        <w:t xml:space="preserve">Several observations may be made based on </w:t>
      </w:r>
      <w:r w:rsidR="00F311B8">
        <w:t>the effects of</w:t>
      </w:r>
      <w:r>
        <w:t xml:space="preserve"> </w:t>
      </w:r>
      <w:r w:rsidR="00ED632D">
        <w:t xml:space="preserve">the </w:t>
      </w:r>
      <w:r w:rsidR="00F311B8">
        <w:t xml:space="preserve">variables corresponding to gender, presence of children, and living with or without a partner. </w:t>
      </w:r>
      <w:r w:rsidRPr="001F05C8">
        <w:rPr>
          <w:i/>
        </w:rPr>
        <w:t>First</w:t>
      </w:r>
      <w:r>
        <w:t>, i</w:t>
      </w:r>
      <w:r w:rsidR="00F311B8">
        <w:t xml:space="preserve">n general, in </w:t>
      </w:r>
      <w:r w:rsidR="009927C9" w:rsidRPr="00096CC3">
        <w:t>a</w:t>
      </w:r>
      <w:r w:rsidR="00C93D1D">
        <w:t xml:space="preserve"> consumer-driven </w:t>
      </w:r>
      <w:r w:rsidR="00FA3479">
        <w:t xml:space="preserve">future </w:t>
      </w:r>
      <w:r w:rsidR="00C93D1D">
        <w:t>WPL situation</w:t>
      </w:r>
      <w:r w:rsidR="009927C9" w:rsidRPr="00096CC3">
        <w:t>, women</w:t>
      </w:r>
      <w:r w:rsidR="00B7724C">
        <w:t xml:space="preserve"> express</w:t>
      </w:r>
      <w:r w:rsidR="00C93D1D">
        <w:t xml:space="preserve"> a </w:t>
      </w:r>
      <w:r w:rsidR="004274B5">
        <w:t xml:space="preserve">lower preference than men for the work office relative to </w:t>
      </w:r>
      <w:r w:rsidR="009927C9" w:rsidRPr="00096CC3">
        <w:t>work</w:t>
      </w:r>
      <w:r w:rsidR="004274B5">
        <w:t>ing</w:t>
      </w:r>
      <w:r w:rsidR="009927C9" w:rsidRPr="00096CC3">
        <w:t xml:space="preserve"> remote</w:t>
      </w:r>
      <w:r w:rsidR="00C93D1D">
        <w:t>ly</w:t>
      </w:r>
      <w:r w:rsidR="009927C9" w:rsidRPr="00096CC3">
        <w:t xml:space="preserve"> </w:t>
      </w:r>
      <w:r w:rsidR="00C93D1D">
        <w:t>(from home or a third WPL</w:t>
      </w:r>
      <w:r w:rsidR="004274B5">
        <w:t xml:space="preserve">). </w:t>
      </w:r>
      <w:r w:rsidR="00F311B8">
        <w:t>E</w:t>
      </w:r>
      <w:r w:rsidR="00DF3D8D">
        <w:t>arlier studies have observed that men generally prefer the work office because they view the office as a primary social outlet (while women tend to socialize much more outside work with non-coworkers; Bilodeau et al., 2020)</w:t>
      </w:r>
      <w:r w:rsidR="00A8323C">
        <w:t xml:space="preserve"> as well as a way to position themselves for professional advancement (</w:t>
      </w:r>
      <w:proofErr w:type="spellStart"/>
      <w:r w:rsidR="00A8323C">
        <w:t>Greguletz</w:t>
      </w:r>
      <w:proofErr w:type="spellEnd"/>
      <w:r w:rsidR="00A8323C">
        <w:t xml:space="preserve"> et al., 2019). On the other hand, women appear less likely to even seek promotions because of the additional work pressures and responsibilities of upper management positions (</w:t>
      </w:r>
      <w:proofErr w:type="spellStart"/>
      <w:r w:rsidR="00A8323C" w:rsidRPr="00096CC3">
        <w:t>Georgiadou</w:t>
      </w:r>
      <w:proofErr w:type="spellEnd"/>
      <w:r w:rsidR="00A8323C" w:rsidRPr="00096CC3">
        <w:t xml:space="preserve"> and Syed, 2021</w:t>
      </w:r>
      <w:r w:rsidR="00A8323C">
        <w:t xml:space="preserve">). </w:t>
      </w:r>
      <w:r w:rsidRPr="001F05C8">
        <w:rPr>
          <w:i/>
        </w:rPr>
        <w:t>Second</w:t>
      </w:r>
      <w:r w:rsidR="00C92BBE">
        <w:t>, the results also show that th</w:t>
      </w:r>
      <w:r>
        <w:t xml:space="preserve">e preference for </w:t>
      </w:r>
      <w:r w:rsidR="00E6094C">
        <w:t xml:space="preserve">work at home </w:t>
      </w:r>
      <w:r w:rsidR="00C92BBE">
        <w:t xml:space="preserve">is highest for women with young children (0 to 4 years of age) not living with a partner (most likely these individuals would be single mothers). Single mothers tend to be particularly financially challenged, and being able to work </w:t>
      </w:r>
      <w:r w:rsidR="00E6094C">
        <w:t xml:space="preserve">from home </w:t>
      </w:r>
      <w:r>
        <w:t xml:space="preserve">can </w:t>
      </w:r>
      <w:r w:rsidR="00C92BBE">
        <w:t>save money</w:t>
      </w:r>
      <w:r>
        <w:t>; besides, working from home</w:t>
      </w:r>
      <w:r w:rsidR="00C92BBE">
        <w:t xml:space="preserve"> </w:t>
      </w:r>
      <w:r>
        <w:t xml:space="preserve">can </w:t>
      </w:r>
      <w:r w:rsidR="00C92BBE">
        <w:t>also provid</w:t>
      </w:r>
      <w:r>
        <w:t>e</w:t>
      </w:r>
      <w:r w:rsidR="00C92BBE">
        <w:t xml:space="preserve"> more interaction time with their children as the only parent (</w:t>
      </w:r>
      <w:proofErr w:type="spellStart"/>
      <w:r w:rsidR="00C92BBE">
        <w:t>Schieman</w:t>
      </w:r>
      <w:proofErr w:type="spellEnd"/>
      <w:r w:rsidR="00C92BBE">
        <w:t xml:space="preserve"> et al., 202</w:t>
      </w:r>
      <w:r w:rsidR="00893043">
        <w:t>1</w:t>
      </w:r>
      <w:r w:rsidR="00C92BBE">
        <w:t xml:space="preserve">). </w:t>
      </w:r>
      <w:r w:rsidRPr="001F05C8">
        <w:rPr>
          <w:i/>
        </w:rPr>
        <w:t>Third</w:t>
      </w:r>
      <w:r>
        <w:t xml:space="preserve">, </w:t>
      </w:r>
      <w:r w:rsidR="00C92BBE">
        <w:t xml:space="preserve">women with young children </w:t>
      </w:r>
      <w:r w:rsidR="00E6094C">
        <w:t xml:space="preserve">4 years of age or younger </w:t>
      </w:r>
      <w:r w:rsidR="00A42433">
        <w:t xml:space="preserve">living with a partner </w:t>
      </w:r>
      <w:r w:rsidR="00C92BBE">
        <w:t xml:space="preserve">have a heightened preference for a third WPL relative to </w:t>
      </w:r>
      <w:r w:rsidR="006E38CC">
        <w:t>all other individuals</w:t>
      </w:r>
      <w:r w:rsidR="00A42433">
        <w:t xml:space="preserve">. </w:t>
      </w:r>
      <w:r w:rsidR="0050619F">
        <w:t>Women, in general, still tend to shoulder much of the responsibility of child-care even when with a partner (</w:t>
      </w:r>
      <w:r w:rsidR="0050619F" w:rsidRPr="00096CC3">
        <w:t>Nguyen, 2021)</w:t>
      </w:r>
      <w:r w:rsidR="0050619F">
        <w:t xml:space="preserve">. Thus, to be productive, they may prefer a non-distracted “away-from-home” location for their work hours when there is some form of support for child care from the partner. </w:t>
      </w:r>
      <w:r w:rsidR="0065730B">
        <w:t xml:space="preserve">Interestingly, and consistent with women continuing to shoulder much of the responsibility for child care, the presence of young children does not have any impact </w:t>
      </w:r>
      <w:r w:rsidR="00C063B6">
        <w:t>o</w:t>
      </w:r>
      <w:r w:rsidR="0065730B">
        <w:t xml:space="preserve">n men’s WPL preferences. </w:t>
      </w:r>
      <w:r w:rsidRPr="001F05C8">
        <w:rPr>
          <w:i/>
        </w:rPr>
        <w:t>Fourth</w:t>
      </w:r>
      <w:r>
        <w:t xml:space="preserve">, </w:t>
      </w:r>
      <w:r w:rsidR="00380EC9">
        <w:t>the result related to “liv</w:t>
      </w:r>
      <w:r w:rsidR="00C063B6">
        <w:t>es</w:t>
      </w:r>
      <w:r w:rsidR="00380EC9">
        <w:t xml:space="preserve"> with a partner”, while appearing simple, also has a gendered life</w:t>
      </w:r>
      <w:r w:rsidR="00503CDF">
        <w:t>cycle</w:t>
      </w:r>
      <w:r w:rsidR="00380EC9">
        <w:t xml:space="preserve"> nature to it. Specifically, </w:t>
      </w:r>
      <w:r w:rsidR="00C05B98">
        <w:t xml:space="preserve">except for the case of women with young children 0 to 4 years of age living with a partner, </w:t>
      </w:r>
      <w:r w:rsidR="00CB462F">
        <w:t>men</w:t>
      </w:r>
      <w:r w:rsidR="00380EC9">
        <w:t>, and</w:t>
      </w:r>
      <w:r w:rsidR="006E38CC">
        <w:t xml:space="preserve"> </w:t>
      </w:r>
      <w:r>
        <w:t xml:space="preserve">women with no </w:t>
      </w:r>
      <w:r w:rsidR="00CB462F">
        <w:t xml:space="preserve">young </w:t>
      </w:r>
      <w:r>
        <w:t>children</w:t>
      </w:r>
      <w:r w:rsidR="00F45A75">
        <w:t xml:space="preserve"> </w:t>
      </w:r>
      <w:r w:rsidR="006E38CC">
        <w:t xml:space="preserve">0 to </w:t>
      </w:r>
      <w:r w:rsidR="00C174E3">
        <w:t>4</w:t>
      </w:r>
      <w:r w:rsidR="006E38CC">
        <w:t xml:space="preserve"> years of ag</w:t>
      </w:r>
      <w:r w:rsidR="003B1071">
        <w:t>e</w:t>
      </w:r>
      <w:r w:rsidR="00DB2471">
        <w:t xml:space="preserve"> and</w:t>
      </w:r>
      <w:r w:rsidR="006C41ED">
        <w:t xml:space="preserve"> who </w:t>
      </w:r>
      <w:r>
        <w:t>liv</w:t>
      </w:r>
      <w:r w:rsidR="006C41ED">
        <w:t xml:space="preserve">e </w:t>
      </w:r>
      <w:r>
        <w:t>with a partner</w:t>
      </w:r>
      <w:r w:rsidR="00C063B6">
        <w:t>,</w:t>
      </w:r>
      <w:r>
        <w:t xml:space="preserve"> are </w:t>
      </w:r>
      <w:r w:rsidR="006E38CC">
        <w:t xml:space="preserve">the least </w:t>
      </w:r>
      <w:r>
        <w:t>likely to express an interest in a third WPL</w:t>
      </w:r>
      <w:r w:rsidR="006C41ED">
        <w:t xml:space="preserve">. The preference for a third WPL is somewhere in-between for individuals who are not living </w:t>
      </w:r>
      <w:r w:rsidR="006C41ED">
        <w:lastRenderedPageBreak/>
        <w:t xml:space="preserve">with a partner. </w:t>
      </w:r>
      <w:r w:rsidR="00CB462F">
        <w:t>Th</w:t>
      </w:r>
      <w:r w:rsidR="006C41ED">
        <w:t xml:space="preserve">ese results </w:t>
      </w:r>
      <w:r w:rsidR="00CB462F">
        <w:t>may be attributed to the fact that</w:t>
      </w:r>
      <w:r w:rsidR="006E38CC">
        <w:t xml:space="preserve">, when in a couple relationship, </w:t>
      </w:r>
      <w:r w:rsidR="003B1071">
        <w:t xml:space="preserve">men, and women with no young children 0 to 4 years of age, </w:t>
      </w:r>
      <w:r w:rsidR="00DF178F">
        <w:t xml:space="preserve">are </w:t>
      </w:r>
      <w:r w:rsidR="00CB462F">
        <w:t xml:space="preserve">less </w:t>
      </w:r>
      <w:r w:rsidR="00CB462F" w:rsidRPr="00497C1E">
        <w:t>likely to seek a digital nomad</w:t>
      </w:r>
      <w:r w:rsidR="00CB462F">
        <w:t>ic</w:t>
      </w:r>
      <w:r w:rsidR="00CB462F" w:rsidRPr="00497C1E">
        <w:t xml:space="preserve"> lifestyle (Thompson, 2019)</w:t>
      </w:r>
      <w:r w:rsidR="00380EC9">
        <w:t xml:space="preserve"> (as already indicated, </w:t>
      </w:r>
      <w:r w:rsidR="00C05B98">
        <w:t xml:space="preserve">the exception of women with </w:t>
      </w:r>
      <w:r w:rsidR="00380EC9">
        <w:t xml:space="preserve">children 0 to 4 years of age </w:t>
      </w:r>
      <w:r w:rsidR="006C41ED">
        <w:t xml:space="preserve">living with a partner </w:t>
      </w:r>
      <w:r w:rsidR="00380EC9">
        <w:t xml:space="preserve">bucks this tendency because </w:t>
      </w:r>
      <w:r w:rsidR="00C05B98">
        <w:t>the third WPL may be a recourse to getting some productive work time</w:t>
      </w:r>
      <w:r w:rsidR="00380EC9">
        <w:t xml:space="preserve"> when there is a partner to help</w:t>
      </w:r>
      <w:r w:rsidR="006C41ED">
        <w:t>)</w:t>
      </w:r>
      <w:r w:rsidR="00CB462F" w:rsidRPr="00497C1E">
        <w:t xml:space="preserve">. </w:t>
      </w:r>
      <w:r w:rsidR="00DF178F" w:rsidRPr="001F05C8">
        <w:rPr>
          <w:i/>
        </w:rPr>
        <w:t>Finally</w:t>
      </w:r>
      <w:r w:rsidR="00DF178F">
        <w:t xml:space="preserve">, in the context of household structure effects, workers </w:t>
      </w:r>
      <w:r w:rsidR="00DF178F" w:rsidRPr="00096CC3">
        <w:t xml:space="preserve">with children aged 13 to 17 </w:t>
      </w:r>
      <w:r w:rsidR="00DF178F">
        <w:t xml:space="preserve">years (regardless of gender and living arrangement) </w:t>
      </w:r>
      <w:r w:rsidR="002E69A6">
        <w:t xml:space="preserve">have a higher </w:t>
      </w:r>
      <w:r w:rsidR="00DF178F" w:rsidRPr="00096CC3">
        <w:t>prefer</w:t>
      </w:r>
      <w:r w:rsidR="002E69A6">
        <w:t>ence</w:t>
      </w:r>
      <w:r w:rsidR="00DF178F" w:rsidRPr="00096CC3">
        <w:t xml:space="preserve"> to work from </w:t>
      </w:r>
      <w:r w:rsidR="00DF178F">
        <w:t xml:space="preserve">a third </w:t>
      </w:r>
      <w:r w:rsidR="00DF178F" w:rsidRPr="00096CC3">
        <w:t>workplace</w:t>
      </w:r>
      <w:r w:rsidR="002E69A6">
        <w:t xml:space="preserve"> (but not the work office) compared to those without children in the 13-17 years age group</w:t>
      </w:r>
      <w:r w:rsidR="00C05B98">
        <w:t>.</w:t>
      </w:r>
      <w:r w:rsidR="00DF178F">
        <w:t xml:space="preserve"> </w:t>
      </w:r>
      <w:r w:rsidR="002E69A6">
        <w:t xml:space="preserve">This may suggest a general preference to continue staying close to home at a third WPL rather than commute to work when there are teenage children, but also an attempt to seek a calmer and more productive environment than at home </w:t>
      </w:r>
      <w:r w:rsidR="00DF178F" w:rsidRPr="00096CC3">
        <w:t xml:space="preserve">(Nayak and Pandit, 2021). </w:t>
      </w:r>
      <w:r w:rsidR="00ED632D">
        <w:t xml:space="preserve">Overall, our results support those of Zhang </w:t>
      </w:r>
      <w:r w:rsidR="00154728">
        <w:t xml:space="preserve">et al. </w:t>
      </w:r>
      <w:r w:rsidR="00ED632D">
        <w:t xml:space="preserve">that </w:t>
      </w:r>
      <w:r w:rsidR="005C47E4" w:rsidRPr="00AA1EC4">
        <w:t>“gendered family-life stage”</w:t>
      </w:r>
      <w:r w:rsidR="005C47E4">
        <w:t xml:space="preserve"> effects do exist in the context of sociodemographic determinants of WPL choice.</w:t>
      </w:r>
    </w:p>
    <w:p w14:paraId="2B27C48F" w14:textId="04910F7F" w:rsidR="009927C9" w:rsidRPr="00A6363C" w:rsidRDefault="00B7724C" w:rsidP="00B40ED1">
      <w:pPr>
        <w:spacing w:after="0"/>
        <w:ind w:firstLine="720"/>
        <w:rPr>
          <w:strike/>
        </w:rPr>
      </w:pPr>
      <w:r w:rsidRPr="0083190C">
        <w:t xml:space="preserve">In terms of age, not surprisingly, older </w:t>
      </w:r>
      <w:r w:rsidR="009927C9" w:rsidRPr="0083190C">
        <w:t xml:space="preserve">workers are more likely to work </w:t>
      </w:r>
      <w:r w:rsidRPr="0083190C">
        <w:t xml:space="preserve">from their </w:t>
      </w:r>
      <w:r w:rsidR="00201C87" w:rsidRPr="0083190C">
        <w:t xml:space="preserve">work office </w:t>
      </w:r>
      <w:r w:rsidRPr="0083190C">
        <w:t>relative to their younger peers, and the oldest cohort of workers (over 65 years of age</w:t>
      </w:r>
      <w:r w:rsidR="00DB2471">
        <w:t>)</w:t>
      </w:r>
      <w:r w:rsidRPr="0083190C">
        <w:t xml:space="preserve"> are particularly unlikely to work from a third workplace. </w:t>
      </w:r>
      <w:r w:rsidR="00DB77C4" w:rsidRPr="0083190C">
        <w:t>The human development literature indicates that older individuals are likely to resist change and stick to life rhythms that they have been used to, in part because they perceive change as a loss of control that leads to anxiety and stress</w:t>
      </w:r>
      <w:r w:rsidR="00201C87" w:rsidRPr="0083190C">
        <w:t xml:space="preserve"> (</w:t>
      </w:r>
      <w:r w:rsidR="00551F7E" w:rsidRPr="0083190C">
        <w:t>Duque et al., 20</w:t>
      </w:r>
      <w:r w:rsidR="00781C8A">
        <w:t>19</w:t>
      </w:r>
      <w:r w:rsidR="00201C87" w:rsidRPr="0083190C">
        <w:t>).</w:t>
      </w:r>
      <w:r w:rsidR="00551F7E" w:rsidRPr="0083190C">
        <w:t xml:space="preserve"> Thus, being accustomed to the work office setup (and the socialization, professional visibility and structure associated with a work office), these older workers are likely to have viewed the pandemic and stay-at-home work orders as merely temporary restrictions, rather than opening up alternative WPL doors and opportunities. On the other hand, younger individuals seek control and freedom over both work and play hours, which is facilitated by working remotely (</w:t>
      </w:r>
      <w:proofErr w:type="spellStart"/>
      <w:r w:rsidR="00551F7E" w:rsidRPr="0083190C">
        <w:t>Asdecker</w:t>
      </w:r>
      <w:proofErr w:type="spellEnd"/>
      <w:r w:rsidR="00551F7E" w:rsidRPr="0083190C">
        <w:t xml:space="preserve">, 2022). </w:t>
      </w:r>
      <w:r w:rsidR="00DB77C4" w:rsidRPr="0083190C">
        <w:t xml:space="preserve">Besides, </w:t>
      </w:r>
      <w:r w:rsidR="00201C87" w:rsidRPr="00A6363C">
        <w:t>social and emotional interaction</w:t>
      </w:r>
      <w:r w:rsidR="00194A54" w:rsidRPr="00A6363C">
        <w:t xml:space="preserve"> networks</w:t>
      </w:r>
      <w:r w:rsidR="00201C87" w:rsidRPr="00A6363C">
        <w:t xml:space="preserve"> have been known to differ between younger and older </w:t>
      </w:r>
      <w:r w:rsidR="00201C87" w:rsidRPr="00A6363C">
        <w:rPr>
          <w:lang w:val="en-IN"/>
        </w:rPr>
        <w:t>adults</w:t>
      </w:r>
      <w:r w:rsidR="00201C87" w:rsidRPr="00A6363C">
        <w:t xml:space="preserve">. While younger adults strive to have expansive social-professional networks in and outside of their work </w:t>
      </w:r>
      <w:r w:rsidR="00194A54" w:rsidRPr="00A6363C">
        <w:t>environment (including stronger desires for a “digital nomadic lifestyle”)</w:t>
      </w:r>
      <w:r w:rsidR="00201C87" w:rsidRPr="00A6363C">
        <w:t xml:space="preserve">, </w:t>
      </w:r>
      <w:bookmarkStart w:id="21" w:name="_Hlk107649738"/>
      <w:r w:rsidR="00201C87" w:rsidRPr="00A6363C">
        <w:t xml:space="preserve">older adults prefer small and familiar social-professional networks such as those at their work </w:t>
      </w:r>
      <w:r w:rsidR="00194A54" w:rsidRPr="00A6363C">
        <w:t xml:space="preserve">office </w:t>
      </w:r>
      <w:r w:rsidR="00201C87" w:rsidRPr="0083190C">
        <w:t>(</w:t>
      </w:r>
      <w:proofErr w:type="spellStart"/>
      <w:r w:rsidR="00194A54" w:rsidRPr="0083190C">
        <w:t>Tahlyan</w:t>
      </w:r>
      <w:proofErr w:type="spellEnd"/>
      <w:r w:rsidR="00194A54" w:rsidRPr="0083190C">
        <w:t xml:space="preserve"> et al., 2022</w:t>
      </w:r>
      <w:r w:rsidR="00201C87" w:rsidRPr="0083190C">
        <w:t>)</w:t>
      </w:r>
      <w:r w:rsidR="00201C87" w:rsidRPr="00A6363C">
        <w:t xml:space="preserve">. </w:t>
      </w:r>
    </w:p>
    <w:bookmarkEnd w:id="21"/>
    <w:p w14:paraId="3D4236F2" w14:textId="1FE4C267" w:rsidR="009927C9" w:rsidRDefault="004C0291" w:rsidP="00B40ED1">
      <w:pPr>
        <w:spacing w:after="0"/>
        <w:ind w:firstLine="720"/>
      </w:pPr>
      <w:r>
        <w:t xml:space="preserve">Finally, in the group of individual and household-level demographics, Table </w:t>
      </w:r>
      <w:r w:rsidR="00297182">
        <w:t xml:space="preserve">3 </w:t>
      </w:r>
      <w:r>
        <w:t>indicates that e</w:t>
      </w:r>
      <w:r w:rsidR="009927C9" w:rsidRPr="00096CC3">
        <w:t xml:space="preserve">mployees making over $100,000 a year </w:t>
      </w:r>
      <w:r>
        <w:t xml:space="preserve">express a lower baseline preference </w:t>
      </w:r>
      <w:r w:rsidR="009927C9" w:rsidRPr="00096CC3">
        <w:t xml:space="preserve">to work from </w:t>
      </w:r>
      <w:r>
        <w:t xml:space="preserve">the work office </w:t>
      </w:r>
      <w:r w:rsidR="009927C9" w:rsidRPr="00096CC3">
        <w:t xml:space="preserve">than those </w:t>
      </w:r>
      <w:r>
        <w:t>making $100,000 a year or less</w:t>
      </w:r>
      <w:r w:rsidR="009927C9" w:rsidRPr="00096CC3">
        <w:t>. This aligns with most past literature (</w:t>
      </w:r>
      <w:r w:rsidR="009927C9">
        <w:t xml:space="preserve">see for example, </w:t>
      </w:r>
      <w:proofErr w:type="spellStart"/>
      <w:r w:rsidR="009927C9" w:rsidRPr="00096CC3">
        <w:rPr>
          <w:shd w:val="clear" w:color="auto" w:fill="FFFFFF"/>
        </w:rPr>
        <w:t>Tahlyan</w:t>
      </w:r>
      <w:proofErr w:type="spellEnd"/>
      <w:r w:rsidR="009927C9" w:rsidRPr="00096CC3">
        <w:rPr>
          <w:shd w:val="clear" w:color="auto" w:fill="FFFFFF"/>
        </w:rPr>
        <w:t xml:space="preserve"> et al., 2022</w:t>
      </w:r>
      <w:r w:rsidR="009927C9" w:rsidRPr="00096CC3">
        <w:t>). Typically, with more money comes more freedom</w:t>
      </w:r>
      <w:r w:rsidR="009927C9">
        <w:t>, including the</w:t>
      </w:r>
      <w:r w:rsidR="009927C9" w:rsidRPr="00096CC3">
        <w:t xml:space="preserve"> freedom to choose to work </w:t>
      </w:r>
      <w:r w:rsidR="009927C9">
        <w:t>remote</w:t>
      </w:r>
      <w:r w:rsidR="009927C9" w:rsidRPr="00096CC3">
        <w:t xml:space="preserve"> (</w:t>
      </w:r>
      <w:proofErr w:type="spellStart"/>
      <w:r w:rsidR="009927C9" w:rsidRPr="00096CC3">
        <w:t>Yasenov</w:t>
      </w:r>
      <w:proofErr w:type="spellEnd"/>
      <w:r w:rsidR="009927C9" w:rsidRPr="00096CC3">
        <w:t xml:space="preserve">, 2020). Furthermore, those who are making less than $100,000 may </w:t>
      </w:r>
      <w:r>
        <w:t xml:space="preserve">make concerted efforts </w:t>
      </w:r>
      <w:r w:rsidR="009927C9" w:rsidRPr="00096CC3">
        <w:t>to climb the professional ladde</w:t>
      </w:r>
      <w:r>
        <w:t>r</w:t>
      </w:r>
      <w:r w:rsidR="009927C9" w:rsidRPr="00096CC3">
        <w:t xml:space="preserve">. Though ideally earned through merit, many workers perceive that promotions are bolstered by in-person workplace </w:t>
      </w:r>
      <w:r>
        <w:t xml:space="preserve">visibility </w:t>
      </w:r>
      <w:r w:rsidR="009927C9" w:rsidRPr="00096CC3">
        <w:t>(</w:t>
      </w:r>
      <w:proofErr w:type="spellStart"/>
      <w:r w:rsidR="009927C9" w:rsidRPr="00096CC3">
        <w:t>Jaff</w:t>
      </w:r>
      <w:proofErr w:type="spellEnd"/>
      <w:r w:rsidR="009927C9" w:rsidRPr="00096CC3">
        <w:t xml:space="preserve"> and </w:t>
      </w:r>
      <w:proofErr w:type="spellStart"/>
      <w:r w:rsidR="009927C9" w:rsidRPr="00096CC3">
        <w:t>Hamsa</w:t>
      </w:r>
      <w:proofErr w:type="spellEnd"/>
      <w:r w:rsidR="009927C9" w:rsidRPr="00096CC3">
        <w:t xml:space="preserve">, 2021). </w:t>
      </w:r>
      <w:r>
        <w:t xml:space="preserve">In addition to the lower baseline preference for the work office, those </w:t>
      </w:r>
      <w:r w:rsidR="009927C9" w:rsidRPr="002340BC">
        <w:t>who make more than $250,000 a year are significantly less likely to work from a third workplace</w:t>
      </w:r>
      <w:r w:rsidR="0050619F">
        <w:t>.</w:t>
      </w:r>
    </w:p>
    <w:p w14:paraId="2602BDDD" w14:textId="77777777" w:rsidR="00B40ED1" w:rsidRPr="002340BC" w:rsidRDefault="00B40ED1" w:rsidP="00B40ED1">
      <w:pPr>
        <w:spacing w:after="0"/>
        <w:ind w:firstLine="720"/>
      </w:pPr>
    </w:p>
    <w:p w14:paraId="187A5D7C" w14:textId="77777777" w:rsidR="007C5F48" w:rsidRDefault="009927C9" w:rsidP="0073414C">
      <w:pPr>
        <w:keepNext/>
        <w:keepLines/>
        <w:spacing w:after="0"/>
      </w:pPr>
      <w:r w:rsidRPr="00096CC3">
        <w:rPr>
          <w:rFonts w:eastAsia="Times New Roman"/>
          <w:b/>
          <w:i/>
          <w:u w:val="single"/>
        </w:rPr>
        <w:lastRenderedPageBreak/>
        <w:t>Geographic WPL Attributes</w:t>
      </w:r>
    </w:p>
    <w:p w14:paraId="01B0DC36" w14:textId="2921285E" w:rsidR="00D8660E" w:rsidRDefault="00AE30E2" w:rsidP="0073414C">
      <w:pPr>
        <w:keepNext/>
        <w:keepLines/>
        <w:spacing w:after="0"/>
      </w:pPr>
      <w:r w:rsidRPr="0086491D">
        <w:rPr>
          <w:i/>
        </w:rPr>
        <w:t>Geographic WPL attributes</w:t>
      </w:r>
      <w:r w:rsidRPr="00060CB6">
        <w:t xml:space="preserve"> refer to</w:t>
      </w:r>
      <w:r w:rsidR="000045E9">
        <w:t xml:space="preserve"> </w:t>
      </w:r>
      <w:r w:rsidRPr="00060CB6">
        <w:t>“external” characteristics of the location</w:t>
      </w:r>
      <w:r w:rsidR="000045E9">
        <w:t>, including travel-related attributes to the WPL</w:t>
      </w:r>
      <w:r w:rsidR="00C62D2D">
        <w:t xml:space="preserve"> (commute time and perceived level of congestion) </w:t>
      </w:r>
      <w:r w:rsidR="000045E9">
        <w:t xml:space="preserve">and built environment characteristics of the location of the WPL. </w:t>
      </w:r>
      <w:r w:rsidRPr="00060CB6">
        <w:t xml:space="preserve"> </w:t>
      </w:r>
      <w:r w:rsidR="000045E9">
        <w:t xml:space="preserve">In the SP experiments, the commute time variable to the work office was specified as a percentage of the </w:t>
      </w:r>
      <w:r w:rsidR="009172A4">
        <w:t xml:space="preserve">current </w:t>
      </w:r>
      <w:r w:rsidR="000045E9">
        <w:t>commute time to the</w:t>
      </w:r>
      <w:r w:rsidR="009172A4">
        <w:t xml:space="preserve"> </w:t>
      </w:r>
      <w:r w:rsidR="000045E9">
        <w:t xml:space="preserve">work office (note that the term “current” here refers to the commute time to the current physical location of the work office, regardless of whether the respondent is currently commuting at all or not). </w:t>
      </w:r>
      <w:r w:rsidR="00C62D2D">
        <w:t>T</w:t>
      </w:r>
      <w:r w:rsidR="000045E9">
        <w:t xml:space="preserve">he specific attribute level for the commute time variable at each </w:t>
      </w:r>
      <w:r w:rsidR="009172A4">
        <w:t xml:space="preserve">SP </w:t>
      </w:r>
      <w:r w:rsidR="000045E9">
        <w:t>choice occasion</w:t>
      </w:r>
      <w:r w:rsidR="005F4C52">
        <w:t xml:space="preserve">, as indicated in Table </w:t>
      </w:r>
      <w:r w:rsidR="00297182">
        <w:t>1</w:t>
      </w:r>
      <w:r w:rsidR="005F4C52">
        <w:t>,</w:t>
      </w:r>
      <w:r w:rsidR="000045E9">
        <w:t xml:space="preserve"> was picked from “75% shorter than current”, “50% shorter than current”, “same as current”, “50% </w:t>
      </w:r>
      <w:r w:rsidR="00C62D2D">
        <w:t xml:space="preserve">longer than current”, and “75% longer than current”. For the third WPL, the commute time for each choice occasion was picked from “shorter than current commute to the work office” and “same as current commute time to the work office”. </w:t>
      </w:r>
      <w:r w:rsidR="009172A4">
        <w:t xml:space="preserve">For the analysis, we assumed the first of these levels </w:t>
      </w:r>
      <w:r w:rsidR="000C7E60">
        <w:t xml:space="preserve">as </w:t>
      </w:r>
      <w:r w:rsidR="009172A4">
        <w:t>refer</w:t>
      </w:r>
      <w:r w:rsidR="000C7E60">
        <w:t>ring</w:t>
      </w:r>
      <w:r w:rsidR="009172A4">
        <w:t xml:space="preserve"> to “50% shorter than current commute to the work office”. With these </w:t>
      </w:r>
      <w:r w:rsidR="00D33C4A">
        <w:t>percentages based o</w:t>
      </w:r>
      <w:r w:rsidR="000C7E60">
        <w:t>ff</w:t>
      </w:r>
      <w:r w:rsidR="00D33C4A">
        <w:t xml:space="preserve"> the current commute time to the work office (which was collected in the survey), we constructed the effective commute times to the work office and the third WPL corresponding to each choice occasion as a continuous variable. </w:t>
      </w:r>
    </w:p>
    <w:p w14:paraId="13C95139" w14:textId="3B573C37" w:rsidR="00D8660E" w:rsidRDefault="00D33C4A" w:rsidP="00B40ED1">
      <w:pPr>
        <w:keepNext/>
        <w:spacing w:after="0"/>
        <w:ind w:firstLine="720"/>
      </w:pPr>
      <w:r>
        <w:t>The perceived level of congestion on the commute was collected only for the work office, separate from the SP choice experiment</w:t>
      </w:r>
      <w:r w:rsidR="000C7E60">
        <w:t xml:space="preserve">, by asking respondents to provide their level of agreement to the following statement “There is too much congestion during my commute to or from work”. The response was collected on a five-point Likert scale: “strongly disagree”, “somewhat disagree”, “neutral”, “somewhat agree”, and “strongly disagree”. In the analysis, responses in the last two of these ordinal categories were labeled as “intolerable” congestion, while the remaining were classified as “tolerable” congestion. </w:t>
      </w:r>
    </w:p>
    <w:p w14:paraId="2AC7EBC1" w14:textId="78FCC2C7" w:rsidR="00AD4F72" w:rsidRDefault="000C7E60" w:rsidP="00B40ED1">
      <w:pPr>
        <w:keepNext/>
        <w:spacing w:after="0"/>
        <w:ind w:firstLine="720"/>
      </w:pPr>
      <w:r>
        <w:t xml:space="preserve">In terms of the built environment characteristics, </w:t>
      </w:r>
      <w:r w:rsidR="00AD4F72">
        <w:t xml:space="preserve">respondents self-classified their home residential location area into one of rural, suburban, or urban categories. Respondents were also asked to provide the zip code of their work office, which was then mapped to </w:t>
      </w:r>
      <w:r w:rsidR="005476CD">
        <w:t xml:space="preserve">a categorical </w:t>
      </w:r>
      <w:r w:rsidR="00AD4F72">
        <w:t xml:space="preserve">classification </w:t>
      </w:r>
      <w:r w:rsidR="005476CD">
        <w:t>of “low”, “medium”, or “high” density characterization of the work office location</w:t>
      </w:r>
      <w:r w:rsidR="00AD4F72">
        <w:t>.</w:t>
      </w:r>
      <w:r w:rsidR="00AD4F72">
        <w:rPr>
          <w:rStyle w:val="FootnoteReference"/>
        </w:rPr>
        <w:footnoteReference w:id="7"/>
      </w:r>
      <w:r w:rsidR="00AD4F72">
        <w:t xml:space="preserve"> </w:t>
      </w:r>
    </w:p>
    <w:p w14:paraId="51B7E00C" w14:textId="624F817C" w:rsidR="009927C9" w:rsidRPr="00096CC3" w:rsidRDefault="00AD4F72" w:rsidP="00B40ED1">
      <w:pPr>
        <w:spacing w:after="0"/>
        <w:ind w:firstLine="720"/>
      </w:pPr>
      <w:r>
        <w:t xml:space="preserve">The results in Table </w:t>
      </w:r>
      <w:r w:rsidR="00297182">
        <w:t xml:space="preserve">3 </w:t>
      </w:r>
      <w:r w:rsidR="0050619F">
        <w:t xml:space="preserve">for the geographic WPL attributes </w:t>
      </w:r>
      <w:r>
        <w:t xml:space="preserve">indicate the expected negative effect of commute time on WPL </w:t>
      </w:r>
      <w:r w:rsidR="009253B0">
        <w:t>preference</w:t>
      </w:r>
      <w:r>
        <w:t xml:space="preserve">, with this negative effect being particularly elevated for women relative to men. Indeed, the appeal of not having to </w:t>
      </w:r>
      <w:r w:rsidR="009927C9" w:rsidRPr="00096CC3">
        <w:t xml:space="preserve">commute </w:t>
      </w:r>
      <w:r w:rsidR="00736E37">
        <w:t xml:space="preserve">has </w:t>
      </w:r>
      <w:r>
        <w:t xml:space="preserve">been </w:t>
      </w:r>
      <w:r w:rsidR="00736E37">
        <w:t xml:space="preserve">long </w:t>
      </w:r>
      <w:r>
        <w:t xml:space="preserve">established </w:t>
      </w:r>
      <w:r w:rsidR="00736E37">
        <w:t xml:space="preserve">as </w:t>
      </w:r>
      <w:r w:rsidR="009927C9" w:rsidRPr="00096CC3">
        <w:t xml:space="preserve">one of the main reasons </w:t>
      </w:r>
      <w:r>
        <w:t xml:space="preserve">for preferring to </w:t>
      </w:r>
      <w:r w:rsidR="009927C9" w:rsidRPr="00096CC3">
        <w:t xml:space="preserve">work </w:t>
      </w:r>
      <w:r>
        <w:t>at home</w:t>
      </w:r>
      <w:r w:rsidR="00736E37">
        <w:t>. Further, a</w:t>
      </w:r>
      <w:r w:rsidR="00736E37" w:rsidRPr="00096CC3">
        <w:t>fter two years of no commute</w:t>
      </w:r>
      <w:r w:rsidR="00736E37">
        <w:t xml:space="preserve"> due to lockdowns</w:t>
      </w:r>
      <w:r w:rsidR="00736E37" w:rsidRPr="00096CC3">
        <w:t xml:space="preserve">, </w:t>
      </w:r>
      <w:r w:rsidR="00736E37">
        <w:t>it appears that many individuals who would never have considered remote work from home or a third office before have also more explicitly experienced the time savings from having a reduced or no commute at all, thus raising awareness levels about the opportunity cost of commuting</w:t>
      </w:r>
      <w:r w:rsidR="009927C9" w:rsidRPr="00096CC3">
        <w:t xml:space="preserve">. </w:t>
      </w:r>
      <w:bookmarkStart w:id="22" w:name="_Hlk120535221"/>
      <w:r w:rsidR="00736E37">
        <w:t xml:space="preserve"> </w:t>
      </w:r>
      <w:bookmarkEnd w:id="22"/>
      <w:r w:rsidR="00507DBB" w:rsidRPr="00B518CE">
        <w:t>That this opportunity cost of commuting should be elevated for women is no surprise</w:t>
      </w:r>
      <w:r w:rsidR="00507DBB">
        <w:t xml:space="preserve"> because of the </w:t>
      </w:r>
      <w:r w:rsidR="00507DBB" w:rsidRPr="00B518CE">
        <w:t xml:space="preserve">generally time-poor nature of working women </w:t>
      </w:r>
      <w:r w:rsidR="00507DBB">
        <w:t>(</w:t>
      </w:r>
      <w:r w:rsidR="00507DBB" w:rsidRPr="00B518CE">
        <w:t xml:space="preserve">who continue to shoulder much of </w:t>
      </w:r>
      <w:r w:rsidR="00507DBB" w:rsidRPr="00B518CE">
        <w:lastRenderedPageBreak/>
        <w:t>household work,</w:t>
      </w:r>
      <w:r w:rsidR="00507DBB">
        <w:t xml:space="preserve"> especially when in a partnership), though this effect may also be due to societal influences/pressures and/or other gender-related reasons</w:t>
      </w:r>
      <w:r w:rsidR="00B92C2A">
        <w:t xml:space="preserve">. </w:t>
      </w:r>
      <w:r w:rsidR="009253B0">
        <w:t xml:space="preserve">The results in Table </w:t>
      </w:r>
      <w:r w:rsidR="00297182">
        <w:t xml:space="preserve">3 </w:t>
      </w:r>
      <w:r w:rsidR="009253B0">
        <w:t xml:space="preserve">also reveal the strong negative effect of an “intolerable” congestion level during the commute to the work office on the </w:t>
      </w:r>
      <w:r w:rsidR="00893043">
        <w:t xml:space="preserve">work office </w:t>
      </w:r>
      <w:r w:rsidR="009253B0">
        <w:t>preference</w:t>
      </w:r>
      <w:r w:rsidR="00893043">
        <w:t>.</w:t>
      </w:r>
    </w:p>
    <w:p w14:paraId="2C97CD91" w14:textId="77777777" w:rsidR="00B40ED1" w:rsidRDefault="005476CD" w:rsidP="00B40ED1">
      <w:pPr>
        <w:spacing w:after="0"/>
        <w:ind w:firstLine="720"/>
      </w:pPr>
      <w:r>
        <w:t xml:space="preserve">The built environment effects in Table </w:t>
      </w:r>
      <w:r w:rsidR="00297182">
        <w:t xml:space="preserve">3 </w:t>
      </w:r>
      <w:r>
        <w:t xml:space="preserve">reflect the disinclination for the work office </w:t>
      </w:r>
      <w:r w:rsidR="0050619F">
        <w:t xml:space="preserve">when the work office is located in a high density neighborhood and/or when the </w:t>
      </w:r>
      <w:r>
        <w:t xml:space="preserve">residence </w:t>
      </w:r>
      <w:r w:rsidR="0050619F">
        <w:t xml:space="preserve">of the respondent </w:t>
      </w:r>
      <w:r>
        <w:t xml:space="preserve">is located in an urban or suburban area (with the negative effect being stronger for urban residences). This may be attributed to the travel time unreliability that usually accompanies commutes originating from and/or destined to high density areas </w:t>
      </w:r>
      <w:r w:rsidR="009927C9" w:rsidRPr="00096CC3">
        <w:t>(Foucault and Galasso, 2020)</w:t>
      </w:r>
      <w:r>
        <w:t>, but also attributable to high parking-related expenses in such areas</w:t>
      </w:r>
      <w:r w:rsidR="007A12C4">
        <w:t>.</w:t>
      </w:r>
      <w:r w:rsidR="00281A5B">
        <w:t xml:space="preserve"> Besides, it has been well established in the literature that t</w:t>
      </w:r>
      <w:r w:rsidR="00281A5B" w:rsidRPr="00096CC3">
        <w:t xml:space="preserve">hose </w:t>
      </w:r>
      <w:r w:rsidR="00281A5B">
        <w:t xml:space="preserve">living or working in low density areas intrinsically appear to be less likely to work from home, as the regular work office environment serves as a particularly important </w:t>
      </w:r>
      <w:r w:rsidR="00281A5B" w:rsidRPr="00096CC3">
        <w:t xml:space="preserve">socialization </w:t>
      </w:r>
      <w:r w:rsidR="00281A5B">
        <w:t xml:space="preserve">outlet in such communities </w:t>
      </w:r>
      <w:r w:rsidR="00281A5B" w:rsidRPr="00096CC3">
        <w:t>(</w:t>
      </w:r>
      <w:r w:rsidR="00281A5B">
        <w:t xml:space="preserve">see </w:t>
      </w:r>
      <w:proofErr w:type="spellStart"/>
      <w:r w:rsidR="00281A5B" w:rsidRPr="007307A5">
        <w:t>Castrillon</w:t>
      </w:r>
      <w:proofErr w:type="spellEnd"/>
      <w:r w:rsidR="00281A5B" w:rsidRPr="007307A5">
        <w:t xml:space="preserve"> et al., 2020).</w:t>
      </w:r>
      <w:r w:rsidR="00281A5B" w:rsidRPr="00096CC3">
        <w:t xml:space="preserve"> </w:t>
      </w:r>
      <w:r w:rsidR="00281A5B">
        <w:t xml:space="preserve">Table </w:t>
      </w:r>
      <w:r w:rsidR="00297182">
        <w:t xml:space="preserve">3 </w:t>
      </w:r>
      <w:r w:rsidR="00281A5B">
        <w:t>also shows a</w:t>
      </w:r>
      <w:r w:rsidR="0050619F">
        <w:t xml:space="preserve"> negative preference effect of urban/suburban living on the third WPL alternative, presumably for similar reasons as for </w:t>
      </w:r>
      <w:r w:rsidR="00281A5B">
        <w:t xml:space="preserve">the negative preference effect of urban/suburban living on </w:t>
      </w:r>
      <w:r w:rsidR="0050619F">
        <w:t>the work office.</w:t>
      </w:r>
    </w:p>
    <w:p w14:paraId="27845049" w14:textId="523A95F6" w:rsidR="009927C9" w:rsidRPr="00096CC3" w:rsidRDefault="0050619F" w:rsidP="00B40ED1">
      <w:pPr>
        <w:spacing w:after="0"/>
        <w:ind w:firstLine="720"/>
      </w:pPr>
      <w:r>
        <w:t xml:space="preserve"> </w:t>
      </w:r>
    </w:p>
    <w:p w14:paraId="1A08C515" w14:textId="77777777" w:rsidR="009927C9" w:rsidRPr="00096CC3" w:rsidRDefault="009927C9" w:rsidP="00B40ED1">
      <w:pPr>
        <w:spacing w:after="0"/>
        <w:rPr>
          <w:b/>
          <w:i/>
          <w:u w:val="single"/>
        </w:rPr>
      </w:pPr>
      <w:r w:rsidRPr="00096CC3">
        <w:rPr>
          <w:b/>
          <w:i/>
          <w:u w:val="single"/>
        </w:rPr>
        <w:t>Environment WPL Attributes</w:t>
      </w:r>
    </w:p>
    <w:p w14:paraId="01D9E021" w14:textId="2378A4E5" w:rsidR="00CF7124" w:rsidRDefault="00CF7124" w:rsidP="00B40ED1">
      <w:pPr>
        <w:spacing w:after="0"/>
      </w:pPr>
      <w:r>
        <w:t xml:space="preserve">Before moving on to a discussion of the environmental WPL attributes, </w:t>
      </w:r>
      <w:r w:rsidR="005F4C52">
        <w:t xml:space="preserve">first some definitional issues. </w:t>
      </w:r>
      <w:bookmarkStart w:id="23" w:name="_Hlk107747302"/>
      <w:r w:rsidR="005F4C52">
        <w:t xml:space="preserve">For the work office and third WPL, our survey attempted to </w:t>
      </w:r>
      <w:r w:rsidR="00DC1057">
        <w:t>characterize distraction levels using a four-level categorization of a combination of crowding and noise levels</w:t>
      </w:r>
      <w:r w:rsidR="00F15954">
        <w:t xml:space="preserve"> (see Table </w:t>
      </w:r>
      <w:bookmarkStart w:id="24" w:name="_Hlk107732422"/>
      <w:r w:rsidR="00297182">
        <w:t xml:space="preserve">1): </w:t>
      </w:r>
      <w:r w:rsidR="00DC1057">
        <w:t xml:space="preserve">(1) “no crowding, no noise”, (2) “some crowding, some noise”, “(3) “crowding, no noise”, and (4) “crowding, high noise”. But, in all our specifications, we could not distinguish between the </w:t>
      </w:r>
      <w:r w:rsidR="00BE1A5C">
        <w:t xml:space="preserve">effects of the </w:t>
      </w:r>
      <w:r w:rsidR="00D8382E">
        <w:t xml:space="preserve">first and </w:t>
      </w:r>
      <w:r w:rsidR="00DC1057">
        <w:t>second categories above</w:t>
      </w:r>
      <w:r w:rsidR="00AC002D">
        <w:t xml:space="preserve"> (this result is actually consistent with AM et al. who observed that office-goers were not very sensitive to low levels of crowdedness and calmness relative to no crowding at all)</w:t>
      </w:r>
      <w:r w:rsidR="00BE1A5C">
        <w:t>.</w:t>
      </w:r>
      <w:r w:rsidR="009E6A2B">
        <w:t xml:space="preserve"> </w:t>
      </w:r>
      <w:bookmarkEnd w:id="24"/>
      <w:r w:rsidR="00DC1057">
        <w:t xml:space="preserve">So, in our final specification, we translated the four-level categorization </w:t>
      </w:r>
      <w:r>
        <w:t xml:space="preserve">for the work office and third WPL </w:t>
      </w:r>
      <w:r w:rsidR="00DC1057">
        <w:t xml:space="preserve">into three levels: (1) </w:t>
      </w:r>
      <w:r w:rsidR="00BE1A5C">
        <w:t xml:space="preserve">Low </w:t>
      </w:r>
      <w:r w:rsidR="00DC1057">
        <w:t xml:space="preserve">distraction (that is, </w:t>
      </w:r>
      <w:r w:rsidR="00BE1A5C">
        <w:t xml:space="preserve">a combination of </w:t>
      </w:r>
      <w:r w:rsidR="00DC1057">
        <w:t>“no crowding, no noise”</w:t>
      </w:r>
      <w:r w:rsidR="00BE1A5C">
        <w:t xml:space="preserve"> and “some crowding, some noise”</w:t>
      </w:r>
      <w:r w:rsidR="00DC1057">
        <w:t xml:space="preserve">), (2) </w:t>
      </w:r>
      <w:r w:rsidR="00BE1A5C">
        <w:t>medium</w:t>
      </w:r>
      <w:r w:rsidR="00DC1057">
        <w:t xml:space="preserve"> </w:t>
      </w:r>
      <w:r w:rsidR="009E6A2B">
        <w:t xml:space="preserve">distraction (that is, “crowding, no noise”), and (3) high distraction (“crowding, high noise”). </w:t>
      </w:r>
    </w:p>
    <w:bookmarkEnd w:id="23"/>
    <w:p w14:paraId="5D179C1D" w14:textId="6B3C674C" w:rsidR="00371674" w:rsidRPr="00A6363C" w:rsidRDefault="00CF7124" w:rsidP="00B40ED1">
      <w:pPr>
        <w:spacing w:after="0"/>
        <w:ind w:firstLine="720"/>
      </w:pPr>
      <w:r>
        <w:t xml:space="preserve">Now to the results. </w:t>
      </w:r>
      <w:bookmarkStart w:id="25" w:name="_Hlk118977163"/>
      <w:r>
        <w:t xml:space="preserve">Table </w:t>
      </w:r>
      <w:r w:rsidR="00297182">
        <w:t xml:space="preserve">3 </w:t>
      </w:r>
      <w:r>
        <w:t xml:space="preserve">reveals that </w:t>
      </w:r>
      <w:r w:rsidR="00BE1A5C">
        <w:t xml:space="preserve">medium </w:t>
      </w:r>
      <w:r w:rsidR="00CE6FA6">
        <w:t xml:space="preserve">distraction levels (relative to </w:t>
      </w:r>
      <w:r w:rsidR="00BE1A5C">
        <w:t>low</w:t>
      </w:r>
      <w:r w:rsidR="00CE6FA6">
        <w:t xml:space="preserve"> distraction levels) at the home and third WPLs do decrease the preference, respectively, for the home and third WPL alternatives, and high distraction levels at these two WPLs decrease the preference for these two WPLs even more than for</w:t>
      </w:r>
      <w:r w:rsidR="00BE1A5C">
        <w:t xml:space="preserve"> medium</w:t>
      </w:r>
      <w:r w:rsidR="00CE6FA6">
        <w:t xml:space="preserve"> distraction levels</w:t>
      </w:r>
      <w:r w:rsidR="00F917C5">
        <w:t>. Interestingly, though,</w:t>
      </w:r>
      <w:r w:rsidR="00CE6FA6">
        <w:t xml:space="preserve"> the elevated effect of the high distraction level compared to the </w:t>
      </w:r>
      <w:r w:rsidR="00BE1A5C">
        <w:t>medium</w:t>
      </w:r>
      <w:r w:rsidR="00CE6FA6">
        <w:t xml:space="preserve"> distraction level is tempered for workers over the age of 30 years for the home location</w:t>
      </w:r>
      <w:r w:rsidR="00F917C5">
        <w:t xml:space="preserve">. </w:t>
      </w:r>
      <w:r w:rsidR="001E6C46">
        <w:t>In particular</w:t>
      </w:r>
      <w:r w:rsidR="00F917C5">
        <w:t>, n</w:t>
      </w:r>
      <w:r w:rsidR="00CE6FA6">
        <w:t xml:space="preserve">ote that the baseline preference coefficient for workers younger than 30 years in a high distraction home setting </w:t>
      </w:r>
      <w:r w:rsidR="00A42BFE">
        <w:t>(relative to a low distraction ho</w:t>
      </w:r>
      <w:r w:rsidR="00624516">
        <w:t>m</w:t>
      </w:r>
      <w:r w:rsidR="00A42BFE">
        <w:t xml:space="preserve">e setting) </w:t>
      </w:r>
      <w:r w:rsidR="00CE6FA6">
        <w:t>is -0.</w:t>
      </w:r>
      <w:r w:rsidR="00281A5B">
        <w:t>702</w:t>
      </w:r>
      <w:r w:rsidR="00CE6FA6">
        <w:t xml:space="preserve">, while the corresponding effect for workers over 30 years is </w:t>
      </w:r>
      <w:r w:rsidR="00A42BFE" w:rsidRPr="00A6363C">
        <w:t>-0.365</w:t>
      </w:r>
      <w:r w:rsidR="00CE6FA6" w:rsidRPr="00A42BFE">
        <w:t xml:space="preserve"> (=</w:t>
      </w:r>
      <w:r w:rsidR="00AE180F">
        <w:t xml:space="preserve"> </w:t>
      </w:r>
      <w:r w:rsidR="00CE6FA6" w:rsidRPr="00A42BFE">
        <w:t>-0.</w:t>
      </w:r>
      <w:r w:rsidR="00281A5B" w:rsidRPr="00A6363C">
        <w:t>702</w:t>
      </w:r>
      <w:r w:rsidR="00AE180F">
        <w:t xml:space="preserve"> </w:t>
      </w:r>
      <w:r w:rsidR="00CE6FA6" w:rsidRPr="00A42BFE">
        <w:t>+</w:t>
      </w:r>
      <w:r w:rsidR="00AE180F">
        <w:t xml:space="preserve"> </w:t>
      </w:r>
      <w:r w:rsidR="00CE6FA6" w:rsidRPr="00A42BFE">
        <w:t>0.</w:t>
      </w:r>
      <w:r w:rsidR="00A42BFE" w:rsidRPr="00A6363C">
        <w:t>337</w:t>
      </w:r>
      <w:r w:rsidR="00CE6FA6" w:rsidRPr="00A42BFE">
        <w:t>).</w:t>
      </w:r>
      <w:bookmarkEnd w:id="25"/>
      <w:r w:rsidR="00CE6FA6">
        <w:t xml:space="preserve"> </w:t>
      </w:r>
      <w:r w:rsidR="00F917C5">
        <w:t>Next, t</w:t>
      </w:r>
      <w:r w:rsidR="00CE6FA6">
        <w:t>he results for distraction levels at the work office are interesting</w:t>
      </w:r>
      <w:r w:rsidR="00C91E24">
        <w:t>, and are dependent on the gender and age of the worker</w:t>
      </w:r>
      <w:r w:rsidR="00CE6FA6">
        <w:t xml:space="preserve">. </w:t>
      </w:r>
      <w:r w:rsidR="00C91E24">
        <w:t xml:space="preserve">For men </w:t>
      </w:r>
      <w:r w:rsidR="00A42BFE">
        <w:t xml:space="preserve">younger </w:t>
      </w:r>
      <w:r w:rsidR="00C91E24">
        <w:t xml:space="preserve">than 30 years of age, </w:t>
      </w:r>
      <w:r w:rsidR="00BE1A5C">
        <w:t>medium</w:t>
      </w:r>
      <w:r w:rsidR="00C91E24">
        <w:t xml:space="preserve"> distraction levels </w:t>
      </w:r>
      <w:r w:rsidR="00BE1A5C">
        <w:t xml:space="preserve">(relative to low distraction levels) </w:t>
      </w:r>
      <w:r w:rsidR="00C91E24">
        <w:t xml:space="preserve">do lead to a decrease in work office baseline preference, but not so for men </w:t>
      </w:r>
      <w:r w:rsidR="00DD0172">
        <w:t>30 years o</w:t>
      </w:r>
      <w:r w:rsidR="00AC002D">
        <w:t>r</w:t>
      </w:r>
      <w:r w:rsidR="00DD0172">
        <w:t xml:space="preserve"> older</w:t>
      </w:r>
      <w:r w:rsidR="00C91E24">
        <w:t xml:space="preserve">. The effect of distraction </w:t>
      </w:r>
      <w:r w:rsidR="00C91E24">
        <w:lastRenderedPageBreak/>
        <w:t xml:space="preserve">between the </w:t>
      </w:r>
      <w:r w:rsidR="00BE1A5C">
        <w:t>medium</w:t>
      </w:r>
      <w:r w:rsidR="00C91E24">
        <w:t xml:space="preserve"> and high levels does not affect the baseline preference for the work office differentially for </w:t>
      </w:r>
      <w:r w:rsidR="00BE1A5C">
        <w:t xml:space="preserve">men </w:t>
      </w:r>
      <w:r w:rsidR="00C91E24">
        <w:t>younger than 30 years, while the high level does “kick in” to reduce the work office preference for those 30 years</w:t>
      </w:r>
      <w:r w:rsidR="00DD0172">
        <w:t xml:space="preserve"> or older</w:t>
      </w:r>
      <w:r w:rsidR="00C91E24">
        <w:t xml:space="preserve">. For women, regardless of age, and regardless of </w:t>
      </w:r>
      <w:r w:rsidR="00BE1A5C">
        <w:t>medium</w:t>
      </w:r>
      <w:r w:rsidR="00C91E24">
        <w:t xml:space="preserve"> or high distraction levels, there is a higher reduction in work office </w:t>
      </w:r>
      <w:r w:rsidR="007B0FF3">
        <w:t xml:space="preserve">preference relative to men. </w:t>
      </w:r>
      <w:r w:rsidR="00F6783E">
        <w:t xml:space="preserve">In summary, </w:t>
      </w:r>
      <w:r w:rsidR="00DD0172">
        <w:t xml:space="preserve">for the work office, it appears that young men (&lt;30 years of age) are more sensitive to distraction levels compared to men 30 years or older, and women are more sensitive than men to distraction levels (regardless of age). </w:t>
      </w:r>
      <w:r w:rsidR="00367B1E">
        <w:t xml:space="preserve">This result reinforces earlier results for </w:t>
      </w:r>
      <w:r w:rsidR="00371674">
        <w:t xml:space="preserve">age and </w:t>
      </w:r>
      <w:r w:rsidR="00367B1E">
        <w:t>gender that suggest that</w:t>
      </w:r>
      <w:r w:rsidR="00DD0172">
        <w:t xml:space="preserve"> </w:t>
      </w:r>
      <w:r w:rsidR="00371674">
        <w:t xml:space="preserve">the work office serves as an important social-professional venue particularly for </w:t>
      </w:r>
      <w:r w:rsidR="00371674" w:rsidRPr="00691776">
        <w:t xml:space="preserve">older adults </w:t>
      </w:r>
      <w:r w:rsidR="00371674">
        <w:t>and men relative to younger adults and women, respectively.</w:t>
      </w:r>
    </w:p>
    <w:p w14:paraId="0C31AE93" w14:textId="77777777" w:rsidR="00B40ED1" w:rsidRDefault="00371674" w:rsidP="00B40ED1">
      <w:pPr>
        <w:spacing w:after="0"/>
        <w:ind w:firstLine="720"/>
      </w:pPr>
      <w:r>
        <w:t xml:space="preserve">Table </w:t>
      </w:r>
      <w:r w:rsidR="00655E0A">
        <w:t xml:space="preserve">3 </w:t>
      </w:r>
      <w:r>
        <w:t xml:space="preserve">also indicates the influence of housing-related attributes, with individuals owning their home having a higher baseline preference for the work office than those renting, and those with a private study in the home having a higher preference for working from home compared to those without a private study. The former result deserves more probing in future efforts, while the latter may be explained by both the productivity as well as </w:t>
      </w:r>
      <w:r w:rsidR="00624516">
        <w:t xml:space="preserve">the </w:t>
      </w:r>
      <w:r>
        <w:t xml:space="preserve">convenience appeal </w:t>
      </w:r>
      <w:r w:rsidR="00325F6D">
        <w:t>of a non-distracting private study environment</w:t>
      </w:r>
      <w:r>
        <w:t xml:space="preserve"> </w:t>
      </w:r>
      <w:r w:rsidR="00325F6D">
        <w:t>(</w:t>
      </w:r>
      <w:proofErr w:type="spellStart"/>
      <w:r w:rsidR="009927C9" w:rsidRPr="00096CC3">
        <w:t>Wöhrmann</w:t>
      </w:r>
      <w:proofErr w:type="spellEnd"/>
      <w:r w:rsidR="009927C9" w:rsidRPr="00096CC3">
        <w:t xml:space="preserve"> and Ebner, 2021).</w:t>
      </w:r>
    </w:p>
    <w:p w14:paraId="307AAB04" w14:textId="31685FD8" w:rsidR="009927C9" w:rsidRPr="00096CC3" w:rsidRDefault="009927C9" w:rsidP="00B40ED1">
      <w:pPr>
        <w:spacing w:after="0"/>
        <w:ind w:firstLine="720"/>
      </w:pPr>
      <w:r w:rsidRPr="00096CC3">
        <w:t xml:space="preserve"> </w:t>
      </w:r>
    </w:p>
    <w:p w14:paraId="6CFF72BF" w14:textId="77777777" w:rsidR="009927C9" w:rsidRPr="00096CC3" w:rsidRDefault="009927C9" w:rsidP="00B40ED1">
      <w:pPr>
        <w:spacing w:after="0"/>
        <w:rPr>
          <w:b/>
          <w:i/>
          <w:u w:val="single"/>
        </w:rPr>
      </w:pPr>
      <w:bookmarkStart w:id="26" w:name="_Hlk120538524"/>
      <w:r w:rsidRPr="00096CC3">
        <w:rPr>
          <w:b/>
          <w:i/>
          <w:u w:val="single"/>
        </w:rPr>
        <w:t>Job-Related Attributes</w:t>
      </w:r>
    </w:p>
    <w:bookmarkEnd w:id="26"/>
    <w:p w14:paraId="1EE1EF5E" w14:textId="07EA27A9" w:rsidR="009927C9" w:rsidRDefault="009927C9" w:rsidP="00B40ED1">
      <w:pPr>
        <w:spacing w:after="0"/>
      </w:pPr>
      <w:r>
        <w:t xml:space="preserve">The </w:t>
      </w:r>
      <w:r w:rsidR="001033CB">
        <w:t>extent</w:t>
      </w:r>
      <w:r w:rsidR="0036743C">
        <w:t xml:space="preserve">, </w:t>
      </w:r>
      <w:r w:rsidR="00A42BFE">
        <w:t xml:space="preserve">status, </w:t>
      </w:r>
      <w:r w:rsidR="0036743C">
        <w:t>structure,</w:t>
      </w:r>
      <w:r>
        <w:t xml:space="preserve"> and type of work an employee </w:t>
      </w:r>
      <w:r w:rsidR="00A42BFE">
        <w:t>is involved in</w:t>
      </w:r>
      <w:r>
        <w:t xml:space="preserve"> </w:t>
      </w:r>
      <w:r w:rsidR="001033CB">
        <w:t xml:space="preserve">influences </w:t>
      </w:r>
      <w:r>
        <w:t>WPL preferences</w:t>
      </w:r>
      <w:r w:rsidR="001033CB">
        <w:t>, though these effects may also be the effect of what the job demands</w:t>
      </w:r>
      <w:r>
        <w:t xml:space="preserve">. </w:t>
      </w:r>
      <w:r w:rsidR="009A41A7">
        <w:t>The effect of the number of days worked per month was tested originally as a continuous variable, but the final form of this attribute was several incremental dummy variables. The pattern of coefficient effects corresponding to this variable suggests a higher preference for work hybridization (that is, working from multiple WPLs during the month) as the number of work days increases (note that the coefficient values move closer and closer to being equal across the three WPLs as the number of work days increase). In particular, there appears to be a lower baseline preference for working outside home for those who work few</w:t>
      </w:r>
      <w:r w:rsidR="006B2353">
        <w:t>er</w:t>
      </w:r>
      <w:r w:rsidR="009A41A7">
        <w:t xml:space="preserve"> days</w:t>
      </w:r>
      <w:r w:rsidR="006B2353">
        <w:t xml:space="preserve"> per month</w:t>
      </w:r>
      <w:r w:rsidR="009A41A7">
        <w:t>, but this effect fades as the number of work days in the month increase</w:t>
      </w:r>
      <w:r w:rsidR="00542A13">
        <w:t>s</w:t>
      </w:r>
      <w:r w:rsidR="009A41A7">
        <w:t>. In addition to the number of work days, p</w:t>
      </w:r>
      <w:r w:rsidRPr="00096CC3">
        <w:t xml:space="preserve">art-time employees </w:t>
      </w:r>
      <w:r w:rsidR="001033CB">
        <w:t xml:space="preserve">have a higher baseline preference than full-time employees for </w:t>
      </w:r>
      <w:r w:rsidRPr="00096CC3">
        <w:t xml:space="preserve">a third </w:t>
      </w:r>
      <w:r w:rsidR="001033CB">
        <w:t>WPL</w:t>
      </w:r>
      <w:r w:rsidR="009A41A7">
        <w:t>.</w:t>
      </w:r>
      <w:r w:rsidR="00542A13">
        <w:rPr>
          <w:rStyle w:val="FootnoteReference"/>
        </w:rPr>
        <w:footnoteReference w:id="8"/>
      </w:r>
      <w:r w:rsidR="009A41A7">
        <w:t xml:space="preserve"> Given that we have already controlled for the number of work days, this part-time effect may be viewed as a part-day work effect (that is, corresponding to individuals who work </w:t>
      </w:r>
      <w:r w:rsidR="006B2353">
        <w:t xml:space="preserve">only a </w:t>
      </w:r>
      <w:r w:rsidR="009A41A7">
        <w:t>few hours per day</w:t>
      </w:r>
      <w:r w:rsidR="006B2353">
        <w:t xml:space="preserve">). Thus, the preference for a third WPL here may </w:t>
      </w:r>
      <w:proofErr w:type="gramStart"/>
      <w:r w:rsidR="006B2353">
        <w:t xml:space="preserve">be </w:t>
      </w:r>
      <w:r w:rsidR="001033CB">
        <w:t>a reflection of</w:t>
      </w:r>
      <w:proofErr w:type="gramEnd"/>
      <w:r w:rsidR="001033CB">
        <w:t xml:space="preserve"> the </w:t>
      </w:r>
      <w:r w:rsidR="006B2353">
        <w:t xml:space="preserve">WPL </w:t>
      </w:r>
      <w:r w:rsidR="001033CB">
        <w:t>flexibility inherent in part-time positions</w:t>
      </w:r>
      <w:r w:rsidR="006B2353">
        <w:t>,</w:t>
      </w:r>
      <w:r w:rsidR="001033CB">
        <w:t xml:space="preserve"> or </w:t>
      </w:r>
      <w:r w:rsidR="00441F8D">
        <w:t xml:space="preserve">because </w:t>
      </w:r>
      <w:r w:rsidR="001033CB">
        <w:t xml:space="preserve">individuals who seek out part-time employment </w:t>
      </w:r>
      <w:r w:rsidR="00441F8D">
        <w:t xml:space="preserve">are those who prefer </w:t>
      </w:r>
      <w:r w:rsidR="006B2353">
        <w:t xml:space="preserve">work </w:t>
      </w:r>
      <w:r w:rsidR="00441F8D">
        <w:lastRenderedPageBreak/>
        <w:t>portability</w:t>
      </w:r>
      <w:r w:rsidR="006B2353">
        <w:t xml:space="preserve"> </w:t>
      </w:r>
      <w:r w:rsidR="00441F8D">
        <w:t xml:space="preserve">and a digital nomadic </w:t>
      </w:r>
      <w:r w:rsidR="006B2353">
        <w:t xml:space="preserve">work </w:t>
      </w:r>
      <w:r w:rsidR="00441F8D">
        <w:t xml:space="preserve">style </w:t>
      </w:r>
      <w:r w:rsidRPr="00096CC3">
        <w:t xml:space="preserve">(Su et al., 2021). </w:t>
      </w:r>
      <w:r w:rsidR="0090650E">
        <w:t xml:space="preserve">The results in Table </w:t>
      </w:r>
      <w:r w:rsidR="00297182">
        <w:t xml:space="preserve">3 </w:t>
      </w:r>
      <w:r w:rsidR="0090650E">
        <w:t xml:space="preserve">also reveal that those who are self-employed (but who indicated that they have a regular work place outside home, because that was a </w:t>
      </w:r>
      <w:r w:rsidR="00C03751">
        <w:t xml:space="preserve">screening </w:t>
      </w:r>
      <w:r w:rsidR="0090650E">
        <w:t xml:space="preserve">criterion </w:t>
      </w:r>
      <w:r w:rsidR="00C03751">
        <w:t>in the survey) have a lower baseline preference for the work office than those not self-employed, as has been found in the earlier literature too, suggesting more control over work arrangements (</w:t>
      </w:r>
      <w:r w:rsidR="000A11D4" w:rsidRPr="000A11D4">
        <w:t>Cheng et al., 2022</w:t>
      </w:r>
      <w:r w:rsidR="00C03751">
        <w:t xml:space="preserve">). </w:t>
      </w:r>
    </w:p>
    <w:p w14:paraId="627FC107" w14:textId="5AF7A57B" w:rsidR="009927C9" w:rsidRPr="00096CC3" w:rsidRDefault="002D5B73" w:rsidP="00B40ED1">
      <w:pPr>
        <w:spacing w:after="0"/>
        <w:ind w:firstLine="720"/>
      </w:pPr>
      <w:r>
        <w:t>I</w:t>
      </w:r>
      <w:r w:rsidR="00817029">
        <w:t xml:space="preserve">n the category of job-related variables, occupations that generally may be viewed </w:t>
      </w:r>
      <w:r w:rsidR="009927C9" w:rsidRPr="00096CC3">
        <w:t>as “essential”</w:t>
      </w:r>
      <w:r w:rsidR="00817029">
        <w:t xml:space="preserve"> for day-to-day workings of society</w:t>
      </w:r>
      <w:r w:rsidR="009927C9" w:rsidRPr="00096CC3">
        <w:t xml:space="preserve">, such as healthcare and food service workers, as well as retail sales, education and social service employees, have a high </w:t>
      </w:r>
      <w:r w:rsidR="00817029">
        <w:t xml:space="preserve">baseline </w:t>
      </w:r>
      <w:r w:rsidR="009927C9" w:rsidRPr="00096CC3">
        <w:t xml:space="preserve">preference for </w:t>
      </w:r>
      <w:r w:rsidR="00817029">
        <w:t>the work office</w:t>
      </w:r>
      <w:r w:rsidR="009927C9" w:rsidRPr="00096CC3">
        <w:t xml:space="preserve"> </w:t>
      </w:r>
      <w:r>
        <w:t xml:space="preserve">or a low baseline preference for remote work </w:t>
      </w:r>
      <w:r w:rsidR="009927C9" w:rsidRPr="00096CC3">
        <w:t>(Astroza et al., 2020)</w:t>
      </w:r>
      <w:r>
        <w:t xml:space="preserve"> relative to those that may be considered non-essential (professional, managerial, and technical jobs). Workers in the public administration have the lowest preference for the work office, while those in information/finance have a clear higher preference for working from home or a third work place. </w:t>
      </w:r>
    </w:p>
    <w:p w14:paraId="30589F7D" w14:textId="77777777" w:rsidR="00B40ED1" w:rsidRDefault="003853CB" w:rsidP="00B40ED1">
      <w:pPr>
        <w:spacing w:after="0"/>
        <w:ind w:firstLine="720"/>
      </w:pPr>
      <w:r>
        <w:t>Finally, a</w:t>
      </w:r>
      <w:r w:rsidR="009927C9" w:rsidRPr="002C61FD">
        <w:t xml:space="preserve">nother job-related characteristic investigated was </w:t>
      </w:r>
      <w:r w:rsidR="00624516">
        <w:t xml:space="preserve">whether an </w:t>
      </w:r>
      <w:r w:rsidR="009927C9" w:rsidRPr="002C61FD">
        <w:t>employer allow</w:t>
      </w:r>
      <w:r>
        <w:t>ed</w:t>
      </w:r>
      <w:r w:rsidR="009927C9" w:rsidRPr="002C61FD">
        <w:t xml:space="preserve"> shift</w:t>
      </w:r>
      <w:r>
        <w:t>ing</w:t>
      </w:r>
      <w:r w:rsidR="009927C9" w:rsidRPr="002C61FD">
        <w:t xml:space="preserve"> work hours to either an earlier or later start</w:t>
      </w:r>
      <w:r w:rsidR="002D5B73">
        <w:t>/</w:t>
      </w:r>
      <w:r w:rsidR="009927C9" w:rsidRPr="002C61FD">
        <w:t xml:space="preserve">end time. </w:t>
      </w:r>
      <w:r>
        <w:t xml:space="preserve">The results suggest that women are more predisposed toward the third WPL in this situation, perhaps taking advantage of the temporal flexibility to reinforce their tendency to work away from (but close to) home. </w:t>
      </w:r>
      <w:r w:rsidR="00207843">
        <w:t>A s</w:t>
      </w:r>
      <w:r>
        <w:t>imilar reason</w:t>
      </w:r>
      <w:r w:rsidR="00207843">
        <w:t xml:space="preserve"> presumably underlies the </w:t>
      </w:r>
      <w:r>
        <w:t xml:space="preserve">higher preference </w:t>
      </w:r>
      <w:r w:rsidR="00893A37">
        <w:t xml:space="preserve">to work remotely among </w:t>
      </w:r>
      <w:r w:rsidR="00207843">
        <w:t>those with children.</w:t>
      </w:r>
    </w:p>
    <w:p w14:paraId="5A1D1810" w14:textId="6902ED5B" w:rsidR="009927C9" w:rsidRPr="002C61FD" w:rsidRDefault="003853CB" w:rsidP="00B40ED1">
      <w:pPr>
        <w:spacing w:after="0"/>
        <w:ind w:firstLine="720"/>
      </w:pPr>
      <w:r>
        <w:t xml:space="preserve"> </w:t>
      </w:r>
    </w:p>
    <w:p w14:paraId="2930F495" w14:textId="77777777" w:rsidR="009927C9" w:rsidRPr="00096CC3" w:rsidRDefault="009927C9" w:rsidP="00B40ED1">
      <w:pPr>
        <w:spacing w:after="0"/>
        <w:rPr>
          <w:b/>
          <w:i/>
          <w:u w:val="single"/>
        </w:rPr>
      </w:pPr>
      <w:r w:rsidRPr="00096CC3">
        <w:rPr>
          <w:b/>
          <w:i/>
          <w:u w:val="single"/>
        </w:rPr>
        <w:t>COVID-19 Threat</w:t>
      </w:r>
    </w:p>
    <w:p w14:paraId="336F547B" w14:textId="2D0795C2" w:rsidR="009927C9" w:rsidRPr="00096CC3" w:rsidRDefault="009927C9" w:rsidP="00B40ED1">
      <w:pPr>
        <w:spacing w:after="0"/>
      </w:pPr>
      <w:r w:rsidRPr="00096CC3">
        <w:t xml:space="preserve">If immunocompromised, an employee is less willing to work from </w:t>
      </w:r>
      <w:r w:rsidR="005F2781">
        <w:t xml:space="preserve">the work office, a natural protective measure to avoid </w:t>
      </w:r>
      <w:r w:rsidRPr="00096CC3">
        <w:t>be</w:t>
      </w:r>
      <w:r w:rsidR="005F2781">
        <w:t>ing</w:t>
      </w:r>
      <w:r w:rsidRPr="00096CC3">
        <w:t xml:space="preserve"> around coworkers or strangers who may be infected or not taking COVID precautions</w:t>
      </w:r>
      <w:r w:rsidR="00624516">
        <w:t xml:space="preserve"> (see </w:t>
      </w:r>
      <w:proofErr w:type="spellStart"/>
      <w:r w:rsidR="005F2781">
        <w:t>Irawan</w:t>
      </w:r>
      <w:proofErr w:type="spellEnd"/>
      <w:r w:rsidR="005F2781">
        <w:t xml:space="preserve"> et al.</w:t>
      </w:r>
      <w:r w:rsidR="00624516">
        <w:t xml:space="preserve">, </w:t>
      </w:r>
      <w:r w:rsidR="005F2781">
        <w:t>202</w:t>
      </w:r>
      <w:r w:rsidR="00C70726">
        <w:t>2</w:t>
      </w:r>
      <w:r w:rsidR="00624516">
        <w:t>).</w:t>
      </w:r>
      <w:r w:rsidR="005F2781">
        <w:t xml:space="preserve"> Many </w:t>
      </w:r>
      <w:r w:rsidRPr="005F2781">
        <w:t xml:space="preserve">states have </w:t>
      </w:r>
      <w:r w:rsidR="005F2781">
        <w:t xml:space="preserve">recognized this basic health-driven tendency by </w:t>
      </w:r>
      <w:r w:rsidRPr="005F2781">
        <w:t>enact</w:t>
      </w:r>
      <w:r w:rsidR="005F2781">
        <w:t>ing policies</w:t>
      </w:r>
      <w:r w:rsidRPr="005F2781">
        <w:t xml:space="preserve">, such as Colorado’s Safer at Home public health order, which shields immunocompromised workers from having to return to the </w:t>
      </w:r>
      <w:r w:rsidR="005F2781">
        <w:t>work office</w:t>
      </w:r>
      <w:r w:rsidRPr="005F2781">
        <w:t xml:space="preserve"> (Harold et al., 2022).</w:t>
      </w:r>
      <w:r w:rsidR="005F2781">
        <w:t xml:space="preserve"> Of course, the same reasoning also applies to the </w:t>
      </w:r>
      <w:r w:rsidR="00624516">
        <w:t xml:space="preserve">result pertaining to the </w:t>
      </w:r>
      <w:r w:rsidR="005F2781">
        <w:t xml:space="preserve">case when an individual </w:t>
      </w:r>
      <w:r w:rsidRPr="00096CC3">
        <w:t>visits or lives with someone who is immunocompromised</w:t>
      </w:r>
      <w:r w:rsidR="005F2781">
        <w:t>.</w:t>
      </w:r>
      <w:r w:rsidRPr="00096CC3">
        <w:t xml:space="preserve"> </w:t>
      </w:r>
    </w:p>
    <w:p w14:paraId="081E946E" w14:textId="5B545A4E" w:rsidR="00FB74FD" w:rsidRDefault="00FB74FD" w:rsidP="00B40ED1">
      <w:pPr>
        <w:spacing w:after="0"/>
        <w:ind w:firstLine="720"/>
      </w:pPr>
      <w:r>
        <w:t>The COVID risk attribute was represented in the experiments at one of four levels (see Table 1 for details): extremely low, low, unknown, and high. In our specifications, there was consistently no difference in the extremely and low COVID risk levels (these two risk levels corresponded to 60% or 80% vaccinated, “with the vaccine being effective for all strands”). This suggests that individuals are not very sensitive in the range of vaccination penetrations we presented. Combined with the important effects of high risk and unknown risk, which included the dimension of the vaccination’s effectiveness being poor or unknown, respectively, there is an indication that the public is swayed more by vaccination effectiveness information</w:t>
      </w:r>
      <w:r w:rsidR="00731604">
        <w:t xml:space="preserve"> </w:t>
      </w:r>
      <w:r>
        <w:t xml:space="preserve">than vaccination penetration </w:t>
      </w:r>
      <w:r w:rsidR="00731604">
        <w:t>levels</w:t>
      </w:r>
      <w:r>
        <w:t xml:space="preserve"> in the population. For the final model specification, we combined the extremely low and low risk levels into a single “not high” risk level, with “high” and </w:t>
      </w:r>
      <w:r w:rsidR="00B40ED1">
        <w:t>“</w:t>
      </w:r>
      <w:r>
        <w:t xml:space="preserve">unknown” being separate levels. </w:t>
      </w:r>
    </w:p>
    <w:p w14:paraId="390F5D0E" w14:textId="77777777" w:rsidR="00B40ED1" w:rsidRDefault="00FB74FD" w:rsidP="00B40ED1">
      <w:pPr>
        <w:spacing w:after="0"/>
        <w:ind w:firstLine="720"/>
      </w:pPr>
      <w:r>
        <w:t xml:space="preserve">The observation from Table </w:t>
      </w:r>
      <w:r w:rsidR="00297182">
        <w:t xml:space="preserve">3 </w:t>
      </w:r>
      <w:r>
        <w:t xml:space="preserve">is that if </w:t>
      </w:r>
      <w:r w:rsidR="009927C9" w:rsidRPr="00096CC3">
        <w:t>the COVID risk is high</w:t>
      </w:r>
      <w:r w:rsidR="009E5891">
        <w:t xml:space="preserve"> at any time</w:t>
      </w:r>
      <w:r w:rsidR="009927C9" w:rsidRPr="00096CC3">
        <w:t xml:space="preserve">, </w:t>
      </w:r>
      <w:r w:rsidR="009E5891">
        <w:t>the baseline preference for working from home increases, as one would expect</w:t>
      </w:r>
      <w:r w:rsidR="005F3416">
        <w:t xml:space="preserve"> (see Baba et al., 2022)</w:t>
      </w:r>
      <w:r w:rsidR="009E5891">
        <w:t xml:space="preserve">. What is interesting in our results is that if the COVID risk is uncertain, the baseline preference for working </w:t>
      </w:r>
      <w:r w:rsidR="009E5891">
        <w:lastRenderedPageBreak/>
        <w:t xml:space="preserve">from home increases even more than when the COVID risk is known to be high. </w:t>
      </w:r>
      <w:r w:rsidR="00D05726">
        <w:t xml:space="preserve">However, as we will note later, </w:t>
      </w:r>
      <w:r w:rsidR="001F7B74">
        <w:t xml:space="preserve">if the COVID risk is high, those individuals working from home decide to do so with much more intensity, while there is no such effect of “unknown risk” on the frequency of working from home for these individuals. That is, while “unknown risk” increases the likelihood of working from home at least once more so than “high” risk”, “high risk” increases the frequency of working from home more so than “unknown” risk”. Of course, which of “high” risk and “unknown risk” increases the split of days working from home will be a combination of these two, which can only be determined through the type of predictions undertaken in Section 5. </w:t>
      </w:r>
      <w:r w:rsidR="005F3416">
        <w:t xml:space="preserve">The </w:t>
      </w:r>
      <w:r w:rsidR="00FF5189">
        <w:t xml:space="preserve">positive coefficient on the “unknown risk” variable for the work office lies between the preference coefficients for home and the third WPL, which suggests that the preference for a third WPL declines the most </w:t>
      </w:r>
      <w:r w:rsidR="005F3416">
        <w:t>when the COVID risk is uncertain, perhaps because individuals at a third WPL are much more likely to be strangers (than at home or at the work office) with unfamiliar safety behaviors</w:t>
      </w:r>
      <w:r w:rsidR="00FF5189">
        <w:t>, especially when the COVID risk is unknown with no safety protocols in place</w:t>
      </w:r>
      <w:r w:rsidR="005F3416">
        <w:t>.</w:t>
      </w:r>
    </w:p>
    <w:p w14:paraId="5108B18C" w14:textId="4E193B93" w:rsidR="009927C9" w:rsidRDefault="005F3416" w:rsidP="00B40ED1">
      <w:pPr>
        <w:spacing w:after="0"/>
        <w:ind w:firstLine="720"/>
      </w:pPr>
      <w:r>
        <w:t xml:space="preserve"> </w:t>
      </w:r>
    </w:p>
    <w:p w14:paraId="686477A0" w14:textId="77777777" w:rsidR="00B72D15" w:rsidRPr="007C5F48" w:rsidRDefault="00B72D15" w:rsidP="00B40ED1">
      <w:pPr>
        <w:spacing w:after="0"/>
        <w:rPr>
          <w:b/>
          <w:i/>
          <w:u w:val="single"/>
        </w:rPr>
      </w:pPr>
      <w:r w:rsidRPr="007C5F48">
        <w:rPr>
          <w:b/>
          <w:i/>
          <w:u w:val="single"/>
        </w:rPr>
        <w:t>Baseline Preference Constants</w:t>
      </w:r>
    </w:p>
    <w:p w14:paraId="2E630EDC" w14:textId="77777777" w:rsidR="00B40ED1" w:rsidRDefault="00B72D15" w:rsidP="00B40ED1">
      <w:pPr>
        <w:spacing w:after="0"/>
      </w:pPr>
      <w:r>
        <w:t>T</w:t>
      </w:r>
      <w:r w:rsidRPr="00691776">
        <w:t xml:space="preserve">he </w:t>
      </w:r>
      <w:r>
        <w:t xml:space="preserve">baseline </w:t>
      </w:r>
      <w:r w:rsidRPr="00691776">
        <w:t xml:space="preserve">constants do not have any substantive </w:t>
      </w:r>
      <w:r>
        <w:t xml:space="preserve">behavioral </w:t>
      </w:r>
      <w:r w:rsidRPr="00691776">
        <w:t xml:space="preserve">interpretation. They work with the </w:t>
      </w:r>
      <w:r>
        <w:t>satiation</w:t>
      </w:r>
      <w:r w:rsidRPr="00691776">
        <w:t xml:space="preserve"> preference constants to provide the best </w:t>
      </w:r>
      <w:r>
        <w:t xml:space="preserve">data </w:t>
      </w:r>
      <w:r w:rsidRPr="00691776">
        <w:t xml:space="preserve">fit, after accommodating the effects of exogenous variables. But, </w:t>
      </w:r>
      <w:r>
        <w:t xml:space="preserve">it is illustrative to note the negative coefficient on the third WPL alternative even after including exogenous variable effects. This, </w:t>
      </w:r>
      <w:r w:rsidRPr="00691776">
        <w:t xml:space="preserve">as discussed </w:t>
      </w:r>
      <w:r w:rsidRPr="003F53C3">
        <w:t xml:space="preserve">in Table </w:t>
      </w:r>
      <w:r w:rsidR="003F53C3" w:rsidRPr="003F53C3">
        <w:t>2</w:t>
      </w:r>
      <w:r w:rsidRPr="003F53C3">
        <w:t>, the</w:t>
      </w:r>
      <w:r w:rsidRPr="00691776">
        <w:t xml:space="preserve"> satiation constant for the third WPL is the lowest</w:t>
      </w:r>
      <w:r>
        <w:t xml:space="preserve">. This is in congruence </w:t>
      </w:r>
      <w:r w:rsidRPr="00691776">
        <w:t xml:space="preserve">with the </w:t>
      </w:r>
      <w:r>
        <w:t xml:space="preserve">lowest participation rate in the third WPL, based on </w:t>
      </w:r>
      <w:r w:rsidRPr="00691776">
        <w:t xml:space="preserve">the descriptive statistics in Table </w:t>
      </w:r>
      <w:r w:rsidR="00297182">
        <w:t>2</w:t>
      </w:r>
      <w:r w:rsidRPr="00691776">
        <w:t>.</w:t>
      </w:r>
    </w:p>
    <w:p w14:paraId="4E8CB321" w14:textId="1D71B615" w:rsidR="00B72D15" w:rsidRPr="00096CC3" w:rsidRDefault="00B72D15" w:rsidP="00B40ED1">
      <w:pPr>
        <w:spacing w:after="0"/>
      </w:pPr>
      <w:r w:rsidRPr="00691776">
        <w:t xml:space="preserve"> </w:t>
      </w:r>
    </w:p>
    <w:p w14:paraId="3849F624" w14:textId="44B94E40" w:rsidR="00E631AF" w:rsidRPr="00E631AF" w:rsidRDefault="00E631AF" w:rsidP="00B40ED1">
      <w:pPr>
        <w:pStyle w:val="Heading3"/>
        <w:numPr>
          <w:ilvl w:val="1"/>
          <w:numId w:val="1"/>
        </w:numPr>
        <w:spacing w:before="0"/>
        <w:ind w:left="450"/>
      </w:pPr>
      <w:r w:rsidRPr="00A6363C">
        <w:rPr>
          <w:b/>
          <w:i w:val="0"/>
        </w:rPr>
        <w:t>Satiation Effects</w:t>
      </w:r>
      <w:r w:rsidR="00C063B6">
        <w:rPr>
          <w:b/>
          <w:i w:val="0"/>
        </w:rPr>
        <w:t xml:space="preserve"> </w:t>
      </w:r>
    </w:p>
    <w:p w14:paraId="13E97768" w14:textId="3BA85980" w:rsidR="00B40ED1" w:rsidRDefault="00E631AF" w:rsidP="00B40ED1">
      <w:pPr>
        <w:spacing w:after="0"/>
      </w:pPr>
      <w:r>
        <w:t xml:space="preserve">As indicated earlier, the satiation parameter is </w:t>
      </w:r>
      <w:r w:rsidRPr="005D76C0">
        <w:t>parameterized as</w:t>
      </w:r>
      <w:r w:rsidR="00B40ED1">
        <w:t xml:space="preserve"> </w:t>
      </w:r>
      <w:r w:rsidR="00AE180F" w:rsidRPr="006123FE">
        <w:rPr>
          <w:rFonts w:eastAsia="Times New Roman"/>
          <w:bCs/>
          <w:position w:val="-14"/>
          <w:lang w:eastAsia="en-IN"/>
        </w:rPr>
        <w:object w:dxaOrig="1100" w:dyaOrig="380" w14:anchorId="0327DDAF">
          <v:shape id="_x0000_i1090" type="#_x0000_t75" style="width:54.85pt;height:18.85pt" o:ole="" o:preferrelative="f">
            <v:imagedata r:id="rId118" o:title=""/>
            <o:lock v:ext="edit" aspectratio="f"/>
          </v:shape>
          <o:OLEObject Type="Embed" ProgID="Equation.DSMT4" ShapeID="_x0000_i1090" DrawAspect="Content" ObjectID="_1741591442" r:id="rId135"/>
        </w:object>
      </w:r>
      <w:r w:rsidRPr="005D76C0">
        <w:t xml:space="preserve">, and the results in the lower panel of Table </w:t>
      </w:r>
      <w:r w:rsidR="00D2667C">
        <w:t>3</w:t>
      </w:r>
      <w:r w:rsidR="00D2667C" w:rsidRPr="005D76C0">
        <w:t xml:space="preserve"> </w:t>
      </w:r>
      <w:r w:rsidRPr="005D76C0">
        <w:t xml:space="preserve">represent the elements of the coefficient vector </w:t>
      </w:r>
      <w:r w:rsidR="00DF7B5A" w:rsidRPr="00A6363C">
        <w:rPr>
          <w:position w:val="-12"/>
        </w:rPr>
        <w:object w:dxaOrig="260" w:dyaOrig="360" w14:anchorId="7FFB00AA">
          <v:shape id="_x0000_i1091" type="#_x0000_t75" style="width:12.85pt;height:18pt" o:ole="">
            <v:imagedata r:id="rId136" o:title=""/>
          </v:shape>
          <o:OLEObject Type="Embed" ProgID="Equation.DSMT4" ShapeID="_x0000_i1091" DrawAspect="Content" ObjectID="_1741591443" r:id="rId137"/>
        </w:object>
      </w:r>
      <w:r w:rsidRPr="005D76C0">
        <w:t xml:space="preserve">. A positive coefficient has the effect of increasing the </w:t>
      </w:r>
      <w:r w:rsidR="00630A3B" w:rsidRPr="005D76C0">
        <w:rPr>
          <w:position w:val="-12"/>
        </w:rPr>
        <w:object w:dxaOrig="279" w:dyaOrig="360" w14:anchorId="5B558127">
          <v:shape id="_x0000_i1092" type="#_x0000_t75" style="width:13.7pt;height:18pt" o:ole="">
            <v:imagedata r:id="rId138" o:title=""/>
          </v:shape>
          <o:OLEObject Type="Embed" ProgID="Equation.DSMT4" ShapeID="_x0000_i1092" DrawAspect="Content" ObjectID="_1741591444" r:id="rId139"/>
        </w:object>
      </w:r>
      <w:r w:rsidRPr="005D76C0">
        <w:t xml:space="preserve"> parameter and</w:t>
      </w:r>
      <w:r>
        <w:t>,</w:t>
      </w:r>
      <w:r w:rsidRPr="005D76C0">
        <w:t xml:space="preserve"> thereby, reducing satiation effects</w:t>
      </w:r>
      <w:r>
        <w:t xml:space="preserve"> (increasing days of work </w:t>
      </w:r>
      <w:r w:rsidR="00F063A9">
        <w:t>for</w:t>
      </w:r>
      <w:r>
        <w:t xml:space="preserve"> the WPL alternative </w:t>
      </w:r>
      <w:r w:rsidRPr="00A6363C">
        <w:rPr>
          <w:i/>
        </w:rPr>
        <w:t>k</w:t>
      </w:r>
      <w:r w:rsidR="00F063A9">
        <w:t xml:space="preserve">, conditional on participation in the WPL alternative </w:t>
      </w:r>
      <w:r w:rsidR="00F063A9" w:rsidRPr="00A6363C">
        <w:rPr>
          <w:i/>
        </w:rPr>
        <w:t>k</w:t>
      </w:r>
      <w:r w:rsidR="00F063A9">
        <w:t>)</w:t>
      </w:r>
      <w:r w:rsidRPr="005D76C0">
        <w:t xml:space="preserve">, while a negative coefficient has the effect of decreasing the </w:t>
      </w:r>
      <w:r w:rsidR="00630A3B" w:rsidRPr="005D76C0">
        <w:rPr>
          <w:position w:val="-12"/>
        </w:rPr>
        <w:object w:dxaOrig="279" w:dyaOrig="360" w14:anchorId="2C34CDFB">
          <v:shape id="_x0000_i1093" type="#_x0000_t75" style="width:13.7pt;height:18pt" o:ole="">
            <v:imagedata r:id="rId138" o:title=""/>
          </v:shape>
          <o:OLEObject Type="Embed" ProgID="Equation.DSMT4" ShapeID="_x0000_i1093" DrawAspect="Content" ObjectID="_1741591445" r:id="rId140"/>
        </w:object>
      </w:r>
      <w:r w:rsidRPr="005D76C0">
        <w:t xml:space="preserve"> parameter and increasing satiation effects</w:t>
      </w:r>
      <w:r>
        <w:t xml:space="preserve"> (decreasing days of work at the WPL alternative </w:t>
      </w:r>
      <w:r w:rsidRPr="00A6363C">
        <w:rPr>
          <w:i/>
        </w:rPr>
        <w:t>k</w:t>
      </w:r>
      <w:r w:rsidR="00F063A9">
        <w:t xml:space="preserve">, conditional on participation in the WPL alternative </w:t>
      </w:r>
      <w:r w:rsidR="00F063A9" w:rsidRPr="00A6363C">
        <w:rPr>
          <w:i/>
        </w:rPr>
        <w:t>k</w:t>
      </w:r>
      <w:r w:rsidR="00F063A9">
        <w:t>)</w:t>
      </w:r>
      <w:r w:rsidRPr="005D76C0">
        <w:t>.</w:t>
      </w:r>
      <w:r w:rsidR="00532C6B">
        <w:t xml:space="preserve"> Important also to note is that </w:t>
      </w:r>
      <w:r w:rsidR="00F063A9">
        <w:t>the satiation effects begin to take effect from the baseline parameter as the starting point (the baseline parameter may be viewed as the marginal utility of an alternative when no days have yet to be invested in that WPL alternative; see Bhat, 2008). Thus, the net WPL package choice prediction for an individual (that is, the number of days of work for each WPL alternative (and all WPL alternatives), given the total number of days of work of the individual</w:t>
      </w:r>
      <w:r w:rsidR="00F917C5">
        <w:t>)</w:t>
      </w:r>
      <w:r w:rsidR="00F063A9">
        <w:t>, is a function of the combination of the baseline parameters and the satiation parameters across all WPL alternatives for that individual.</w:t>
      </w:r>
    </w:p>
    <w:p w14:paraId="645E5542" w14:textId="434D9F6A" w:rsidR="009927C9" w:rsidRPr="00096CC3" w:rsidRDefault="00F063A9" w:rsidP="00B40ED1">
      <w:pPr>
        <w:spacing w:after="0"/>
      </w:pPr>
      <w:r>
        <w:t xml:space="preserve"> </w:t>
      </w:r>
    </w:p>
    <w:p w14:paraId="11F99EBF" w14:textId="0779298D" w:rsidR="009927C9" w:rsidRPr="00096CC3" w:rsidRDefault="009927C9" w:rsidP="0073414C">
      <w:pPr>
        <w:keepNext/>
        <w:keepLines/>
        <w:spacing w:after="0"/>
        <w:rPr>
          <w:b/>
          <w:i/>
          <w:u w:val="single"/>
        </w:rPr>
      </w:pPr>
      <w:r w:rsidRPr="00096CC3">
        <w:rPr>
          <w:b/>
          <w:i/>
          <w:u w:val="single"/>
        </w:rPr>
        <w:lastRenderedPageBreak/>
        <w:t>Individual</w:t>
      </w:r>
      <w:r w:rsidR="00E71337">
        <w:rPr>
          <w:b/>
          <w:i/>
          <w:u w:val="single"/>
        </w:rPr>
        <w:t xml:space="preserve"> and </w:t>
      </w:r>
      <w:r w:rsidR="00AE180F">
        <w:rPr>
          <w:b/>
          <w:i/>
          <w:u w:val="single"/>
        </w:rPr>
        <w:t>H</w:t>
      </w:r>
      <w:r w:rsidR="00E71337">
        <w:rPr>
          <w:b/>
          <w:i/>
          <w:u w:val="single"/>
        </w:rPr>
        <w:t xml:space="preserve">ousehold </w:t>
      </w:r>
      <w:r w:rsidR="00AE180F">
        <w:rPr>
          <w:b/>
          <w:i/>
          <w:u w:val="single"/>
        </w:rPr>
        <w:t>D</w:t>
      </w:r>
      <w:r w:rsidR="00E71337">
        <w:rPr>
          <w:b/>
          <w:i/>
          <w:u w:val="single"/>
        </w:rPr>
        <w:t>emographics</w:t>
      </w:r>
      <w:r w:rsidRPr="00096CC3">
        <w:rPr>
          <w:b/>
          <w:i/>
          <w:u w:val="single"/>
        </w:rPr>
        <w:t xml:space="preserve"> </w:t>
      </w:r>
    </w:p>
    <w:p w14:paraId="0ADC5D3B" w14:textId="2A9F8279" w:rsidR="00C92BF3" w:rsidRPr="00096CC3" w:rsidRDefault="00F063A9" w:rsidP="0073414C">
      <w:pPr>
        <w:keepNext/>
        <w:keepLines/>
        <w:spacing w:after="0"/>
        <w:rPr>
          <w:color w:val="FF0000"/>
        </w:rPr>
      </w:pPr>
      <w:r>
        <w:t xml:space="preserve">As in the case of the baseline parameters, </w:t>
      </w:r>
      <w:r w:rsidR="00911CD9" w:rsidRPr="00AA1EC4">
        <w:t>“gendered family-life stage”</w:t>
      </w:r>
      <w:r w:rsidR="00911CD9">
        <w:t xml:space="preserve"> effects and age continue to play an important role in determining intensity of participation in each WPL, conditional on participation in the WPL alternative. For women with children below the age of 13 years in the household and living with a partner, the intensity of work participation at the work office is lower than for all other individuals, even if there is some positive participation at the work office. However, the reverse is true for women with children between the ages of 13-17 years in the household and living with a partner. Of course, we can attribute this effect primarily to the gender and presence of children combination here, given that single mothers with young children are unlikely to participate in the work office in the first place</w:t>
      </w:r>
      <w:r w:rsidR="00C26C94">
        <w:t xml:space="preserve"> (see the discussion of the baseline preference effects in the previous section). Young children </w:t>
      </w:r>
      <w:r w:rsidR="00C26C94" w:rsidRPr="00096CC3">
        <w:t>demand a significant amount of attention</w:t>
      </w:r>
      <w:r w:rsidR="00C26C94">
        <w:t xml:space="preserve">, and women are the primary caregivers even in families with a partner (especially in the majority of cases, at least today, where the other partner identifies as being a non-female). </w:t>
      </w:r>
      <w:proofErr w:type="gramStart"/>
      <w:r w:rsidR="00C26C94">
        <w:t>So</w:t>
      </w:r>
      <w:proofErr w:type="gramEnd"/>
      <w:r w:rsidR="00C26C94">
        <w:t xml:space="preserve"> it is only intuitive that women with children, even if they travel to the work office on some days, would not do so too often during the month.</w:t>
      </w:r>
      <w:r w:rsidR="00C26C94" w:rsidRPr="00096CC3">
        <w:t xml:space="preserve"> </w:t>
      </w:r>
      <w:r w:rsidR="00C92BF3">
        <w:t xml:space="preserve">On the other hand, women in households with older children 13-17 years of age, if they work from the work office at all, may feel more comfortable doing so with reasonably higher intensity than women in households with young children, given the generally more independent biological and activity rhythms of teenagers. </w:t>
      </w:r>
    </w:p>
    <w:p w14:paraId="304BC0BB" w14:textId="062BC758" w:rsidR="009927C9" w:rsidRPr="00096CC3" w:rsidRDefault="00C92BF3" w:rsidP="00B40ED1">
      <w:pPr>
        <w:spacing w:after="0"/>
        <w:ind w:firstLine="720"/>
      </w:pPr>
      <w:r>
        <w:t xml:space="preserve">The age effects on satiation reinforce the notion that older adults </w:t>
      </w:r>
      <w:r w:rsidR="009D0F6E">
        <w:t xml:space="preserve">(especially those 65 years of age or older) </w:t>
      </w:r>
      <w:r>
        <w:t xml:space="preserve">prefer stability and regular rhythms </w:t>
      </w:r>
      <w:r w:rsidR="00C674E4">
        <w:t xml:space="preserve">in their lifestyle. Specifically, given a specific WPL is chosen for participation, older workers are generally more likely than younger workers to maintain that WPL for frequent participation, while younger adults generically prefer a more hybrid location work environment. </w:t>
      </w:r>
    </w:p>
    <w:p w14:paraId="726D6657" w14:textId="77777777" w:rsidR="00B40ED1" w:rsidRDefault="00E71337" w:rsidP="00B40ED1">
      <w:pPr>
        <w:spacing w:after="0"/>
        <w:ind w:firstLine="720"/>
      </w:pPr>
      <w:r>
        <w:t>The results related to household income effects on satiation reveal that individuals from households with an annual incomes of $100,000 or higher, while having a higher baseline preference to work remotely than those from households with incomes less than $100,000, still are more likely to distribute their work days across multiple WPLs (note the negative effects of "income ≥ 100,000” on the two remote WPL alternatives), presumably another sign of the flexibility and power higher income households wield in the market place.</w:t>
      </w:r>
    </w:p>
    <w:p w14:paraId="218849EA" w14:textId="7E9698B5" w:rsidR="009927C9" w:rsidRPr="00096CC3" w:rsidRDefault="00E71337" w:rsidP="00B40ED1">
      <w:pPr>
        <w:spacing w:after="0"/>
        <w:ind w:firstLine="720"/>
        <w:rPr>
          <w:b/>
          <w:i/>
          <w:u w:val="single"/>
        </w:rPr>
      </w:pPr>
      <w:r>
        <w:t xml:space="preserve">  </w:t>
      </w:r>
    </w:p>
    <w:p w14:paraId="4773514C" w14:textId="2DD6CBFC" w:rsidR="00E71337" w:rsidRDefault="00E71337" w:rsidP="00B40ED1">
      <w:pPr>
        <w:spacing w:after="0"/>
        <w:rPr>
          <w:b/>
          <w:i/>
          <w:u w:val="single"/>
        </w:rPr>
      </w:pPr>
      <w:r>
        <w:rPr>
          <w:b/>
          <w:i/>
          <w:u w:val="single"/>
        </w:rPr>
        <w:t xml:space="preserve">Geographic WPL and Environmental WPL Attributes </w:t>
      </w:r>
    </w:p>
    <w:p w14:paraId="051AA19C" w14:textId="7116A633" w:rsidR="00E71337" w:rsidRDefault="00586673" w:rsidP="00B40ED1">
      <w:pPr>
        <w:spacing w:after="0"/>
      </w:pPr>
      <w:r>
        <w:t xml:space="preserve">An </w:t>
      </w:r>
      <w:r w:rsidR="00E71337">
        <w:t xml:space="preserve">interesting finding from Table </w:t>
      </w:r>
      <w:r w:rsidR="00D2667C">
        <w:t xml:space="preserve">3 </w:t>
      </w:r>
      <w:r w:rsidR="00E71337">
        <w:t xml:space="preserve">is that </w:t>
      </w:r>
      <w:r w:rsidR="00853FB5">
        <w:t>g</w:t>
      </w:r>
      <w:r w:rsidR="00E71337">
        <w:t xml:space="preserve">eographic and environmental WPL variables do not </w:t>
      </w:r>
      <w:r>
        <w:t xml:space="preserve">differentially </w:t>
      </w:r>
      <w:r w:rsidR="00E71337">
        <w:t>impact the intensity of participation in any of the three WPL alternatives</w:t>
      </w:r>
      <w:r>
        <w:t>, conditional on participation</w:t>
      </w:r>
      <w:r w:rsidR="00E71337">
        <w:t>.</w:t>
      </w:r>
      <w:r>
        <w:t xml:space="preserve"> That is, the effects of these attributes on participation and the intensity of participation in each WPL is determined solely through their effect on the baseline preference of each WPL combined with the generic satiation constants for each WPL (discussed later).</w:t>
      </w:r>
    </w:p>
    <w:p w14:paraId="053BC832" w14:textId="77777777" w:rsidR="00B40ED1" w:rsidRPr="00A6363C" w:rsidRDefault="00B40ED1" w:rsidP="00B40ED1">
      <w:pPr>
        <w:spacing w:after="0"/>
      </w:pPr>
    </w:p>
    <w:p w14:paraId="53412ACE" w14:textId="245C544C" w:rsidR="00E71337" w:rsidRPr="00096CC3" w:rsidRDefault="00E71337" w:rsidP="00B40ED1">
      <w:pPr>
        <w:spacing w:after="0"/>
        <w:rPr>
          <w:b/>
          <w:i/>
          <w:u w:val="single"/>
        </w:rPr>
      </w:pPr>
      <w:r w:rsidRPr="00096CC3">
        <w:rPr>
          <w:b/>
          <w:i/>
          <w:u w:val="single"/>
        </w:rPr>
        <w:t>Job-Related Attributes</w:t>
      </w:r>
    </w:p>
    <w:p w14:paraId="6550F1A8" w14:textId="74A6EDA0" w:rsidR="00B40ED1" w:rsidRDefault="00D9328A" w:rsidP="00B40ED1">
      <w:pPr>
        <w:spacing w:after="0"/>
      </w:pPr>
      <w:r>
        <w:t xml:space="preserve">The only job-related structure affecting satiation in any statistically significant way is the employment structure. Specifically, self-employed individuals, while having a lower baseline </w:t>
      </w:r>
      <w:r>
        <w:lastRenderedPageBreak/>
        <w:t>preference for the work office, do not necessarily travel less frequently (than those not self-employed) on a monthly basis to the work office, conditional on working from the work office at least once during the month. The reader will note that the baseline preference for the work office is low for self-employed individuals relative to not self-employed individuals; so satiation effects begin from an already low baseline preference point for these individuals, and</w:t>
      </w:r>
      <w:r w:rsidR="00544ADB">
        <w:t>,</w:t>
      </w:r>
      <w:r>
        <w:t xml:space="preserve"> by having a smaller satiation effect for the self-employed individuals, the model ensures that self-employed individuals are not assigned a very low frequency of working from the work office subject to positive work participation from the work office.</w:t>
      </w:r>
      <w:r w:rsidR="001945F5">
        <w:t xml:space="preserve"> </w:t>
      </w:r>
      <w:bookmarkStart w:id="27" w:name="_Hlk120538999"/>
      <w:r w:rsidR="001945F5">
        <w:t>This may be explain</w:t>
      </w:r>
      <w:r w:rsidR="00544ADB">
        <w:t>ed</w:t>
      </w:r>
      <w:r w:rsidR="001945F5">
        <w:t xml:space="preserve"> based on the nature of work for </w:t>
      </w:r>
      <w:r w:rsidR="00544ADB">
        <w:t xml:space="preserve">some </w:t>
      </w:r>
      <w:r w:rsidR="001945F5">
        <w:t>self-employed individuals</w:t>
      </w:r>
      <w:r w:rsidR="00544ADB">
        <w:t xml:space="preserve">. For example, a self-employed lawyer may have to go into office to meet up with clients, </w:t>
      </w:r>
      <w:r w:rsidR="001945F5">
        <w:t>regardless of whether they prefer their in-person workplace over their remote ones.</w:t>
      </w:r>
      <w:bookmarkEnd w:id="27"/>
    </w:p>
    <w:p w14:paraId="04886536" w14:textId="617BCC13" w:rsidR="009927C9" w:rsidRDefault="00D9328A" w:rsidP="00B40ED1">
      <w:pPr>
        <w:spacing w:after="0"/>
      </w:pPr>
      <w:r>
        <w:t xml:space="preserve"> </w:t>
      </w:r>
    </w:p>
    <w:p w14:paraId="0BBF7620" w14:textId="77777777" w:rsidR="009927C9" w:rsidRPr="00096CC3" w:rsidRDefault="009927C9" w:rsidP="00B40ED1">
      <w:pPr>
        <w:spacing w:after="0"/>
        <w:rPr>
          <w:b/>
          <w:i/>
          <w:u w:val="single"/>
        </w:rPr>
      </w:pPr>
      <w:r w:rsidRPr="00096CC3">
        <w:rPr>
          <w:b/>
          <w:i/>
          <w:u w:val="single"/>
        </w:rPr>
        <w:t>COVID-19 Threat</w:t>
      </w:r>
    </w:p>
    <w:p w14:paraId="3CD7E71A" w14:textId="77777777" w:rsidR="00B40ED1" w:rsidRDefault="003D2BAF" w:rsidP="00B40ED1">
      <w:pPr>
        <w:spacing w:after="0"/>
      </w:pPr>
      <w:r>
        <w:t xml:space="preserve">The satiation results </w:t>
      </w:r>
      <w:r w:rsidR="003D184D">
        <w:t xml:space="preserve">related to COVID threats indicate that when an individual frequently visits another person who is immunocompromised, </w:t>
      </w:r>
      <w:r w:rsidR="00062232">
        <w:t xml:space="preserve">not only is the individual less likely to have a work participation instance at the work office, but also go in fewer times to the work office even if there is a work office participation instance at all. </w:t>
      </w:r>
      <w:r w:rsidR="003D184D">
        <w:t xml:space="preserve">Clearly, this is another indication of the general worry of being COVID messengers to individuals who may have serious reactions to the virus. </w:t>
      </w:r>
      <w:r w:rsidR="00062232">
        <w:t>Similarly, when the COVID risk is high, individuals not only are likely to prefer the home office</w:t>
      </w:r>
      <w:r w:rsidR="003D184D">
        <w:t xml:space="preserve"> </w:t>
      </w:r>
      <w:r w:rsidR="00062232">
        <w:t>as their WPL, but also work for a high number of their work days from the home office. This is clearly an effective prevention approach to reduce COVID exposure.</w:t>
      </w:r>
    </w:p>
    <w:p w14:paraId="4B235755" w14:textId="6D53A46D" w:rsidR="009927C9" w:rsidRDefault="00062232" w:rsidP="00B40ED1">
      <w:pPr>
        <w:spacing w:after="0"/>
      </w:pPr>
      <w:r>
        <w:t xml:space="preserve">  </w:t>
      </w:r>
    </w:p>
    <w:p w14:paraId="5A76CC6D" w14:textId="736575D5" w:rsidR="00A42BFE" w:rsidRPr="007C5F48" w:rsidRDefault="00A42BFE" w:rsidP="00B40ED1">
      <w:pPr>
        <w:spacing w:after="0"/>
        <w:rPr>
          <w:b/>
          <w:i/>
          <w:u w:val="single"/>
        </w:rPr>
      </w:pPr>
      <w:r w:rsidRPr="007C5F48">
        <w:rPr>
          <w:b/>
          <w:i/>
          <w:u w:val="single"/>
        </w:rPr>
        <w:t>Satiation Constants</w:t>
      </w:r>
    </w:p>
    <w:p w14:paraId="720673A3" w14:textId="77777777" w:rsidR="00B40ED1" w:rsidRDefault="00A42BFE" w:rsidP="00B40ED1">
      <w:pPr>
        <w:spacing w:after="0"/>
      </w:pPr>
      <w:r w:rsidRPr="00661F51">
        <w:t xml:space="preserve">As in the case of the baseline preference constants, the satiation constants do not have any substantive interpretation. They work with the baseline preference constants to provide the best fit to the data, after accommodating the effects of exogenous variables. </w:t>
      </w:r>
      <w:r w:rsidR="00B72D15" w:rsidRPr="00661F51">
        <w:t xml:space="preserve">But, as </w:t>
      </w:r>
      <w:r w:rsidR="00B72D15" w:rsidRPr="003F53C3">
        <w:t xml:space="preserve">discussed in Table </w:t>
      </w:r>
      <w:r w:rsidR="003F53C3" w:rsidRPr="003F53C3">
        <w:t>2</w:t>
      </w:r>
      <w:r w:rsidR="00B72D15" w:rsidRPr="003F53C3">
        <w:t>,</w:t>
      </w:r>
      <w:r w:rsidR="00B72D15" w:rsidRPr="00661F51">
        <w:t xml:space="preserve"> the satiation constant for the third WPL is the lowest, consistent with the highest satiation observed from the descriptive statistics in Table </w:t>
      </w:r>
      <w:r w:rsidR="00D2667C">
        <w:t>2</w:t>
      </w:r>
      <w:r w:rsidR="00D2667C" w:rsidRPr="00661F51">
        <w:t xml:space="preserve"> </w:t>
      </w:r>
      <w:r w:rsidR="00B72D15" w:rsidRPr="00661F51">
        <w:t>for the third WPL.</w:t>
      </w:r>
    </w:p>
    <w:p w14:paraId="1666634B" w14:textId="41C9B3E0" w:rsidR="00A42BFE" w:rsidRPr="00B72D15" w:rsidRDefault="00B72D15" w:rsidP="00B40ED1">
      <w:pPr>
        <w:spacing w:after="0"/>
      </w:pPr>
      <w:r w:rsidRPr="00661F51">
        <w:t xml:space="preserve"> </w:t>
      </w:r>
    </w:p>
    <w:bookmarkEnd w:id="19"/>
    <w:bookmarkEnd w:id="20"/>
    <w:p w14:paraId="686DDFB2" w14:textId="32168A46" w:rsidR="00460AB6" w:rsidRPr="00661F51" w:rsidRDefault="00460AB6" w:rsidP="00B40ED1">
      <w:pPr>
        <w:pStyle w:val="Heading2"/>
        <w:numPr>
          <w:ilvl w:val="1"/>
          <w:numId w:val="1"/>
        </w:numPr>
        <w:spacing w:before="0"/>
        <w:ind w:left="450"/>
      </w:pPr>
      <w:r w:rsidRPr="00661F51">
        <w:t xml:space="preserve">Panel </w:t>
      </w:r>
      <w:r w:rsidR="00644A51" w:rsidRPr="00661F51">
        <w:t xml:space="preserve">and Covariance </w:t>
      </w:r>
      <w:r w:rsidRPr="00661F51">
        <w:t>Effects</w:t>
      </w:r>
    </w:p>
    <w:p w14:paraId="1879B10F" w14:textId="77777777" w:rsidR="00B40ED1" w:rsidRDefault="00F25CF5" w:rsidP="00B40ED1">
      <w:pPr>
        <w:spacing w:after="0"/>
      </w:pPr>
      <w:r>
        <w:t>The final model also</w:t>
      </w:r>
      <w:r w:rsidRPr="00060CB6">
        <w:t xml:space="preserve"> explicitly accommodate</w:t>
      </w:r>
      <w:r w:rsidR="00B72D15">
        <w:t>s</w:t>
      </w:r>
      <w:r>
        <w:t xml:space="preserve"> </w:t>
      </w:r>
      <w:r w:rsidR="00B72D15">
        <w:t xml:space="preserve">panel effects (that is, common unobserved individual characteristics that permeate into the baseline preferences for each WPL alternative across the two choice occasions from the same individual) as well as </w:t>
      </w:r>
      <w:r w:rsidRPr="00060CB6">
        <w:t xml:space="preserve">covariances across the baseline utilities of the different WPL </w:t>
      </w:r>
      <w:r w:rsidRPr="004C78B9">
        <w:t xml:space="preserve">alternatives </w:t>
      </w:r>
      <w:r w:rsidR="00B72D15" w:rsidRPr="003733EE">
        <w:t>(</w:t>
      </w:r>
      <w:r w:rsidR="00A567CB" w:rsidRPr="004C78B9">
        <w:t>using an error-components structure</w:t>
      </w:r>
      <w:r w:rsidR="00B72D15" w:rsidRPr="004C78B9">
        <w:t xml:space="preserve"> at the choice occasion level</w:t>
      </w:r>
      <w:r w:rsidR="00A567CB" w:rsidRPr="004C78B9">
        <w:t xml:space="preserve">, as discussed in Section </w:t>
      </w:r>
      <w:r w:rsidR="004C78B9" w:rsidRPr="004C78B9">
        <w:t>3.3</w:t>
      </w:r>
      <w:r w:rsidR="00B72D15" w:rsidRPr="004C78B9">
        <w:t>)</w:t>
      </w:r>
      <w:r w:rsidRPr="004C78B9">
        <w:t xml:space="preserve">. </w:t>
      </w:r>
      <w:r w:rsidR="00A567CB" w:rsidRPr="004C78B9">
        <w:t>With</w:t>
      </w:r>
      <w:r w:rsidR="00A567CB">
        <w:t xml:space="preserve"> three alternatives and two choice occasions, a maximum of four parameters are estimable </w:t>
      </w:r>
      <w:r w:rsidR="00B72D15">
        <w:t xml:space="preserve">(these can include </w:t>
      </w:r>
      <w:r w:rsidR="00A567CB">
        <w:t xml:space="preserve">three panel effects, one each for each alternative, and one pairwise error-component; see </w:t>
      </w:r>
      <w:r w:rsidR="00731604">
        <w:t xml:space="preserve">Bhat, 2008 and </w:t>
      </w:r>
      <w:r w:rsidR="00735346">
        <w:t>Walker et al., 20</w:t>
      </w:r>
      <w:r w:rsidR="00154728">
        <w:t>04</w:t>
      </w:r>
      <w:r w:rsidR="00A567CB">
        <w:t>). However, it can become difficult to estimate all the four parameters empirically</w:t>
      </w:r>
      <w:r w:rsidR="00B72D15">
        <w:t xml:space="preserve">, as also observed by </w:t>
      </w:r>
      <w:r w:rsidR="00731604">
        <w:t>Walker</w:t>
      </w:r>
      <w:r w:rsidR="00B72D15">
        <w:t xml:space="preserve"> et al. in a general mixing estimation context</w:t>
      </w:r>
      <w:r w:rsidR="00CE61C9">
        <w:t xml:space="preserve">. In our modeling, we attempted to estimate all the four parameters, but encountered some instability. So, we decided to estimate </w:t>
      </w:r>
      <w:r w:rsidR="00CE61C9">
        <w:lastRenderedPageBreak/>
        <w:t>two panel effects (for two of the three alternatives) and one inter-alternative covariance effect</w:t>
      </w:r>
      <w:r w:rsidR="00B72D15">
        <w:t xml:space="preserve"> in the baseline utilities</w:t>
      </w:r>
      <w:r w:rsidR="00CE61C9">
        <w:t>. Alternative specifications for this three-parameter model were estimated. The best specification was obtained when (a) the panel effect for the</w:t>
      </w:r>
      <w:r w:rsidR="00B72D15">
        <w:t xml:space="preserve"> </w:t>
      </w:r>
      <w:r w:rsidR="00CE61C9">
        <w:t xml:space="preserve">home alternative was normalized to </w:t>
      </w:r>
      <w:r w:rsidR="00BA4F42">
        <w:t>zero</w:t>
      </w:r>
      <w:r w:rsidR="00CE61C9">
        <w:t xml:space="preserve"> (this was the alternative with the lowest variance in unobserved factors across individuals), and the other two panel effects were estimated, and (b) the covariance between the work office and third WPL was left free to be estimated. Specifically, t</w:t>
      </w:r>
      <w:r w:rsidR="00A34BC9">
        <w:t xml:space="preserve">he variance </w:t>
      </w:r>
      <w:r w:rsidR="00CE61C9">
        <w:t xml:space="preserve">across individuals in </w:t>
      </w:r>
      <w:r w:rsidR="00A34BC9">
        <w:t xml:space="preserve">unobserved factors </w:t>
      </w:r>
      <w:r w:rsidR="00CE61C9">
        <w:t xml:space="preserve">affecting the </w:t>
      </w:r>
      <w:r w:rsidR="00B72D15">
        <w:t xml:space="preserve">work office </w:t>
      </w:r>
      <w:r w:rsidR="00CE61C9">
        <w:t>and</w:t>
      </w:r>
      <w:r w:rsidR="00B72D15">
        <w:t xml:space="preserve"> third </w:t>
      </w:r>
      <w:r w:rsidR="00CE61C9">
        <w:t xml:space="preserve">WPL </w:t>
      </w:r>
      <w:r w:rsidR="00BA4F42">
        <w:t xml:space="preserve">baseline utilities </w:t>
      </w:r>
      <w:r w:rsidR="00CE61C9">
        <w:t xml:space="preserve">are estimated to be </w:t>
      </w:r>
      <w:r w:rsidR="00BA4F42">
        <w:t>0.296</w:t>
      </w:r>
      <w:r w:rsidR="00CE61C9">
        <w:t xml:space="preserve"> </w:t>
      </w:r>
      <w:r w:rsidR="003B1B91">
        <w:t xml:space="preserve">(t-statistic of </w:t>
      </w:r>
      <w:r w:rsidR="00BA4F42">
        <w:t>1.49</w:t>
      </w:r>
      <w:r w:rsidR="003B1B91">
        <w:t xml:space="preserve">) </w:t>
      </w:r>
      <w:r w:rsidR="00CE61C9">
        <w:t xml:space="preserve">and </w:t>
      </w:r>
      <w:r w:rsidR="00BA4F42">
        <w:t>0.218</w:t>
      </w:r>
      <w:r w:rsidR="003B1B91">
        <w:t xml:space="preserve"> (t-statistics of </w:t>
      </w:r>
      <w:r w:rsidR="00BA4F42">
        <w:t>1.57</w:t>
      </w:r>
      <w:r w:rsidR="003B1B91">
        <w:t>)</w:t>
      </w:r>
      <w:r w:rsidR="00CE61C9">
        <w:t xml:space="preserve">, respectively. </w:t>
      </w:r>
      <w:r w:rsidR="00BA4F42">
        <w:t xml:space="preserve">These values indicate that the variation across individuals (due to unobserved factors) is highest for the work office and lowest for the home office, and somewhere in-between for the third work place. </w:t>
      </w:r>
      <w:r w:rsidR="00CE61C9">
        <w:t xml:space="preserve">The </w:t>
      </w:r>
      <w:r w:rsidR="003B1B91">
        <w:t xml:space="preserve">variance of the common error term generating the covariance between the work office and third work place is estimated as </w:t>
      </w:r>
      <w:r w:rsidR="00BA4F42">
        <w:t>0.055</w:t>
      </w:r>
      <w:r w:rsidR="003B1B91">
        <w:t xml:space="preserve"> (t-statistic of </w:t>
      </w:r>
      <w:r w:rsidR="00BA4F42">
        <w:t>0.75</w:t>
      </w:r>
      <w:r w:rsidR="003B1B91">
        <w:t xml:space="preserve">), which is clearly not statistically significant. The implication is that there are no common unobserved factors affecting the </w:t>
      </w:r>
      <w:r w:rsidR="00BA4F42">
        <w:t xml:space="preserve">three WPL alternatives, </w:t>
      </w:r>
      <w:r w:rsidR="003B1B91">
        <w:t>conditional on the exogenous variable</w:t>
      </w:r>
      <w:r w:rsidR="00BA4F42">
        <w:t>s, in our empirical context</w:t>
      </w:r>
      <w:r w:rsidR="003B1B91">
        <w:t>.</w:t>
      </w:r>
    </w:p>
    <w:p w14:paraId="26C562E0" w14:textId="7C8F1731" w:rsidR="00BA4F42" w:rsidRDefault="003B1B91" w:rsidP="00B40ED1">
      <w:pPr>
        <w:spacing w:after="0"/>
      </w:pPr>
      <w:r>
        <w:t xml:space="preserve"> </w:t>
      </w:r>
    </w:p>
    <w:p w14:paraId="418C303E" w14:textId="77777777" w:rsidR="00936FA6" w:rsidRPr="00420CC7" w:rsidRDefault="00936FA6" w:rsidP="00B40ED1">
      <w:pPr>
        <w:pStyle w:val="Heading2"/>
        <w:numPr>
          <w:ilvl w:val="1"/>
          <w:numId w:val="1"/>
        </w:numPr>
        <w:spacing w:before="0"/>
        <w:ind w:left="450"/>
      </w:pPr>
      <w:r>
        <w:t>Model Goodness of Fit</w:t>
      </w:r>
    </w:p>
    <w:p w14:paraId="7097997D" w14:textId="77777777" w:rsidR="00617CA1" w:rsidRDefault="00936FA6" w:rsidP="00B40ED1">
      <w:pPr>
        <w:spacing w:after="0"/>
      </w:pPr>
      <w:r>
        <w:t xml:space="preserve">The performance of the </w:t>
      </w:r>
      <w:r w:rsidR="00442D17">
        <w:t>panel M</w:t>
      </w:r>
      <w:r>
        <w:t>MDCEV model may be compared with that of a constants-only model</w:t>
      </w:r>
      <w:r w:rsidR="00D822D1">
        <w:t xml:space="preserve"> (in which we only allow constants in the baseline preferences and in the satiation parameters of the alternatives)</w:t>
      </w:r>
      <w:r>
        <w:t>. Since the panel and constants-only models are nested</w:t>
      </w:r>
      <w:r w:rsidR="00442D17">
        <w:t xml:space="preserve"> forms of one another</w:t>
      </w:r>
      <w:r>
        <w:t>, their performance</w:t>
      </w:r>
      <w:r w:rsidR="00442D17">
        <w:t>s</w:t>
      </w:r>
      <w:r>
        <w:t xml:space="preserve"> can be compared using the likelihood ratio test. </w:t>
      </w:r>
      <w:r w:rsidR="00731604">
        <w:t xml:space="preserve">The log-likelihood at convergence for our panel model </w:t>
      </w:r>
      <w:r w:rsidR="00A35E17">
        <w:t>i</w:t>
      </w:r>
      <w:r w:rsidR="00731604">
        <w:t xml:space="preserve">s -6740.25, compared to the constants-only log-likelihood value of -7113.62. A likelihood ratio test yields a value of 746.74, which is much higher than the chi-squared table value with 63 degrees of freedom at any reasonable level of significance (there are 68 parameters in our model, compared to five parameters in the constants-only model). </w:t>
      </w:r>
    </w:p>
    <w:p w14:paraId="47190C8E" w14:textId="04ABEF0C" w:rsidR="00936FA6" w:rsidRDefault="00617CA1" w:rsidP="006533D8">
      <w:pPr>
        <w:spacing w:after="0"/>
        <w:ind w:firstLine="720"/>
      </w:pPr>
      <w:bookmarkStart w:id="28" w:name="_Hlk118986856"/>
      <w:r>
        <w:t>Our panel model and the constants</w:t>
      </w:r>
      <w:r w:rsidR="007F02B3">
        <w:t xml:space="preserve"> </w:t>
      </w:r>
      <w:r>
        <w:t xml:space="preserve">only model may </w:t>
      </w:r>
      <w:r w:rsidR="007F02B3">
        <w:t xml:space="preserve">also </w:t>
      </w:r>
      <w:r>
        <w:t xml:space="preserve">be compared using a predictive Bayesian Information Criterion (BIC) </w:t>
      </w:r>
      <w:r w:rsidR="00F207F8">
        <w:t>statistic [= –</w:t>
      </w:r>
      <w:r w:rsidR="00F207F8">
        <w:rPr>
          <w:rFonts w:eastAsia="Times New Roman"/>
          <w:noProof/>
          <w:position w:val="-10"/>
        </w:rPr>
        <w:object w:dxaOrig="600" w:dyaOrig="372" w14:anchorId="010CA3BC">
          <v:shape id="_x0000_i1094" type="#_x0000_t75" alt="" style="width:30pt;height:18.85pt;mso-width-percent:0;mso-height-percent:0;mso-width-percent:0;mso-height-percent:0" o:ole="" o:preferrelative="f">
            <v:imagedata r:id="rId141" o:title=""/>
            <o:lock v:ext="edit" aspectratio="f"/>
          </v:shape>
          <o:OLEObject Type="Embed" ProgID="Equation.DSMT4" ShapeID="_x0000_i1094" DrawAspect="Content" ObjectID="_1741591446" r:id="rId142"/>
        </w:object>
      </w:r>
      <w:r w:rsidR="00F207F8">
        <w:t>+ 0.5 (# of model parameters) log (sample size)] (</w:t>
      </w:r>
      <w:r w:rsidR="00F207F8">
        <w:rPr>
          <w:rFonts w:eastAsia="Times New Roman"/>
          <w:noProof/>
          <w:position w:val="-10"/>
        </w:rPr>
        <w:object w:dxaOrig="600" w:dyaOrig="372" w14:anchorId="5CF20CA8">
          <v:shape id="_x0000_i1095" type="#_x0000_t75" alt="" style="width:30pt;height:18.85pt;mso-width-percent:0;mso-height-percent:0;mso-width-percent:0;mso-height-percent:0" o:ole="" o:preferrelative="f">
            <v:imagedata r:id="rId143" o:title=""/>
            <o:lock v:ext="edit" aspectratio="f"/>
          </v:shape>
          <o:OLEObject Type="Embed" ProgID="Equation.DSMT4" ShapeID="_x0000_i1095" DrawAspect="Content" ObjectID="_1741591447" r:id="rId144"/>
        </w:object>
      </w:r>
      <w:r w:rsidR="00F207F8">
        <w:t xml:space="preserve"> is the predictive log-likelihood at convergence). </w:t>
      </w:r>
      <w:r>
        <w:t xml:space="preserve">The model with a lower BIC statistic is the preferred model. The BIC for the </w:t>
      </w:r>
      <w:r w:rsidR="007F02B3">
        <w:t xml:space="preserve">panel model is 6979.45, while the BIC for the constants only model is 7131.21, indicating, once again, that the panel model is the preferred model. </w:t>
      </w:r>
      <w:bookmarkEnd w:id="28"/>
      <w:r>
        <w:t xml:space="preserve">In </w:t>
      </w:r>
      <w:r w:rsidR="00D822D1">
        <w:t xml:space="preserve">addition, we also </w:t>
      </w:r>
      <w:r w:rsidR="00731604">
        <w:t>compute</w:t>
      </w:r>
      <w:r w:rsidR="00A35E17">
        <w:t>d</w:t>
      </w:r>
      <w:r w:rsidR="00731604">
        <w:t xml:space="preserve"> the </w:t>
      </w:r>
      <w:r w:rsidR="00D822D1">
        <w:t>average probability of correct predictions for the two models</w:t>
      </w:r>
      <w:r w:rsidR="00731604">
        <w:t xml:space="preserve">, which returned a value of 0.192 for our model relative to 0.137 for the constants only model. </w:t>
      </w:r>
    </w:p>
    <w:p w14:paraId="4624F45F" w14:textId="2A5B8B4D" w:rsidR="00B40ED1" w:rsidRDefault="00A35E17" w:rsidP="00B40ED1">
      <w:pPr>
        <w:spacing w:after="0"/>
        <w:ind w:firstLine="720"/>
      </w:pPr>
      <w:r>
        <w:t xml:space="preserve">We also evaluated the performance of the two models at the aggregate level by comparing predictions at both the discrete share of participation (or not) in each WPL alternative as well as at the level of aggregate fractional splits. To conserve on space, we relegate the corresponding tables and matrices to an online supplement </w:t>
      </w:r>
      <w:r w:rsidR="007A5D2B">
        <w:t>S</w:t>
      </w:r>
      <w:r w:rsidRPr="00152376">
        <w:t>.</w:t>
      </w:r>
      <w:r>
        <w:t xml:space="preserve"> Suffice it to say that our model again clearly outperformed the constants-only model.</w:t>
      </w:r>
    </w:p>
    <w:p w14:paraId="0083F8A0" w14:textId="0F8A427A" w:rsidR="00936FA6" w:rsidRDefault="00B57341" w:rsidP="00B40ED1">
      <w:pPr>
        <w:spacing w:after="0"/>
      </w:pPr>
      <w:r>
        <w:t xml:space="preserve"> </w:t>
      </w:r>
    </w:p>
    <w:p w14:paraId="7F018A20" w14:textId="6311AD2A" w:rsidR="00B47A19" w:rsidRPr="003406D6" w:rsidRDefault="00B4409A" w:rsidP="00B40ED1">
      <w:pPr>
        <w:pStyle w:val="Style1"/>
        <w:numPr>
          <w:ilvl w:val="0"/>
          <w:numId w:val="1"/>
        </w:numPr>
        <w:rPr>
          <w:caps/>
        </w:rPr>
      </w:pPr>
      <w:r w:rsidRPr="003406D6">
        <w:rPr>
          <w:caps/>
        </w:rPr>
        <w:t xml:space="preserve">Implications </w:t>
      </w:r>
    </w:p>
    <w:p w14:paraId="560072B6" w14:textId="6DDFEBA8" w:rsidR="00740334" w:rsidRDefault="00740334" w:rsidP="00B40ED1">
      <w:pPr>
        <w:spacing w:after="0"/>
      </w:pPr>
      <w:r>
        <w:t xml:space="preserve">The estimation results in </w:t>
      </w:r>
      <w:r w:rsidR="00D20D54">
        <w:t>S</w:t>
      </w:r>
      <w:r w:rsidR="00C272AF">
        <w:t>ection</w:t>
      </w:r>
      <w:r w:rsidR="0020169E">
        <w:t>s</w:t>
      </w:r>
      <w:r w:rsidR="00D20D54">
        <w:t xml:space="preserve"> 4.1</w:t>
      </w:r>
      <w:r w:rsidR="0020169E">
        <w:t xml:space="preserve"> and 4.2</w:t>
      </w:r>
      <w:r w:rsidR="00D20D54">
        <w:t xml:space="preserve"> </w:t>
      </w:r>
      <w:r>
        <w:t>offer insight</w:t>
      </w:r>
      <w:r w:rsidR="00C272AF">
        <w:t>s</w:t>
      </w:r>
      <w:r>
        <w:t xml:space="preserve"> into the effects of exogenous variables on the baseline preferences and satiation parameters. But they do not provide an intuitive picture </w:t>
      </w:r>
      <w:r>
        <w:lastRenderedPageBreak/>
        <w:t xml:space="preserve">of the effects of variables, and the relative </w:t>
      </w:r>
      <w:r w:rsidR="00A16FC5">
        <w:t xml:space="preserve">magnitude </w:t>
      </w:r>
      <w:r>
        <w:t xml:space="preserve">of the effects of variables, on the actual days of work from each WPL. To do so, </w:t>
      </w:r>
      <w:r w:rsidR="00C272AF">
        <w:t xml:space="preserve">compute </w:t>
      </w:r>
      <w:r>
        <w:t>Average Treatment Effect</w:t>
      </w:r>
      <w:r w:rsidR="00C272AF">
        <w:t>s</w:t>
      </w:r>
      <w:r>
        <w:t xml:space="preserve"> (ATE effect; see Angrist and </w:t>
      </w:r>
      <w:proofErr w:type="spellStart"/>
      <w:r>
        <w:t>Imbens</w:t>
      </w:r>
      <w:proofErr w:type="spellEnd"/>
      <w:r>
        <w:t xml:space="preserve">, 1991 and Heckman and </w:t>
      </w:r>
      <w:proofErr w:type="spellStart"/>
      <w:r>
        <w:t>Vytlacil</w:t>
      </w:r>
      <w:proofErr w:type="spellEnd"/>
      <w:r>
        <w:t xml:space="preserve">, 2000), </w:t>
      </w:r>
      <w:r w:rsidR="00C272AF">
        <w:t xml:space="preserve">which is a general method to estimate </w:t>
      </w:r>
      <w:r>
        <w:t xml:space="preserve">the impact on a downstream posterior variable of interest (the number of days of participation in each WPL in our case) due to a treatment that alters the state of an antecedent variable </w:t>
      </w:r>
      <w:r w:rsidR="00C272AF">
        <w:t xml:space="preserve">(exogenous variable) </w:t>
      </w:r>
      <w:r>
        <w:t xml:space="preserve">from A to B. For example, if the intent is to estimate the “treatment” effect of distraction levels at the home office on WPL allocations, A can be the state where there is low distraction level when working from home, and B can be the state where there is high distraction level when working from home. The impact of this change in state is measured in terms of the change in the shares of the outcomes of interest between the case where all individuals in the dataset are in state A and the case where all the individuals in the dataset are in state B. </w:t>
      </w:r>
      <w:r w:rsidR="00C272AF">
        <w:t xml:space="preserve">This has the effect of holding all other </w:t>
      </w:r>
      <w:r w:rsidR="00B3790F">
        <w:t xml:space="preserve">exogenous </w:t>
      </w:r>
      <w:r w:rsidR="00C272AF">
        <w:t xml:space="preserve">variables </w:t>
      </w:r>
      <w:r w:rsidR="00B3790F">
        <w:t>fixed at those in the sample, so that the ATE can be viewed as the average change in WPL due to an individual being in state B rather than state A.</w:t>
      </w:r>
    </w:p>
    <w:p w14:paraId="70B9D45E" w14:textId="4EFECA73" w:rsidR="00057C23" w:rsidRDefault="00B3790F" w:rsidP="00AE180F">
      <w:pPr>
        <w:spacing w:after="120"/>
        <w:ind w:firstLine="720"/>
      </w:pPr>
      <w:r>
        <w:t xml:space="preserve">Note that the model can provide the </w:t>
      </w:r>
      <w:r w:rsidR="00913BCC">
        <w:t xml:space="preserve">WPL splits for </w:t>
      </w:r>
      <w:r>
        <w:t xml:space="preserve">any combination of the many exogenous variables. </w:t>
      </w:r>
      <w:r w:rsidR="003F73EE">
        <w:t xml:space="preserve">For example, just on the basis of the gendered lifecycle variables, there would be a total of 16 combinations for women (because of </w:t>
      </w:r>
      <w:r w:rsidR="00057C23">
        <w:t xml:space="preserve">the interaction effects of variables involving the “female” variable with three age groups of children and whether or not living with a partner; see these effects appearing either in the baseline preference or satiation effects </w:t>
      </w:r>
      <w:r w:rsidR="00057C23" w:rsidRPr="0020169E">
        <w:t xml:space="preserve">in Table </w:t>
      </w:r>
      <w:r w:rsidR="0020169E" w:rsidRPr="0020169E">
        <w:t>3</w:t>
      </w:r>
      <w:r w:rsidR="00057C23" w:rsidRPr="0020169E">
        <w:t>) and</w:t>
      </w:r>
      <w:r w:rsidR="00057C23">
        <w:t xml:space="preserve"> four combinations for men (presence/absence of children over the age of 13 years and whether or not living with a partner), resulting in 20 gendered lifecycle variables that exhaust the population. In our ATE computations, we focus on just three of these combinations for presentation compactness:</w:t>
      </w:r>
    </w:p>
    <w:p w14:paraId="2415206C" w14:textId="31B72569" w:rsidR="00057C23" w:rsidRDefault="00057C23" w:rsidP="00AE180F">
      <w:pPr>
        <w:pStyle w:val="ListParagraph"/>
        <w:numPr>
          <w:ilvl w:val="0"/>
          <w:numId w:val="15"/>
        </w:numPr>
        <w:spacing w:after="120"/>
        <w:contextualSpacing w:val="0"/>
      </w:pPr>
      <w:proofErr w:type="gramStart"/>
      <w:r>
        <w:t>Man</w:t>
      </w:r>
      <w:proofErr w:type="gramEnd"/>
      <w:r>
        <w:t xml:space="preserve"> with partner</w:t>
      </w:r>
      <w:r w:rsidR="00B84DD5">
        <w:t>.</w:t>
      </w:r>
    </w:p>
    <w:p w14:paraId="598995E4" w14:textId="68E921BB" w:rsidR="00057C23" w:rsidRDefault="00057C23" w:rsidP="00AE180F">
      <w:pPr>
        <w:pStyle w:val="ListParagraph"/>
        <w:numPr>
          <w:ilvl w:val="0"/>
          <w:numId w:val="15"/>
        </w:numPr>
        <w:spacing w:after="120"/>
        <w:contextualSpacing w:val="0"/>
      </w:pPr>
      <w:r>
        <w:t>Woman with a young child 0-4 years (with no young children in other age categories) and with a live-in partner</w:t>
      </w:r>
      <w:r w:rsidR="00FF5189">
        <w:t xml:space="preserve"> (simply “women with young child with partner” from here on). </w:t>
      </w:r>
    </w:p>
    <w:p w14:paraId="0E4830AF" w14:textId="0E65B498" w:rsidR="00057C23" w:rsidRDefault="00057C23" w:rsidP="00AE180F">
      <w:pPr>
        <w:pStyle w:val="ListParagraph"/>
        <w:numPr>
          <w:ilvl w:val="0"/>
          <w:numId w:val="15"/>
        </w:numPr>
        <w:spacing w:after="120"/>
        <w:contextualSpacing w:val="0"/>
      </w:pPr>
      <w:r>
        <w:t>Woman with a young child 0-4 years (with no young children in other age categories) and without a live-in partner</w:t>
      </w:r>
      <w:r w:rsidR="00FF5189">
        <w:t xml:space="preserve"> (“labeled as “women with young children </w:t>
      </w:r>
      <w:r w:rsidR="00C063B6">
        <w:t>without partner</w:t>
      </w:r>
      <w:r w:rsidR="00FF5189">
        <w:t xml:space="preserve">”). </w:t>
      </w:r>
    </w:p>
    <w:p w14:paraId="6AC491D2" w14:textId="1D86B6BC" w:rsidR="00913BCC" w:rsidRDefault="00884243" w:rsidP="00B40ED1">
      <w:pPr>
        <w:spacing w:after="0"/>
      </w:pPr>
      <w:r>
        <w:t>We confine our ATE analysis to</w:t>
      </w:r>
      <w:r w:rsidR="00057C23">
        <w:t xml:space="preserve"> these three groupings (from the original 20) to focus on the lifecycle period that corresponds to having young childre</w:t>
      </w:r>
      <w:r w:rsidR="00C063B6">
        <w:t>n</w:t>
      </w:r>
      <w:r w:rsidR="00913BCC">
        <w:t xml:space="preserve">; this lifecycle period is known </w:t>
      </w:r>
      <w:r w:rsidR="00057C23">
        <w:t xml:space="preserve">to be the most challenging for parents in terms of time availability (see, for example, </w:t>
      </w:r>
      <w:r w:rsidR="00C06B1E">
        <w:t xml:space="preserve">Del Boca et al., 2020) </w:t>
      </w:r>
      <w:r w:rsidR="00913BCC">
        <w:t>Also, the presence or not of young children</w:t>
      </w:r>
      <w:r w:rsidR="00C063B6">
        <w:t xml:space="preserve"> </w:t>
      </w:r>
      <w:r w:rsidR="00913BCC">
        <w:t xml:space="preserve">has no impact on a man’s WPL choices, and the differences for men with a live-in partner or without was not too substantial in the lifecycle grouping. </w:t>
      </w:r>
      <w:r>
        <w:t xml:space="preserve">In addition to limiting to the three gendered lifecycle groupings just identified, </w:t>
      </w:r>
      <w:r w:rsidR="00913BCC">
        <w:t>f</w:t>
      </w:r>
      <w:r w:rsidR="00B3790F">
        <w:t>or the ATE computations</w:t>
      </w:r>
      <w:r>
        <w:t xml:space="preserve"> in this paper</w:t>
      </w:r>
      <w:r w:rsidR="00B3790F">
        <w:t xml:space="preserve">, we </w:t>
      </w:r>
      <w:r w:rsidR="00913BCC">
        <w:t>consider the case of only full-time work with 22 work days a month.</w:t>
      </w:r>
      <w:r w:rsidR="00913BCC">
        <w:rPr>
          <w:rStyle w:val="FootnoteReference"/>
        </w:rPr>
        <w:footnoteReference w:id="9"/>
      </w:r>
      <w:r w:rsidR="00913BCC">
        <w:t xml:space="preserve"> </w:t>
      </w:r>
      <w:r>
        <w:t xml:space="preserve">For each of the three </w:t>
      </w:r>
      <w:r w:rsidR="00C063B6">
        <w:t xml:space="preserve">gendered lifecycle </w:t>
      </w:r>
      <w:r w:rsidR="00740334">
        <w:t xml:space="preserve">categorizations, we </w:t>
      </w:r>
      <w:r w:rsidR="00AC139B">
        <w:t>undertake</w:t>
      </w:r>
      <w:r w:rsidR="00740334">
        <w:t xml:space="preserve"> several single-variate analyses</w:t>
      </w:r>
      <w:r w:rsidR="00C063B6">
        <w:t xml:space="preserve">, </w:t>
      </w:r>
      <w:r w:rsidR="00740334">
        <w:t>and</w:t>
      </w:r>
      <w:r w:rsidR="007E14DF">
        <w:t xml:space="preserve"> </w:t>
      </w:r>
      <w:r w:rsidR="00740334">
        <w:t xml:space="preserve">determine the </w:t>
      </w:r>
      <w:r w:rsidR="00AC139B">
        <w:t xml:space="preserve">WPL </w:t>
      </w:r>
      <w:r>
        <w:t xml:space="preserve">effects of several </w:t>
      </w:r>
      <w:r w:rsidR="00740334">
        <w:t>exogenous variables</w:t>
      </w:r>
      <w:r>
        <w:t xml:space="preserve">. </w:t>
      </w:r>
    </w:p>
    <w:p w14:paraId="506C1425" w14:textId="5BF89D96" w:rsidR="00015DB8" w:rsidRDefault="00884243" w:rsidP="00B40ED1">
      <w:pPr>
        <w:spacing w:after="0"/>
        <w:ind w:firstLine="720"/>
      </w:pPr>
      <w:r>
        <w:t>T</w:t>
      </w:r>
      <w:r w:rsidR="00577518">
        <w:t xml:space="preserve">he results are presented </w:t>
      </w:r>
      <w:r w:rsidR="007E14DF">
        <w:t>in</w:t>
      </w:r>
      <w:r w:rsidR="00577518">
        <w:t xml:space="preserve"> </w:t>
      </w:r>
      <w:r w:rsidR="00577518" w:rsidRPr="0020169E">
        <w:rPr>
          <w:color w:val="000000" w:themeColor="text1"/>
        </w:rPr>
        <w:t xml:space="preserve">Tables </w:t>
      </w:r>
      <w:r w:rsidR="00D63286" w:rsidRPr="0020169E">
        <w:rPr>
          <w:color w:val="000000" w:themeColor="text1"/>
        </w:rPr>
        <w:t>5</w:t>
      </w:r>
      <w:r w:rsidR="00577518" w:rsidRPr="0020169E">
        <w:rPr>
          <w:color w:val="000000" w:themeColor="text1"/>
        </w:rPr>
        <w:t xml:space="preserve"> </w:t>
      </w:r>
      <w:r w:rsidR="007E14DF" w:rsidRPr="0020169E">
        <w:rPr>
          <w:color w:val="000000" w:themeColor="text1"/>
        </w:rPr>
        <w:t xml:space="preserve">through </w:t>
      </w:r>
      <w:r w:rsidR="00D63286" w:rsidRPr="0020169E">
        <w:rPr>
          <w:color w:val="000000" w:themeColor="text1"/>
        </w:rPr>
        <w:t>9</w:t>
      </w:r>
      <w:r w:rsidR="00577518" w:rsidRPr="0020169E">
        <w:rPr>
          <w:color w:val="000000" w:themeColor="text1"/>
        </w:rPr>
        <w:t xml:space="preserve">. </w:t>
      </w:r>
      <w:r w:rsidR="007E14DF" w:rsidRPr="0020169E">
        <w:rPr>
          <w:color w:val="000000" w:themeColor="text1"/>
        </w:rPr>
        <w:t xml:space="preserve">In </w:t>
      </w:r>
      <w:r w:rsidR="00392EAD">
        <w:rPr>
          <w:color w:val="000000" w:themeColor="text1"/>
        </w:rPr>
        <w:t>Table 4</w:t>
      </w:r>
      <w:r w:rsidR="007E14DF">
        <w:rPr>
          <w:color w:val="000000" w:themeColor="text1"/>
        </w:rPr>
        <w:t>, the third column presents the estimates of the WPL split of the 22 days per month for each gendered lifecycle group</w:t>
      </w:r>
      <w:r w:rsidR="00D336A2">
        <w:rPr>
          <w:color w:val="000000" w:themeColor="text1"/>
        </w:rPr>
        <w:t xml:space="preserve">, assuming </w:t>
      </w:r>
      <w:r w:rsidR="00D336A2">
        <w:rPr>
          <w:color w:val="000000" w:themeColor="text1"/>
        </w:rPr>
        <w:lastRenderedPageBreak/>
        <w:t>the distributions of all other variables are as in the full sample</w:t>
      </w:r>
      <w:r w:rsidR="007E14DF">
        <w:rPr>
          <w:color w:val="000000" w:themeColor="text1"/>
        </w:rPr>
        <w:t xml:space="preserve">. </w:t>
      </w:r>
      <w:r w:rsidR="00D336A2">
        <w:rPr>
          <w:color w:val="000000" w:themeColor="text1"/>
        </w:rPr>
        <w:t>That is, the model predicts that the desired average WPL split in the group of individuals who are men living with a partner would be 9.8 days from home, 11.4 days from the work office, and 0.7 days from a third WPL. On the other hand, for women with a young child</w:t>
      </w:r>
      <w:r w:rsidR="00C063B6">
        <w:rPr>
          <w:color w:val="000000" w:themeColor="text1"/>
        </w:rPr>
        <w:t xml:space="preserve"> </w:t>
      </w:r>
      <w:r w:rsidR="00D336A2">
        <w:rPr>
          <w:color w:val="000000" w:themeColor="text1"/>
        </w:rPr>
        <w:t xml:space="preserve">and living without a partner, the split would be 19.9 days from home, 1.9 days from the work office, and 0.2 days from a third work place (see the last row panel of </w:t>
      </w:r>
      <w:r w:rsidR="00392EAD">
        <w:rPr>
          <w:color w:val="000000" w:themeColor="text1"/>
        </w:rPr>
        <w:t>Table 4</w:t>
      </w:r>
      <w:r w:rsidR="00D336A2">
        <w:rPr>
          <w:color w:val="000000" w:themeColor="text1"/>
        </w:rPr>
        <w:t xml:space="preserve">). The remaining columns of the table further breakdown the splits for each of the three gendered lifecycle categories by each additional exogenous variable. Thus, the fourth broad column provides the predicted splits by age groupings that indicates, for example, that for men living with a partner, the average WPL splits for those in the 18-29 year age group would be 10.5 days from home, 10.6 days from the work place, and 0.9 days from </w:t>
      </w:r>
      <w:r w:rsidR="00662E89">
        <w:rPr>
          <w:color w:val="000000" w:themeColor="text1"/>
        </w:rPr>
        <w:t>a third WPL. The last sub-column of the fourth broad column finally provides the percentage change in WPL splits going from the left extreme category (18-29 years, which serves as the base category) to the right extreme category (65 years or older, which serves as the treatment category). This corresponds to the ATE effect. Thus, t</w:t>
      </w:r>
      <w:r w:rsidR="007C5495" w:rsidRPr="00F431BB">
        <w:rPr>
          <w:color w:val="000000" w:themeColor="text1"/>
        </w:rPr>
        <w:t xml:space="preserve">he boldfaced </w:t>
      </w:r>
      <w:r w:rsidR="007C5495">
        <w:t xml:space="preserve">value of </w:t>
      </w:r>
      <w:r w:rsidR="007C5495" w:rsidRPr="002C51A0">
        <w:rPr>
          <w:b/>
        </w:rPr>
        <w:t>-15.</w:t>
      </w:r>
      <w:r w:rsidR="00C063B6">
        <w:rPr>
          <w:b/>
        </w:rPr>
        <w:t>2</w:t>
      </w:r>
      <w:r w:rsidR="007C5495">
        <w:t>% indicates that</w:t>
      </w:r>
      <w:r w:rsidR="00662E89">
        <w:t xml:space="preserve">, in the group of men who are 65 years of age and living with a partner, one can expect that the average share of </w:t>
      </w:r>
      <w:r w:rsidR="00015DB8">
        <w:t xml:space="preserve">days </w:t>
      </w:r>
      <w:r w:rsidR="00662E89">
        <w:t>working from home will be about 15% lower than in the group of men who are 18-29 years of age and living with a partner.</w:t>
      </w:r>
      <w:r w:rsidR="00015DB8">
        <w:t xml:space="preserve"> Another way of interpreting this result is that a random male living with a partner who is 65 years of age will work from home about 15% fewer days per month than a random male living with a partner who is in the 18-29 years of age. All other numbers in </w:t>
      </w:r>
      <w:r w:rsidR="00392EAD">
        <w:t>Table 4</w:t>
      </w:r>
      <w:r w:rsidR="00015DB8">
        <w:t xml:space="preserve"> and the remaining tables may be similarly interpreted. </w:t>
      </w:r>
      <w:r w:rsidR="00A2541E">
        <w:t xml:space="preserve">We provide both the predicted splits by each sub-grouping (by age in the discussion above) as well </w:t>
      </w:r>
      <w:r w:rsidR="002C0770">
        <w:t>a</w:t>
      </w:r>
      <w:r w:rsidR="00A2541E">
        <w:t xml:space="preserve">s the ATE, because the ATE magnitude can be deceiving when the base split is low (this happens particularly for the third WPL alternative). The combination of the predicted splits and the ATE provide a more complete picture of WPL shifts due to each exogenous variable for each of the three gendered lifecycle categories. </w:t>
      </w:r>
    </w:p>
    <w:p w14:paraId="33D2687E" w14:textId="6F265BA4" w:rsidR="001531B0" w:rsidRDefault="00015DB8" w:rsidP="00B40ED1">
      <w:pPr>
        <w:spacing w:after="0"/>
        <w:ind w:firstLine="720"/>
      </w:pPr>
      <w:r>
        <w:t xml:space="preserve">The results generally follow the </w:t>
      </w:r>
      <w:r w:rsidRPr="0020169E">
        <w:t>discussion in Section</w:t>
      </w:r>
      <w:r w:rsidR="0020169E" w:rsidRPr="0020169E">
        <w:t>s</w:t>
      </w:r>
      <w:r w:rsidRPr="0020169E">
        <w:t xml:space="preserve"> </w:t>
      </w:r>
      <w:r w:rsidR="0020169E" w:rsidRPr="0020169E">
        <w:t>4.1 and 4.2</w:t>
      </w:r>
      <w:r w:rsidRPr="0020169E">
        <w:t>, though we</w:t>
      </w:r>
      <w:r>
        <w:t xml:space="preserve"> can now “see” the actual WPL split differences across different exogenous variable groupings, rather than simply the exogenous variable impacts on baseline preferences and satiation parameters. </w:t>
      </w:r>
      <w:r w:rsidR="002C0770">
        <w:t xml:space="preserve">Besides, for some variables such as COVID risk, where there is an effect on both the baseline preferences of the WPLs as well as the satiation parameters, the net result on splits is more clearly identified through the predicted splits in this section. </w:t>
      </w:r>
      <w:r w:rsidR="000C5516">
        <w:t>We discuss s</w:t>
      </w:r>
      <w:r>
        <w:t xml:space="preserve">ome </w:t>
      </w:r>
      <w:r w:rsidR="000C5516">
        <w:t xml:space="preserve">of the </w:t>
      </w:r>
      <w:r>
        <w:t xml:space="preserve">salient observations </w:t>
      </w:r>
      <w:r w:rsidR="002C0770">
        <w:t>from the tables</w:t>
      </w:r>
      <w:r w:rsidR="001531B0">
        <w:t xml:space="preserve">, while also discussing implications under </w:t>
      </w:r>
      <w:r w:rsidR="00E22412">
        <w:t>five</w:t>
      </w:r>
      <w:r w:rsidR="001531B0">
        <w:t xml:space="preserve"> broad topics: (1)</w:t>
      </w:r>
      <w:r w:rsidR="001531B0" w:rsidRPr="000D00CA">
        <w:t xml:space="preserve"> </w:t>
      </w:r>
      <w:r w:rsidR="003F6A41">
        <w:t xml:space="preserve">Who are the ones who prefer more </w:t>
      </w:r>
      <w:r w:rsidR="001531B0">
        <w:t>WPL hybridization</w:t>
      </w:r>
      <w:r w:rsidR="003F6A41">
        <w:t>?</w:t>
      </w:r>
      <w:r w:rsidR="001531B0">
        <w:t>, (2)</w:t>
      </w:r>
      <w:r w:rsidR="001531B0" w:rsidRPr="000D00CA">
        <w:t xml:space="preserve"> </w:t>
      </w:r>
      <w:r w:rsidR="003F6A41">
        <w:t>Geographic or environmental WPL attributes: which impacts hybridization prefer</w:t>
      </w:r>
      <w:r w:rsidR="000C5297">
        <w:t>ences</w:t>
      </w:r>
      <w:r w:rsidR="003F6A41">
        <w:t xml:space="preserve"> more?</w:t>
      </w:r>
      <w:r w:rsidR="003733EE">
        <w:t>,</w:t>
      </w:r>
      <w:r w:rsidR="003F6A41">
        <w:t xml:space="preserve"> </w:t>
      </w:r>
      <w:r w:rsidR="001531B0">
        <w:t>(3)</w:t>
      </w:r>
      <w:r w:rsidR="001531B0" w:rsidRPr="000D00CA">
        <w:t xml:space="preserve"> </w:t>
      </w:r>
      <w:r w:rsidR="000C5297">
        <w:t xml:space="preserve">How should employers prepare for and design </w:t>
      </w:r>
      <w:r w:rsidR="001531B0">
        <w:t>hybrid workplace structures</w:t>
      </w:r>
      <w:r w:rsidR="000C5297">
        <w:t>?</w:t>
      </w:r>
      <w:r w:rsidR="001531B0">
        <w:t>, (4)</w:t>
      </w:r>
      <w:r w:rsidR="001531B0" w:rsidRPr="000D00CA">
        <w:t xml:space="preserve"> </w:t>
      </w:r>
      <w:r w:rsidR="000C5297">
        <w:t xml:space="preserve">What are the implications for </w:t>
      </w:r>
      <w:r w:rsidR="001531B0" w:rsidRPr="00BF5B0E">
        <w:t>travel demand</w:t>
      </w:r>
      <w:r w:rsidR="000C5297">
        <w:t>?</w:t>
      </w:r>
      <w:r w:rsidR="001531B0">
        <w:t xml:space="preserve">, </w:t>
      </w:r>
      <w:r w:rsidR="000C5297">
        <w:t xml:space="preserve">and </w:t>
      </w:r>
      <w:r w:rsidR="001531B0">
        <w:t>(</w:t>
      </w:r>
      <w:r w:rsidR="00E22412">
        <w:t>5</w:t>
      </w:r>
      <w:r w:rsidR="001531B0">
        <w:t>)</w:t>
      </w:r>
      <w:r w:rsidR="001531B0" w:rsidRPr="000D00CA">
        <w:t xml:space="preserve"> </w:t>
      </w:r>
      <w:r w:rsidR="002A7550">
        <w:t>How to prepare</w:t>
      </w:r>
      <w:r w:rsidR="001531B0" w:rsidRPr="00BF5B0E">
        <w:t xml:space="preserve"> </w:t>
      </w:r>
      <w:r w:rsidR="00F01081">
        <w:t xml:space="preserve">for </w:t>
      </w:r>
      <w:r w:rsidR="002A7550">
        <w:t xml:space="preserve">when a </w:t>
      </w:r>
      <w:r w:rsidR="001531B0">
        <w:t>COVID</w:t>
      </w:r>
      <w:r w:rsidR="002A7550">
        <w:t>-like</w:t>
      </w:r>
      <w:r w:rsidR="001531B0" w:rsidRPr="00BF5B0E">
        <w:t xml:space="preserve"> </w:t>
      </w:r>
      <w:r w:rsidR="002A7550">
        <w:t>pandemic strikes again</w:t>
      </w:r>
      <w:r w:rsidR="001531B0" w:rsidRPr="00BF5B0E">
        <w:t>?</w:t>
      </w:r>
    </w:p>
    <w:p w14:paraId="2D96863C" w14:textId="77777777" w:rsidR="00B40ED1" w:rsidRDefault="00B40ED1" w:rsidP="00B40ED1">
      <w:pPr>
        <w:spacing w:after="0"/>
        <w:ind w:firstLine="720"/>
      </w:pPr>
    </w:p>
    <w:p w14:paraId="1028D8D6" w14:textId="6DC8BEE9" w:rsidR="000C5297" w:rsidRPr="003733EE" w:rsidRDefault="000C5297" w:rsidP="00B40ED1">
      <w:pPr>
        <w:pStyle w:val="ListParagraph"/>
        <w:numPr>
          <w:ilvl w:val="1"/>
          <w:numId w:val="1"/>
        </w:numPr>
        <w:spacing w:after="0"/>
        <w:ind w:left="450"/>
        <w:contextualSpacing w:val="0"/>
        <w:rPr>
          <w:b/>
        </w:rPr>
      </w:pPr>
      <w:r w:rsidRPr="003733EE">
        <w:rPr>
          <w:b/>
        </w:rPr>
        <w:t xml:space="preserve">Who </w:t>
      </w:r>
      <w:r w:rsidR="003406D6">
        <w:rPr>
          <w:b/>
        </w:rPr>
        <w:t>a</w:t>
      </w:r>
      <w:r w:rsidRPr="003733EE">
        <w:rPr>
          <w:b/>
        </w:rPr>
        <w:t xml:space="preserve">re the </w:t>
      </w:r>
      <w:r w:rsidR="003406D6">
        <w:rPr>
          <w:b/>
        </w:rPr>
        <w:t>O</w:t>
      </w:r>
      <w:r w:rsidRPr="003733EE">
        <w:rPr>
          <w:b/>
        </w:rPr>
        <w:t xml:space="preserve">nes </w:t>
      </w:r>
      <w:r w:rsidR="003406D6">
        <w:rPr>
          <w:b/>
        </w:rPr>
        <w:t>W</w:t>
      </w:r>
      <w:r w:rsidRPr="003733EE">
        <w:rPr>
          <w:b/>
        </w:rPr>
        <w:t xml:space="preserve">ho </w:t>
      </w:r>
      <w:r w:rsidR="003406D6">
        <w:rPr>
          <w:b/>
        </w:rPr>
        <w:t>P</w:t>
      </w:r>
      <w:r w:rsidRPr="003733EE">
        <w:rPr>
          <w:b/>
        </w:rPr>
        <w:t xml:space="preserve">refer </w:t>
      </w:r>
      <w:r w:rsidR="003406D6">
        <w:rPr>
          <w:b/>
        </w:rPr>
        <w:t>M</w:t>
      </w:r>
      <w:r w:rsidRPr="003733EE">
        <w:rPr>
          <w:b/>
        </w:rPr>
        <w:t xml:space="preserve">ore WPL </w:t>
      </w:r>
      <w:r w:rsidR="003406D6">
        <w:rPr>
          <w:b/>
        </w:rPr>
        <w:t>H</w:t>
      </w:r>
      <w:r w:rsidRPr="003733EE">
        <w:rPr>
          <w:b/>
        </w:rPr>
        <w:t>ybridization?</w:t>
      </w:r>
    </w:p>
    <w:p w14:paraId="306EF808" w14:textId="1F4BE076" w:rsidR="00013A71" w:rsidRDefault="000C5297" w:rsidP="00B40ED1">
      <w:pPr>
        <w:spacing w:after="0"/>
      </w:pPr>
      <w:r w:rsidRPr="0020169E">
        <w:t xml:space="preserve">Our results provide </w:t>
      </w:r>
      <w:r w:rsidR="000741DC" w:rsidRPr="0020169E">
        <w:t>important insights about WPL hybridization preferences by demographics</w:t>
      </w:r>
      <w:r w:rsidR="00C063B6" w:rsidRPr="0020169E">
        <w:t xml:space="preserve"> (see </w:t>
      </w:r>
      <w:r w:rsidR="00392EAD">
        <w:t>Table 4</w:t>
      </w:r>
      <w:r w:rsidR="00C063B6" w:rsidRPr="0020169E">
        <w:t>)</w:t>
      </w:r>
      <w:r w:rsidR="000741DC" w:rsidRPr="0020169E">
        <w:t xml:space="preserve">. </w:t>
      </w:r>
      <w:r w:rsidR="00A35E17">
        <w:t>R</w:t>
      </w:r>
      <w:r>
        <w:t xml:space="preserve">egardless of other exogenous characteristics, women would like to have a higher split of work days from home than men. This elevated desire to work from home is particularly acute </w:t>
      </w:r>
      <w:r>
        <w:lastRenderedPageBreak/>
        <w:t xml:space="preserve">for single mothers with very young children, to the point where, regardless of other characteristics, such workers prefer working from home </w:t>
      </w:r>
      <w:r w:rsidR="000741DC">
        <w:t>a staggering</w:t>
      </w:r>
      <w:r w:rsidR="00495292">
        <w:t xml:space="preserve"> </w:t>
      </w:r>
      <w:r>
        <w:t>19-20 days of the 22 days</w:t>
      </w:r>
      <w:r w:rsidR="000741DC">
        <w:t>, with only</w:t>
      </w:r>
      <w:r>
        <w:t xml:space="preserve"> 1-3 days from the work office</w:t>
      </w:r>
      <w:r w:rsidR="000741DC">
        <w:t xml:space="preserve"> and rarely </w:t>
      </w:r>
      <w:r w:rsidR="00495292">
        <w:t>from a third workplace</w:t>
      </w:r>
      <w:r>
        <w:t xml:space="preserve">. </w:t>
      </w:r>
      <w:r w:rsidR="00495292">
        <w:t xml:space="preserve">Overall, based on demographics, </w:t>
      </w:r>
      <w:r w:rsidR="00E42935">
        <w:t xml:space="preserve">young </w:t>
      </w:r>
      <w:r w:rsidR="00495292">
        <w:t xml:space="preserve">women </w:t>
      </w:r>
      <w:r w:rsidR="00E42935">
        <w:t xml:space="preserve">(18-29 years of age) </w:t>
      </w:r>
      <w:r w:rsidR="00495292">
        <w:t xml:space="preserve">living alone with young children </w:t>
      </w:r>
      <w:r w:rsidR="00E42935">
        <w:t xml:space="preserve">and in the highest household income bracket </w:t>
      </w:r>
      <w:r w:rsidR="00495292">
        <w:t xml:space="preserve">have the </w:t>
      </w:r>
      <w:r w:rsidR="00E42935">
        <w:t xml:space="preserve">highest </w:t>
      </w:r>
      <w:r w:rsidR="00495292">
        <w:t xml:space="preserve">preference for </w:t>
      </w:r>
      <w:r w:rsidR="00E42935">
        <w:t xml:space="preserve">working from </w:t>
      </w:r>
      <w:r w:rsidR="00495292">
        <w:t>home. On the other hand, for the work office WPL, m</w:t>
      </w:r>
      <w:r>
        <w:t xml:space="preserve">en older than 65 years </w:t>
      </w:r>
      <w:r w:rsidR="00E42935">
        <w:t xml:space="preserve">in the lowest household income bracket </w:t>
      </w:r>
      <w:r>
        <w:t xml:space="preserve">have the highest </w:t>
      </w:r>
      <w:r w:rsidR="00495292">
        <w:t>preference</w:t>
      </w:r>
      <w:r>
        <w:t xml:space="preserve">. </w:t>
      </w:r>
      <w:r w:rsidR="00495292">
        <w:t xml:space="preserve">And, for the third WPL, it is the </w:t>
      </w:r>
      <w:r w:rsidR="00013A71">
        <w:t xml:space="preserve">third demographic grouping of </w:t>
      </w:r>
      <w:r w:rsidR="00E42935">
        <w:t xml:space="preserve">young </w:t>
      </w:r>
      <w:r w:rsidR="00495292">
        <w:t xml:space="preserve">women </w:t>
      </w:r>
      <w:r w:rsidR="00E42935">
        <w:t xml:space="preserve">(18-29 years of age) </w:t>
      </w:r>
      <w:r w:rsidR="00495292">
        <w:t>with very young children</w:t>
      </w:r>
      <w:r w:rsidR="00E42935">
        <w:t xml:space="preserve">, </w:t>
      </w:r>
      <w:r w:rsidR="00495292">
        <w:t>living with a partner</w:t>
      </w:r>
      <w:r w:rsidR="00E42935">
        <w:t>, and with low household income</w:t>
      </w:r>
      <w:r w:rsidR="00495292">
        <w:t xml:space="preserve"> </w:t>
      </w:r>
      <w:r w:rsidR="00013A71">
        <w:t xml:space="preserve">who have the highest desire </w:t>
      </w:r>
      <w:r w:rsidR="00495292">
        <w:t xml:space="preserve">(as discussed earlier, presumably as a way of getting “protected” work time while also not having to go into the work office). </w:t>
      </w:r>
    </w:p>
    <w:p w14:paraId="64753804" w14:textId="77777777" w:rsidR="00AE180F" w:rsidRDefault="000B411A" w:rsidP="00616249">
      <w:pPr>
        <w:spacing w:after="0"/>
        <w:ind w:firstLine="720"/>
      </w:pPr>
      <w:r>
        <w:t xml:space="preserve">The results </w:t>
      </w:r>
      <w:r>
        <w:rPr>
          <w:color w:val="000000" w:themeColor="text1"/>
        </w:rPr>
        <w:t xml:space="preserve">above </w:t>
      </w:r>
      <w:r>
        <w:t xml:space="preserve">can help </w:t>
      </w:r>
      <w:r w:rsidR="008055F4">
        <w:t xml:space="preserve">cities and other regional entities understand and prepare for the desired mix of office and third WPL locations. We discuss these issues later in the context of travel demand and employer policies, but insights on the distribution of work locations can also be useful for </w:t>
      </w:r>
      <w:r w:rsidR="009F615D">
        <w:t>city</w:t>
      </w:r>
      <w:r w:rsidR="008055F4">
        <w:t xml:space="preserve"> planners, developers, retailers, </w:t>
      </w:r>
      <w:r w:rsidR="009F615D">
        <w:t xml:space="preserve">home builders, </w:t>
      </w:r>
      <w:r w:rsidR="008055F4">
        <w:t xml:space="preserve">and restauranteurs in terms of strategic decision-making to achieve desired states. For example, </w:t>
      </w:r>
      <w:r w:rsidR="007314D2">
        <w:t xml:space="preserve">home builders may want to design homes with a </w:t>
      </w:r>
      <w:r w:rsidR="00510FD9">
        <w:t xml:space="preserve">relatively </w:t>
      </w:r>
      <w:r w:rsidR="00C063B6">
        <w:t xml:space="preserve">good </w:t>
      </w:r>
      <w:r w:rsidR="00510FD9">
        <w:t xml:space="preserve">sound-proof </w:t>
      </w:r>
      <w:r w:rsidR="007314D2">
        <w:t xml:space="preserve">study room to </w:t>
      </w:r>
      <w:r w:rsidR="00887D03">
        <w:t>provide a distraction-free work environment as a means to increase home sales</w:t>
      </w:r>
      <w:r w:rsidR="007314D2">
        <w:t>, especially in areas with a high fraction of young single mothers</w:t>
      </w:r>
      <w:r w:rsidR="00887D03">
        <w:t xml:space="preserve">. Child care businesses may want to penetrate into traditionally residential areas, given the critical mass of home workers who may want to have focused work time without </w:t>
      </w:r>
      <w:r w:rsidR="00C063B6">
        <w:t xml:space="preserve">distraction from their </w:t>
      </w:r>
      <w:r w:rsidR="00887D03">
        <w:t>young children</w:t>
      </w:r>
      <w:r w:rsidR="007314D2">
        <w:t xml:space="preserve">. </w:t>
      </w:r>
      <w:r w:rsidR="00887D03">
        <w:t xml:space="preserve">Nanny services may also benefit by providing customized child care services within the home. In terms of the third WPL remote arrangement, </w:t>
      </w:r>
      <w:r w:rsidR="008055F4">
        <w:t xml:space="preserve">developers may want to site new affordable hotels and coffee shops </w:t>
      </w:r>
      <w:r w:rsidR="00887D03">
        <w:t>to take advantage of the third WPL demand (that is, the so-called “digital nomad” demand)</w:t>
      </w:r>
      <w:r w:rsidR="00E45673">
        <w:t xml:space="preserve"> </w:t>
      </w:r>
      <w:r w:rsidR="008055F4">
        <w:t xml:space="preserve">in locations populated by those with young children </w:t>
      </w:r>
      <w:r w:rsidR="009F615D">
        <w:t>and in low-priced housing markets</w:t>
      </w:r>
      <w:r w:rsidR="00E45673">
        <w:t>.</w:t>
      </w:r>
      <w:r w:rsidR="009F615D">
        <w:t xml:space="preserve"> </w:t>
      </w:r>
      <w:r w:rsidR="007314D2">
        <w:t xml:space="preserve">In fact, the rising number of such digital nomads has already started redefining the functionality of several traditionally used leisure spaces such as summer cottages, resort towns and coffee shops that now also are serving as new temporary (or more stable) workplaces, and are extending to urban region cores. To put things in context, a study in 2018 </w:t>
      </w:r>
      <w:r w:rsidR="007314D2" w:rsidRPr="00F4629D">
        <w:t xml:space="preserve">by </w:t>
      </w:r>
      <w:r w:rsidR="00F4629D" w:rsidRPr="00F4629D">
        <w:t xml:space="preserve">the consulting agency </w:t>
      </w:r>
      <w:r w:rsidR="007314D2" w:rsidRPr="00F4629D">
        <w:t>MBO</w:t>
      </w:r>
      <w:r w:rsidR="00F4629D" w:rsidRPr="00F4629D">
        <w:t xml:space="preserve"> Partners</w:t>
      </w:r>
      <w:r w:rsidR="007314D2" w:rsidRPr="00F4629D">
        <w:t xml:space="preserve"> illustrate</w:t>
      </w:r>
      <w:r w:rsidR="00887D03" w:rsidRPr="00F4629D">
        <w:t>d</w:t>
      </w:r>
      <w:r w:rsidR="007314D2" w:rsidRPr="00F4629D">
        <w:t xml:space="preserve"> the rise of this particular</w:t>
      </w:r>
      <w:r w:rsidR="00887D03" w:rsidRPr="00F4629D">
        <w:t xml:space="preserve"> nomadic </w:t>
      </w:r>
      <w:r w:rsidR="007314D2" w:rsidRPr="00F4629D">
        <w:t>lifestyle mov</w:t>
      </w:r>
      <w:r w:rsidR="007314D2">
        <w:t>emen</w:t>
      </w:r>
      <w:r w:rsidR="00887D03">
        <w:t>t even before the pandemic</w:t>
      </w:r>
      <w:r w:rsidR="007314D2">
        <w:t>; rough estimates indicate the presence 4.8 million digital nomads in the United States (MBO</w:t>
      </w:r>
      <w:r w:rsidR="00F4629D">
        <w:t xml:space="preserve"> Partners,</w:t>
      </w:r>
      <w:r w:rsidR="007314D2">
        <w:t xml:space="preserve"> 2018) alone. </w:t>
      </w:r>
      <w:r w:rsidR="00E45673">
        <w:t>The pandemic has further increased the number of such digital nomads (see</w:t>
      </w:r>
      <w:r w:rsidR="00F4629D">
        <w:t xml:space="preserve"> </w:t>
      </w:r>
      <w:proofErr w:type="spellStart"/>
      <w:r w:rsidR="00F4629D" w:rsidRPr="00F4629D">
        <w:t>Nanopoulos</w:t>
      </w:r>
      <w:proofErr w:type="spellEnd"/>
      <w:r w:rsidR="00F4629D">
        <w:t xml:space="preserve"> et al., 2021</w:t>
      </w:r>
      <w:r w:rsidR="00E45673">
        <w:t>).</w:t>
      </w:r>
    </w:p>
    <w:p w14:paraId="1AD1835D" w14:textId="4E3BBAAC" w:rsidR="007314D2" w:rsidRDefault="00E45673" w:rsidP="00B40ED1">
      <w:pPr>
        <w:spacing w:after="0"/>
        <w:rPr>
          <w:i/>
          <w:u w:val="single"/>
        </w:rPr>
      </w:pPr>
      <w:r>
        <w:t xml:space="preserve"> </w:t>
      </w:r>
    </w:p>
    <w:p w14:paraId="00786E3F" w14:textId="7026AD6F" w:rsidR="00013A71" w:rsidRPr="003733EE" w:rsidRDefault="00E45673" w:rsidP="00B40ED1">
      <w:pPr>
        <w:pStyle w:val="ListParagraph"/>
        <w:numPr>
          <w:ilvl w:val="1"/>
          <w:numId w:val="1"/>
        </w:numPr>
        <w:spacing w:after="0"/>
        <w:ind w:left="450"/>
        <w:contextualSpacing w:val="0"/>
        <w:rPr>
          <w:b/>
        </w:rPr>
      </w:pPr>
      <w:r w:rsidRPr="003733EE">
        <w:rPr>
          <w:b/>
        </w:rPr>
        <w:t xml:space="preserve">Geographic or </w:t>
      </w:r>
      <w:r w:rsidR="003406D6">
        <w:rPr>
          <w:b/>
        </w:rPr>
        <w:t>E</w:t>
      </w:r>
      <w:r w:rsidRPr="003733EE">
        <w:rPr>
          <w:b/>
        </w:rPr>
        <w:t>nvironment</w:t>
      </w:r>
      <w:r w:rsidR="00CA6E9C">
        <w:rPr>
          <w:b/>
        </w:rPr>
        <w:t>al</w:t>
      </w:r>
      <w:r w:rsidRPr="003733EE">
        <w:rPr>
          <w:b/>
        </w:rPr>
        <w:t xml:space="preserve"> </w:t>
      </w:r>
      <w:r w:rsidR="003406D6">
        <w:rPr>
          <w:b/>
        </w:rPr>
        <w:t>A</w:t>
      </w:r>
      <w:r w:rsidRPr="003733EE">
        <w:rPr>
          <w:b/>
        </w:rPr>
        <w:t xml:space="preserve">ttributes: </w:t>
      </w:r>
      <w:r w:rsidR="003406D6">
        <w:rPr>
          <w:b/>
        </w:rPr>
        <w:t>W</w:t>
      </w:r>
      <w:r w:rsidRPr="003733EE">
        <w:rPr>
          <w:b/>
        </w:rPr>
        <w:t xml:space="preserve">hich </w:t>
      </w:r>
      <w:r w:rsidR="003406D6">
        <w:rPr>
          <w:b/>
        </w:rPr>
        <w:t>I</w:t>
      </w:r>
      <w:r w:rsidRPr="003733EE">
        <w:rPr>
          <w:b/>
        </w:rPr>
        <w:t xml:space="preserve">mpacts </w:t>
      </w:r>
      <w:r w:rsidR="003406D6">
        <w:rPr>
          <w:b/>
        </w:rPr>
        <w:t>H</w:t>
      </w:r>
      <w:r w:rsidRPr="003733EE">
        <w:rPr>
          <w:b/>
        </w:rPr>
        <w:t xml:space="preserve">ybridization </w:t>
      </w:r>
      <w:r w:rsidR="003406D6">
        <w:rPr>
          <w:b/>
        </w:rPr>
        <w:t>P</w:t>
      </w:r>
      <w:r w:rsidRPr="003733EE">
        <w:rPr>
          <w:b/>
        </w:rPr>
        <w:t xml:space="preserve">references </w:t>
      </w:r>
      <w:r w:rsidR="003406D6">
        <w:rPr>
          <w:b/>
        </w:rPr>
        <w:t>M</w:t>
      </w:r>
      <w:r w:rsidRPr="003733EE">
        <w:rPr>
          <w:b/>
        </w:rPr>
        <w:t>ore?</w:t>
      </w:r>
    </w:p>
    <w:p w14:paraId="1B699A90" w14:textId="4586613B" w:rsidR="005A09F2" w:rsidRDefault="00392EAD" w:rsidP="00B40ED1">
      <w:pPr>
        <w:spacing w:after="0"/>
      </w:pPr>
      <w:r>
        <w:t>Table 5</w:t>
      </w:r>
      <w:r w:rsidR="00E45673" w:rsidRPr="00F62D51">
        <w:t xml:space="preserve"> indicates</w:t>
      </w:r>
      <w:r w:rsidR="00E45673">
        <w:t xml:space="preserve"> that commute time to the work office (a geographic</w:t>
      </w:r>
      <w:r w:rsidR="005A09F2">
        <w:t>/location</w:t>
      </w:r>
      <w:r w:rsidR="00E45673">
        <w:t xml:space="preserve"> WPL attribute) has the most impact for women, with work office instances reducing by 15.6% for women with young children living with a partner and by 25.4% for women with young children not living with a partner</w:t>
      </w:r>
      <w:r w:rsidR="005A470F">
        <w:t xml:space="preserve"> (see the third broad column of </w:t>
      </w:r>
      <w:r>
        <w:t>Table 5</w:t>
      </w:r>
      <w:r w:rsidR="005A470F">
        <w:t>)</w:t>
      </w:r>
      <w:r w:rsidR="00E45673">
        <w:t>. The corresponding reduction for men living with a partner is only 7.3% (these reductions are for an increase in commute time from shorter than current by 50% to longer than current by 50%).</w:t>
      </w:r>
      <w:r w:rsidR="005A09F2">
        <w:t xml:space="preserve"> </w:t>
      </w:r>
      <w:r w:rsidR="00E45673">
        <w:t xml:space="preserve">For the third workplace, </w:t>
      </w:r>
      <w:r w:rsidR="005A09F2">
        <w:t xml:space="preserve">an increase in commute </w:t>
      </w:r>
      <w:r w:rsidR="005A09F2">
        <w:lastRenderedPageBreak/>
        <w:t xml:space="preserve">time (from 50% of the current work office commute to the same as the work office commute) has the expected reduction in third WPL days of work between 7.8% to 12.4% away from the third work place, </w:t>
      </w:r>
      <w:r w:rsidR="00C21DD9">
        <w:t xml:space="preserve">with again higher impact for women than men. </w:t>
      </w:r>
    </w:p>
    <w:p w14:paraId="0002495B" w14:textId="7E43D880" w:rsidR="00723DD3" w:rsidRDefault="005A09F2" w:rsidP="00B40ED1">
      <w:pPr>
        <w:spacing w:after="0"/>
        <w:ind w:firstLine="720"/>
      </w:pPr>
      <w:r>
        <w:t xml:space="preserve">Moving on to the environmental WPL attribute of </w:t>
      </w:r>
      <w:r w:rsidRPr="00F62D51">
        <w:t xml:space="preserve">distraction levels, </w:t>
      </w:r>
      <w:r w:rsidR="00392EAD">
        <w:t>Table 6</w:t>
      </w:r>
      <w:r w:rsidR="00723DD3" w:rsidRPr="00F62D51">
        <w:t xml:space="preserve"> reveals</w:t>
      </w:r>
      <w:r w:rsidR="00723DD3">
        <w:t xml:space="preserve"> that distraction at the third WPL has the most adverse effect on working from there (almost a 50</w:t>
      </w:r>
      <w:r w:rsidR="00723DD3" w:rsidRPr="00F62D51">
        <w:t xml:space="preserve">% drop in frequency; see the third sub-row of each row panel in the last column of </w:t>
      </w:r>
      <w:r w:rsidR="00392EAD">
        <w:t>Table 7</w:t>
      </w:r>
      <w:r w:rsidR="00723DD3" w:rsidRPr="00F62D51">
        <w:t>). The</w:t>
      </w:r>
      <w:r w:rsidR="00723DD3">
        <w:t xml:space="preserve"> corresponding decreases due to distraction effects at the home and work office are not as substantial, suggesting that distraction may be more easily worked through at home or in the work office with familiar co-workers. More generally, women appear to be more sensitive to distraction at the work office relative to distraction at home. For instance, for women with a young child living with a partner, higher distraction at home (relative to no distraction) leads to a frequency reduction of </w:t>
      </w:r>
      <w:r w:rsidR="00F62D51">
        <w:t>13.5</w:t>
      </w:r>
      <w:r w:rsidR="00723DD3">
        <w:t xml:space="preserve">% of working from home, compared to a frequency reduction of 17.1% for work office frequency due to higher distraction at the work office (see the middle row panel </w:t>
      </w:r>
      <w:r w:rsidR="00723DD3" w:rsidRPr="00F62D51">
        <w:t xml:space="preserve">of </w:t>
      </w:r>
      <w:r w:rsidR="00392EAD">
        <w:t>Table 6</w:t>
      </w:r>
      <w:r w:rsidR="00723DD3" w:rsidRPr="00F62D51">
        <w:t>). But</w:t>
      </w:r>
      <w:r w:rsidR="00723DD3">
        <w:t xml:space="preserve"> this switches over for men, who are more sensitive to distraction at home </w:t>
      </w:r>
      <w:r w:rsidR="00C063B6">
        <w:t xml:space="preserve">(-15.8%) </w:t>
      </w:r>
      <w:r w:rsidR="00723DD3">
        <w:t>relative to distraction at the work office</w:t>
      </w:r>
      <w:r w:rsidR="00C063B6">
        <w:t xml:space="preserve"> (-11.6%)</w:t>
      </w:r>
      <w:r w:rsidR="00723DD3">
        <w:t xml:space="preserve">. </w:t>
      </w:r>
      <w:r w:rsidR="003A237E">
        <w:t>This is a novel finding of our study, because earlier studies have not adequately considered gendered variations by WPL (AM et al., 2022 find that women are more sensitive in general to noise-related distractions than men, but do not consider responsiveness to distractio</w:t>
      </w:r>
      <w:r w:rsidR="003E1264">
        <w:t>n</w:t>
      </w:r>
      <w:r w:rsidR="003A237E">
        <w:t xml:space="preserve">s based on specific WPLs). </w:t>
      </w:r>
    </w:p>
    <w:p w14:paraId="13BA2B4F" w14:textId="77777777" w:rsidR="00B40ED1" w:rsidRDefault="00723DD3" w:rsidP="00B40ED1">
      <w:pPr>
        <w:spacing w:after="0"/>
        <w:ind w:firstLine="720"/>
      </w:pPr>
      <w:r>
        <w:t xml:space="preserve">It is admittedly challenging to </w:t>
      </w:r>
      <w:r w:rsidR="006F2089">
        <w:t>compare the magnitude effects of commute times and distraction levels, as these variables are fundamentally different in nature (commute time is on a cardinal quantitative scale, while distraction level is on a</w:t>
      </w:r>
      <w:r w:rsidR="006400E8">
        <w:t>n</w:t>
      </w:r>
      <w:r w:rsidR="006F2089">
        <w:t xml:space="preserve"> ordinal qualitative scale). But, given the assumed change from the low extreme to the high extreme for each, we may make some general </w:t>
      </w:r>
      <w:r w:rsidR="00C063B6">
        <w:t>observations</w:t>
      </w:r>
      <w:r w:rsidR="00C21DD9">
        <w:t>.</w:t>
      </w:r>
      <w:r w:rsidR="006F2089">
        <w:t xml:space="preserve"> </w:t>
      </w:r>
      <w:r w:rsidR="00C063B6">
        <w:t>F</w:t>
      </w:r>
      <w:r w:rsidR="00F57505">
        <w:t xml:space="preserve">or each of the three gendered lifecycle groups and for each of the work office and third WPL alternatives, the commute time effect is lower than the distraction level effect. For example, for men with a partner, an increase in work office commute leads to a 7.3% reduction in work office frequency, relative to a 11.6% reduction due to an increase in work office distraction level; for women with a partner, an increase in work office commute leads to a 15.6% reduction in work office frequency, relative to a 17.1% reduction due to an increase in work office distraction level. The difference in effects of commute time and distraction level is even more stark for the third WPL. For men with a partner, an increase in third WPL </w:t>
      </w:r>
      <w:r w:rsidR="00C063B6">
        <w:t xml:space="preserve">commute time </w:t>
      </w:r>
      <w:r w:rsidR="00F57505">
        <w:t xml:space="preserve">leads to a 7.8% reduction in third WPL frequency, relative to a 50.8% reduction due to an increase in third WPL distraction level; for women with a partner, an increase in third WPL commute leads to a 12.2% reduction in third WPL frequency, relative to a </w:t>
      </w:r>
      <w:r w:rsidR="00C21DD9">
        <w:t>48</w:t>
      </w:r>
      <w:r w:rsidR="00F57505">
        <w:t>.</w:t>
      </w:r>
      <w:r w:rsidR="00C21DD9">
        <w:t>5</w:t>
      </w:r>
      <w:r w:rsidR="00F57505">
        <w:t xml:space="preserve">% reduction due to an increase in </w:t>
      </w:r>
      <w:r w:rsidR="00C21DD9">
        <w:t xml:space="preserve">third WPL </w:t>
      </w:r>
      <w:r w:rsidR="00F57505">
        <w:t xml:space="preserve">distraction level. </w:t>
      </w:r>
      <w:r w:rsidR="00C21DD9">
        <w:t>These results s</w:t>
      </w:r>
      <w:r w:rsidR="006F2089">
        <w:t xml:space="preserve">uggest that </w:t>
      </w:r>
      <w:r w:rsidR="00C21DD9">
        <w:t xml:space="preserve">the environmental attribute of </w:t>
      </w:r>
      <w:r w:rsidR="006F2089">
        <w:t>distraction level</w:t>
      </w:r>
      <w:r w:rsidR="00C21DD9">
        <w:t xml:space="preserve"> at WPL is more important than the geographic attribute of </w:t>
      </w:r>
      <w:r w:rsidR="006F2089">
        <w:t xml:space="preserve">commute time to the </w:t>
      </w:r>
      <w:r w:rsidR="00C21DD9">
        <w:t xml:space="preserve">WPL. This is especially so for men and for the third WPL. </w:t>
      </w:r>
      <w:r w:rsidR="00E334BE">
        <w:t>The results suggest that</w:t>
      </w:r>
      <w:r w:rsidR="00C063B6">
        <w:t>, to promote the work office WPL,</w:t>
      </w:r>
      <w:r w:rsidR="00E334BE">
        <w:t xml:space="preserve"> corporate institutions may want to invest on reducing distraction in the environment of the work office (such as utilizing staggered work hour policies and/or dedicated cubicle set ups with some noise-proofing) at least as much (if not much more) than t</w:t>
      </w:r>
      <w:r w:rsidR="00C21DD9">
        <w:t>he location of their</w:t>
      </w:r>
      <w:r w:rsidR="00E334BE">
        <w:t xml:space="preserve"> </w:t>
      </w:r>
      <w:r w:rsidR="00C21DD9">
        <w:t>facility buildings.</w:t>
      </w:r>
    </w:p>
    <w:p w14:paraId="0BC9580B" w14:textId="02A875C1" w:rsidR="00C21DD9" w:rsidRDefault="00C21DD9" w:rsidP="00B40ED1">
      <w:pPr>
        <w:spacing w:after="0"/>
        <w:ind w:firstLine="720"/>
      </w:pPr>
      <w:r>
        <w:t xml:space="preserve"> </w:t>
      </w:r>
    </w:p>
    <w:p w14:paraId="49479C92" w14:textId="299D334B" w:rsidR="00E45673" w:rsidRPr="003733EE" w:rsidRDefault="00E334BE" w:rsidP="00B40ED1">
      <w:pPr>
        <w:pStyle w:val="ListParagraph"/>
        <w:numPr>
          <w:ilvl w:val="1"/>
          <w:numId w:val="1"/>
        </w:numPr>
        <w:spacing w:after="0"/>
        <w:ind w:left="450"/>
        <w:contextualSpacing w:val="0"/>
        <w:rPr>
          <w:b/>
        </w:rPr>
      </w:pPr>
      <w:r w:rsidRPr="003733EE">
        <w:rPr>
          <w:b/>
        </w:rPr>
        <w:lastRenderedPageBreak/>
        <w:t xml:space="preserve">How </w:t>
      </w:r>
      <w:r w:rsidR="003406D6">
        <w:rPr>
          <w:b/>
        </w:rPr>
        <w:t>S</w:t>
      </w:r>
      <w:r w:rsidRPr="003733EE">
        <w:rPr>
          <w:b/>
        </w:rPr>
        <w:t xml:space="preserve">hould </w:t>
      </w:r>
      <w:r w:rsidR="003406D6">
        <w:rPr>
          <w:b/>
        </w:rPr>
        <w:t>E</w:t>
      </w:r>
      <w:r w:rsidRPr="003733EE">
        <w:rPr>
          <w:b/>
        </w:rPr>
        <w:t xml:space="preserve">mployers </w:t>
      </w:r>
      <w:r w:rsidR="003406D6">
        <w:rPr>
          <w:b/>
        </w:rPr>
        <w:t>P</w:t>
      </w:r>
      <w:r w:rsidRPr="003733EE">
        <w:rPr>
          <w:b/>
        </w:rPr>
        <w:t xml:space="preserve">repare for and </w:t>
      </w:r>
      <w:r w:rsidR="003406D6">
        <w:rPr>
          <w:b/>
        </w:rPr>
        <w:t>D</w:t>
      </w:r>
      <w:r w:rsidRPr="003733EE">
        <w:rPr>
          <w:b/>
        </w:rPr>
        <w:t xml:space="preserve">esign </w:t>
      </w:r>
      <w:r w:rsidR="003406D6">
        <w:rPr>
          <w:b/>
        </w:rPr>
        <w:t>H</w:t>
      </w:r>
      <w:r w:rsidRPr="003733EE">
        <w:rPr>
          <w:b/>
        </w:rPr>
        <w:t xml:space="preserve">ybrid </w:t>
      </w:r>
      <w:r w:rsidR="003406D6">
        <w:rPr>
          <w:b/>
        </w:rPr>
        <w:t>W</w:t>
      </w:r>
      <w:r w:rsidRPr="003733EE">
        <w:rPr>
          <w:b/>
        </w:rPr>
        <w:t xml:space="preserve">orkplace </w:t>
      </w:r>
      <w:r w:rsidR="003406D6">
        <w:rPr>
          <w:b/>
        </w:rPr>
        <w:t>S</w:t>
      </w:r>
      <w:r w:rsidRPr="003733EE">
        <w:rPr>
          <w:b/>
        </w:rPr>
        <w:t>tructures?</w:t>
      </w:r>
    </w:p>
    <w:p w14:paraId="39A04399" w14:textId="1B38BDDE" w:rsidR="004C5DE6" w:rsidRDefault="00146C4B" w:rsidP="00B40ED1">
      <w:pPr>
        <w:spacing w:after="0"/>
      </w:pPr>
      <w:r>
        <w:t>For most employers, the question of how to retain employees has arisen amidst this period of the ‘Great Resignation’ or the ‘Big Quit’. Therefore, there is a pressing need among employers to rethink their WPL-related policies so they are more congruent with the desires of their employees. The column labeled “Only Gendered Life</w:t>
      </w:r>
      <w:r w:rsidR="00503CDF">
        <w:t>cycle</w:t>
      </w:r>
      <w:r>
        <w:t xml:space="preserve"> Treatment (</w:t>
      </w:r>
      <w:r w:rsidRPr="00F62D51">
        <w:t xml:space="preserve">days)” in </w:t>
      </w:r>
      <w:r w:rsidR="00392EAD">
        <w:t>Table 4</w:t>
      </w:r>
      <w:r w:rsidRPr="00F62D51">
        <w:t xml:space="preserve"> displays</w:t>
      </w:r>
      <w:r>
        <w:t xml:space="preserve"> the average split across the three alternatives based on only gendered lifecycle; with the exception of w</w:t>
      </w:r>
      <w:r w:rsidRPr="00470F71">
        <w:t>o</w:t>
      </w:r>
      <w:r>
        <w:t>me</w:t>
      </w:r>
      <w:r w:rsidRPr="00470F71">
        <w:t xml:space="preserve">n with </w:t>
      </w:r>
      <w:r>
        <w:t xml:space="preserve">a </w:t>
      </w:r>
      <w:r w:rsidRPr="00470F71">
        <w:t xml:space="preserve">young child </w:t>
      </w:r>
      <w:r>
        <w:t xml:space="preserve">and </w:t>
      </w:r>
      <w:r w:rsidRPr="00470F71">
        <w:t xml:space="preserve">without </w:t>
      </w:r>
      <w:r>
        <w:t xml:space="preserve">a </w:t>
      </w:r>
      <w:r w:rsidRPr="00470F71">
        <w:t>partner</w:t>
      </w:r>
      <w:r>
        <w:t xml:space="preserve">, all gendered lifecycles display an almost even split of days between working from home and from the work office (with an average of 9.0 days and 8.4 respectively). In fact, it is quite evident that the hybrid work structure is preferred for all gendered lifecycle categories, regardless of the sociodemographic, geographic- and location-based attributes of the three workplaces. </w:t>
      </w:r>
      <w:r w:rsidR="004C5DE6">
        <w:t xml:space="preserve">Even in terms of job </w:t>
      </w:r>
      <w:r w:rsidR="004C5DE6" w:rsidRPr="00F62D51">
        <w:t xml:space="preserve">occupations (see </w:t>
      </w:r>
      <w:r w:rsidR="00392EAD">
        <w:t>Table 7</w:t>
      </w:r>
      <w:r w:rsidR="004C5DE6" w:rsidRPr="00F62D51">
        <w:t>), there is</w:t>
      </w:r>
      <w:r w:rsidR="004C5DE6">
        <w:t xml:space="preserve"> a clear desire for hybrid work arrangements, even if there are variations across the occupations. Indeed, as expected, respondents did consider their job occupations in providing their preferred WPL splits. Those in the essential services (health case/retail sales/education) recognize the importance of their in-person presence for societal functioning, reporting the highest split for work from the work office, while those in the information/finance, professional/managerial/technical, and public administration occupations express the highest preference for working remote.</w:t>
      </w:r>
    </w:p>
    <w:p w14:paraId="3C22F063" w14:textId="5BE36CFF" w:rsidR="00146C4B" w:rsidRDefault="004C5DE6" w:rsidP="00B40ED1">
      <w:pPr>
        <w:spacing w:after="0"/>
        <w:ind w:firstLine="720"/>
      </w:pPr>
      <w:r>
        <w:t>Overall, it is clear that (1) employees are now used to and appreciate the value of WPL flexibility that COVID safety measures forcibly enabled during the last two years, (2) employees have been able to find a balance of their personal priorities and professional objectives by optimally allocating their time in a hybrid wor</w:t>
      </w:r>
      <w:r w:rsidR="00E15FA1">
        <w:t>k arrangement</w:t>
      </w:r>
      <w:r>
        <w:t xml:space="preserve">, and (3) employees now expect their employers to provide them the flexibility </w:t>
      </w:r>
      <w:r w:rsidR="00E15FA1">
        <w:t xml:space="preserve">of </w:t>
      </w:r>
      <w:r>
        <w:t>a hybrid arrangement given its social benefit.</w:t>
      </w:r>
      <w:r w:rsidR="00E15FA1">
        <w:t xml:space="preserve"> In this context, our results on </w:t>
      </w:r>
      <w:r>
        <w:t xml:space="preserve">WPL allocation patterns provide a valuable glimpse into employee WPL preferences into the future, which employers </w:t>
      </w:r>
      <w:r w:rsidR="00E15FA1">
        <w:t xml:space="preserve">can use for </w:t>
      </w:r>
      <w:r>
        <w:t xml:space="preserve">future company planning, recruitment policies (such as, which sociodemographic subgroup to focus on based on work place resources) as well as possible investment strategy in both office spaces and office resources (such as furniture, technology, or other perks offered to work office employees). </w:t>
      </w:r>
    </w:p>
    <w:p w14:paraId="1A05DBCE" w14:textId="77777777" w:rsidR="00B40ED1" w:rsidRDefault="00E15FA1" w:rsidP="00B40ED1">
      <w:pPr>
        <w:spacing w:after="0"/>
        <w:ind w:firstLine="720"/>
      </w:pPr>
      <w:r>
        <w:t>Our results also recommend that employers not view future WPL arrangements as a “this or that” (only from work office or only remote) proposition. Indeed, a</w:t>
      </w:r>
      <w:r w:rsidR="00146C4B">
        <w:t>rguments regarding in-person work office culture vs. remote work culture often tread on the extreme cases; for example, individuals promoting in-person work culture often argue about the benefits of professional interactions</w:t>
      </w:r>
      <w:r w:rsidR="003A237E">
        <w:t>, unplanned communications,</w:t>
      </w:r>
      <w:r w:rsidR="00146C4B">
        <w:t xml:space="preserve"> and “team mentality” development within co-workers t</w:t>
      </w:r>
      <w:r>
        <w:t xml:space="preserve">o </w:t>
      </w:r>
      <w:r w:rsidR="00146C4B">
        <w:t xml:space="preserve">improve productivity. On the other hand, </w:t>
      </w:r>
      <w:r>
        <w:t xml:space="preserve">individuals who favor the </w:t>
      </w:r>
      <w:r w:rsidR="00146C4B">
        <w:t>remote work option often i</w:t>
      </w:r>
      <w:r>
        <w:t xml:space="preserve">nvoke considerations of </w:t>
      </w:r>
      <w:r w:rsidR="00146C4B">
        <w:t>increased flexibility, commute time savings</w:t>
      </w:r>
      <w:r>
        <w:t xml:space="preserve">, </w:t>
      </w:r>
      <w:r w:rsidR="00146C4B">
        <w:t xml:space="preserve">and </w:t>
      </w:r>
      <w:r>
        <w:t>social-</w:t>
      </w:r>
      <w:r w:rsidR="00146C4B">
        <w:t xml:space="preserve">environmental benefits. A hybrid work structure, on the other hand, helps harness the best of both worlds and the recent pandemic has, in a way, helped workers </w:t>
      </w:r>
      <w:r w:rsidR="00865090">
        <w:t>appreciate</w:t>
      </w:r>
      <w:r w:rsidR="00146C4B">
        <w:t xml:space="preserve"> the benefits of such an arrangement. Employers and corporate institutions </w:t>
      </w:r>
      <w:r w:rsidR="00865090">
        <w:t xml:space="preserve">have little choice than to </w:t>
      </w:r>
      <w:r w:rsidR="00146C4B">
        <w:t xml:space="preserve">take a more </w:t>
      </w:r>
      <w:r w:rsidR="00865090">
        <w:t xml:space="preserve">open-minded </w:t>
      </w:r>
      <w:r w:rsidR="00146C4B">
        <w:t>stance toward a hybrid arrangement</w:t>
      </w:r>
      <w:r w:rsidR="00865090">
        <w:t>, so as</w:t>
      </w:r>
      <w:r w:rsidR="00146C4B">
        <w:t xml:space="preserve"> to avoid any dissonance </w:t>
      </w:r>
      <w:r w:rsidR="00865090">
        <w:t xml:space="preserve">with </w:t>
      </w:r>
      <w:r w:rsidR="00146C4B">
        <w:t>workers.</w:t>
      </w:r>
      <w:r w:rsidR="00865090">
        <w:t xml:space="preserve"> </w:t>
      </w:r>
      <w:r w:rsidR="005011ED">
        <w:t xml:space="preserve">This is not simply in the context of allowing employees to work from home, but also </w:t>
      </w:r>
      <w:r w:rsidR="003A237E">
        <w:t xml:space="preserve">to </w:t>
      </w:r>
      <w:r w:rsidR="005011ED">
        <w:t xml:space="preserve">invest in facilities that may serve as third WPL options. Such investments may be in the form of company-owned facilities </w:t>
      </w:r>
      <w:r w:rsidR="005011ED">
        <w:lastRenderedPageBreak/>
        <w:t>that serve as a third WPL, or arrangements with food and hospitality providers (including coffee shops and hotels) for subsidized or even complimentary use by employees.</w:t>
      </w:r>
    </w:p>
    <w:p w14:paraId="0CEDF948" w14:textId="681C2009" w:rsidR="00865090" w:rsidRDefault="005011ED" w:rsidP="00B40ED1">
      <w:pPr>
        <w:spacing w:after="0"/>
        <w:ind w:firstLine="720"/>
      </w:pPr>
      <w:r>
        <w:t xml:space="preserve"> </w:t>
      </w:r>
    </w:p>
    <w:p w14:paraId="13CA944A" w14:textId="66A957B8" w:rsidR="00740334" w:rsidRPr="003733EE" w:rsidRDefault="003733EE" w:rsidP="00B40ED1">
      <w:pPr>
        <w:pStyle w:val="ListParagraph"/>
        <w:numPr>
          <w:ilvl w:val="1"/>
          <w:numId w:val="1"/>
        </w:numPr>
        <w:spacing w:after="0"/>
        <w:ind w:left="450"/>
        <w:contextualSpacing w:val="0"/>
        <w:rPr>
          <w:b/>
        </w:rPr>
      </w:pPr>
      <w:r w:rsidRPr="003733EE">
        <w:rPr>
          <w:b/>
        </w:rPr>
        <w:t xml:space="preserve">What are the </w:t>
      </w:r>
      <w:r w:rsidR="003406D6">
        <w:rPr>
          <w:b/>
        </w:rPr>
        <w:t>I</w:t>
      </w:r>
      <w:r w:rsidRPr="003733EE">
        <w:rPr>
          <w:b/>
        </w:rPr>
        <w:t xml:space="preserve">mplications for </w:t>
      </w:r>
      <w:r w:rsidR="003406D6">
        <w:rPr>
          <w:b/>
        </w:rPr>
        <w:t>T</w:t>
      </w:r>
      <w:r w:rsidRPr="003733EE">
        <w:rPr>
          <w:b/>
        </w:rPr>
        <w:t xml:space="preserve">ravel </w:t>
      </w:r>
      <w:r w:rsidR="003406D6">
        <w:rPr>
          <w:b/>
        </w:rPr>
        <w:t>D</w:t>
      </w:r>
      <w:r w:rsidRPr="003733EE">
        <w:rPr>
          <w:b/>
        </w:rPr>
        <w:t>emand?</w:t>
      </w:r>
    </w:p>
    <w:p w14:paraId="54615E58" w14:textId="7ABB450D" w:rsidR="005B3C26" w:rsidRDefault="005011ED" w:rsidP="00B40ED1">
      <w:pPr>
        <w:spacing w:after="0"/>
      </w:pPr>
      <w:r w:rsidRPr="00F62D51">
        <w:t>T</w:t>
      </w:r>
      <w:r w:rsidR="009F64CA" w:rsidRPr="00F62D51">
        <w:t>able</w:t>
      </w:r>
      <w:r w:rsidRPr="00F62D51">
        <w:t xml:space="preserve">s </w:t>
      </w:r>
      <w:r w:rsidR="00F62D51" w:rsidRPr="00F62D51">
        <w:t>5</w:t>
      </w:r>
      <w:r w:rsidRPr="00F62D51">
        <w:t xml:space="preserve"> </w:t>
      </w:r>
      <w:r w:rsidR="00F62D51" w:rsidRPr="00F62D51">
        <w:t>and</w:t>
      </w:r>
      <w:r w:rsidRPr="00F62D51">
        <w:t xml:space="preserve"> </w:t>
      </w:r>
      <w:r w:rsidR="006476E7">
        <w:t>8</w:t>
      </w:r>
      <w:r w:rsidRPr="00F62D51">
        <w:t xml:space="preserve"> </w:t>
      </w:r>
      <w:r w:rsidR="009F64CA" w:rsidRPr="00F62D51">
        <w:t>reveal</w:t>
      </w:r>
      <w:r w:rsidR="00740334">
        <w:t xml:space="preserve"> that</w:t>
      </w:r>
      <w:r w:rsidR="000A5BC2">
        <w:t xml:space="preserve"> there are variations in work hybridization p</w:t>
      </w:r>
      <w:r>
        <w:t>references</w:t>
      </w:r>
      <w:r w:rsidR="000A5BC2">
        <w:t xml:space="preserve"> by </w:t>
      </w:r>
      <w:proofErr w:type="spellStart"/>
      <w:r w:rsidR="000A5BC2">
        <w:t>sociodemographics</w:t>
      </w:r>
      <w:proofErr w:type="spellEnd"/>
      <w:r w:rsidR="000A5BC2">
        <w:t xml:space="preserve"> and job-related characteristics</w:t>
      </w:r>
      <w:r>
        <w:t>.</w:t>
      </w:r>
      <w:r w:rsidR="000A5BC2">
        <w:t xml:space="preserve"> At the same time, the results point to the fact that work hybridization will be the norm as the job market adjusts to employee WPL preferences. </w:t>
      </w:r>
      <w:r>
        <w:t xml:space="preserve">Thus, it is imperative that work hybridization, and the variations in such patterns, be accounted for in travel demand modeling to avoid the ecological fallacy that originates from ignoring the effects of WPL heterogeneity on broader activity-travel patterns. </w:t>
      </w:r>
    </w:p>
    <w:p w14:paraId="0D79F8CD" w14:textId="4651976C" w:rsidR="00E00145" w:rsidRDefault="005B3C26" w:rsidP="00B40ED1">
      <w:pPr>
        <w:spacing w:after="0"/>
        <w:ind w:firstLine="720"/>
      </w:pPr>
      <w:r>
        <w:t>To be sure, there is a long history of literature focusing on work-related effects on br</w:t>
      </w:r>
      <w:r w:rsidR="00734752">
        <w:t>o</w:t>
      </w:r>
      <w:r>
        <w:t xml:space="preserve">ader activity-travel patterns of individuals. For example, many activity-based travel models use the work activity as a peg around which to “build” the remaining elements that make up the overall activity-travel pattern of an individual (for example, see </w:t>
      </w:r>
      <w:r w:rsidR="00C06B1E" w:rsidRPr="00F34084">
        <w:t>Bhat et al.</w:t>
      </w:r>
      <w:r w:rsidR="00C06B1E">
        <w:t xml:space="preserve">, </w:t>
      </w:r>
      <w:r w:rsidR="00C06B1E" w:rsidRPr="00F34084">
        <w:t>2004</w:t>
      </w:r>
      <w:r w:rsidR="00C06B1E">
        <w:t xml:space="preserve"> </w:t>
      </w:r>
      <w:r w:rsidR="0004665F" w:rsidRPr="00471A22">
        <w:t xml:space="preserve">and </w:t>
      </w:r>
      <w:r w:rsidR="00C06B1E" w:rsidRPr="00471A22">
        <w:t>Cambridge Systematics, 2021)</w:t>
      </w:r>
      <w:r w:rsidR="003464A4">
        <w:t>.</w:t>
      </w:r>
      <w:r w:rsidR="00C06B1E" w:rsidRPr="00471A22">
        <w:t xml:space="preserve"> </w:t>
      </w:r>
      <w:r w:rsidRPr="00471A22">
        <w:t xml:space="preserve">But these studies focus on a single day of analysis, and so consider teleworking only in the context of a binary “switch” of whether or not an </w:t>
      </w:r>
      <w:proofErr w:type="gramStart"/>
      <w:r w:rsidRPr="00471A22">
        <w:t>individual travels</w:t>
      </w:r>
      <w:proofErr w:type="gramEnd"/>
      <w:r w:rsidRPr="00471A22">
        <w:t xml:space="preserve"> to the work</w:t>
      </w:r>
      <w:r>
        <w:t xml:space="preserve"> office on a given day. However, it is critical today to consider hybrid work arrangements over longer periods of time, and its consequent impacts on activity-travel patterns.  This, of course, raises a series of questions on how to “consummate” a </w:t>
      </w:r>
      <w:r w:rsidR="001C5605">
        <w:t xml:space="preserve">longer term (such as a month-based) WPL split model with models that use a typical weekday as the unit of analysis. </w:t>
      </w:r>
      <w:r w:rsidR="007E5F0F">
        <w:t xml:space="preserve">One simple approach would be to include the monthly WPL pattern (in the form of fractional splits of different WPLs) as an explanatory variable in the weekday-based modeling timeframe of current models. But this would not consider the intra-individual variations in activity-travel patterns across days. </w:t>
      </w:r>
      <w:r w:rsidR="001C5605">
        <w:t>An</w:t>
      </w:r>
      <w:r w:rsidR="000835E8">
        <w:t xml:space="preserve"> alternative modeling </w:t>
      </w:r>
      <w:r w:rsidR="008C015C">
        <w:t>approach</w:t>
      </w:r>
      <w:r w:rsidR="000835E8">
        <w:t xml:space="preserve"> </w:t>
      </w:r>
      <w:r w:rsidR="001C5605">
        <w:t xml:space="preserve">would be to </w:t>
      </w:r>
      <w:r w:rsidR="007E5F0F">
        <w:t>fundamentally change to a multi-day</w:t>
      </w:r>
      <w:r w:rsidR="001C5605">
        <w:t xml:space="preserve"> unit of analysis in travel demand modeling. For example, a recent ef</w:t>
      </w:r>
      <w:r w:rsidR="001C5605" w:rsidRPr="008C5F9B">
        <w:t xml:space="preserve">fort by Haddad et al. (2022) uses the </w:t>
      </w:r>
      <w:r w:rsidR="001C5605">
        <w:t xml:space="preserve">WPL monthly split as an exogenous variable to study evening dining frequency over the period of a month. </w:t>
      </w:r>
      <w:r w:rsidR="008C015C">
        <w:t xml:space="preserve">These and related considerations offer intriguing new challenges, as </w:t>
      </w:r>
      <w:r w:rsidR="00C76745">
        <w:t xml:space="preserve">the profession </w:t>
      </w:r>
      <w:r w:rsidR="008C015C">
        <w:t xml:space="preserve">works toward adapting travel demand models to a new era of work arrangements. </w:t>
      </w:r>
    </w:p>
    <w:p w14:paraId="2A59EAA3" w14:textId="3D95E144" w:rsidR="008C015C" w:rsidRDefault="00C76745" w:rsidP="00B40ED1">
      <w:pPr>
        <w:spacing w:after="0"/>
        <w:ind w:firstLine="720"/>
      </w:pPr>
      <w:r>
        <w:t xml:space="preserve">Beyond travel demand models, hybrid WPL arrangements also can affect land-use patterns, as some employers may downsize their offices and have multiple smaller office sites spread over a metropolitan area. Or, as discussed earlier, employers may partner with hospitality and food providers to offer third WPLs to their employees. These types of land-use changes </w:t>
      </w:r>
      <w:r w:rsidR="00E00145">
        <w:t>can</w:t>
      </w:r>
      <w:r>
        <w:t xml:space="preserve"> then </w:t>
      </w:r>
      <w:r w:rsidR="00E00145">
        <w:t xml:space="preserve">itself </w:t>
      </w:r>
      <w:r>
        <w:t xml:space="preserve">create new </w:t>
      </w:r>
      <w:r w:rsidR="00E00145">
        <w:t xml:space="preserve">short-distance and spread-out </w:t>
      </w:r>
      <w:r>
        <w:t>commute patterns</w:t>
      </w:r>
      <w:r w:rsidR="00E00145">
        <w:t>, whose implications on travel demand will need careful attention.</w:t>
      </w:r>
    </w:p>
    <w:p w14:paraId="5DA787C3" w14:textId="6DCE1BD7" w:rsidR="00740334" w:rsidRDefault="008C0FFD" w:rsidP="00B40ED1">
      <w:pPr>
        <w:spacing w:after="0"/>
        <w:ind w:firstLine="720"/>
      </w:pPr>
      <w:r>
        <w:t xml:space="preserve">In </w:t>
      </w:r>
      <w:r w:rsidR="008C015C">
        <w:t>summary</w:t>
      </w:r>
      <w:r>
        <w:t xml:space="preserve">, </w:t>
      </w:r>
      <w:r w:rsidR="000D1E20">
        <w:t>the important effects o</w:t>
      </w:r>
      <w:r w:rsidR="008C015C">
        <w:t>f</w:t>
      </w:r>
      <w:r w:rsidR="000D1E20">
        <w:t xml:space="preserve"> </w:t>
      </w:r>
      <w:r w:rsidR="008C015C">
        <w:t xml:space="preserve">hybrid </w:t>
      </w:r>
      <w:r w:rsidR="000D1E20">
        <w:t xml:space="preserve">work arrangements not only on peak traffic congestion, but also </w:t>
      </w:r>
      <w:r w:rsidR="001E5562">
        <w:t xml:space="preserve">on </w:t>
      </w:r>
      <w:r w:rsidR="00E00145">
        <w:t xml:space="preserve">land-use patterns and </w:t>
      </w:r>
      <w:r w:rsidR="001E5562">
        <w:t>the broader activity-travel patterns of individuals</w:t>
      </w:r>
      <w:r w:rsidR="008C015C">
        <w:t xml:space="preserve">, </w:t>
      </w:r>
      <w:r w:rsidR="001E5562">
        <w:t xml:space="preserve">is </w:t>
      </w:r>
      <w:r w:rsidR="008C015C">
        <w:t xml:space="preserve">critical to consider </w:t>
      </w:r>
      <w:r w:rsidR="001E5562">
        <w:t xml:space="preserve">in travel demand modeling. </w:t>
      </w:r>
      <w:r w:rsidR="00C77949">
        <w:t xml:space="preserve">In this regard, </w:t>
      </w:r>
      <w:r w:rsidR="00F46E45">
        <w:t>the</w:t>
      </w:r>
      <w:r w:rsidR="00740334">
        <w:t xml:space="preserve"> </w:t>
      </w:r>
      <w:r w:rsidR="00F46E45">
        <w:t xml:space="preserve">estimated </w:t>
      </w:r>
      <w:r w:rsidR="00740334">
        <w:t>remote and non-remote monthly temporal split of different sociodemographic groups</w:t>
      </w:r>
      <w:r w:rsidR="00F46E45">
        <w:t xml:space="preserve"> </w:t>
      </w:r>
      <w:r w:rsidR="00740334">
        <w:t>c</w:t>
      </w:r>
      <w:r w:rsidR="008C015C">
        <w:t xml:space="preserve">an serve as an input to </w:t>
      </w:r>
      <w:r w:rsidR="00F46E45">
        <w:t xml:space="preserve">several modules </w:t>
      </w:r>
      <w:r w:rsidR="008C015C">
        <w:t xml:space="preserve">of </w:t>
      </w:r>
      <w:r w:rsidR="00E00145">
        <w:t xml:space="preserve">land-use and </w:t>
      </w:r>
      <w:r w:rsidR="000A5BC2">
        <w:t xml:space="preserve">travel </w:t>
      </w:r>
      <w:r w:rsidR="00F46E45">
        <w:t>demand model</w:t>
      </w:r>
      <w:r w:rsidR="00E00145">
        <w:t>s.</w:t>
      </w:r>
    </w:p>
    <w:p w14:paraId="170EF52E" w14:textId="77777777" w:rsidR="00B40ED1" w:rsidRDefault="00B40ED1" w:rsidP="00B40ED1">
      <w:pPr>
        <w:spacing w:after="0"/>
        <w:ind w:firstLine="720"/>
      </w:pPr>
    </w:p>
    <w:p w14:paraId="66086B58" w14:textId="1EB38B85" w:rsidR="00740334" w:rsidRPr="003733EE" w:rsidRDefault="00F01081" w:rsidP="00B40ED1">
      <w:pPr>
        <w:pStyle w:val="ListParagraph"/>
        <w:numPr>
          <w:ilvl w:val="1"/>
          <w:numId w:val="1"/>
        </w:numPr>
        <w:spacing w:after="0"/>
        <w:ind w:left="450"/>
        <w:contextualSpacing w:val="0"/>
        <w:rPr>
          <w:b/>
        </w:rPr>
      </w:pPr>
      <w:r w:rsidRPr="003733EE">
        <w:rPr>
          <w:b/>
        </w:rPr>
        <w:lastRenderedPageBreak/>
        <w:t xml:space="preserve">How to </w:t>
      </w:r>
      <w:r w:rsidR="003406D6">
        <w:rPr>
          <w:b/>
        </w:rPr>
        <w:t>P</w:t>
      </w:r>
      <w:r w:rsidRPr="003733EE">
        <w:rPr>
          <w:b/>
        </w:rPr>
        <w:t xml:space="preserve">repare for </w:t>
      </w:r>
      <w:r w:rsidR="003406D6">
        <w:rPr>
          <w:b/>
        </w:rPr>
        <w:t>W</w:t>
      </w:r>
      <w:r w:rsidRPr="003733EE">
        <w:rPr>
          <w:b/>
        </w:rPr>
        <w:t xml:space="preserve">hen a COVID-like </w:t>
      </w:r>
      <w:r w:rsidR="003406D6">
        <w:rPr>
          <w:b/>
        </w:rPr>
        <w:t>P</w:t>
      </w:r>
      <w:r w:rsidRPr="003733EE">
        <w:rPr>
          <w:b/>
        </w:rPr>
        <w:t xml:space="preserve">andemic </w:t>
      </w:r>
      <w:r w:rsidR="003406D6">
        <w:rPr>
          <w:b/>
        </w:rPr>
        <w:t>S</w:t>
      </w:r>
      <w:r w:rsidRPr="003733EE">
        <w:rPr>
          <w:b/>
        </w:rPr>
        <w:t xml:space="preserve">trikes </w:t>
      </w:r>
      <w:r w:rsidR="003406D6">
        <w:rPr>
          <w:b/>
        </w:rPr>
        <w:t>A</w:t>
      </w:r>
      <w:r w:rsidRPr="003733EE">
        <w:rPr>
          <w:b/>
        </w:rPr>
        <w:t>gain?</w:t>
      </w:r>
    </w:p>
    <w:p w14:paraId="6C0AF89E" w14:textId="6C63EA75" w:rsidR="00740334" w:rsidRPr="00F62D51" w:rsidRDefault="00372B79" w:rsidP="00B40ED1">
      <w:pPr>
        <w:spacing w:after="0"/>
      </w:pPr>
      <w:r>
        <w:t xml:space="preserve">There is significant </w:t>
      </w:r>
      <w:r w:rsidR="00F627DF">
        <w:t>uncertainty</w:t>
      </w:r>
      <w:r>
        <w:t xml:space="preserve"> over how </w:t>
      </w:r>
      <w:r w:rsidR="00F627DF">
        <w:t>individual WPL decisions would change if there is a resurgence of the COVID pandemic, possibly through another mutated strain of the virus</w:t>
      </w:r>
      <w:r w:rsidR="003A237E">
        <w:t xml:space="preserve">, or another similar </w:t>
      </w:r>
      <w:r w:rsidR="002A7550">
        <w:t xml:space="preserve">society-disrupting </w:t>
      </w:r>
      <w:r w:rsidR="003A237E">
        <w:t>pandemic</w:t>
      </w:r>
      <w:r w:rsidR="00F627DF">
        <w:t xml:space="preserve">. </w:t>
      </w:r>
      <w:r w:rsidR="00C65441">
        <w:t>Such decisions would primarily depend on two factors: internal factors</w:t>
      </w:r>
      <w:r w:rsidR="00FC0204">
        <w:t xml:space="preserve"> such as the individual’s own perceived health and external factor</w:t>
      </w:r>
      <w:r w:rsidR="002A7550">
        <w:t>s</w:t>
      </w:r>
      <w:r w:rsidR="00FC0204">
        <w:t xml:space="preserve"> such as how high i</w:t>
      </w:r>
      <w:r w:rsidR="002A7550">
        <w:t>s</w:t>
      </w:r>
      <w:r w:rsidR="00FC0204">
        <w:t xml:space="preserve"> the risk.</w:t>
      </w:r>
      <w:r w:rsidR="00F627DF">
        <w:t xml:space="preserve"> </w:t>
      </w:r>
      <w:r w:rsidR="002A7550">
        <w:t>T</w:t>
      </w:r>
      <w:r w:rsidR="00740334">
        <w:t xml:space="preserve">o evaluate future WPL preferences </w:t>
      </w:r>
      <w:r w:rsidR="00FC0204">
        <w:t>under such circumstances,</w:t>
      </w:r>
      <w:r w:rsidR="00740334">
        <w:t xml:space="preserve"> we consider a </w:t>
      </w:r>
      <w:r w:rsidR="00FC0204">
        <w:t xml:space="preserve">set of </w:t>
      </w:r>
      <w:r w:rsidR="00740334">
        <w:t xml:space="preserve">COVID-related ATEs, </w:t>
      </w:r>
      <w:r w:rsidR="00740334" w:rsidRPr="00F62D51">
        <w:t xml:space="preserve">presented in </w:t>
      </w:r>
      <w:r w:rsidR="00392EAD">
        <w:t>Table 8</w:t>
      </w:r>
      <w:r w:rsidR="00740334" w:rsidRPr="00F62D51">
        <w:t xml:space="preserve">. </w:t>
      </w:r>
    </w:p>
    <w:p w14:paraId="6BDD9ABD" w14:textId="2BEF74B5" w:rsidR="00CC1926" w:rsidRDefault="00740334" w:rsidP="00B40ED1">
      <w:pPr>
        <w:spacing w:after="0"/>
        <w:ind w:firstLine="720"/>
      </w:pPr>
      <w:r w:rsidRPr="00F62D51">
        <w:t>Regarding the gendered life</w:t>
      </w:r>
      <w:r w:rsidR="00503CDF">
        <w:t>cycle</w:t>
      </w:r>
      <w:r w:rsidRPr="00F62D51">
        <w:t xml:space="preserve">s, </w:t>
      </w:r>
      <w:r w:rsidR="00392EAD">
        <w:t>Table 8</w:t>
      </w:r>
      <w:r w:rsidRPr="00F62D51">
        <w:t xml:space="preserve"> shows that</w:t>
      </w:r>
      <w:r w:rsidR="00F01081" w:rsidRPr="00F62D51">
        <w:t xml:space="preserve"> the group of</w:t>
      </w:r>
      <w:r w:rsidR="00F01081">
        <w:t xml:space="preserve"> </w:t>
      </w:r>
      <w:r>
        <w:t>women with young child</w:t>
      </w:r>
      <w:r w:rsidR="00F01081">
        <w:t>ren</w:t>
      </w:r>
      <w:r w:rsidR="00CC1926">
        <w:t xml:space="preserve"> and </w:t>
      </w:r>
      <w:r>
        <w:t xml:space="preserve">without a partner is most </w:t>
      </w:r>
      <w:r w:rsidR="00F01081">
        <w:t xml:space="preserve">likely </w:t>
      </w:r>
      <w:r>
        <w:t xml:space="preserve">to </w:t>
      </w:r>
      <w:r w:rsidR="00F01081">
        <w:t xml:space="preserve">reduce their work office instances </w:t>
      </w:r>
      <w:r>
        <w:t xml:space="preserve">when they </w:t>
      </w:r>
      <w:r w:rsidR="00CC1926">
        <w:t xml:space="preserve">or </w:t>
      </w:r>
      <w:r>
        <w:t xml:space="preserve">someone they frequently see is immunocompromised (29.4% </w:t>
      </w:r>
      <w:r w:rsidR="00F01081">
        <w:t>reduction</w:t>
      </w:r>
      <w:r>
        <w:t xml:space="preserve"> in days away from the </w:t>
      </w:r>
      <w:r w:rsidR="00F01081">
        <w:t xml:space="preserve">work office </w:t>
      </w:r>
      <w:r>
        <w:t xml:space="preserve">when the employee is immunocompromised, and 25.2% shift away when </w:t>
      </w:r>
      <w:r w:rsidR="00F01081">
        <w:t xml:space="preserve">the employee comes in frequent contact with someone </w:t>
      </w:r>
      <w:r w:rsidR="00CC1926">
        <w:t>immunocompromised</w:t>
      </w:r>
      <w:r>
        <w:t xml:space="preserve">). </w:t>
      </w:r>
      <w:r w:rsidR="00CC1926">
        <w:t>An interesting observation</w:t>
      </w:r>
      <w:r>
        <w:t xml:space="preserve"> across all gendered life</w:t>
      </w:r>
      <w:r w:rsidR="00503CDF">
        <w:t>cycle</w:t>
      </w:r>
      <w:r>
        <w:t>s</w:t>
      </w:r>
      <w:r w:rsidR="00CC1926">
        <w:t xml:space="preserve"> is that </w:t>
      </w:r>
      <w:r>
        <w:t xml:space="preserve">the shift toward a third workplace is higher than the </w:t>
      </w:r>
      <w:r w:rsidR="00A97174">
        <w:t xml:space="preserve">corresponding </w:t>
      </w:r>
      <w:r>
        <w:t>shift towards the home office</w:t>
      </w:r>
      <w:r w:rsidR="00CC1926">
        <w:t xml:space="preserve"> when immunocompromised</w:t>
      </w:r>
      <w:r>
        <w:t>. This demonstrates that</w:t>
      </w:r>
      <w:r w:rsidR="00A97174">
        <w:t>,</w:t>
      </w:r>
      <w:r>
        <w:t xml:space="preserve"> in a continuing COVID </w:t>
      </w:r>
      <w:r w:rsidR="00CC1926">
        <w:t>environment</w:t>
      </w:r>
      <w:r>
        <w:t xml:space="preserve">, being immunocompromised </w:t>
      </w:r>
      <w:r w:rsidR="00CC1926">
        <w:t xml:space="preserve">toward COVID </w:t>
      </w:r>
      <w:r>
        <w:t xml:space="preserve">is something individuals </w:t>
      </w:r>
      <w:r w:rsidR="00CC1926">
        <w:t>have begun</w:t>
      </w:r>
      <w:r>
        <w:t xml:space="preserve"> to</w:t>
      </w:r>
      <w:r w:rsidR="00CC1926">
        <w:t xml:space="preserve"> learn to live with; hence,</w:t>
      </w:r>
      <w:r>
        <w:t xml:space="preserve"> these individuals do not intend to remain </w:t>
      </w:r>
      <w:r w:rsidR="00CC1926">
        <w:t xml:space="preserve">sheltered </w:t>
      </w:r>
      <w:r>
        <w:t xml:space="preserve">at home </w:t>
      </w:r>
      <w:r w:rsidR="00CC1926">
        <w:t>and</w:t>
      </w:r>
      <w:r>
        <w:t xml:space="preserve"> </w:t>
      </w:r>
      <w:r w:rsidR="00CC1926">
        <w:t>i</w:t>
      </w:r>
      <w:r>
        <w:t>nstead</w:t>
      </w:r>
      <w:r w:rsidR="00CC1926">
        <w:t xml:space="preserve"> </w:t>
      </w:r>
      <w:r>
        <w:t xml:space="preserve">work at a third workplace, in order to </w:t>
      </w:r>
      <w:r w:rsidR="00CC1926">
        <w:t xml:space="preserve">break free from </w:t>
      </w:r>
      <w:r>
        <w:t>the monotonous life</w:t>
      </w:r>
      <w:r w:rsidR="00503CDF">
        <w:t>cycle</w:t>
      </w:r>
      <w:r>
        <w:t xml:space="preserve"> </w:t>
      </w:r>
      <w:r w:rsidR="00CC1926">
        <w:t>of</w:t>
      </w:r>
      <w:r>
        <w:t xml:space="preserve"> “safely” working from home. </w:t>
      </w:r>
      <w:r w:rsidR="00CC1926">
        <w:t xml:space="preserve">This is perhaps also a reflection of the psychological distress that </w:t>
      </w:r>
      <w:r w:rsidR="00A97174">
        <w:t xml:space="preserve">workers </w:t>
      </w:r>
      <w:r w:rsidR="00CC1926">
        <w:t>experienced while being continuously “locked” at home for months</w:t>
      </w:r>
      <w:r w:rsidR="00A97174">
        <w:t xml:space="preserve"> during the COVID pandemic</w:t>
      </w:r>
      <w:r w:rsidR="00CC1926">
        <w:t>.</w:t>
      </w:r>
      <w:r w:rsidR="001E4945">
        <w:t xml:space="preserve"> </w:t>
      </w:r>
      <w:r w:rsidR="00417A8D">
        <w:t xml:space="preserve"> The implication is that there is added value not just today, but for the future, for employers who invest in facilities that may serve as third WPL options. </w:t>
      </w:r>
    </w:p>
    <w:p w14:paraId="496A633B" w14:textId="77777777" w:rsidR="00B40ED1" w:rsidRDefault="00417A8D" w:rsidP="00B40ED1">
      <w:pPr>
        <w:spacing w:after="0"/>
        <w:ind w:firstLine="720"/>
      </w:pPr>
      <w:r>
        <w:t>T</w:t>
      </w:r>
      <w:r w:rsidR="00740334">
        <w:t>h</w:t>
      </w:r>
      <w:r w:rsidR="00A97174">
        <w:t>e preference</w:t>
      </w:r>
      <w:r w:rsidR="00740334">
        <w:t xml:space="preserve"> trend </w:t>
      </w:r>
      <w:r w:rsidR="00A97174">
        <w:t xml:space="preserve">of employees appears to be </w:t>
      </w:r>
      <w:r w:rsidR="00734752">
        <w:t xml:space="preserve">somewhat </w:t>
      </w:r>
      <w:r w:rsidR="00740334">
        <w:t xml:space="preserve">different when the threat concerns the entire society, as is the case for </w:t>
      </w:r>
      <w:r w:rsidR="00A97174">
        <w:t xml:space="preserve">overall </w:t>
      </w:r>
      <w:r w:rsidR="00740334">
        <w:t xml:space="preserve">COVID risk. </w:t>
      </w:r>
      <w:r w:rsidR="00EC058C">
        <w:t>In both cases of w</w:t>
      </w:r>
      <w:r w:rsidR="00740334">
        <w:t xml:space="preserve">hen the COVID risk is deemed high </w:t>
      </w:r>
      <w:r w:rsidR="00EC058C">
        <w:t xml:space="preserve">and </w:t>
      </w:r>
      <w:r w:rsidR="00740334">
        <w:t>unknown, relative to no threat, there is</w:t>
      </w:r>
      <w:r w:rsidR="00734752">
        <w:t>, as one would expect,</w:t>
      </w:r>
      <w:r w:rsidR="00740334">
        <w:t xml:space="preserve"> an evident shift away from both the in-person work</w:t>
      </w:r>
      <w:r w:rsidR="00987A1A">
        <w:t xml:space="preserve"> office</w:t>
      </w:r>
      <w:r w:rsidR="00740334">
        <w:t xml:space="preserve"> and the third workplace </w:t>
      </w:r>
      <w:r w:rsidR="00EC058C">
        <w:t>(</w:t>
      </w:r>
      <w:r w:rsidR="008B0D4B">
        <w:t>and toward working from home</w:t>
      </w:r>
      <w:r w:rsidR="00EC058C">
        <w:t xml:space="preserve">; </w:t>
      </w:r>
      <w:r w:rsidR="00A97174">
        <w:t xml:space="preserve">see the last column </w:t>
      </w:r>
      <w:r w:rsidR="00740334" w:rsidRPr="00F62D51">
        <w:t xml:space="preserve">of </w:t>
      </w:r>
      <w:r w:rsidR="00392EAD">
        <w:t>Table 8</w:t>
      </w:r>
      <w:r w:rsidR="00A97174" w:rsidRPr="00F62D51">
        <w:t>)</w:t>
      </w:r>
      <w:r w:rsidR="00740334" w:rsidRPr="00F62D51">
        <w:t xml:space="preserve">. </w:t>
      </w:r>
      <w:r w:rsidR="00797F06" w:rsidRPr="00F62D51">
        <w:t>But</w:t>
      </w:r>
      <w:r w:rsidR="008B0D4B">
        <w:t xml:space="preserve">, there is a difference in the magnitude pattern of WPL changes between the </w:t>
      </w:r>
      <w:r w:rsidR="00EC058C">
        <w:t>two cases</w:t>
      </w:r>
      <w:r w:rsidR="008B0D4B">
        <w:t xml:space="preserve">. When the COVID risk is high, </w:t>
      </w:r>
      <w:r w:rsidR="00740334">
        <w:t xml:space="preserve">the </w:t>
      </w:r>
      <w:r w:rsidR="0043776B">
        <w:t xml:space="preserve">percentage </w:t>
      </w:r>
      <w:r w:rsidR="00740334">
        <w:t>shift</w:t>
      </w:r>
      <w:r w:rsidR="00D10CFE">
        <w:t>s</w:t>
      </w:r>
      <w:r w:rsidR="00740334">
        <w:t xml:space="preserve"> </w:t>
      </w:r>
      <w:r w:rsidR="0043776B">
        <w:t xml:space="preserve">are of </w:t>
      </w:r>
      <w:r w:rsidR="00EC058C">
        <w:t xml:space="preserve">about </w:t>
      </w:r>
      <w:r w:rsidR="0043776B">
        <w:t xml:space="preserve">the same magnitude </w:t>
      </w:r>
      <w:r w:rsidR="00EC058C">
        <w:t xml:space="preserve">(20-28%) </w:t>
      </w:r>
      <w:r w:rsidR="0043776B">
        <w:t>for the three WPLs (except, of course, for women living alone with very young children who have large percentage shifts for the work office and third WPL, but th</w:t>
      </w:r>
      <w:r w:rsidR="00EC058C">
        <w:t>ese</w:t>
      </w:r>
      <w:r w:rsidR="0043776B">
        <w:t xml:space="preserve"> really </w:t>
      </w:r>
      <w:r w:rsidR="00EC058C">
        <w:t xml:space="preserve">are </w:t>
      </w:r>
      <w:r w:rsidR="0043776B">
        <w:t>due to the small base preference for the non-home WPLs in this population group</w:t>
      </w:r>
      <w:r>
        <w:t>)</w:t>
      </w:r>
      <w:r w:rsidR="0043776B">
        <w:t>. But when the COVID risk i</w:t>
      </w:r>
      <w:r w:rsidR="00EC058C">
        <w:t>s</w:t>
      </w:r>
      <w:r w:rsidR="0043776B">
        <w:t xml:space="preserve"> unknown, </w:t>
      </w:r>
      <w:r w:rsidR="00EC058C">
        <w:t xml:space="preserve">the percentage reduction in the third WPL dwarfs the percentage changes for the other two WPLs. </w:t>
      </w:r>
      <w:r w:rsidR="00D10CFE">
        <w:t>This is primarily because</w:t>
      </w:r>
      <w:r w:rsidR="00EC058C">
        <w:t>,</w:t>
      </w:r>
      <w:r w:rsidR="00D10CFE">
        <w:t xml:space="preserve"> when the COVID risk is unknown, the public is more circumspect about third-workplace locations where the environment is beyond one’s control (in terms of COVID-appropriate behavior) compared to a home or a</w:t>
      </w:r>
      <w:r w:rsidR="00EC058C">
        <w:t xml:space="preserve"> </w:t>
      </w:r>
      <w:r w:rsidR="00D10CFE">
        <w:t xml:space="preserve">work office (where stricter protocols are </w:t>
      </w:r>
      <w:r w:rsidR="00EC058C">
        <w:t xml:space="preserve">likely </w:t>
      </w:r>
      <w:r w:rsidR="00D10CFE">
        <w:t>to be maintained)</w:t>
      </w:r>
      <w:r w:rsidR="00FC333F">
        <w:t xml:space="preserve">. </w:t>
      </w:r>
      <w:r w:rsidR="005011ED">
        <w:t xml:space="preserve">This brings out a basic issue about human nature that has been well established in the social-psychological literature (see, for example, </w:t>
      </w:r>
      <w:r w:rsidR="005011ED" w:rsidRPr="00E35030">
        <w:t>Wu</w:t>
      </w:r>
      <w:r w:rsidR="005011ED" w:rsidRPr="00740334" w:rsidDel="00E35030">
        <w:t xml:space="preserve"> </w:t>
      </w:r>
      <w:r w:rsidR="005011ED" w:rsidRPr="00740334">
        <w:t>et al., 2021</w:t>
      </w:r>
      <w:r w:rsidR="005011ED" w:rsidRPr="00E35030">
        <w:t>)</w:t>
      </w:r>
      <w:r w:rsidR="00B529FA">
        <w:t>. H</w:t>
      </w:r>
      <w:r w:rsidR="005011ED">
        <w:t>umans</w:t>
      </w:r>
      <w:r w:rsidR="00EC058C">
        <w:t xml:space="preserve">, when in situations where they know they have to compromise on individual preferences </w:t>
      </w:r>
      <w:r w:rsidR="00B529FA">
        <w:t xml:space="preserve">(such as at a third WPL, where they know they will be in the midst of strangers), prefer having uniform protocols of engagement (as is likely to be the case when the </w:t>
      </w:r>
      <w:r w:rsidR="00B529FA">
        <w:lastRenderedPageBreak/>
        <w:t>COVID risk is high) than not having uniform protocols (as would be the case when the COVID risk is unknown, which can lead to</w:t>
      </w:r>
      <w:r w:rsidR="005011ED">
        <w:t xml:space="preserve"> angst-raising variations </w:t>
      </w:r>
      <w:r w:rsidR="00B529FA">
        <w:t xml:space="preserve">across individuals </w:t>
      </w:r>
      <w:r w:rsidR="005011ED">
        <w:t>in safety behavior</w:t>
      </w:r>
      <w:r w:rsidR="00B529FA">
        <w:t>.</w:t>
      </w:r>
    </w:p>
    <w:p w14:paraId="06790E48" w14:textId="33E092BE" w:rsidR="005011ED" w:rsidRDefault="00B529FA" w:rsidP="00B40ED1">
      <w:pPr>
        <w:spacing w:after="0"/>
        <w:ind w:firstLine="720"/>
      </w:pPr>
      <w:r>
        <w:t xml:space="preserve"> </w:t>
      </w:r>
    </w:p>
    <w:bookmarkEnd w:id="18"/>
    <w:p w14:paraId="0978F665" w14:textId="77777777" w:rsidR="00B4409A" w:rsidRDefault="00B4409A" w:rsidP="00B40ED1">
      <w:pPr>
        <w:pStyle w:val="Style1"/>
        <w:tabs>
          <w:tab w:val="clear" w:pos="540"/>
          <w:tab w:val="left" w:pos="360"/>
        </w:tabs>
      </w:pPr>
      <w:r>
        <w:t>6.</w:t>
      </w:r>
      <w:r>
        <w:tab/>
        <w:t>CONCLUSIONS</w:t>
      </w:r>
    </w:p>
    <w:p w14:paraId="1A848D1F" w14:textId="21249785" w:rsidR="001F1D28" w:rsidRDefault="00B4409A" w:rsidP="00B40ED1">
      <w:pPr>
        <w:spacing w:after="0"/>
      </w:pPr>
      <w:bookmarkStart w:id="29" w:name="_Hlk109466963"/>
      <w:r>
        <w:t xml:space="preserve">In this paper, we have examined </w:t>
      </w:r>
      <w:r w:rsidR="00B529FA">
        <w:t xml:space="preserve">WPL preferences of workers </w:t>
      </w:r>
      <w:r>
        <w:t>in</w:t>
      </w:r>
      <w:r w:rsidR="00B529FA">
        <w:t xml:space="preserve"> an </w:t>
      </w:r>
      <w:r>
        <w:t xml:space="preserve">unpredictable and </w:t>
      </w:r>
      <w:r w:rsidR="001F1D28">
        <w:t>evolving</w:t>
      </w:r>
      <w:r>
        <w:t xml:space="preserve"> </w:t>
      </w:r>
      <w:r w:rsidR="001F1D28">
        <w:t xml:space="preserve">post-COVID </w:t>
      </w:r>
      <w:r>
        <w:t>future</w:t>
      </w:r>
      <w:r w:rsidR="002F2E54">
        <w:t xml:space="preserve"> by investigating how workers would </w:t>
      </w:r>
      <w:r w:rsidR="001F1D28">
        <w:t>prefer</w:t>
      </w:r>
      <w:r w:rsidR="002F2E54">
        <w:t xml:space="preserve"> to allocate their monthly working days among the three WPL alternatives of working from home, from the work office, and from a variable third WPL. </w:t>
      </w:r>
      <w:r w:rsidR="009C1AD2">
        <w:t xml:space="preserve">The novelty of our approach is that, for the first time to our knowledge, we recognize </w:t>
      </w:r>
      <w:r w:rsidR="002F2E54">
        <w:t xml:space="preserve">that </w:t>
      </w:r>
      <w:r w:rsidR="002F2E54" w:rsidRPr="001272C7">
        <w:t xml:space="preserve">the three work location arrangements </w:t>
      </w:r>
      <w:r w:rsidR="009C1AD2">
        <w:t xml:space="preserve">may </w:t>
      </w:r>
      <w:r w:rsidR="002F2E54" w:rsidRPr="001272C7">
        <w:t xml:space="preserve">not </w:t>
      </w:r>
      <w:r w:rsidR="009C1AD2">
        <w:t xml:space="preserve">be </w:t>
      </w:r>
      <w:r w:rsidR="002F2E54" w:rsidRPr="001272C7">
        <w:t xml:space="preserve">perfect substitutes of each other, </w:t>
      </w:r>
      <w:r w:rsidR="001F1D28">
        <w:t xml:space="preserve">but </w:t>
      </w:r>
      <w:r w:rsidR="002F2E54" w:rsidRPr="001272C7">
        <w:t xml:space="preserve">satisfy </w:t>
      </w:r>
      <w:r w:rsidR="001F1D28">
        <w:t xml:space="preserve">different </w:t>
      </w:r>
      <w:r w:rsidR="002F2E54" w:rsidRPr="001272C7">
        <w:t xml:space="preserve">functional, social, productivity, emotional, privacy, visibility, networking, financial </w:t>
      </w:r>
      <w:r w:rsidR="002F2E54">
        <w:t xml:space="preserve">and other personal/professional </w:t>
      </w:r>
      <w:r w:rsidR="002F2E54" w:rsidRPr="00AA1EC4">
        <w:t>objectives</w:t>
      </w:r>
      <w:r w:rsidR="002F2E54" w:rsidRPr="001272C7">
        <w:t xml:space="preserve"> to </w:t>
      </w:r>
      <w:r w:rsidR="001F1D28">
        <w:t xml:space="preserve">varying </w:t>
      </w:r>
      <w:r w:rsidR="002F2E54" w:rsidRPr="001272C7">
        <w:t xml:space="preserve">extents. </w:t>
      </w:r>
      <w:r w:rsidR="001F1D28">
        <w:t xml:space="preserve">Thus, in contrast to earlier studies that typically focus on telework as a binary of whether an individual is a teleworker or not, we focus our attention on workers’ preferences for specific combinations of all three WPLs </w:t>
      </w:r>
      <w:r w:rsidR="00921CF0">
        <w:t xml:space="preserve">over a period of a month </w:t>
      </w:r>
      <w:r w:rsidR="001F1D28">
        <w:t xml:space="preserve">(including, but not limited to, only selecting one WPL for all days of the month). </w:t>
      </w:r>
    </w:p>
    <w:p w14:paraId="24C08C80" w14:textId="7670B01B" w:rsidR="001F1D28" w:rsidRDefault="001F1D28" w:rsidP="00B40ED1">
      <w:pPr>
        <w:spacing w:after="0"/>
        <w:ind w:firstLine="720"/>
      </w:pPr>
      <w:r>
        <w:t xml:space="preserve">The study </w:t>
      </w:r>
      <w:r w:rsidRPr="00740334">
        <w:t>employed a traditional MDCEV model (Bhat, 2008)</w:t>
      </w:r>
      <w:r>
        <w:t xml:space="preserve"> to </w:t>
      </w:r>
      <w:r w:rsidRPr="00740334">
        <w:t xml:space="preserve">investigate </w:t>
      </w:r>
      <w:r>
        <w:t xml:space="preserve">the allocation of the total number of work days of the individual among various different combinations of WPLs. The data used for the analysis is drawn from a 2022 </w:t>
      </w:r>
      <w:r w:rsidR="00921CF0">
        <w:t xml:space="preserve">stated preference </w:t>
      </w:r>
      <w:r>
        <w:t xml:space="preserve">survey </w:t>
      </w:r>
      <w:r w:rsidR="00921CF0">
        <w:t xml:space="preserve">of future work preferences of workers. Respondents were asked to provide their optimal WPL arrangement, assuming full discretion in the choice. The responses, collected from residents of </w:t>
      </w:r>
      <w:r>
        <w:t>the state of Texas</w:t>
      </w:r>
      <w:r w:rsidR="00921CF0">
        <w:t xml:space="preserve">, were then related to </w:t>
      </w:r>
      <w:r w:rsidR="00A92F75">
        <w:t xml:space="preserve">geographic and environmental WPL correlates, job-related attributes, and COVID threat. </w:t>
      </w:r>
    </w:p>
    <w:p w14:paraId="419A3180" w14:textId="5F1679BC" w:rsidR="005F41A9" w:rsidRPr="00740334" w:rsidRDefault="00A92F75" w:rsidP="00B40ED1">
      <w:pPr>
        <w:spacing w:after="0"/>
        <w:ind w:firstLine="720"/>
      </w:pPr>
      <w:r>
        <w:t xml:space="preserve">The results from our model indicate that single young women with very young children, </w:t>
      </w:r>
      <w:r w:rsidR="00036DC4">
        <w:t xml:space="preserve">those with long commutes and “intolerable” traffic congestion to the work office, individuals with a private study in their homes, self-employed workers, </w:t>
      </w:r>
      <w:r>
        <w:t xml:space="preserve">and those in </w:t>
      </w:r>
      <w:r w:rsidR="00036DC4">
        <w:t xml:space="preserve">non-essential service occupations </w:t>
      </w:r>
      <w:r>
        <w:t>have the highest preference for working from home. On the other hand, older m</w:t>
      </w:r>
      <w:r w:rsidR="00036DC4">
        <w:t xml:space="preserve">en, individuals from </w:t>
      </w:r>
      <w:r>
        <w:t xml:space="preserve">low </w:t>
      </w:r>
      <w:r w:rsidR="00036DC4">
        <w:t xml:space="preserve">income </w:t>
      </w:r>
      <w:r>
        <w:t>household</w:t>
      </w:r>
      <w:r w:rsidR="00036DC4">
        <w:t xml:space="preserve">s, </w:t>
      </w:r>
      <w:r w:rsidR="005F41A9">
        <w:t xml:space="preserve">those residing in rural areas, </w:t>
      </w:r>
      <w:r w:rsidR="00036DC4">
        <w:t xml:space="preserve">and workers in essential service occupations </w:t>
      </w:r>
      <w:r>
        <w:t xml:space="preserve">have the highest preference for the work office. And, for the third WPL, young </w:t>
      </w:r>
      <w:r w:rsidR="005F41A9">
        <w:t xml:space="preserve">non-single </w:t>
      </w:r>
      <w:r>
        <w:t xml:space="preserve">women with very young children, </w:t>
      </w:r>
      <w:r w:rsidR="005F41A9">
        <w:t xml:space="preserve">individuals </w:t>
      </w:r>
      <w:r>
        <w:t xml:space="preserve">from </w:t>
      </w:r>
      <w:r w:rsidR="005F41A9">
        <w:t xml:space="preserve">low income </w:t>
      </w:r>
      <w:r>
        <w:t>households</w:t>
      </w:r>
      <w:r w:rsidR="005F41A9">
        <w:t xml:space="preserve">, part-time employees, and those in </w:t>
      </w:r>
      <w:r w:rsidR="005F41A9" w:rsidRPr="00740334">
        <w:t xml:space="preserve">professional, managerial or finance </w:t>
      </w:r>
      <w:r w:rsidR="005F41A9">
        <w:t xml:space="preserve">occupations have the highest predisposition. </w:t>
      </w:r>
      <w:r w:rsidR="009C1AD2">
        <w:t xml:space="preserve">These results should provide valuable insights to urban planners, homebuilders, employers, travel demand modelers, and a whole host of other businesses to achieve desired end states. </w:t>
      </w:r>
    </w:p>
    <w:p w14:paraId="7F4ECEDA" w14:textId="2876B1E1" w:rsidR="00B4409A" w:rsidRDefault="005F41A9" w:rsidP="00B40ED1">
      <w:pPr>
        <w:spacing w:after="0"/>
        <w:ind w:firstLine="720"/>
      </w:pPr>
      <w:r>
        <w:t xml:space="preserve">Our results also point to the immediate work environment being at least as important (if not more important) than geographic WPL location attributes such as commute time, with the recommendation that corporate institutions invest more on ways to reduce distraction in the environment of the work office if they plan to encourage employees to work from the office too at times for organizational productivity.  </w:t>
      </w:r>
      <w:r w:rsidR="00083D46">
        <w:t>Also, s</w:t>
      </w:r>
      <w:r w:rsidR="00B4409A">
        <w:t>teering an employee toward or away from a certain WPL option will be heavily influence</w:t>
      </w:r>
      <w:r w:rsidR="00083D46">
        <w:t>d</w:t>
      </w:r>
      <w:r w:rsidR="00B4409A">
        <w:t xml:space="preserve"> by the people and safety </w:t>
      </w:r>
      <w:r w:rsidR="009C1AD2">
        <w:t xml:space="preserve">protocols </w:t>
      </w:r>
      <w:r w:rsidR="00B4409A">
        <w:t>inside a workplace</w:t>
      </w:r>
      <w:r w:rsidR="00B74C83">
        <w:t>.</w:t>
      </w:r>
      <w:r w:rsidR="009C1AD2">
        <w:t xml:space="preserve"> Overall, our study can inform policies directed toward engendering an optimal work environment </w:t>
      </w:r>
      <w:r w:rsidR="00706F74">
        <w:lastRenderedPageBreak/>
        <w:t xml:space="preserve">customized to </w:t>
      </w:r>
      <w:r w:rsidR="009C1AD2">
        <w:t>individual desires a</w:t>
      </w:r>
      <w:r w:rsidR="00706F74">
        <w:t xml:space="preserve">s well as </w:t>
      </w:r>
      <w:r w:rsidR="009C1AD2">
        <w:t xml:space="preserve">organizational </w:t>
      </w:r>
      <w:r w:rsidR="00706F74">
        <w:t xml:space="preserve">needs. </w:t>
      </w:r>
      <w:r w:rsidR="00904974">
        <w:t xml:space="preserve">From a data collection standpoint, our study underscores the need to collect much more detailed information </w:t>
      </w:r>
      <w:r w:rsidR="00615E97">
        <w:t xml:space="preserve">in activity-travel surveys </w:t>
      </w:r>
      <w:r w:rsidR="00904974">
        <w:t>about work patterns, including typical work hours on working days,</w:t>
      </w:r>
      <w:r w:rsidR="00615E97">
        <w:t xml:space="preserve"> </w:t>
      </w:r>
      <w:r w:rsidR="00904974">
        <w:t xml:space="preserve">variations in work hours across work days, </w:t>
      </w:r>
      <w:r w:rsidR="00615E97">
        <w:t xml:space="preserve">weekly </w:t>
      </w:r>
      <w:r w:rsidR="00904974">
        <w:t xml:space="preserve">number of work hours, and the </w:t>
      </w:r>
      <w:r w:rsidR="00615E97">
        <w:t xml:space="preserve">monthly </w:t>
      </w:r>
      <w:r w:rsidR="00904974">
        <w:t xml:space="preserve">number of work days (rather than a simple part-time versus full-time categorization based on number of work hours per week). </w:t>
      </w:r>
    </w:p>
    <w:p w14:paraId="13FA4693" w14:textId="0609620A" w:rsidR="00B4409A" w:rsidRDefault="00B74C83" w:rsidP="00B40ED1">
      <w:pPr>
        <w:spacing w:after="0"/>
        <w:ind w:firstLine="720"/>
      </w:pPr>
      <w:r>
        <w:t>Of course, as with any paper, t</w:t>
      </w:r>
      <w:r w:rsidR="00B4409A">
        <w:t xml:space="preserve">here are </w:t>
      </w:r>
      <w:r w:rsidR="009C1AD2">
        <w:t xml:space="preserve">several </w:t>
      </w:r>
      <w:r w:rsidR="00B4409A">
        <w:t xml:space="preserve">directions for future research. </w:t>
      </w:r>
      <w:r w:rsidR="00083D46">
        <w:t xml:space="preserve">While this study considered a host of demographic, job, WPL, and COVID threat characteristics, it did not consider the specific type of activities that individuals pursue on their job nor did it consider </w:t>
      </w:r>
      <w:r w:rsidR="00B4409A">
        <w:t xml:space="preserve">employees’ </w:t>
      </w:r>
      <w:r w:rsidR="00083D46">
        <w:t xml:space="preserve">subjective valuations of </w:t>
      </w:r>
      <w:r w:rsidR="00B4409A">
        <w:t xml:space="preserve">mental </w:t>
      </w:r>
      <w:r w:rsidR="00083D46">
        <w:t>and social wellbeing</w:t>
      </w:r>
      <w:r w:rsidR="00B4409A">
        <w:t>, productivity</w:t>
      </w:r>
      <w:r w:rsidR="00083D46">
        <w:t>,</w:t>
      </w:r>
      <w:r w:rsidR="00B4409A">
        <w:t xml:space="preserve"> and control </w:t>
      </w:r>
      <w:r w:rsidR="009C1AD2">
        <w:t xml:space="preserve">as they impact </w:t>
      </w:r>
      <w:r w:rsidR="00083D46">
        <w:t>WPL choices</w:t>
      </w:r>
      <w:r w:rsidR="00B4409A">
        <w:t xml:space="preserve">. </w:t>
      </w:r>
      <w:r w:rsidR="00083D46">
        <w:t xml:space="preserve">Including such </w:t>
      </w:r>
      <w:r w:rsidR="009C1AD2">
        <w:t xml:space="preserve">social context </w:t>
      </w:r>
      <w:r w:rsidR="00083D46">
        <w:t>factors</w:t>
      </w:r>
      <w:r w:rsidR="009C1AD2">
        <w:t>, possibly through latent attitudinal constructs estimated through the collection of a batter of indicator variables,</w:t>
      </w:r>
      <w:r w:rsidR="00083D46">
        <w:t xml:space="preserve"> can provide additional insights into hybrid work patterns. Further, wh</w:t>
      </w:r>
      <w:r w:rsidR="00187951">
        <w:t>i</w:t>
      </w:r>
      <w:r w:rsidR="00083D46">
        <w:t>le the sample size for this study was reasonable (1</w:t>
      </w:r>
      <w:r w:rsidR="002C51A0">
        <w:t>,</w:t>
      </w:r>
      <w:r w:rsidR="00083D46">
        <w:t xml:space="preserve">136 respondents, each of whom provided responses to two SP choice occasions), </w:t>
      </w:r>
      <w:r w:rsidR="009C1AD2">
        <w:t xml:space="preserve">a larger sample size in future studies may unravel further interactions among variables that could not be teased out in the current study. </w:t>
      </w:r>
      <w:r w:rsidR="00B4409A">
        <w:t xml:space="preserve"> </w:t>
      </w:r>
    </w:p>
    <w:p w14:paraId="382AC81A" w14:textId="77777777" w:rsidR="00B40ED1" w:rsidRDefault="00706F74" w:rsidP="00B40ED1">
      <w:pPr>
        <w:spacing w:after="0"/>
        <w:ind w:firstLine="720"/>
      </w:pPr>
      <w:r>
        <w:t>To conclude, a</w:t>
      </w:r>
      <w:r w:rsidR="00B4409A">
        <w:t xml:space="preserve">s the </w:t>
      </w:r>
      <w:r>
        <w:t xml:space="preserve">effects of </w:t>
      </w:r>
      <w:r w:rsidR="00B4409A">
        <w:t xml:space="preserve">COVID-era </w:t>
      </w:r>
      <w:r>
        <w:t xml:space="preserve">on society </w:t>
      </w:r>
      <w:r w:rsidR="00B4409A">
        <w:t>continue to wan</w:t>
      </w:r>
      <w:r>
        <w:t>e</w:t>
      </w:r>
      <w:r w:rsidR="00B4409A">
        <w:t>, it will be interesting to see how society adjusts to returning to various physical environment</w:t>
      </w:r>
      <w:r>
        <w:t xml:space="preserve">s. </w:t>
      </w:r>
      <w:r w:rsidR="00B4409A">
        <w:t xml:space="preserve">Our study </w:t>
      </w:r>
      <w:r>
        <w:t xml:space="preserve">provides what we believe is a solid foundation in this direction in the specific context of WPL choices, though much more about our activity-travel patterns and our very ways of life remain to be explored, leaving open a challenging and exciting time for human behavioral research </w:t>
      </w:r>
      <w:r w:rsidR="00B4409A">
        <w:t>as we continue into an uncertain and unprecedented future.</w:t>
      </w:r>
    </w:p>
    <w:p w14:paraId="79ECB67B" w14:textId="116DB0F8" w:rsidR="003C0A9F" w:rsidRDefault="00B4409A" w:rsidP="00B40ED1">
      <w:pPr>
        <w:spacing w:after="0"/>
        <w:ind w:firstLine="720"/>
      </w:pPr>
      <w:r>
        <w:t xml:space="preserve"> </w:t>
      </w:r>
      <w:bookmarkStart w:id="30" w:name="_Hlk109206092"/>
    </w:p>
    <w:bookmarkEnd w:id="29"/>
    <w:p w14:paraId="5CE18654" w14:textId="77777777" w:rsidR="00D61A38" w:rsidRDefault="00D61A38" w:rsidP="00B40ED1">
      <w:pPr>
        <w:keepNext/>
        <w:keepLines/>
        <w:spacing w:after="0"/>
        <w:rPr>
          <w:b/>
        </w:rPr>
      </w:pPr>
      <w:r>
        <w:rPr>
          <w:b/>
        </w:rPr>
        <w:t>ACKNOWLEDGEMENTS</w:t>
      </w:r>
    </w:p>
    <w:p w14:paraId="52EB30F0" w14:textId="16911900" w:rsidR="00D61A38" w:rsidRDefault="00D61A38" w:rsidP="00B40ED1">
      <w:pPr>
        <w:spacing w:after="0"/>
      </w:pPr>
      <w:bookmarkStart w:id="31" w:name="_Hlk106714961"/>
      <w:r w:rsidRPr="001A345C">
        <w:t xml:space="preserve">This research was partially supported by the </w:t>
      </w:r>
      <w:r w:rsidRPr="001A345C">
        <w:rPr>
          <w:bCs/>
        </w:rPr>
        <w:t>Texas Department of Transportation (TxDOT) under</w:t>
      </w:r>
      <w:r w:rsidRPr="001A345C">
        <w:rPr>
          <w:bCs/>
          <w:color w:val="FF0000"/>
        </w:rPr>
        <w:t xml:space="preserve"> </w:t>
      </w:r>
      <w:r w:rsidRPr="001A345C">
        <w:rPr>
          <w:bCs/>
        </w:rPr>
        <w:t xml:space="preserve">project number 0-7054: Integration of Stated Preference and Revealed Preference Methods in Regional Travel Survey Programs. </w:t>
      </w:r>
      <w:r w:rsidR="00904974" w:rsidRPr="001A345C">
        <w:rPr>
          <w:bCs/>
        </w:rPr>
        <w:t xml:space="preserve">The authors would like to thank </w:t>
      </w:r>
      <w:r w:rsidR="00CA6E2A" w:rsidRPr="001A345C">
        <w:rPr>
          <w:bCs/>
        </w:rPr>
        <w:t xml:space="preserve">Tom </w:t>
      </w:r>
      <w:proofErr w:type="spellStart"/>
      <w:r w:rsidR="00CA6E2A" w:rsidRPr="001A345C">
        <w:rPr>
          <w:bCs/>
        </w:rPr>
        <w:t>Sch</w:t>
      </w:r>
      <w:r w:rsidR="001A345C" w:rsidRPr="001A345C">
        <w:rPr>
          <w:bCs/>
        </w:rPr>
        <w:t>werdt</w:t>
      </w:r>
      <w:proofErr w:type="spellEnd"/>
      <w:r w:rsidR="00CA6E2A" w:rsidRPr="001A345C">
        <w:rPr>
          <w:bCs/>
        </w:rPr>
        <w:t xml:space="preserve">, </w:t>
      </w:r>
      <w:r w:rsidR="00CA6E2A" w:rsidRPr="00616249">
        <w:rPr>
          <w:bCs/>
        </w:rPr>
        <w:t xml:space="preserve">Christeen Pusch, Geena Maskey, Ibrahima </w:t>
      </w:r>
      <w:r w:rsidR="001A345C" w:rsidRPr="00616249">
        <w:rPr>
          <w:bCs/>
        </w:rPr>
        <w:t>Tembely</w:t>
      </w:r>
      <w:r w:rsidR="00CA6E2A" w:rsidRPr="00616249">
        <w:rPr>
          <w:bCs/>
        </w:rPr>
        <w:t>, Janie Temple</w:t>
      </w:r>
      <w:r w:rsidR="001A345C" w:rsidRPr="00616249">
        <w:rPr>
          <w:bCs/>
        </w:rPr>
        <w:t xml:space="preserve">, Sonya </w:t>
      </w:r>
      <w:proofErr w:type="spellStart"/>
      <w:r w:rsidR="001A345C" w:rsidRPr="00616249">
        <w:rPr>
          <w:bCs/>
        </w:rPr>
        <w:t>Solinsky</w:t>
      </w:r>
      <w:proofErr w:type="spellEnd"/>
      <w:r w:rsidR="001A345C" w:rsidRPr="00616249">
        <w:rPr>
          <w:bCs/>
        </w:rPr>
        <w:t>, and Chad Coburn</w:t>
      </w:r>
      <w:r w:rsidR="00CA6E2A" w:rsidRPr="00616249">
        <w:rPr>
          <w:bCs/>
        </w:rPr>
        <w:t xml:space="preserve"> </w:t>
      </w:r>
      <w:r w:rsidR="00CA6E2A" w:rsidRPr="001A345C">
        <w:rPr>
          <w:bCs/>
        </w:rPr>
        <w:t>for useful comments throughout the project, and for assisting with survey development and dissemination</w:t>
      </w:r>
      <w:r w:rsidRPr="001A345C">
        <w:t>. The authors</w:t>
      </w:r>
      <w:r>
        <w:t xml:space="preserve"> are grateful to Lisa Macias </w:t>
      </w:r>
      <w:r w:rsidR="00904974">
        <w:t xml:space="preserve">and Sarah McGavick </w:t>
      </w:r>
      <w:r w:rsidR="00CA6E2A">
        <w:t xml:space="preserve">for </w:t>
      </w:r>
      <w:r>
        <w:t xml:space="preserve">help in </w:t>
      </w:r>
      <w:r w:rsidR="00CA6E2A">
        <w:t xml:space="preserve">survey instrument design, and Lisa Macias for additional help </w:t>
      </w:r>
      <w:bookmarkEnd w:id="31"/>
      <w:r w:rsidR="00A03997" w:rsidRPr="00C6225F">
        <w:t>in formatting this document</w:t>
      </w:r>
      <w:r>
        <w:t>.</w:t>
      </w:r>
      <w:r w:rsidR="00ED59D3">
        <w:t xml:space="preserve"> </w:t>
      </w:r>
      <w:r w:rsidR="00ED59D3">
        <w:rPr>
          <w:bCs/>
        </w:rPr>
        <w:t>Two</w:t>
      </w:r>
      <w:r w:rsidR="00ED59D3" w:rsidRPr="00390615">
        <w:rPr>
          <w:bCs/>
        </w:rPr>
        <w:t xml:space="preserve"> anonymous reviewers provided useful comments </w:t>
      </w:r>
      <w:r w:rsidR="00ED59D3">
        <w:rPr>
          <w:bCs/>
        </w:rPr>
        <w:t xml:space="preserve">and suggestions </w:t>
      </w:r>
      <w:r w:rsidR="00ED59D3" w:rsidRPr="00390615">
        <w:rPr>
          <w:bCs/>
        </w:rPr>
        <w:t>on an earlier version of th</w:t>
      </w:r>
      <w:r w:rsidR="00ED59D3">
        <w:rPr>
          <w:bCs/>
        </w:rPr>
        <w:t>is</w:t>
      </w:r>
      <w:r w:rsidR="00ED59D3" w:rsidRPr="00390615">
        <w:rPr>
          <w:bCs/>
        </w:rPr>
        <w:t xml:space="preserve"> paper</w:t>
      </w:r>
      <w:r w:rsidR="00ED59D3" w:rsidRPr="005D3220">
        <w:rPr>
          <w:bCs/>
        </w:rPr>
        <w:t>.</w:t>
      </w:r>
    </w:p>
    <w:p w14:paraId="510E8C7D" w14:textId="77777777" w:rsidR="00B40ED1" w:rsidRDefault="00B40ED1" w:rsidP="00B40ED1">
      <w:pPr>
        <w:spacing w:after="0"/>
      </w:pPr>
    </w:p>
    <w:bookmarkEnd w:id="30"/>
    <w:p w14:paraId="3F51C316" w14:textId="77777777" w:rsidR="00B73A3E" w:rsidRPr="00A03997" w:rsidRDefault="00B73A3E" w:rsidP="00A03997">
      <w:pPr>
        <w:spacing w:after="0" w:line="240" w:lineRule="auto"/>
        <w:ind w:left="720" w:hanging="720"/>
        <w:rPr>
          <w:b/>
          <w:color w:val="222222"/>
          <w:shd w:val="clear" w:color="auto" w:fill="FFFFFF"/>
        </w:rPr>
      </w:pPr>
      <w:r w:rsidRPr="00A03997">
        <w:rPr>
          <w:b/>
          <w:color w:val="222222"/>
          <w:shd w:val="clear" w:color="auto" w:fill="FFFFFF"/>
        </w:rPr>
        <w:t>REFERENCES</w:t>
      </w:r>
    </w:p>
    <w:p w14:paraId="6C1621C3" w14:textId="77777777" w:rsidR="00F207F8" w:rsidRPr="00A03997" w:rsidRDefault="00F207F8" w:rsidP="009D6562">
      <w:pPr>
        <w:spacing w:before="100" w:after="0" w:line="240" w:lineRule="auto"/>
        <w:ind w:left="540" w:hanging="540"/>
        <w:rPr>
          <w:color w:val="000000" w:themeColor="text1"/>
        </w:rPr>
      </w:pPr>
      <w:bookmarkStart w:id="32" w:name="_Hlk106611752"/>
      <w:proofErr w:type="spellStart"/>
      <w:r w:rsidRPr="00A03997">
        <w:rPr>
          <w:color w:val="000000" w:themeColor="text1"/>
        </w:rPr>
        <w:t>Ajzen</w:t>
      </w:r>
      <w:proofErr w:type="spellEnd"/>
      <w:r w:rsidRPr="00A03997">
        <w:rPr>
          <w:color w:val="000000" w:themeColor="text1"/>
        </w:rPr>
        <w:t xml:space="preserve">, I. (1991). Theory of planned behavior. </w:t>
      </w:r>
      <w:r w:rsidRPr="00A03997">
        <w:rPr>
          <w:i/>
          <w:iCs/>
          <w:color w:val="000000" w:themeColor="text1"/>
        </w:rPr>
        <w:t>Organizational Behavior and Human Decision Processes</w:t>
      </w:r>
      <w:r w:rsidRPr="00A03997">
        <w:rPr>
          <w:color w:val="000000" w:themeColor="text1"/>
        </w:rPr>
        <w:t xml:space="preserve">, </w:t>
      </w:r>
      <w:r w:rsidRPr="003406D6">
        <w:rPr>
          <w:i/>
          <w:iCs/>
          <w:color w:val="000000" w:themeColor="text1"/>
        </w:rPr>
        <w:t>50</w:t>
      </w:r>
      <w:r w:rsidRPr="00A03997">
        <w:rPr>
          <w:color w:val="000000" w:themeColor="text1"/>
        </w:rPr>
        <w:t xml:space="preserve">(2), 179-211. </w:t>
      </w:r>
      <w:hyperlink r:id="rId145" w:history="1">
        <w:r w:rsidRPr="00A03997">
          <w:rPr>
            <w:rStyle w:val="Heading2Char"/>
            <w:rFonts w:cs="Times New Roman"/>
            <w:b w:val="0"/>
            <w:color w:val="000000" w:themeColor="text1"/>
            <w:szCs w:val="24"/>
          </w:rPr>
          <w:t>https://doi.org/https://doi.org/10.1016/0749-5978(91)90020-T</w:t>
        </w:r>
      </w:hyperlink>
      <w:bookmarkEnd w:id="32"/>
    </w:p>
    <w:p w14:paraId="281A3299" w14:textId="77777777" w:rsidR="00F207F8" w:rsidRPr="00A03997" w:rsidRDefault="00F207F8" w:rsidP="009D6562">
      <w:pPr>
        <w:spacing w:before="100" w:after="0" w:line="240" w:lineRule="auto"/>
        <w:ind w:left="540" w:hanging="540"/>
      </w:pPr>
      <w:r w:rsidRPr="00A03997">
        <w:t xml:space="preserve">Angrist, J.D., and </w:t>
      </w:r>
      <w:proofErr w:type="spellStart"/>
      <w:r w:rsidRPr="00A03997">
        <w:t>Imbens</w:t>
      </w:r>
      <w:proofErr w:type="spellEnd"/>
      <w:r w:rsidRPr="00A03997">
        <w:t>, G.W.</w:t>
      </w:r>
      <w:r>
        <w:t xml:space="preserve"> (</w:t>
      </w:r>
      <w:r w:rsidRPr="00A03997">
        <w:t>1991</w:t>
      </w:r>
      <w:r>
        <w:t>)</w:t>
      </w:r>
      <w:r w:rsidRPr="00A03997">
        <w:t xml:space="preserve">. Sources of identifying information in evaluation models. </w:t>
      </w:r>
      <w:r w:rsidRPr="00A03997">
        <w:rPr>
          <w:shd w:val="clear" w:color="auto" w:fill="FFFFFF"/>
        </w:rPr>
        <w:t>Technical Working Paper</w:t>
      </w:r>
      <w:r>
        <w:rPr>
          <w:shd w:val="clear" w:color="auto" w:fill="FFFFFF"/>
        </w:rPr>
        <w:t xml:space="preserve"> </w:t>
      </w:r>
      <w:r w:rsidRPr="00A03997">
        <w:rPr>
          <w:shd w:val="clear" w:color="auto" w:fill="FFFFFF"/>
        </w:rPr>
        <w:t>0117, National Bureau of Economic Research</w:t>
      </w:r>
      <w:r w:rsidRPr="00A03997">
        <w:t xml:space="preserve">. </w:t>
      </w:r>
    </w:p>
    <w:p w14:paraId="4107D39E" w14:textId="77777777" w:rsidR="007F244F" w:rsidRDefault="00F207F8" w:rsidP="009D6562">
      <w:pPr>
        <w:spacing w:before="100" w:after="0" w:line="240" w:lineRule="auto"/>
        <w:ind w:left="540" w:hanging="540"/>
        <w:rPr>
          <w:shd w:val="clear" w:color="auto" w:fill="FFFFFF"/>
        </w:rPr>
      </w:pPr>
      <w:r w:rsidRPr="005106D7">
        <w:rPr>
          <w:shd w:val="clear" w:color="auto" w:fill="FFFFFF"/>
        </w:rPr>
        <w:lastRenderedPageBreak/>
        <w:t>Appel-</w:t>
      </w:r>
      <w:proofErr w:type="spellStart"/>
      <w:r w:rsidRPr="005106D7">
        <w:rPr>
          <w:shd w:val="clear" w:color="auto" w:fill="FFFFFF"/>
        </w:rPr>
        <w:t>Meulenbroek</w:t>
      </w:r>
      <w:proofErr w:type="spellEnd"/>
      <w:r w:rsidRPr="005106D7">
        <w:rPr>
          <w:shd w:val="clear" w:color="auto" w:fill="FFFFFF"/>
        </w:rPr>
        <w:t xml:space="preserve">, R., </w:t>
      </w:r>
      <w:proofErr w:type="spellStart"/>
      <w:r w:rsidRPr="005106D7">
        <w:rPr>
          <w:shd w:val="clear" w:color="auto" w:fill="FFFFFF"/>
        </w:rPr>
        <w:t>Kemperman</w:t>
      </w:r>
      <w:proofErr w:type="spellEnd"/>
      <w:r w:rsidRPr="005106D7">
        <w:rPr>
          <w:shd w:val="clear" w:color="auto" w:fill="FFFFFF"/>
        </w:rPr>
        <w:t xml:space="preserve">, A., van de Water, A., </w:t>
      </w:r>
      <w:proofErr w:type="spellStart"/>
      <w:r w:rsidRPr="005106D7">
        <w:rPr>
          <w:shd w:val="clear" w:color="auto" w:fill="FFFFFF"/>
        </w:rPr>
        <w:t>Weijs-Perrée</w:t>
      </w:r>
      <w:proofErr w:type="spellEnd"/>
      <w:r w:rsidRPr="005106D7">
        <w:rPr>
          <w:shd w:val="clear" w:color="auto" w:fill="FFFFFF"/>
        </w:rPr>
        <w:t xml:space="preserve">, M., and </w:t>
      </w:r>
      <w:proofErr w:type="spellStart"/>
      <w:r w:rsidRPr="005106D7">
        <w:rPr>
          <w:shd w:val="clear" w:color="auto" w:fill="FFFFFF"/>
        </w:rPr>
        <w:t>Verhaegh</w:t>
      </w:r>
      <w:proofErr w:type="spellEnd"/>
      <w:r w:rsidRPr="005106D7">
        <w:rPr>
          <w:shd w:val="clear" w:color="auto" w:fill="FFFFFF"/>
        </w:rPr>
        <w:t>, J. (2022). How to attract employees back to the office? A stated choice study on hybrid working preferences. </w:t>
      </w:r>
      <w:r w:rsidRPr="005106D7">
        <w:rPr>
          <w:i/>
          <w:iCs/>
          <w:shd w:val="clear" w:color="auto" w:fill="FFFFFF"/>
        </w:rPr>
        <w:t>Journal of Environmental Psychology</w:t>
      </w:r>
      <w:r w:rsidRPr="005106D7">
        <w:rPr>
          <w:shd w:val="clear" w:color="auto" w:fill="FFFFFF"/>
        </w:rPr>
        <w:t xml:space="preserve">, </w:t>
      </w:r>
      <w:r w:rsidRPr="005106D7">
        <w:rPr>
          <w:i/>
          <w:shd w:val="clear" w:color="auto" w:fill="FFFFFF"/>
        </w:rPr>
        <w:t>81</w:t>
      </w:r>
      <w:r w:rsidRPr="005106D7">
        <w:rPr>
          <w:shd w:val="clear" w:color="auto" w:fill="FFFFFF"/>
        </w:rPr>
        <w:t>, 101784.</w:t>
      </w:r>
    </w:p>
    <w:p w14:paraId="64DFF369" w14:textId="2C046E4A" w:rsidR="00F207F8" w:rsidRPr="007F244F" w:rsidRDefault="00F207F8" w:rsidP="009D6562">
      <w:pPr>
        <w:spacing w:before="100" w:after="0" w:line="240" w:lineRule="auto"/>
        <w:ind w:left="540" w:hanging="540"/>
        <w:rPr>
          <w:shd w:val="clear" w:color="auto" w:fill="FFFFFF"/>
        </w:rPr>
      </w:pPr>
      <w:r w:rsidRPr="00F207F8">
        <w:t>Aptech (2022). Gauss (21) [Computer Software]. Aptech Systems.</w:t>
      </w:r>
    </w:p>
    <w:p w14:paraId="7E89E260" w14:textId="77777777" w:rsidR="00F207F8" w:rsidRPr="005106D7" w:rsidRDefault="00F207F8" w:rsidP="009D6562">
      <w:pPr>
        <w:spacing w:before="100" w:after="0" w:line="240" w:lineRule="auto"/>
        <w:ind w:left="540" w:hanging="540"/>
        <w:rPr>
          <w:color w:val="222222"/>
          <w:shd w:val="clear" w:color="auto" w:fill="FFFFFF"/>
        </w:rPr>
      </w:pPr>
      <w:proofErr w:type="spellStart"/>
      <w:r w:rsidRPr="005106D7">
        <w:rPr>
          <w:color w:val="222222"/>
          <w:shd w:val="clear" w:color="auto" w:fill="FFFFFF"/>
        </w:rPr>
        <w:t>Asdecker</w:t>
      </w:r>
      <w:proofErr w:type="spellEnd"/>
      <w:r w:rsidRPr="005106D7">
        <w:rPr>
          <w:color w:val="222222"/>
          <w:shd w:val="clear" w:color="auto" w:fill="FFFFFF"/>
        </w:rPr>
        <w:t xml:space="preserve">, B. (2022). Travel-related influencer content on </w:t>
      </w:r>
      <w:proofErr w:type="spellStart"/>
      <w:r w:rsidRPr="005106D7">
        <w:rPr>
          <w:color w:val="222222"/>
          <w:shd w:val="clear" w:color="auto" w:fill="FFFFFF"/>
        </w:rPr>
        <w:t>instagram</w:t>
      </w:r>
      <w:proofErr w:type="spellEnd"/>
      <w:r w:rsidRPr="005106D7">
        <w:rPr>
          <w:color w:val="222222"/>
          <w:shd w:val="clear" w:color="auto" w:fill="FFFFFF"/>
        </w:rPr>
        <w:t>: How social media fuels wanderlust and how to mitigate the effect. </w:t>
      </w:r>
      <w:r w:rsidRPr="005106D7">
        <w:rPr>
          <w:i/>
          <w:iCs/>
          <w:color w:val="222222"/>
          <w:shd w:val="clear" w:color="auto" w:fill="FFFFFF"/>
        </w:rPr>
        <w:t>Sustainability</w:t>
      </w:r>
      <w:r w:rsidRPr="005106D7">
        <w:rPr>
          <w:color w:val="222222"/>
          <w:shd w:val="clear" w:color="auto" w:fill="FFFFFF"/>
        </w:rPr>
        <w:t>, </w:t>
      </w:r>
      <w:r w:rsidRPr="005106D7">
        <w:rPr>
          <w:i/>
          <w:iCs/>
          <w:color w:val="222222"/>
          <w:shd w:val="clear" w:color="auto" w:fill="FFFFFF"/>
        </w:rPr>
        <w:t>14</w:t>
      </w:r>
      <w:r w:rsidRPr="005106D7">
        <w:rPr>
          <w:color w:val="222222"/>
          <w:shd w:val="clear" w:color="auto" w:fill="FFFFFF"/>
        </w:rPr>
        <w:t>(2), 855.</w:t>
      </w:r>
    </w:p>
    <w:p w14:paraId="0ABE77E9" w14:textId="77777777" w:rsidR="00F207F8" w:rsidRPr="005106D7" w:rsidRDefault="00F207F8" w:rsidP="009D6562">
      <w:pPr>
        <w:spacing w:before="100" w:after="0" w:line="240" w:lineRule="auto"/>
        <w:ind w:left="540" w:hanging="540"/>
        <w:rPr>
          <w:shd w:val="clear" w:color="auto" w:fill="FFFFFF"/>
        </w:rPr>
      </w:pPr>
      <w:bookmarkStart w:id="33" w:name="_Toc99017836"/>
      <w:r w:rsidRPr="005106D7">
        <w:rPr>
          <w:shd w:val="clear" w:color="auto" w:fill="FFFFFF"/>
        </w:rPr>
        <w:t xml:space="preserve">Astroza, S., </w:t>
      </w:r>
      <w:proofErr w:type="spellStart"/>
      <w:r w:rsidRPr="005106D7">
        <w:rPr>
          <w:shd w:val="clear" w:color="auto" w:fill="FFFFFF"/>
        </w:rPr>
        <w:t>Tirachini</w:t>
      </w:r>
      <w:proofErr w:type="spellEnd"/>
      <w:r w:rsidRPr="005106D7">
        <w:rPr>
          <w:shd w:val="clear" w:color="auto" w:fill="FFFFFF"/>
        </w:rPr>
        <w:t xml:space="preserve">, A., </w:t>
      </w:r>
      <w:proofErr w:type="spellStart"/>
      <w:r w:rsidRPr="005106D7">
        <w:rPr>
          <w:shd w:val="clear" w:color="auto" w:fill="FFFFFF"/>
        </w:rPr>
        <w:t>Hurtubia</w:t>
      </w:r>
      <w:proofErr w:type="spellEnd"/>
      <w:r w:rsidRPr="005106D7">
        <w:rPr>
          <w:shd w:val="clear" w:color="auto" w:fill="FFFFFF"/>
        </w:rPr>
        <w:t xml:space="preserve">, R., Carrasco, J. A., Guevara, A., </w:t>
      </w:r>
      <w:proofErr w:type="spellStart"/>
      <w:r w:rsidRPr="005106D7">
        <w:rPr>
          <w:shd w:val="clear" w:color="auto" w:fill="FFFFFF"/>
        </w:rPr>
        <w:t>Munizaga</w:t>
      </w:r>
      <w:proofErr w:type="spellEnd"/>
      <w:r w:rsidRPr="005106D7">
        <w:rPr>
          <w:shd w:val="clear" w:color="auto" w:fill="FFFFFF"/>
        </w:rPr>
        <w:t>, M., Figueroa, M., and Torres, V. (2020). Mobility changes, teleworking, and remote communication during the COVID-19 pandemic in Chile. </w:t>
      </w:r>
      <w:r w:rsidRPr="005106D7">
        <w:rPr>
          <w:i/>
          <w:iCs/>
          <w:shd w:val="clear" w:color="auto" w:fill="FFFFFF"/>
        </w:rPr>
        <w:t>Findings</w:t>
      </w:r>
      <w:r w:rsidRPr="005106D7">
        <w:rPr>
          <w:shd w:val="clear" w:color="auto" w:fill="FFFFFF"/>
        </w:rPr>
        <w:t>, 13489.</w:t>
      </w:r>
      <w:bookmarkEnd w:id="33"/>
    </w:p>
    <w:p w14:paraId="480AE303" w14:textId="77777777" w:rsidR="00F207F8" w:rsidRPr="005106D7" w:rsidRDefault="00F207F8" w:rsidP="009D6562">
      <w:pPr>
        <w:spacing w:before="100" w:after="0" w:line="240" w:lineRule="auto"/>
        <w:ind w:left="540" w:hanging="540"/>
        <w:rPr>
          <w:shd w:val="clear" w:color="auto" w:fill="FFFFFF"/>
        </w:rPr>
      </w:pPr>
      <w:bookmarkStart w:id="34" w:name="_Hlk100663664"/>
      <w:bookmarkStart w:id="35" w:name="_Toc99017837"/>
      <w:proofErr w:type="spellStart"/>
      <w:r w:rsidRPr="005106D7">
        <w:rPr>
          <w:shd w:val="clear" w:color="auto" w:fill="FFFFFF"/>
        </w:rPr>
        <w:t>Athanasiadou</w:t>
      </w:r>
      <w:proofErr w:type="spellEnd"/>
      <w:r w:rsidRPr="005106D7">
        <w:rPr>
          <w:shd w:val="clear" w:color="auto" w:fill="FFFFFF"/>
        </w:rPr>
        <w:t xml:space="preserve">, C., and </w:t>
      </w:r>
      <w:proofErr w:type="spellStart"/>
      <w:r w:rsidRPr="005106D7">
        <w:rPr>
          <w:shd w:val="clear" w:color="auto" w:fill="FFFFFF"/>
        </w:rPr>
        <w:t>Theriou</w:t>
      </w:r>
      <w:bookmarkEnd w:id="34"/>
      <w:proofErr w:type="spellEnd"/>
      <w:r w:rsidRPr="005106D7">
        <w:rPr>
          <w:shd w:val="clear" w:color="auto" w:fill="FFFFFF"/>
        </w:rPr>
        <w:t>, G. (2021). Telework: systematic literature review and future research agenda. </w:t>
      </w:r>
      <w:proofErr w:type="spellStart"/>
      <w:r w:rsidRPr="005106D7">
        <w:rPr>
          <w:i/>
          <w:iCs/>
          <w:shd w:val="clear" w:color="auto" w:fill="FFFFFF"/>
        </w:rPr>
        <w:t>Heliyon</w:t>
      </w:r>
      <w:proofErr w:type="spellEnd"/>
      <w:r w:rsidRPr="005106D7">
        <w:rPr>
          <w:shd w:val="clear" w:color="auto" w:fill="FFFFFF"/>
        </w:rPr>
        <w:t>, </w:t>
      </w:r>
      <w:r w:rsidRPr="005106D7">
        <w:rPr>
          <w:i/>
          <w:iCs/>
          <w:shd w:val="clear" w:color="auto" w:fill="FFFFFF"/>
        </w:rPr>
        <w:t>7</w:t>
      </w:r>
      <w:r w:rsidRPr="005106D7">
        <w:rPr>
          <w:shd w:val="clear" w:color="auto" w:fill="FFFFFF"/>
        </w:rPr>
        <w:t>(10), e08165.</w:t>
      </w:r>
      <w:bookmarkEnd w:id="35"/>
    </w:p>
    <w:p w14:paraId="64B3BADC" w14:textId="77777777" w:rsidR="00F207F8" w:rsidRPr="005106D7" w:rsidRDefault="00F207F8" w:rsidP="009D6562">
      <w:pPr>
        <w:spacing w:before="100" w:after="0" w:line="240" w:lineRule="auto"/>
        <w:ind w:left="540" w:hanging="540"/>
        <w:rPr>
          <w:color w:val="222222"/>
          <w:shd w:val="clear" w:color="auto" w:fill="FFFFFF"/>
        </w:rPr>
      </w:pPr>
      <w:r w:rsidRPr="005106D7">
        <w:rPr>
          <w:color w:val="222222"/>
          <w:shd w:val="clear" w:color="auto" w:fill="FFFFFF"/>
        </w:rPr>
        <w:t xml:space="preserve">Baba, H., Ikegami, K., Ando, H., </w:t>
      </w:r>
      <w:proofErr w:type="spellStart"/>
      <w:r w:rsidRPr="005106D7">
        <w:rPr>
          <w:color w:val="222222"/>
          <w:shd w:val="clear" w:color="auto" w:fill="FFFFFF"/>
        </w:rPr>
        <w:t>Eguchi</w:t>
      </w:r>
      <w:proofErr w:type="spellEnd"/>
      <w:r w:rsidRPr="005106D7">
        <w:rPr>
          <w:color w:val="222222"/>
          <w:shd w:val="clear" w:color="auto" w:fill="FFFFFF"/>
        </w:rPr>
        <w:t xml:space="preserve">, H., Tsuji, M., </w:t>
      </w:r>
      <w:proofErr w:type="spellStart"/>
      <w:r w:rsidRPr="005106D7">
        <w:rPr>
          <w:color w:val="222222"/>
          <w:shd w:val="clear" w:color="auto" w:fill="FFFFFF"/>
        </w:rPr>
        <w:t>Tateishi</w:t>
      </w:r>
      <w:proofErr w:type="spellEnd"/>
      <w:r w:rsidRPr="005106D7">
        <w:rPr>
          <w:color w:val="222222"/>
          <w:shd w:val="clear" w:color="auto" w:fill="FFFFFF"/>
        </w:rPr>
        <w:t xml:space="preserve">, S., Nagata, M., Matsuda, S., and </w:t>
      </w:r>
      <w:proofErr w:type="spellStart"/>
      <w:r w:rsidRPr="005106D7">
        <w:rPr>
          <w:color w:val="222222"/>
          <w:shd w:val="clear" w:color="auto" w:fill="FFFFFF"/>
        </w:rPr>
        <w:t>Fujino</w:t>
      </w:r>
      <w:proofErr w:type="spellEnd"/>
      <w:r w:rsidRPr="005106D7">
        <w:rPr>
          <w:color w:val="222222"/>
          <w:shd w:val="clear" w:color="auto" w:fill="FFFFFF"/>
        </w:rPr>
        <w:t xml:space="preserve">, Y. (2022). Telecommuting frequency and preference among Japanese workers according to regional cumulative COVID-19 incidence: </w:t>
      </w:r>
      <w:r>
        <w:rPr>
          <w:color w:val="222222"/>
          <w:shd w:val="clear" w:color="auto" w:fill="FFFFFF"/>
        </w:rPr>
        <w:t>A</w:t>
      </w:r>
      <w:r w:rsidRPr="005106D7">
        <w:rPr>
          <w:color w:val="222222"/>
          <w:shd w:val="clear" w:color="auto" w:fill="FFFFFF"/>
        </w:rPr>
        <w:t xml:space="preserve"> cross-sectional study. </w:t>
      </w:r>
      <w:r w:rsidRPr="005106D7">
        <w:rPr>
          <w:i/>
          <w:iCs/>
          <w:color w:val="222222"/>
          <w:shd w:val="clear" w:color="auto" w:fill="FFFFFF"/>
        </w:rPr>
        <w:t>SAGE Open</w:t>
      </w:r>
      <w:r w:rsidRPr="005106D7">
        <w:rPr>
          <w:color w:val="222222"/>
          <w:shd w:val="clear" w:color="auto" w:fill="FFFFFF"/>
        </w:rPr>
        <w:t>, </w:t>
      </w:r>
      <w:r w:rsidRPr="005106D7">
        <w:rPr>
          <w:i/>
          <w:iCs/>
          <w:color w:val="222222"/>
          <w:shd w:val="clear" w:color="auto" w:fill="FFFFFF"/>
        </w:rPr>
        <w:t>12</w:t>
      </w:r>
      <w:r w:rsidRPr="005106D7">
        <w:rPr>
          <w:color w:val="222222"/>
          <w:shd w:val="clear" w:color="auto" w:fill="FFFFFF"/>
        </w:rPr>
        <w:t>(1).</w:t>
      </w:r>
      <w:r w:rsidRPr="005106D7">
        <w:rPr>
          <w:color w:val="333333"/>
          <w:shd w:val="clear" w:color="auto" w:fill="FFFFFF"/>
        </w:rPr>
        <w:t xml:space="preserve"> </w:t>
      </w:r>
      <w:hyperlink r:id="rId146" w:history="1">
        <w:r w:rsidRPr="005106D7">
          <w:rPr>
            <w:rStyle w:val="Hyperlink"/>
            <w:shd w:val="clear" w:color="auto" w:fill="FFFFFF"/>
          </w:rPr>
          <w:t>https://doi.org/10.1177/21582440221082134</w:t>
        </w:r>
      </w:hyperlink>
      <w:r w:rsidRPr="005106D7">
        <w:rPr>
          <w:color w:val="222222"/>
          <w:shd w:val="clear" w:color="auto" w:fill="FFFFFF"/>
        </w:rPr>
        <w:t xml:space="preserve"> </w:t>
      </w:r>
    </w:p>
    <w:p w14:paraId="5E1482C8" w14:textId="570593A3" w:rsidR="00F207F8" w:rsidRPr="00F207F8" w:rsidRDefault="00F207F8" w:rsidP="009D6562">
      <w:pPr>
        <w:spacing w:before="100" w:after="0" w:line="240" w:lineRule="auto"/>
        <w:ind w:left="540" w:hanging="540"/>
        <w:rPr>
          <w:color w:val="222222"/>
          <w:shd w:val="clear" w:color="auto" w:fill="FFFFFF"/>
        </w:rPr>
      </w:pPr>
      <w:r w:rsidRPr="00F207F8">
        <w:rPr>
          <w:color w:val="222222"/>
          <w:shd w:val="clear" w:color="auto" w:fill="FFFFFF"/>
        </w:rPr>
        <w:t xml:space="preserve">Bauer, A., </w:t>
      </w:r>
      <w:proofErr w:type="spellStart"/>
      <w:r w:rsidRPr="00F207F8">
        <w:rPr>
          <w:color w:val="222222"/>
          <w:shd w:val="clear" w:color="auto" w:fill="FFFFFF"/>
        </w:rPr>
        <w:t>Keveloh</w:t>
      </w:r>
      <w:proofErr w:type="spellEnd"/>
      <w:r w:rsidRPr="00F207F8">
        <w:rPr>
          <w:color w:val="222222"/>
          <w:shd w:val="clear" w:color="auto" w:fill="FFFFFF"/>
        </w:rPr>
        <w:t xml:space="preserve">, K., </w:t>
      </w:r>
      <w:proofErr w:type="spellStart"/>
      <w:r w:rsidRPr="00F207F8">
        <w:rPr>
          <w:color w:val="222222"/>
          <w:shd w:val="clear" w:color="auto" w:fill="FFFFFF"/>
        </w:rPr>
        <w:t>Mamertino</w:t>
      </w:r>
      <w:proofErr w:type="spellEnd"/>
      <w:r w:rsidRPr="00F207F8">
        <w:rPr>
          <w:color w:val="222222"/>
          <w:shd w:val="clear" w:color="auto" w:fill="FFFFFF"/>
        </w:rPr>
        <w:t xml:space="preserve">, M., </w:t>
      </w:r>
      <w:r w:rsidR="007F244F">
        <w:rPr>
          <w:color w:val="222222"/>
          <w:shd w:val="clear" w:color="auto" w:fill="FFFFFF"/>
        </w:rPr>
        <w:t>and</w:t>
      </w:r>
      <w:r w:rsidRPr="00F207F8">
        <w:rPr>
          <w:color w:val="222222"/>
          <w:shd w:val="clear" w:color="auto" w:fill="FFFFFF"/>
        </w:rPr>
        <w:t xml:space="preserve"> Weber, E. (2020). </w:t>
      </w:r>
      <w:r w:rsidRPr="00F207F8">
        <w:rPr>
          <w:i/>
          <w:iCs/>
          <w:color w:val="222222"/>
          <w:shd w:val="clear" w:color="auto" w:fill="FFFFFF"/>
        </w:rPr>
        <w:t xml:space="preserve">Competing for jobs: How COVID-19 changes search </w:t>
      </w:r>
      <w:proofErr w:type="spellStart"/>
      <w:r w:rsidRPr="00F207F8">
        <w:rPr>
          <w:i/>
          <w:iCs/>
          <w:color w:val="222222"/>
          <w:shd w:val="clear" w:color="auto" w:fill="FFFFFF"/>
        </w:rPr>
        <w:t>behaviour</w:t>
      </w:r>
      <w:proofErr w:type="spellEnd"/>
      <w:r w:rsidRPr="00F207F8">
        <w:rPr>
          <w:i/>
          <w:iCs/>
          <w:color w:val="222222"/>
          <w:shd w:val="clear" w:color="auto" w:fill="FFFFFF"/>
        </w:rPr>
        <w:t xml:space="preserve"> in the </w:t>
      </w:r>
      <w:proofErr w:type="spellStart"/>
      <w:r w:rsidRPr="00F207F8">
        <w:rPr>
          <w:i/>
          <w:iCs/>
          <w:color w:val="222222"/>
          <w:shd w:val="clear" w:color="auto" w:fill="FFFFFF"/>
        </w:rPr>
        <w:t>labour</w:t>
      </w:r>
      <w:proofErr w:type="spellEnd"/>
      <w:r w:rsidRPr="00F207F8">
        <w:rPr>
          <w:i/>
          <w:iCs/>
          <w:color w:val="222222"/>
          <w:shd w:val="clear" w:color="auto" w:fill="FFFFFF"/>
        </w:rPr>
        <w:t xml:space="preserve"> market</w:t>
      </w:r>
      <w:r w:rsidRPr="00F207F8">
        <w:rPr>
          <w:color w:val="222222"/>
          <w:shd w:val="clear" w:color="auto" w:fill="FFFFFF"/>
        </w:rPr>
        <w:t> (No. 33/2020). IAB-Discussion Paper.</w:t>
      </w:r>
    </w:p>
    <w:p w14:paraId="53EA0BF8" w14:textId="77777777" w:rsidR="00F207F8" w:rsidRPr="005106D7" w:rsidRDefault="00F207F8" w:rsidP="009D6562">
      <w:pPr>
        <w:spacing w:before="100" w:after="0" w:line="240" w:lineRule="auto"/>
        <w:ind w:left="540" w:hanging="540"/>
        <w:rPr>
          <w:b/>
          <w:color w:val="222222"/>
          <w:shd w:val="clear" w:color="auto" w:fill="FFFFFF"/>
        </w:rPr>
      </w:pPr>
      <w:r w:rsidRPr="005106D7">
        <w:rPr>
          <w:color w:val="222222"/>
          <w:shd w:val="clear" w:color="auto" w:fill="FFFFFF"/>
        </w:rPr>
        <w:t xml:space="preserve">Beck, M.J., </w:t>
      </w:r>
      <w:proofErr w:type="spellStart"/>
      <w:r w:rsidRPr="005106D7">
        <w:rPr>
          <w:color w:val="222222"/>
          <w:shd w:val="clear" w:color="auto" w:fill="FFFFFF"/>
        </w:rPr>
        <w:t>Hensher</w:t>
      </w:r>
      <w:proofErr w:type="spellEnd"/>
      <w:r w:rsidRPr="005106D7">
        <w:rPr>
          <w:color w:val="222222"/>
          <w:shd w:val="clear" w:color="auto" w:fill="FFFFFF"/>
        </w:rPr>
        <w:t>, D.A., and Wei, E. (2020). Slowly coming out of COVID-19 restrictions in Australia: Implications for working from home and commuting trips by car and public transport. </w:t>
      </w:r>
      <w:r w:rsidRPr="005106D7">
        <w:rPr>
          <w:i/>
          <w:iCs/>
          <w:color w:val="222222"/>
          <w:shd w:val="clear" w:color="auto" w:fill="FFFFFF"/>
        </w:rPr>
        <w:t>Journal of Transport Geography</w:t>
      </w:r>
      <w:r w:rsidRPr="005106D7">
        <w:rPr>
          <w:color w:val="222222"/>
          <w:shd w:val="clear" w:color="auto" w:fill="FFFFFF"/>
        </w:rPr>
        <w:t>, </w:t>
      </w:r>
      <w:r w:rsidRPr="005106D7">
        <w:rPr>
          <w:i/>
          <w:iCs/>
          <w:color w:val="222222"/>
          <w:shd w:val="clear" w:color="auto" w:fill="FFFFFF"/>
        </w:rPr>
        <w:t>88</w:t>
      </w:r>
      <w:r w:rsidRPr="005106D7">
        <w:rPr>
          <w:color w:val="222222"/>
          <w:shd w:val="clear" w:color="auto" w:fill="FFFFFF"/>
        </w:rPr>
        <w:t>, 102846.</w:t>
      </w:r>
    </w:p>
    <w:p w14:paraId="54DA16B7" w14:textId="77777777" w:rsidR="00F207F8" w:rsidRPr="005106D7" w:rsidRDefault="00F207F8" w:rsidP="009D6562">
      <w:pPr>
        <w:spacing w:before="100" w:after="0" w:line="240" w:lineRule="auto"/>
        <w:ind w:left="540" w:hanging="540"/>
        <w:rPr>
          <w:shd w:val="clear" w:color="auto" w:fill="FFFFFF"/>
        </w:rPr>
      </w:pPr>
      <w:proofErr w:type="spellStart"/>
      <w:r w:rsidRPr="005106D7">
        <w:rPr>
          <w:shd w:val="clear" w:color="auto" w:fill="FFFFFF"/>
        </w:rPr>
        <w:t>Beham</w:t>
      </w:r>
      <w:proofErr w:type="spellEnd"/>
      <w:r w:rsidRPr="005106D7">
        <w:rPr>
          <w:shd w:val="clear" w:color="auto" w:fill="FFFFFF"/>
        </w:rPr>
        <w:t xml:space="preserve">, B., </w:t>
      </w:r>
      <w:proofErr w:type="spellStart"/>
      <w:r w:rsidRPr="005106D7">
        <w:rPr>
          <w:shd w:val="clear" w:color="auto" w:fill="FFFFFF"/>
        </w:rPr>
        <w:t>Baierl</w:t>
      </w:r>
      <w:proofErr w:type="spellEnd"/>
      <w:r w:rsidRPr="005106D7">
        <w:rPr>
          <w:shd w:val="clear" w:color="auto" w:fill="FFFFFF"/>
        </w:rPr>
        <w:t>, A., and Poelmans, S. (2015). Managerial telework allowance decisions–a vignette study among German managers. </w:t>
      </w:r>
      <w:r w:rsidRPr="005106D7">
        <w:rPr>
          <w:i/>
          <w:iCs/>
          <w:shd w:val="clear" w:color="auto" w:fill="FFFFFF"/>
        </w:rPr>
        <w:t>The International Journal of Human Resource Management</w:t>
      </w:r>
      <w:r w:rsidRPr="005106D7">
        <w:rPr>
          <w:shd w:val="clear" w:color="auto" w:fill="FFFFFF"/>
        </w:rPr>
        <w:t>, </w:t>
      </w:r>
      <w:r w:rsidRPr="005106D7">
        <w:rPr>
          <w:i/>
          <w:iCs/>
          <w:shd w:val="clear" w:color="auto" w:fill="FFFFFF"/>
        </w:rPr>
        <w:t>26</w:t>
      </w:r>
      <w:r w:rsidRPr="005106D7">
        <w:rPr>
          <w:shd w:val="clear" w:color="auto" w:fill="FFFFFF"/>
        </w:rPr>
        <w:t>(11), 1385-1406.</w:t>
      </w:r>
    </w:p>
    <w:p w14:paraId="4DA63A5B" w14:textId="77777777" w:rsidR="00F207F8" w:rsidRDefault="00F207F8" w:rsidP="009D6562">
      <w:pPr>
        <w:spacing w:before="100" w:after="0" w:line="240" w:lineRule="auto"/>
        <w:ind w:left="540" w:hanging="540"/>
        <w:rPr>
          <w:shd w:val="clear" w:color="auto" w:fill="FFFFFF"/>
        </w:rPr>
      </w:pPr>
      <w:proofErr w:type="spellStart"/>
      <w:r w:rsidRPr="005106D7">
        <w:t>Belostecinic</w:t>
      </w:r>
      <w:proofErr w:type="spellEnd"/>
      <w:r w:rsidRPr="005106D7">
        <w:t xml:space="preserve">, G., </w:t>
      </w:r>
      <w:proofErr w:type="spellStart"/>
      <w:r w:rsidRPr="005106D7">
        <w:t>Mogoș</w:t>
      </w:r>
      <w:proofErr w:type="spellEnd"/>
      <w:r w:rsidRPr="005106D7">
        <w:t xml:space="preserve">, R.I., Popescu, M.L., </w:t>
      </w:r>
      <w:proofErr w:type="spellStart"/>
      <w:r w:rsidRPr="005106D7">
        <w:t>Burlacu</w:t>
      </w:r>
      <w:proofErr w:type="spellEnd"/>
      <w:r w:rsidRPr="005106D7">
        <w:t xml:space="preserve">, S., </w:t>
      </w:r>
      <w:proofErr w:type="spellStart"/>
      <w:r w:rsidRPr="005106D7">
        <w:t>Rădulescu</w:t>
      </w:r>
      <w:proofErr w:type="spellEnd"/>
      <w:r w:rsidRPr="005106D7">
        <w:t xml:space="preserve">, C.V., </w:t>
      </w:r>
      <w:proofErr w:type="spellStart"/>
      <w:r w:rsidRPr="005106D7">
        <w:t>Bodislav</w:t>
      </w:r>
      <w:proofErr w:type="spellEnd"/>
      <w:r w:rsidRPr="005106D7">
        <w:t xml:space="preserve">, D.A., Bran, F., and </w:t>
      </w:r>
      <w:proofErr w:type="spellStart"/>
      <w:r w:rsidRPr="005106D7">
        <w:t>Oancea-Negescu</w:t>
      </w:r>
      <w:proofErr w:type="spellEnd"/>
      <w:r w:rsidRPr="005106D7">
        <w:t>, M.D. (2021). Teleworking-An economic and social impact during COVID-19 pandemic: A data mining analysis</w:t>
      </w:r>
      <w:r w:rsidRPr="005106D7">
        <w:rPr>
          <w:i/>
        </w:rPr>
        <w:t>. International Journal of Environmental Research and Public Health</w:t>
      </w:r>
      <w:r w:rsidRPr="005106D7">
        <w:t>, </w:t>
      </w:r>
      <w:r w:rsidRPr="005106D7">
        <w:rPr>
          <w:i/>
        </w:rPr>
        <w:t>19</w:t>
      </w:r>
      <w:r w:rsidRPr="005106D7">
        <w:t xml:space="preserve">(1), 298. </w:t>
      </w:r>
    </w:p>
    <w:p w14:paraId="7D1980A8" w14:textId="77777777" w:rsidR="00F207F8" w:rsidRPr="008345DA" w:rsidRDefault="00F207F8" w:rsidP="009D6562">
      <w:pPr>
        <w:spacing w:before="100" w:after="0" w:line="240" w:lineRule="auto"/>
        <w:ind w:left="540" w:hanging="540"/>
        <w:rPr>
          <w:shd w:val="clear" w:color="auto" w:fill="FFFFFF"/>
        </w:rPr>
      </w:pPr>
      <w:proofErr w:type="spellStart"/>
      <w:r w:rsidRPr="008345DA">
        <w:t>Bernheim</w:t>
      </w:r>
      <w:proofErr w:type="spellEnd"/>
      <w:r w:rsidRPr="008345DA">
        <w:t xml:space="preserve">, B.D., </w:t>
      </w:r>
      <w:proofErr w:type="spellStart"/>
      <w:r w:rsidRPr="008345DA">
        <w:t>Bjorkegren</w:t>
      </w:r>
      <w:proofErr w:type="spellEnd"/>
      <w:r w:rsidRPr="008345DA">
        <w:t xml:space="preserve">, D., </w:t>
      </w:r>
      <w:proofErr w:type="spellStart"/>
      <w:r w:rsidRPr="008345DA">
        <w:t>Naecker</w:t>
      </w:r>
      <w:proofErr w:type="spellEnd"/>
      <w:r w:rsidRPr="008345DA">
        <w:t xml:space="preserve">, J., and </w:t>
      </w:r>
      <w:proofErr w:type="spellStart"/>
      <w:r w:rsidRPr="008345DA">
        <w:t>Pollmann</w:t>
      </w:r>
      <w:proofErr w:type="spellEnd"/>
      <w:r w:rsidRPr="008345DA">
        <w:t xml:space="preserve">, M. (2022). Causal </w:t>
      </w:r>
      <w:r>
        <w:t>i</w:t>
      </w:r>
      <w:r w:rsidRPr="008345DA">
        <w:t xml:space="preserve">nference from </w:t>
      </w:r>
      <w:r>
        <w:rPr>
          <w:iCs/>
          <w:color w:val="222222"/>
          <w:shd w:val="clear" w:color="auto" w:fill="FFFFFF"/>
        </w:rPr>
        <w:t>h</w:t>
      </w:r>
      <w:r w:rsidRPr="00282914">
        <w:rPr>
          <w:iCs/>
          <w:color w:val="222222"/>
          <w:shd w:val="clear" w:color="auto" w:fill="FFFFFF"/>
        </w:rPr>
        <w:t xml:space="preserve">ypothetical </w:t>
      </w:r>
      <w:r>
        <w:rPr>
          <w:iCs/>
          <w:color w:val="222222"/>
          <w:shd w:val="clear" w:color="auto" w:fill="FFFFFF"/>
        </w:rPr>
        <w:t>e</w:t>
      </w:r>
      <w:r w:rsidRPr="00282914">
        <w:rPr>
          <w:iCs/>
          <w:color w:val="222222"/>
          <w:shd w:val="clear" w:color="auto" w:fill="FFFFFF"/>
        </w:rPr>
        <w:t>valuations</w:t>
      </w:r>
      <w:r>
        <w:rPr>
          <w:color w:val="222222"/>
          <w:shd w:val="clear" w:color="auto" w:fill="FFFFFF"/>
        </w:rPr>
        <w:t xml:space="preserve">. </w:t>
      </w:r>
      <w:r w:rsidRPr="00A03997">
        <w:rPr>
          <w:shd w:val="clear" w:color="auto" w:fill="FFFFFF"/>
        </w:rPr>
        <w:t xml:space="preserve">Technical </w:t>
      </w:r>
      <w:r>
        <w:rPr>
          <w:color w:val="222222"/>
          <w:shd w:val="clear" w:color="auto" w:fill="FFFFFF"/>
        </w:rPr>
        <w:t xml:space="preserve">Working Paper </w:t>
      </w:r>
      <w:r w:rsidRPr="00A03997">
        <w:rPr>
          <w:color w:val="222222"/>
          <w:shd w:val="clear" w:color="auto" w:fill="FFFFFF"/>
        </w:rPr>
        <w:t>29616. National Bureau of Economic Research.</w:t>
      </w:r>
    </w:p>
    <w:p w14:paraId="5669B7CC" w14:textId="77777777" w:rsidR="00F207F8" w:rsidRPr="00A03997" w:rsidRDefault="00F207F8" w:rsidP="009D6562">
      <w:pPr>
        <w:spacing w:before="100" w:after="0" w:line="240" w:lineRule="auto"/>
        <w:ind w:left="540" w:hanging="540"/>
        <w:rPr>
          <w:color w:val="222222"/>
          <w:shd w:val="clear" w:color="auto" w:fill="FFFFFF"/>
        </w:rPr>
      </w:pPr>
      <w:r w:rsidRPr="00A03997">
        <w:rPr>
          <w:color w:val="222222"/>
          <w:shd w:val="clear" w:color="auto" w:fill="FFFFFF"/>
        </w:rPr>
        <w:t xml:space="preserve">Bhat, C.R. (2003). Simulation estimation of mixed discrete choice models using randomized and scrambled Halton sequences. </w:t>
      </w:r>
      <w:r w:rsidRPr="00A03997">
        <w:rPr>
          <w:i/>
          <w:iCs/>
          <w:color w:val="222222"/>
          <w:shd w:val="clear" w:color="auto" w:fill="FFFFFF"/>
        </w:rPr>
        <w:t>Transportation Research Part B</w:t>
      </w:r>
      <w:r w:rsidRPr="00A03997">
        <w:rPr>
          <w:color w:val="222222"/>
          <w:shd w:val="clear" w:color="auto" w:fill="FFFFFF"/>
        </w:rPr>
        <w:t xml:space="preserve">, </w:t>
      </w:r>
      <w:r w:rsidRPr="00A03997">
        <w:rPr>
          <w:i/>
          <w:iCs/>
          <w:color w:val="222222"/>
          <w:shd w:val="clear" w:color="auto" w:fill="FFFFFF"/>
        </w:rPr>
        <w:t>37</w:t>
      </w:r>
      <w:r w:rsidRPr="00A03997">
        <w:rPr>
          <w:color w:val="222222"/>
          <w:shd w:val="clear" w:color="auto" w:fill="FFFFFF"/>
        </w:rPr>
        <w:t>(9), 837-855.</w:t>
      </w:r>
    </w:p>
    <w:p w14:paraId="30BCF63C" w14:textId="77777777" w:rsidR="00F207F8" w:rsidRPr="00A03997" w:rsidRDefault="00F207F8" w:rsidP="009D6562">
      <w:pPr>
        <w:spacing w:before="100" w:after="0" w:line="240" w:lineRule="auto"/>
        <w:ind w:left="540" w:hanging="540"/>
        <w:rPr>
          <w:shd w:val="clear" w:color="auto" w:fill="FFFFFF"/>
        </w:rPr>
      </w:pPr>
      <w:bookmarkStart w:id="36" w:name="_Hlk125958151"/>
      <w:r w:rsidRPr="00A03997">
        <w:rPr>
          <w:color w:val="222222"/>
          <w:shd w:val="clear" w:color="auto" w:fill="FFFFFF"/>
        </w:rPr>
        <w:t xml:space="preserve">Bhat, C.R. (2008). The multiple discrete-continuous extreme value (MDCEV) model: </w:t>
      </w:r>
      <w:r>
        <w:rPr>
          <w:color w:val="222222"/>
          <w:shd w:val="clear" w:color="auto" w:fill="FFFFFF"/>
        </w:rPr>
        <w:t>R</w:t>
      </w:r>
      <w:r w:rsidRPr="00A03997">
        <w:rPr>
          <w:color w:val="222222"/>
          <w:shd w:val="clear" w:color="auto" w:fill="FFFFFF"/>
        </w:rPr>
        <w:t xml:space="preserve">ole of utility function parameters, identification considerations, and model </w:t>
      </w:r>
      <w:r>
        <w:rPr>
          <w:color w:val="222222"/>
          <w:shd w:val="clear" w:color="auto" w:fill="FFFFFF"/>
        </w:rPr>
        <w:t xml:space="preserve">extensions. </w:t>
      </w:r>
      <w:r w:rsidRPr="00A03997">
        <w:rPr>
          <w:i/>
          <w:iCs/>
          <w:color w:val="222222"/>
          <w:shd w:val="clear" w:color="auto" w:fill="FFFFFF"/>
        </w:rPr>
        <w:t>Transportation Research Part B</w:t>
      </w:r>
      <w:r w:rsidRPr="00A03997">
        <w:rPr>
          <w:color w:val="222222"/>
          <w:shd w:val="clear" w:color="auto" w:fill="FFFFFF"/>
        </w:rPr>
        <w:t>, </w:t>
      </w:r>
      <w:r w:rsidRPr="00A03997">
        <w:rPr>
          <w:i/>
          <w:iCs/>
          <w:color w:val="222222"/>
          <w:shd w:val="clear" w:color="auto" w:fill="FFFFFF"/>
        </w:rPr>
        <w:t>42</w:t>
      </w:r>
      <w:r w:rsidRPr="00A03997">
        <w:rPr>
          <w:color w:val="222222"/>
          <w:shd w:val="clear" w:color="auto" w:fill="FFFFFF"/>
        </w:rPr>
        <w:t>(3), 274-303.</w:t>
      </w:r>
    </w:p>
    <w:bookmarkEnd w:id="36"/>
    <w:p w14:paraId="5C3F2F91" w14:textId="77777777" w:rsidR="00F207F8" w:rsidRPr="00A03997" w:rsidRDefault="00F207F8" w:rsidP="009D6562">
      <w:pPr>
        <w:spacing w:before="100" w:after="0" w:line="240" w:lineRule="auto"/>
        <w:ind w:left="540" w:hanging="540"/>
        <w:rPr>
          <w:color w:val="222222"/>
          <w:shd w:val="clear" w:color="auto" w:fill="FFFFFF"/>
        </w:rPr>
      </w:pPr>
      <w:r w:rsidRPr="00A03997">
        <w:rPr>
          <w:color w:val="222222"/>
          <w:shd w:val="clear" w:color="auto" w:fill="FFFFFF"/>
        </w:rPr>
        <w:t xml:space="preserve">Bhat, C.R., Guo, J.Y., Srinivasan, S., and Sivakumar, A. (2004). Comprehensive econometric </w:t>
      </w:r>
      <w:proofErr w:type="spellStart"/>
      <w:r w:rsidRPr="00A03997">
        <w:rPr>
          <w:color w:val="222222"/>
          <w:shd w:val="clear" w:color="auto" w:fill="FFFFFF"/>
        </w:rPr>
        <w:t>microsimulator</w:t>
      </w:r>
      <w:proofErr w:type="spellEnd"/>
      <w:r w:rsidRPr="00A03997">
        <w:rPr>
          <w:color w:val="222222"/>
          <w:shd w:val="clear" w:color="auto" w:fill="FFFFFF"/>
        </w:rPr>
        <w:t xml:space="preserve"> for daily activity-travel patterns. </w:t>
      </w:r>
      <w:r w:rsidRPr="00A03997">
        <w:rPr>
          <w:i/>
          <w:iCs/>
          <w:color w:val="222222"/>
          <w:shd w:val="clear" w:color="auto" w:fill="FFFFFF"/>
        </w:rPr>
        <w:t>Transportation Research Record</w:t>
      </w:r>
      <w:r w:rsidRPr="00A03997">
        <w:rPr>
          <w:color w:val="222222"/>
          <w:shd w:val="clear" w:color="auto" w:fill="FFFFFF"/>
        </w:rPr>
        <w:t>, </w:t>
      </w:r>
      <w:r w:rsidRPr="00A03997">
        <w:rPr>
          <w:i/>
          <w:iCs/>
          <w:color w:val="222222"/>
          <w:shd w:val="clear" w:color="auto" w:fill="FFFFFF"/>
        </w:rPr>
        <w:t>1894</w:t>
      </w:r>
      <w:r w:rsidRPr="00A03997">
        <w:rPr>
          <w:color w:val="222222"/>
          <w:shd w:val="clear" w:color="auto" w:fill="FFFFFF"/>
        </w:rPr>
        <w:t>(1), 57-66.</w:t>
      </w:r>
    </w:p>
    <w:p w14:paraId="7F10AA5C" w14:textId="77777777" w:rsidR="00F207F8" w:rsidRPr="00A03997" w:rsidRDefault="00F207F8" w:rsidP="009D6562">
      <w:pPr>
        <w:spacing w:before="100" w:after="0" w:line="240" w:lineRule="auto"/>
        <w:ind w:left="540" w:hanging="540"/>
        <w:rPr>
          <w:color w:val="222222"/>
          <w:shd w:val="clear" w:color="auto" w:fill="FFFFFF"/>
        </w:rPr>
      </w:pPr>
      <w:r w:rsidRPr="00A03997">
        <w:rPr>
          <w:color w:val="222222"/>
          <w:shd w:val="clear" w:color="auto" w:fill="FFFFFF"/>
        </w:rPr>
        <w:t xml:space="preserve">Bilodeau, J., Marchand, A., and Demers, A. (2020). Psychological distress inequality between employed men and women: A gendered exposure model. </w:t>
      </w:r>
      <w:r w:rsidRPr="00A03997">
        <w:rPr>
          <w:i/>
          <w:iCs/>
          <w:color w:val="222222"/>
          <w:shd w:val="clear" w:color="auto" w:fill="FFFFFF"/>
        </w:rPr>
        <w:t>SSM-</w:t>
      </w:r>
      <w:r>
        <w:rPr>
          <w:i/>
          <w:iCs/>
          <w:color w:val="222222"/>
          <w:shd w:val="clear" w:color="auto" w:fill="FFFFFF"/>
        </w:rPr>
        <w:t>P</w:t>
      </w:r>
      <w:r w:rsidRPr="00A03997">
        <w:rPr>
          <w:i/>
          <w:iCs/>
          <w:color w:val="222222"/>
          <w:shd w:val="clear" w:color="auto" w:fill="FFFFFF"/>
        </w:rPr>
        <w:t xml:space="preserve">opulation </w:t>
      </w:r>
      <w:r>
        <w:rPr>
          <w:i/>
          <w:iCs/>
          <w:color w:val="222222"/>
          <w:shd w:val="clear" w:color="auto" w:fill="FFFFFF"/>
        </w:rPr>
        <w:t>H</w:t>
      </w:r>
      <w:r w:rsidRPr="00A03997">
        <w:rPr>
          <w:i/>
          <w:iCs/>
          <w:color w:val="222222"/>
          <w:shd w:val="clear" w:color="auto" w:fill="FFFFFF"/>
        </w:rPr>
        <w:t>ealth</w:t>
      </w:r>
      <w:r w:rsidRPr="00A03997">
        <w:rPr>
          <w:color w:val="222222"/>
          <w:shd w:val="clear" w:color="auto" w:fill="FFFFFF"/>
        </w:rPr>
        <w:t xml:space="preserve">, </w:t>
      </w:r>
      <w:r w:rsidRPr="00A03997">
        <w:rPr>
          <w:i/>
          <w:iCs/>
          <w:color w:val="222222"/>
          <w:shd w:val="clear" w:color="auto" w:fill="FFFFFF"/>
        </w:rPr>
        <w:t>11</w:t>
      </w:r>
      <w:r w:rsidRPr="00A03997">
        <w:rPr>
          <w:color w:val="222222"/>
          <w:shd w:val="clear" w:color="auto" w:fill="FFFFFF"/>
        </w:rPr>
        <w:t>, 100626.</w:t>
      </w:r>
    </w:p>
    <w:p w14:paraId="3D647FB6" w14:textId="77777777" w:rsidR="00F207F8" w:rsidRPr="00A03997" w:rsidRDefault="00F207F8" w:rsidP="009D6562">
      <w:pPr>
        <w:spacing w:before="100" w:after="0" w:line="240" w:lineRule="auto"/>
        <w:ind w:left="540" w:hanging="540"/>
        <w:rPr>
          <w:shd w:val="clear" w:color="auto" w:fill="FFFFFF"/>
        </w:rPr>
      </w:pPr>
      <w:bookmarkStart w:id="37" w:name="_Hlk100133015"/>
      <w:bookmarkStart w:id="38" w:name="_Toc99017840"/>
      <w:proofErr w:type="spellStart"/>
      <w:r w:rsidRPr="00A03997">
        <w:rPr>
          <w:shd w:val="clear" w:color="auto" w:fill="FFFFFF"/>
        </w:rPr>
        <w:lastRenderedPageBreak/>
        <w:t>Bjursell</w:t>
      </w:r>
      <w:bookmarkEnd w:id="37"/>
      <w:proofErr w:type="spellEnd"/>
      <w:r w:rsidRPr="00A03997">
        <w:rPr>
          <w:shd w:val="clear" w:color="auto" w:fill="FFFFFF"/>
        </w:rPr>
        <w:t xml:space="preserve">, C., </w:t>
      </w:r>
      <w:proofErr w:type="spellStart"/>
      <w:r w:rsidRPr="00A03997">
        <w:rPr>
          <w:shd w:val="clear" w:color="auto" w:fill="FFFFFF"/>
        </w:rPr>
        <w:t>Bergmo-Prvulovic</w:t>
      </w:r>
      <w:proofErr w:type="spellEnd"/>
      <w:r w:rsidRPr="00A03997">
        <w:rPr>
          <w:shd w:val="clear" w:color="auto" w:fill="FFFFFF"/>
        </w:rPr>
        <w:t>, I., and Hedegaard, J. (2021). Telework and lifelong learning. </w:t>
      </w:r>
      <w:r w:rsidRPr="00A03997">
        <w:rPr>
          <w:i/>
          <w:iCs/>
          <w:shd w:val="clear" w:color="auto" w:fill="FFFFFF"/>
        </w:rPr>
        <w:t>Frontiers in Sociology</w:t>
      </w:r>
      <w:r w:rsidRPr="00A03997">
        <w:rPr>
          <w:shd w:val="clear" w:color="auto" w:fill="FFFFFF"/>
        </w:rPr>
        <w:t>, </w:t>
      </w:r>
      <w:r w:rsidRPr="00A03997">
        <w:rPr>
          <w:i/>
          <w:iCs/>
          <w:shd w:val="clear" w:color="auto" w:fill="FFFFFF"/>
        </w:rPr>
        <w:t>6</w:t>
      </w:r>
      <w:r w:rsidRPr="00A03997">
        <w:rPr>
          <w:shd w:val="clear" w:color="auto" w:fill="FFFFFF"/>
        </w:rPr>
        <w:t>.</w:t>
      </w:r>
      <w:bookmarkEnd w:id="38"/>
    </w:p>
    <w:p w14:paraId="53843F5C" w14:textId="77777777" w:rsidR="00F207F8" w:rsidRPr="00A03997" w:rsidRDefault="00F207F8" w:rsidP="009D6562">
      <w:pPr>
        <w:spacing w:before="100" w:after="0" w:line="240" w:lineRule="auto"/>
        <w:ind w:left="540" w:hanging="540"/>
        <w:rPr>
          <w:color w:val="222222"/>
          <w:shd w:val="clear" w:color="auto" w:fill="FFFFFF"/>
        </w:rPr>
      </w:pPr>
      <w:bookmarkStart w:id="39" w:name="_Hlk106370889"/>
      <w:proofErr w:type="spellStart"/>
      <w:r w:rsidRPr="00A03997">
        <w:rPr>
          <w:color w:val="222222"/>
          <w:shd w:val="clear" w:color="auto" w:fill="FFFFFF"/>
        </w:rPr>
        <w:t>Caldarola</w:t>
      </w:r>
      <w:proofErr w:type="spellEnd"/>
      <w:r w:rsidRPr="00A03997">
        <w:rPr>
          <w:color w:val="222222"/>
          <w:shd w:val="clear" w:color="auto" w:fill="FFFFFF"/>
        </w:rPr>
        <w:t xml:space="preserve">, B., and Sorrell, S. (2022). </w:t>
      </w:r>
      <w:bookmarkEnd w:id="39"/>
      <w:r w:rsidRPr="00A03997">
        <w:rPr>
          <w:color w:val="222222"/>
          <w:shd w:val="clear" w:color="auto" w:fill="FFFFFF"/>
        </w:rPr>
        <w:t>Do teleworkers travel less? Evidence from the English National Travel Survey.</w:t>
      </w:r>
      <w:r>
        <w:rPr>
          <w:color w:val="222222"/>
          <w:shd w:val="clear" w:color="auto" w:fill="FFFFFF"/>
        </w:rPr>
        <w:t xml:space="preserve"> </w:t>
      </w:r>
      <w:r w:rsidRPr="00A03997">
        <w:rPr>
          <w:i/>
          <w:color w:val="222222"/>
          <w:shd w:val="clear" w:color="auto" w:fill="FFFFFF"/>
        </w:rPr>
        <w:t>Transportation Research Part A</w:t>
      </w:r>
      <w:r w:rsidRPr="008345DA">
        <w:rPr>
          <w:color w:val="222222"/>
          <w:shd w:val="clear" w:color="auto" w:fill="FFFFFF"/>
        </w:rPr>
        <w:t>,</w:t>
      </w:r>
      <w:r>
        <w:rPr>
          <w:i/>
          <w:color w:val="222222"/>
          <w:shd w:val="clear" w:color="auto" w:fill="FFFFFF"/>
        </w:rPr>
        <w:t xml:space="preserve"> </w:t>
      </w:r>
      <w:r w:rsidRPr="00A03997">
        <w:rPr>
          <w:i/>
          <w:color w:val="222222"/>
          <w:shd w:val="clear" w:color="auto" w:fill="FFFFFF"/>
        </w:rPr>
        <w:t>159</w:t>
      </w:r>
      <w:r w:rsidRPr="00A03997">
        <w:rPr>
          <w:color w:val="222222"/>
          <w:shd w:val="clear" w:color="auto" w:fill="FFFFFF"/>
        </w:rPr>
        <w:t>,</w:t>
      </w:r>
      <w:r>
        <w:rPr>
          <w:color w:val="222222"/>
          <w:shd w:val="clear" w:color="auto" w:fill="FFFFFF"/>
        </w:rPr>
        <w:t xml:space="preserve"> </w:t>
      </w:r>
      <w:r w:rsidRPr="00A03997">
        <w:rPr>
          <w:color w:val="222222"/>
          <w:shd w:val="clear" w:color="auto" w:fill="FFFFFF"/>
        </w:rPr>
        <w:t>282-303.</w:t>
      </w:r>
    </w:p>
    <w:p w14:paraId="137F88E3" w14:textId="77777777" w:rsidR="00F207F8" w:rsidRPr="00A03997" w:rsidRDefault="00F207F8" w:rsidP="009D6562">
      <w:pPr>
        <w:spacing w:before="100" w:after="0" w:line="240" w:lineRule="auto"/>
        <w:ind w:left="540" w:hanging="540"/>
      </w:pPr>
      <w:r w:rsidRPr="00C70726">
        <w:t>Cambridge Systematics</w:t>
      </w:r>
      <w:r>
        <w:t>, Inc.</w:t>
      </w:r>
      <w:r w:rsidRPr="00C70726">
        <w:t xml:space="preserve"> (2021).</w:t>
      </w:r>
      <w:r w:rsidRPr="00A03997">
        <w:t xml:space="preserve"> New York Best Practice Model 2012</w:t>
      </w:r>
      <w:r>
        <w:t xml:space="preserve"> Update</w:t>
      </w:r>
      <w:r w:rsidRPr="00A03997">
        <w:t xml:space="preserve"> </w:t>
      </w:r>
      <w:r>
        <w:t>Summary Report: Final Report</w:t>
      </w:r>
      <w:r w:rsidRPr="00A03997">
        <w:t>.</w:t>
      </w:r>
      <w:r w:rsidRPr="00A03997">
        <w:rPr>
          <w:i/>
        </w:rPr>
        <w:t xml:space="preserve"> </w:t>
      </w:r>
      <w:r>
        <w:t xml:space="preserve">Prepared for the </w:t>
      </w:r>
      <w:r w:rsidRPr="00A03997">
        <w:t xml:space="preserve">New York Metropolitan Transportation Council. </w:t>
      </w:r>
      <w:r w:rsidRPr="00A03997">
        <w:rPr>
          <w:iCs/>
          <w:color w:val="222222"/>
          <w:shd w:val="clear" w:color="auto" w:fill="FFFFFF"/>
        </w:rPr>
        <w:t>Available at</w:t>
      </w:r>
      <w:r w:rsidRPr="00A03997">
        <w:rPr>
          <w:i/>
          <w:iCs/>
          <w:color w:val="222222"/>
          <w:shd w:val="clear" w:color="auto" w:fill="FFFFFF"/>
        </w:rPr>
        <w:t xml:space="preserve"> </w:t>
      </w:r>
      <w:hyperlink r:id="rId147" w:history="1">
        <w:r w:rsidRPr="000A7AC2">
          <w:rPr>
            <w:rStyle w:val="Hyperlink"/>
          </w:rPr>
          <w:t>https://www.nymtc.org/LinkClick.aspx?fileticket=HxckPR9iDnA%3D&amp;portalid=0</w:t>
        </w:r>
      </w:hyperlink>
      <w:r w:rsidRPr="00A03997">
        <w:t>.</w:t>
      </w:r>
      <w:r>
        <w:t xml:space="preserve"> </w:t>
      </w:r>
    </w:p>
    <w:p w14:paraId="1EB3257D" w14:textId="77777777" w:rsidR="00F207F8" w:rsidRPr="00A03997" w:rsidRDefault="00F207F8" w:rsidP="009D6562">
      <w:pPr>
        <w:spacing w:before="100" w:after="0" w:line="240" w:lineRule="auto"/>
        <w:ind w:left="540" w:hanging="540"/>
        <w:rPr>
          <w:color w:val="222222"/>
          <w:shd w:val="clear" w:color="auto" w:fill="FFFFFF"/>
        </w:rPr>
      </w:pPr>
      <w:bookmarkStart w:id="40" w:name="_Hlk101596046"/>
      <w:proofErr w:type="spellStart"/>
      <w:r w:rsidRPr="00A03997">
        <w:rPr>
          <w:color w:val="222222"/>
          <w:shd w:val="clear" w:color="auto" w:fill="FFFFFF"/>
        </w:rPr>
        <w:t>Castrillon</w:t>
      </w:r>
      <w:bookmarkEnd w:id="40"/>
      <w:proofErr w:type="spellEnd"/>
      <w:r w:rsidRPr="00A03997">
        <w:rPr>
          <w:color w:val="222222"/>
          <w:shd w:val="clear" w:color="auto" w:fill="FFFFFF"/>
        </w:rPr>
        <w:t xml:space="preserve">, C.I.M., </w:t>
      </w:r>
      <w:proofErr w:type="spellStart"/>
      <w:r w:rsidRPr="00A03997">
        <w:rPr>
          <w:color w:val="222222"/>
          <w:shd w:val="clear" w:color="auto" w:fill="FFFFFF"/>
        </w:rPr>
        <w:t>Beckenkamp</w:t>
      </w:r>
      <w:proofErr w:type="spellEnd"/>
      <w:r w:rsidRPr="00A03997">
        <w:rPr>
          <w:color w:val="222222"/>
          <w:shd w:val="clear" w:color="auto" w:fill="FFFFFF"/>
        </w:rPr>
        <w:t xml:space="preserve">, P.R., Ferreira, M.L., Michell, J.A., de Aguiar Mendes, V.A., Luscombe, G.M., Stamatakis, E., and Ferreira, P.H. (2020). Are people in the bush really physically active? A systematic review and meta-analysis of physical activity and sedentary </w:t>
      </w:r>
      <w:proofErr w:type="spellStart"/>
      <w:r w:rsidRPr="00A03997">
        <w:rPr>
          <w:color w:val="222222"/>
          <w:shd w:val="clear" w:color="auto" w:fill="FFFFFF"/>
        </w:rPr>
        <w:t>behaviour</w:t>
      </w:r>
      <w:proofErr w:type="spellEnd"/>
      <w:r w:rsidRPr="00A03997">
        <w:rPr>
          <w:color w:val="222222"/>
          <w:shd w:val="clear" w:color="auto" w:fill="FFFFFF"/>
        </w:rPr>
        <w:t xml:space="preserve"> in rural Australians populations. </w:t>
      </w:r>
      <w:r w:rsidRPr="00A03997">
        <w:rPr>
          <w:i/>
          <w:iCs/>
          <w:color w:val="222222"/>
          <w:shd w:val="clear" w:color="auto" w:fill="FFFFFF"/>
        </w:rPr>
        <w:t>Journal of Global Health</w:t>
      </w:r>
      <w:r w:rsidRPr="00A03997">
        <w:rPr>
          <w:color w:val="222222"/>
          <w:shd w:val="clear" w:color="auto" w:fill="FFFFFF"/>
        </w:rPr>
        <w:t>, </w:t>
      </w:r>
      <w:r w:rsidRPr="00A03997">
        <w:rPr>
          <w:i/>
          <w:iCs/>
          <w:color w:val="222222"/>
          <w:shd w:val="clear" w:color="auto" w:fill="FFFFFF"/>
        </w:rPr>
        <w:t>10</w:t>
      </w:r>
      <w:r w:rsidRPr="00A03997">
        <w:rPr>
          <w:color w:val="222222"/>
          <w:shd w:val="clear" w:color="auto" w:fill="FFFFFF"/>
        </w:rPr>
        <w:t>(1).</w:t>
      </w:r>
    </w:p>
    <w:p w14:paraId="59B1E8A7" w14:textId="77777777" w:rsidR="00F207F8" w:rsidRPr="00A03997" w:rsidRDefault="00F207F8" w:rsidP="009D6562">
      <w:pPr>
        <w:spacing w:before="100" w:after="0" w:line="240" w:lineRule="auto"/>
        <w:ind w:left="540" w:hanging="540"/>
        <w:rPr>
          <w:color w:val="222222"/>
          <w:shd w:val="clear" w:color="auto" w:fill="FFFFFF"/>
        </w:rPr>
      </w:pPr>
      <w:proofErr w:type="spellStart"/>
      <w:r w:rsidRPr="00A03997">
        <w:rPr>
          <w:color w:val="222222"/>
          <w:shd w:val="clear" w:color="auto" w:fill="FFFFFF"/>
        </w:rPr>
        <w:t>Cetrulo</w:t>
      </w:r>
      <w:proofErr w:type="spellEnd"/>
      <w:r w:rsidRPr="00A03997">
        <w:rPr>
          <w:color w:val="222222"/>
          <w:shd w:val="clear" w:color="auto" w:fill="FFFFFF"/>
        </w:rPr>
        <w:t xml:space="preserve">, A., </w:t>
      </w:r>
      <w:proofErr w:type="spellStart"/>
      <w:r w:rsidRPr="00A03997">
        <w:rPr>
          <w:color w:val="222222"/>
          <w:shd w:val="clear" w:color="auto" w:fill="FFFFFF"/>
        </w:rPr>
        <w:t>Guarascio</w:t>
      </w:r>
      <w:proofErr w:type="spellEnd"/>
      <w:r w:rsidRPr="00A03997">
        <w:rPr>
          <w:color w:val="222222"/>
          <w:shd w:val="clear" w:color="auto" w:fill="FFFFFF"/>
        </w:rPr>
        <w:t xml:space="preserve">, D., and </w:t>
      </w:r>
      <w:proofErr w:type="spellStart"/>
      <w:r w:rsidRPr="00A03997">
        <w:rPr>
          <w:color w:val="222222"/>
          <w:shd w:val="clear" w:color="auto" w:fill="FFFFFF"/>
        </w:rPr>
        <w:t>Virgillito</w:t>
      </w:r>
      <w:proofErr w:type="spellEnd"/>
      <w:r w:rsidRPr="00A03997">
        <w:rPr>
          <w:color w:val="222222"/>
          <w:shd w:val="clear" w:color="auto" w:fill="FFFFFF"/>
        </w:rPr>
        <w:t>, M.E. (2020). The privilege of working from home at the time of social distancing. </w:t>
      </w:r>
      <w:proofErr w:type="spellStart"/>
      <w:r w:rsidRPr="00A03997">
        <w:rPr>
          <w:i/>
          <w:iCs/>
          <w:color w:val="222222"/>
          <w:shd w:val="clear" w:color="auto" w:fill="FFFFFF"/>
        </w:rPr>
        <w:t>Intereconomics</w:t>
      </w:r>
      <w:proofErr w:type="spellEnd"/>
      <w:r w:rsidRPr="00A03997">
        <w:rPr>
          <w:color w:val="222222"/>
          <w:shd w:val="clear" w:color="auto" w:fill="FFFFFF"/>
        </w:rPr>
        <w:t>, </w:t>
      </w:r>
      <w:r w:rsidRPr="00A03997">
        <w:rPr>
          <w:i/>
          <w:iCs/>
          <w:color w:val="222222"/>
          <w:shd w:val="clear" w:color="auto" w:fill="FFFFFF"/>
        </w:rPr>
        <w:t>55</w:t>
      </w:r>
      <w:r w:rsidRPr="00A03997">
        <w:rPr>
          <w:color w:val="222222"/>
          <w:shd w:val="clear" w:color="auto" w:fill="FFFFFF"/>
        </w:rPr>
        <w:t>(3), 142-147.</w:t>
      </w:r>
    </w:p>
    <w:p w14:paraId="19372A02" w14:textId="77777777" w:rsidR="00F207F8" w:rsidRPr="00A03997" w:rsidRDefault="00F207F8" w:rsidP="009D6562">
      <w:pPr>
        <w:spacing w:before="100" w:after="0" w:line="240" w:lineRule="auto"/>
        <w:ind w:left="540" w:hanging="540"/>
        <w:rPr>
          <w:color w:val="222222"/>
          <w:shd w:val="clear" w:color="auto" w:fill="FFFFFF"/>
        </w:rPr>
      </w:pPr>
      <w:proofErr w:type="spellStart"/>
      <w:r w:rsidRPr="00A03997">
        <w:rPr>
          <w:color w:val="222222"/>
          <w:shd w:val="clear" w:color="auto" w:fill="FFFFFF"/>
        </w:rPr>
        <w:t>Chamakiotis</w:t>
      </w:r>
      <w:proofErr w:type="spellEnd"/>
      <w:r w:rsidRPr="00A03997">
        <w:rPr>
          <w:color w:val="222222"/>
          <w:shd w:val="clear" w:color="auto" w:fill="FFFFFF"/>
        </w:rPr>
        <w:t xml:space="preserve">, P., </w:t>
      </w:r>
      <w:proofErr w:type="spellStart"/>
      <w:r w:rsidRPr="00A03997">
        <w:rPr>
          <w:color w:val="222222"/>
          <w:shd w:val="clear" w:color="auto" w:fill="FFFFFF"/>
        </w:rPr>
        <w:t>Panteli</w:t>
      </w:r>
      <w:proofErr w:type="spellEnd"/>
      <w:r w:rsidRPr="00A03997">
        <w:rPr>
          <w:color w:val="222222"/>
          <w:shd w:val="clear" w:color="auto" w:fill="FFFFFF"/>
        </w:rPr>
        <w:t>, N., and Davison, R.M. (2021). Reimagining e-leadership for reconfigured virtual teams due to Covid-19. </w:t>
      </w:r>
      <w:r w:rsidRPr="00A03997">
        <w:rPr>
          <w:i/>
          <w:iCs/>
          <w:color w:val="222222"/>
          <w:shd w:val="clear" w:color="auto" w:fill="FFFFFF"/>
        </w:rPr>
        <w:t>International Journal of Information Management</w:t>
      </w:r>
      <w:r w:rsidRPr="00A03997">
        <w:rPr>
          <w:color w:val="222222"/>
          <w:shd w:val="clear" w:color="auto" w:fill="FFFFFF"/>
        </w:rPr>
        <w:t xml:space="preserve">, </w:t>
      </w:r>
      <w:r w:rsidRPr="00A03997">
        <w:rPr>
          <w:i/>
          <w:iCs/>
          <w:color w:val="222222"/>
          <w:shd w:val="clear" w:color="auto" w:fill="FFFFFF"/>
        </w:rPr>
        <w:t>60</w:t>
      </w:r>
      <w:r w:rsidRPr="00A03997">
        <w:rPr>
          <w:color w:val="222222"/>
          <w:shd w:val="clear" w:color="auto" w:fill="FFFFFF"/>
        </w:rPr>
        <w:t>, 102381.</w:t>
      </w:r>
    </w:p>
    <w:p w14:paraId="7453524F" w14:textId="77777777" w:rsidR="00F207F8" w:rsidRPr="00A03997" w:rsidRDefault="00F207F8" w:rsidP="009D6562">
      <w:pPr>
        <w:spacing w:before="100" w:after="0" w:line="240" w:lineRule="auto"/>
        <w:ind w:left="540" w:hanging="540"/>
        <w:rPr>
          <w:color w:val="222222"/>
          <w:shd w:val="clear" w:color="auto" w:fill="FFFFFF"/>
        </w:rPr>
      </w:pPr>
      <w:r w:rsidRPr="00A03997">
        <w:rPr>
          <w:color w:val="222222"/>
          <w:shd w:val="clear" w:color="auto" w:fill="FFFFFF"/>
        </w:rPr>
        <w:t>Cheng, Y.T., Lavieri, P.S., and Astroza, S. (2022). How did the COVID-19 Pandemic Impact the Location and Duration of Work Activities? A Latent Class Time-Use Study. </w:t>
      </w:r>
      <w:r w:rsidRPr="00A03997">
        <w:rPr>
          <w:i/>
          <w:iCs/>
          <w:color w:val="222222"/>
          <w:shd w:val="clear" w:color="auto" w:fill="FFFFFF"/>
        </w:rPr>
        <w:t>Findings</w:t>
      </w:r>
      <w:r w:rsidRPr="00A03997">
        <w:rPr>
          <w:color w:val="222222"/>
          <w:shd w:val="clear" w:color="auto" w:fill="FFFFFF"/>
        </w:rPr>
        <w:t>, 35621.</w:t>
      </w:r>
    </w:p>
    <w:p w14:paraId="3B899AC2" w14:textId="57771053" w:rsidR="00F207F8" w:rsidRPr="00F207F8" w:rsidRDefault="00F207F8" w:rsidP="009D6562">
      <w:pPr>
        <w:spacing w:before="100" w:after="0" w:line="240" w:lineRule="auto"/>
        <w:ind w:left="540" w:hanging="540"/>
        <w:rPr>
          <w:color w:val="222222"/>
          <w:shd w:val="clear" w:color="auto" w:fill="FFFFFF"/>
        </w:rPr>
      </w:pPr>
      <w:proofErr w:type="spellStart"/>
      <w:r w:rsidRPr="00F207F8">
        <w:rPr>
          <w:color w:val="222222"/>
          <w:shd w:val="clear" w:color="auto" w:fill="FFFFFF"/>
        </w:rPr>
        <w:t>Dauth</w:t>
      </w:r>
      <w:proofErr w:type="spellEnd"/>
      <w:r w:rsidRPr="00F207F8">
        <w:rPr>
          <w:color w:val="222222"/>
          <w:shd w:val="clear" w:color="auto" w:fill="FFFFFF"/>
        </w:rPr>
        <w:t xml:space="preserve">, W., </w:t>
      </w:r>
      <w:proofErr w:type="spellStart"/>
      <w:r w:rsidRPr="00F207F8">
        <w:rPr>
          <w:color w:val="222222"/>
          <w:shd w:val="clear" w:color="auto" w:fill="FFFFFF"/>
        </w:rPr>
        <w:t>Findeisen</w:t>
      </w:r>
      <w:proofErr w:type="spellEnd"/>
      <w:r w:rsidRPr="00F207F8">
        <w:rPr>
          <w:color w:val="222222"/>
          <w:shd w:val="clear" w:color="auto" w:fill="FFFFFF"/>
        </w:rPr>
        <w:t xml:space="preserve">, S., </w:t>
      </w:r>
      <w:r w:rsidR="007F244F">
        <w:rPr>
          <w:color w:val="222222"/>
          <w:shd w:val="clear" w:color="auto" w:fill="FFFFFF"/>
        </w:rPr>
        <w:t>and</w:t>
      </w:r>
      <w:r w:rsidRPr="00F207F8">
        <w:rPr>
          <w:color w:val="222222"/>
          <w:shd w:val="clear" w:color="auto" w:fill="FFFFFF"/>
        </w:rPr>
        <w:t xml:space="preserve"> </w:t>
      </w:r>
      <w:proofErr w:type="spellStart"/>
      <w:r w:rsidRPr="00F207F8">
        <w:rPr>
          <w:color w:val="222222"/>
          <w:shd w:val="clear" w:color="auto" w:fill="FFFFFF"/>
        </w:rPr>
        <w:t>Suedekum</w:t>
      </w:r>
      <w:proofErr w:type="spellEnd"/>
      <w:r w:rsidRPr="00F207F8">
        <w:rPr>
          <w:color w:val="222222"/>
          <w:shd w:val="clear" w:color="auto" w:fill="FFFFFF"/>
        </w:rPr>
        <w:t>, J. (2017). Trade and manufacturing jobs in Germany. </w:t>
      </w:r>
      <w:r w:rsidRPr="00F207F8">
        <w:rPr>
          <w:i/>
          <w:iCs/>
          <w:color w:val="222222"/>
          <w:shd w:val="clear" w:color="auto" w:fill="FFFFFF"/>
        </w:rPr>
        <w:t>American Economic Review</w:t>
      </w:r>
      <w:r w:rsidRPr="00F207F8">
        <w:rPr>
          <w:color w:val="222222"/>
          <w:shd w:val="clear" w:color="auto" w:fill="FFFFFF"/>
        </w:rPr>
        <w:t>, </w:t>
      </w:r>
      <w:r w:rsidRPr="00F207F8">
        <w:rPr>
          <w:i/>
          <w:iCs/>
          <w:color w:val="222222"/>
          <w:shd w:val="clear" w:color="auto" w:fill="FFFFFF"/>
        </w:rPr>
        <w:t>107</w:t>
      </w:r>
      <w:r w:rsidRPr="00F207F8">
        <w:rPr>
          <w:color w:val="222222"/>
          <w:shd w:val="clear" w:color="auto" w:fill="FFFFFF"/>
        </w:rPr>
        <w:t>(5), 337-342.</w:t>
      </w:r>
    </w:p>
    <w:p w14:paraId="2902DA45" w14:textId="77777777" w:rsidR="00F207F8" w:rsidRPr="00F207F8" w:rsidRDefault="00F207F8" w:rsidP="009D6562">
      <w:pPr>
        <w:spacing w:before="100" w:after="0" w:line="240" w:lineRule="auto"/>
        <w:ind w:left="540" w:hanging="540"/>
        <w:rPr>
          <w:color w:val="222222"/>
          <w:shd w:val="clear" w:color="auto" w:fill="FFFFFF"/>
        </w:rPr>
      </w:pPr>
      <w:r w:rsidRPr="00F207F8">
        <w:t xml:space="preserve">Davidson, P. (2022). 'I let money get in the way': Most recent job quitters have regrets or don't plan to stay in new role. </w:t>
      </w:r>
      <w:r w:rsidRPr="00F207F8">
        <w:rPr>
          <w:i/>
        </w:rPr>
        <w:t>USA Today.</w:t>
      </w:r>
      <w:r w:rsidRPr="00F207F8">
        <w:t xml:space="preserve"> Available at: </w:t>
      </w:r>
      <w:hyperlink r:id="rId148" w:history="1">
        <w:r w:rsidRPr="00F207F8">
          <w:rPr>
            <w:rStyle w:val="Hyperlink"/>
          </w:rPr>
          <w:t>https://www.usatoday.com/story/money/2022/03/28/great-resignation-regret-workers-quit-jobs-not-content/7163041001/?gnt-cfr=1</w:t>
        </w:r>
      </w:hyperlink>
      <w:r w:rsidRPr="00F207F8">
        <w:t xml:space="preserve">. </w:t>
      </w:r>
      <w:r w:rsidRPr="00F207F8">
        <w:rPr>
          <w:color w:val="222222"/>
          <w:shd w:val="clear" w:color="auto" w:fill="FFFFFF"/>
        </w:rPr>
        <w:t>Accessed January 30, 2023.</w:t>
      </w:r>
    </w:p>
    <w:p w14:paraId="6D7C6214" w14:textId="77777777" w:rsidR="00F207F8" w:rsidRPr="00A03997" w:rsidRDefault="00F207F8" w:rsidP="009D6562">
      <w:pPr>
        <w:spacing w:before="100" w:after="0" w:line="240" w:lineRule="auto"/>
        <w:ind w:left="540" w:hanging="540"/>
        <w:rPr>
          <w:color w:val="000000" w:themeColor="text1"/>
        </w:rPr>
      </w:pPr>
      <w:bookmarkStart w:id="41" w:name="_Hlk106611770"/>
      <w:r w:rsidRPr="00A03997">
        <w:rPr>
          <w:shd w:val="clear" w:color="auto" w:fill="FFFFFF"/>
        </w:rPr>
        <w:t>Davis, F.D. (1989). Perceived usefulness, perceived ease of use, and user acceptance of information technology. </w:t>
      </w:r>
      <w:r w:rsidRPr="00A03997">
        <w:rPr>
          <w:i/>
          <w:iCs/>
          <w:shd w:val="clear" w:color="auto" w:fill="FFFFFF"/>
        </w:rPr>
        <w:t>MIS Quarterly</w:t>
      </w:r>
      <w:r w:rsidRPr="00A03997">
        <w:rPr>
          <w:shd w:val="clear" w:color="auto" w:fill="FFFFFF"/>
        </w:rPr>
        <w:t xml:space="preserve">, </w:t>
      </w:r>
      <w:r w:rsidRPr="008F40FB">
        <w:rPr>
          <w:i/>
          <w:shd w:val="clear" w:color="auto" w:fill="FFFFFF"/>
        </w:rPr>
        <w:t>13</w:t>
      </w:r>
      <w:r w:rsidRPr="00A03997">
        <w:rPr>
          <w:shd w:val="clear" w:color="auto" w:fill="FFFFFF"/>
        </w:rPr>
        <w:t>(3), 319</w:t>
      </w:r>
      <w:r>
        <w:rPr>
          <w:color w:val="000000" w:themeColor="text1"/>
        </w:rPr>
        <w:t>-</w:t>
      </w:r>
      <w:r w:rsidRPr="00A03997">
        <w:rPr>
          <w:shd w:val="clear" w:color="auto" w:fill="FFFFFF"/>
        </w:rPr>
        <w:t>340.</w:t>
      </w:r>
      <w:bookmarkEnd w:id="41"/>
    </w:p>
    <w:p w14:paraId="57CB9160" w14:textId="77777777" w:rsidR="00F207F8" w:rsidRPr="00A03997" w:rsidRDefault="00F207F8" w:rsidP="009D6562">
      <w:pPr>
        <w:spacing w:before="100" w:after="0" w:line="240" w:lineRule="auto"/>
        <w:ind w:left="540" w:hanging="540"/>
        <w:rPr>
          <w:color w:val="222222"/>
          <w:shd w:val="clear" w:color="auto" w:fill="FFFFFF"/>
        </w:rPr>
      </w:pPr>
      <w:r w:rsidRPr="00A03997">
        <w:rPr>
          <w:color w:val="222222"/>
          <w:shd w:val="clear" w:color="auto" w:fill="FFFFFF"/>
        </w:rPr>
        <w:t xml:space="preserve">Del Boca, D., </w:t>
      </w:r>
      <w:proofErr w:type="spellStart"/>
      <w:r w:rsidRPr="00A03997">
        <w:rPr>
          <w:color w:val="222222"/>
          <w:shd w:val="clear" w:color="auto" w:fill="FFFFFF"/>
        </w:rPr>
        <w:t>Oggero</w:t>
      </w:r>
      <w:proofErr w:type="spellEnd"/>
      <w:r w:rsidRPr="00A03997">
        <w:rPr>
          <w:color w:val="222222"/>
          <w:shd w:val="clear" w:color="auto" w:fill="FFFFFF"/>
        </w:rPr>
        <w:t xml:space="preserve">, N., </w:t>
      </w:r>
      <w:proofErr w:type="spellStart"/>
      <w:r w:rsidRPr="00A03997">
        <w:rPr>
          <w:color w:val="222222"/>
          <w:shd w:val="clear" w:color="auto" w:fill="FFFFFF"/>
        </w:rPr>
        <w:t>Profeta</w:t>
      </w:r>
      <w:proofErr w:type="spellEnd"/>
      <w:r w:rsidRPr="00A03997">
        <w:rPr>
          <w:color w:val="222222"/>
          <w:shd w:val="clear" w:color="auto" w:fill="FFFFFF"/>
        </w:rPr>
        <w:t>, P., and Rossi, M. (2020). Women’s and men’s work, housework and childcare, before and during COVID-19. </w:t>
      </w:r>
      <w:r w:rsidRPr="00A03997">
        <w:rPr>
          <w:i/>
          <w:iCs/>
          <w:color w:val="222222"/>
          <w:shd w:val="clear" w:color="auto" w:fill="FFFFFF"/>
        </w:rPr>
        <w:t>Review of Economics of the Household</w:t>
      </w:r>
      <w:r w:rsidRPr="00A03997">
        <w:rPr>
          <w:color w:val="222222"/>
          <w:shd w:val="clear" w:color="auto" w:fill="FFFFFF"/>
        </w:rPr>
        <w:t>, </w:t>
      </w:r>
      <w:r w:rsidRPr="00A03997">
        <w:rPr>
          <w:i/>
          <w:iCs/>
          <w:color w:val="222222"/>
          <w:shd w:val="clear" w:color="auto" w:fill="FFFFFF"/>
        </w:rPr>
        <w:t>18</w:t>
      </w:r>
      <w:r w:rsidRPr="00A03997">
        <w:rPr>
          <w:color w:val="222222"/>
          <w:shd w:val="clear" w:color="auto" w:fill="FFFFFF"/>
        </w:rPr>
        <w:t>(4), 1001-1017.</w:t>
      </w:r>
    </w:p>
    <w:p w14:paraId="3794F04F" w14:textId="77777777" w:rsidR="00F207F8" w:rsidRDefault="00F207F8" w:rsidP="009D6562">
      <w:pPr>
        <w:spacing w:before="100" w:after="0" w:line="240" w:lineRule="auto"/>
        <w:ind w:left="540" w:hanging="540"/>
        <w:rPr>
          <w:color w:val="222222"/>
          <w:shd w:val="clear" w:color="auto" w:fill="FFFFFF"/>
        </w:rPr>
      </w:pPr>
      <w:r w:rsidRPr="00532699">
        <w:rPr>
          <w:rFonts w:eastAsia="Times New Roman"/>
          <w:color w:val="222222"/>
        </w:rPr>
        <w:t xml:space="preserve">DeSilver, D. </w:t>
      </w:r>
      <w:r w:rsidRPr="00532699">
        <w:rPr>
          <w:color w:val="222222"/>
          <w:shd w:val="clear" w:color="auto" w:fill="FFFFFF"/>
        </w:rPr>
        <w:t>(2020).</w:t>
      </w:r>
      <w:r w:rsidRPr="00F83DA2">
        <w:rPr>
          <w:color w:val="222222"/>
          <w:shd w:val="clear" w:color="auto" w:fill="FFFFFF"/>
        </w:rPr>
        <w:t xml:space="preserve"> Before the coronavirus, telework was an optional benefit, mostly for the affluent few. </w:t>
      </w:r>
      <w:r w:rsidRPr="007F26C8" w:rsidDel="00F83DA2">
        <w:rPr>
          <w:i/>
          <w:color w:val="222222"/>
          <w:shd w:val="clear" w:color="auto" w:fill="FFFFFF"/>
        </w:rPr>
        <w:t>Pew Research Center</w:t>
      </w:r>
      <w:r>
        <w:rPr>
          <w:color w:val="222222"/>
          <w:shd w:val="clear" w:color="auto" w:fill="FFFFFF"/>
        </w:rPr>
        <w:t xml:space="preserve">. </w:t>
      </w:r>
      <w:r w:rsidRPr="00F83DA2">
        <w:rPr>
          <w:color w:val="222222"/>
          <w:shd w:val="clear" w:color="auto" w:fill="FFFFFF"/>
        </w:rPr>
        <w:t xml:space="preserve">Available at: </w:t>
      </w:r>
      <w:hyperlink r:id="rId149" w:history="1">
        <w:r w:rsidRPr="00F83DA2">
          <w:rPr>
            <w:rStyle w:val="Hyperlink"/>
            <w:shd w:val="clear" w:color="auto" w:fill="FFFFFF"/>
          </w:rPr>
          <w:t>https://www.pewresearch.org/fact-tank/2020/03/20/before-the-coronavirus-telework-was-an-optional-benefit-mostly-for-the-affluent-few/</w:t>
        </w:r>
      </w:hyperlink>
      <w:r w:rsidRPr="00F83DA2">
        <w:rPr>
          <w:color w:val="222222"/>
          <w:shd w:val="clear" w:color="auto" w:fill="FFFFFF"/>
        </w:rPr>
        <w:t>. Accessed on March 20, 2022.</w:t>
      </w:r>
    </w:p>
    <w:p w14:paraId="67D3D7C5" w14:textId="77777777" w:rsidR="00F207F8" w:rsidRPr="00A03997" w:rsidRDefault="00F207F8" w:rsidP="009D6562">
      <w:pPr>
        <w:spacing w:before="100" w:after="0" w:line="240" w:lineRule="auto"/>
        <w:ind w:left="540" w:hanging="540"/>
        <w:rPr>
          <w:color w:val="222222"/>
          <w:shd w:val="clear" w:color="auto" w:fill="FFFFFF"/>
        </w:rPr>
      </w:pPr>
      <w:r w:rsidRPr="00A03997">
        <w:rPr>
          <w:color w:val="222222"/>
          <w:shd w:val="clear" w:color="auto" w:fill="FFFFFF"/>
        </w:rPr>
        <w:t xml:space="preserve">Duque, M., Pink, S., </w:t>
      </w:r>
      <w:proofErr w:type="spellStart"/>
      <w:r w:rsidRPr="00A03997">
        <w:rPr>
          <w:color w:val="222222"/>
          <w:shd w:val="clear" w:color="auto" w:fill="FFFFFF"/>
        </w:rPr>
        <w:t>Sumartojo</w:t>
      </w:r>
      <w:proofErr w:type="spellEnd"/>
      <w:r w:rsidRPr="00A03997">
        <w:rPr>
          <w:color w:val="222222"/>
          <w:shd w:val="clear" w:color="auto" w:fill="FFFFFF"/>
        </w:rPr>
        <w:t>, S., and Vaughan, L. (2019). Homeliness in health care: the role of everyday designing. </w:t>
      </w:r>
      <w:r w:rsidRPr="00A03997">
        <w:rPr>
          <w:i/>
          <w:iCs/>
          <w:color w:val="222222"/>
          <w:shd w:val="clear" w:color="auto" w:fill="FFFFFF"/>
        </w:rPr>
        <w:t>Home Cultures</w:t>
      </w:r>
      <w:r w:rsidRPr="00A03997">
        <w:rPr>
          <w:color w:val="222222"/>
          <w:shd w:val="clear" w:color="auto" w:fill="FFFFFF"/>
        </w:rPr>
        <w:t>, </w:t>
      </w:r>
      <w:r w:rsidRPr="00A03997">
        <w:rPr>
          <w:i/>
          <w:iCs/>
          <w:color w:val="222222"/>
          <w:shd w:val="clear" w:color="auto" w:fill="FFFFFF"/>
        </w:rPr>
        <w:t>16</w:t>
      </w:r>
      <w:r w:rsidRPr="00A03997">
        <w:rPr>
          <w:color w:val="222222"/>
          <w:shd w:val="clear" w:color="auto" w:fill="FFFFFF"/>
        </w:rPr>
        <w:t>(3), 213-232.</w:t>
      </w:r>
    </w:p>
    <w:p w14:paraId="45098EF0" w14:textId="77777777" w:rsidR="00F207F8" w:rsidRPr="00A03997" w:rsidRDefault="00F207F8" w:rsidP="009D6562">
      <w:pPr>
        <w:spacing w:before="100" w:after="0" w:line="240" w:lineRule="auto"/>
        <w:ind w:left="540" w:hanging="540"/>
        <w:rPr>
          <w:shd w:val="clear" w:color="auto" w:fill="FFFFFF"/>
        </w:rPr>
      </w:pPr>
      <w:r w:rsidRPr="00A03997">
        <w:rPr>
          <w:color w:val="222222"/>
          <w:shd w:val="clear" w:color="auto" w:fill="FFFFFF"/>
        </w:rPr>
        <w:t>e Silva, J.D.A., and Melo, P.C. (2017). The effects of home-based telework on household total travel: A path analysis approach of British households. </w:t>
      </w:r>
      <w:r w:rsidRPr="00A03997">
        <w:rPr>
          <w:i/>
          <w:iCs/>
          <w:color w:val="222222"/>
          <w:shd w:val="clear" w:color="auto" w:fill="FFFFFF"/>
        </w:rPr>
        <w:t>Transportation Research Procedia</w:t>
      </w:r>
      <w:r w:rsidRPr="00A03997">
        <w:rPr>
          <w:color w:val="222222"/>
          <w:shd w:val="clear" w:color="auto" w:fill="FFFFFF"/>
        </w:rPr>
        <w:t>, </w:t>
      </w:r>
      <w:r w:rsidRPr="00A03997">
        <w:rPr>
          <w:i/>
          <w:iCs/>
          <w:color w:val="222222"/>
          <w:shd w:val="clear" w:color="auto" w:fill="FFFFFF"/>
        </w:rPr>
        <w:t>27</w:t>
      </w:r>
      <w:r w:rsidRPr="00A03997">
        <w:rPr>
          <w:color w:val="222222"/>
          <w:shd w:val="clear" w:color="auto" w:fill="FFFFFF"/>
        </w:rPr>
        <w:t>, 832-840.</w:t>
      </w:r>
    </w:p>
    <w:p w14:paraId="1ABD5605" w14:textId="77777777" w:rsidR="00F207F8" w:rsidRPr="00A03997" w:rsidRDefault="00F207F8" w:rsidP="009D6562">
      <w:pPr>
        <w:spacing w:before="100" w:after="0" w:line="240" w:lineRule="auto"/>
        <w:ind w:left="540" w:hanging="540"/>
        <w:rPr>
          <w:shd w:val="clear" w:color="auto" w:fill="FFFFFF"/>
        </w:rPr>
      </w:pPr>
      <w:proofErr w:type="spellStart"/>
      <w:r w:rsidRPr="00A03997">
        <w:rPr>
          <w:shd w:val="clear" w:color="auto" w:fill="FFFFFF"/>
        </w:rPr>
        <w:lastRenderedPageBreak/>
        <w:t>Egbuta</w:t>
      </w:r>
      <w:proofErr w:type="spellEnd"/>
      <w:r w:rsidRPr="00A03997">
        <w:rPr>
          <w:shd w:val="clear" w:color="auto" w:fill="FFFFFF"/>
        </w:rPr>
        <w:t xml:space="preserve">, I., Thomas, B., and Al-Hasan, S. (2021). An </w:t>
      </w:r>
      <w:r>
        <w:rPr>
          <w:shd w:val="clear" w:color="auto" w:fill="FFFFFF"/>
        </w:rPr>
        <w:t>i</w:t>
      </w:r>
      <w:r w:rsidRPr="00A03997">
        <w:rPr>
          <w:shd w:val="clear" w:color="auto" w:fill="FFFFFF"/>
        </w:rPr>
        <w:t xml:space="preserve">nvestigation into </w:t>
      </w:r>
      <w:r>
        <w:rPr>
          <w:shd w:val="clear" w:color="auto" w:fill="FFFFFF"/>
        </w:rPr>
        <w:t>t</w:t>
      </w:r>
      <w:r w:rsidRPr="00A03997">
        <w:rPr>
          <w:shd w:val="clear" w:color="auto" w:fill="FFFFFF"/>
        </w:rPr>
        <w:t xml:space="preserve">eleworking as </w:t>
      </w:r>
      <w:r>
        <w:rPr>
          <w:shd w:val="clear" w:color="auto" w:fill="FFFFFF"/>
        </w:rPr>
        <w:t>a</w:t>
      </w:r>
      <w:r w:rsidRPr="00A03997">
        <w:rPr>
          <w:shd w:val="clear" w:color="auto" w:fill="FFFFFF"/>
        </w:rPr>
        <w:t xml:space="preserve">n </w:t>
      </w:r>
      <w:r>
        <w:rPr>
          <w:shd w:val="clear" w:color="auto" w:fill="FFFFFF"/>
        </w:rPr>
        <w:t>i</w:t>
      </w:r>
      <w:r w:rsidRPr="00A03997">
        <w:rPr>
          <w:shd w:val="clear" w:color="auto" w:fill="FFFFFF"/>
        </w:rPr>
        <w:t xml:space="preserve">nnovative </w:t>
      </w:r>
      <w:r>
        <w:rPr>
          <w:shd w:val="clear" w:color="auto" w:fill="FFFFFF"/>
        </w:rPr>
        <w:t>w</w:t>
      </w:r>
      <w:r w:rsidRPr="00A03997">
        <w:rPr>
          <w:shd w:val="clear" w:color="auto" w:fill="FFFFFF"/>
        </w:rPr>
        <w:t xml:space="preserve">ork </w:t>
      </w:r>
      <w:r>
        <w:rPr>
          <w:shd w:val="clear" w:color="auto" w:fill="FFFFFF"/>
        </w:rPr>
        <w:t>p</w:t>
      </w:r>
      <w:r w:rsidRPr="00A03997">
        <w:rPr>
          <w:shd w:val="clear" w:color="auto" w:fill="FFFFFF"/>
        </w:rPr>
        <w:t xml:space="preserve">ractice in </w:t>
      </w:r>
      <w:r>
        <w:rPr>
          <w:shd w:val="clear" w:color="auto" w:fill="FFFFFF"/>
        </w:rPr>
        <w:t>s</w:t>
      </w:r>
      <w:r w:rsidRPr="00A03997">
        <w:rPr>
          <w:shd w:val="clear" w:color="auto" w:fill="FFFFFF"/>
        </w:rPr>
        <w:t xml:space="preserve">mall </w:t>
      </w:r>
      <w:r>
        <w:rPr>
          <w:shd w:val="clear" w:color="auto" w:fill="FFFFFF"/>
        </w:rPr>
        <w:t>b</w:t>
      </w:r>
      <w:r w:rsidRPr="00A03997">
        <w:rPr>
          <w:shd w:val="clear" w:color="auto" w:fill="FFFFFF"/>
        </w:rPr>
        <w:t xml:space="preserve">usiness </w:t>
      </w:r>
      <w:r>
        <w:rPr>
          <w:shd w:val="clear" w:color="auto" w:fill="FFFFFF"/>
        </w:rPr>
        <w:t>e</w:t>
      </w:r>
      <w:r w:rsidRPr="00A03997">
        <w:rPr>
          <w:shd w:val="clear" w:color="auto" w:fill="FFFFFF"/>
        </w:rPr>
        <w:t>nterprises in South Wales</w:t>
      </w:r>
      <w:r>
        <w:rPr>
          <w:shd w:val="clear" w:color="auto" w:fill="FFFFFF"/>
        </w:rPr>
        <w:t xml:space="preserve">. </w:t>
      </w:r>
      <w:r w:rsidRPr="00532699">
        <w:rPr>
          <w:i/>
          <w:shd w:val="clear" w:color="auto" w:fill="FFFFFF"/>
        </w:rPr>
        <w:t>International Journal of Scientific Advances</w:t>
      </w:r>
      <w:r w:rsidRPr="00C70726">
        <w:rPr>
          <w:shd w:val="clear" w:color="auto" w:fill="FFFFFF"/>
        </w:rPr>
        <w:t xml:space="preserve">, </w:t>
      </w:r>
      <w:r w:rsidRPr="00532699">
        <w:rPr>
          <w:i/>
          <w:shd w:val="clear" w:color="auto" w:fill="FFFFFF"/>
        </w:rPr>
        <w:t>2</w:t>
      </w:r>
      <w:r w:rsidRPr="00C70726">
        <w:rPr>
          <w:shd w:val="clear" w:color="auto" w:fill="FFFFFF"/>
        </w:rPr>
        <w:t>(</w:t>
      </w:r>
      <w:r w:rsidRPr="00532699">
        <w:rPr>
          <w:shd w:val="clear" w:color="auto" w:fill="FFFFFF"/>
        </w:rPr>
        <w:t>4)</w:t>
      </w:r>
      <w:r>
        <w:rPr>
          <w:shd w:val="clear" w:color="auto" w:fill="FFFFFF"/>
        </w:rPr>
        <w:t>, 503-515.</w:t>
      </w:r>
    </w:p>
    <w:p w14:paraId="6C99C692" w14:textId="77777777" w:rsidR="00F207F8" w:rsidRPr="00A03997" w:rsidRDefault="00F207F8" w:rsidP="009D6562">
      <w:pPr>
        <w:shd w:val="clear" w:color="auto" w:fill="FFFFFF"/>
        <w:spacing w:before="100" w:after="0" w:line="240" w:lineRule="auto"/>
        <w:ind w:left="540" w:hanging="540"/>
        <w:rPr>
          <w:rFonts w:eastAsia="Times New Roman"/>
        </w:rPr>
      </w:pPr>
      <w:proofErr w:type="spellStart"/>
      <w:r w:rsidRPr="00A03997">
        <w:rPr>
          <w:color w:val="222222"/>
          <w:shd w:val="clear" w:color="auto" w:fill="FFFFFF"/>
        </w:rPr>
        <w:t>Eurofound</w:t>
      </w:r>
      <w:proofErr w:type="spellEnd"/>
      <w:r w:rsidRPr="00A03997">
        <w:rPr>
          <w:color w:val="222222"/>
          <w:shd w:val="clear" w:color="auto" w:fill="FFFFFF"/>
        </w:rPr>
        <w:t xml:space="preserve"> (2020). Living, working and COVID-19. Available at: </w:t>
      </w:r>
      <w:hyperlink r:id="rId150" w:history="1">
        <w:r w:rsidRPr="00A03997">
          <w:rPr>
            <w:rStyle w:val="Hyperlink"/>
            <w:shd w:val="clear" w:color="auto" w:fill="FFFFFF"/>
          </w:rPr>
          <w:t>https://policycommons.net/artifacts/1845186/living-working-and-covid-19/2589288/</w:t>
        </w:r>
      </w:hyperlink>
      <w:r w:rsidRPr="00A03997">
        <w:rPr>
          <w:color w:val="222222"/>
          <w:shd w:val="clear" w:color="auto" w:fill="FFFFFF"/>
        </w:rPr>
        <w:t>. Accessed March 20, 2022.</w:t>
      </w:r>
    </w:p>
    <w:p w14:paraId="6263B730" w14:textId="77777777" w:rsidR="00F207F8" w:rsidRPr="00A03997" w:rsidRDefault="00F207F8" w:rsidP="009D6562">
      <w:pPr>
        <w:spacing w:before="100" w:after="0" w:line="240" w:lineRule="auto"/>
        <w:ind w:left="540" w:hanging="540"/>
        <w:rPr>
          <w:color w:val="222222"/>
          <w:shd w:val="clear" w:color="auto" w:fill="FFFFFF"/>
        </w:rPr>
      </w:pPr>
      <w:r w:rsidRPr="00A03997">
        <w:rPr>
          <w:color w:val="222222"/>
          <w:shd w:val="clear" w:color="auto" w:fill="FFFFFF"/>
        </w:rPr>
        <w:t xml:space="preserve">Eurostat (2020). How usual is it to work from home? Available at: </w:t>
      </w:r>
      <w:hyperlink r:id="rId151" w:history="1">
        <w:r w:rsidRPr="00D74494">
          <w:rPr>
            <w:rStyle w:val="Hyperlink"/>
            <w:shd w:val="clear" w:color="auto" w:fill="FFFFFF"/>
          </w:rPr>
          <w:t>https://ec.europa.eu/eurostat/web/products-eurostat-news/-/DDN-20200424-1</w:t>
        </w:r>
      </w:hyperlink>
      <w:r w:rsidRPr="00A03997">
        <w:rPr>
          <w:color w:val="222222"/>
          <w:shd w:val="clear" w:color="auto" w:fill="FFFFFF"/>
        </w:rPr>
        <w:t>.</w:t>
      </w:r>
      <w:r>
        <w:rPr>
          <w:color w:val="222222"/>
          <w:shd w:val="clear" w:color="auto" w:fill="FFFFFF"/>
        </w:rPr>
        <w:t xml:space="preserve"> </w:t>
      </w:r>
      <w:r w:rsidRPr="00A03997">
        <w:rPr>
          <w:color w:val="222222"/>
          <w:shd w:val="clear" w:color="auto" w:fill="FFFFFF"/>
        </w:rPr>
        <w:t>Accessed March 11, 2022.</w:t>
      </w:r>
    </w:p>
    <w:p w14:paraId="267798DC" w14:textId="77777777" w:rsidR="00F207F8" w:rsidRPr="00A03997" w:rsidRDefault="00F207F8" w:rsidP="009D6562">
      <w:pPr>
        <w:spacing w:before="100" w:after="0" w:line="240" w:lineRule="auto"/>
        <w:ind w:left="540" w:hanging="540"/>
        <w:rPr>
          <w:color w:val="222222"/>
          <w:shd w:val="clear" w:color="auto" w:fill="FFFFFF"/>
        </w:rPr>
      </w:pPr>
      <w:bookmarkStart w:id="42" w:name="_Hlk101711440"/>
      <w:r w:rsidRPr="00A03997">
        <w:rPr>
          <w:color w:val="222222"/>
          <w:shd w:val="clear" w:color="auto" w:fill="FFFFFF"/>
        </w:rPr>
        <w:t>Foucault, M., and Galasso</w:t>
      </w:r>
      <w:bookmarkEnd w:id="42"/>
      <w:r w:rsidRPr="00A03997">
        <w:rPr>
          <w:color w:val="222222"/>
          <w:shd w:val="clear" w:color="auto" w:fill="FFFFFF"/>
        </w:rPr>
        <w:t xml:space="preserve">, V. (2020). Working after COVID-19: </w:t>
      </w:r>
      <w:r>
        <w:rPr>
          <w:color w:val="222222"/>
          <w:shd w:val="clear" w:color="auto" w:fill="FFFFFF"/>
        </w:rPr>
        <w:t>C</w:t>
      </w:r>
      <w:r w:rsidRPr="00A03997">
        <w:rPr>
          <w:color w:val="222222"/>
          <w:shd w:val="clear" w:color="auto" w:fill="FFFFFF"/>
        </w:rPr>
        <w:t>ross-country evidence from real-time survey data. </w:t>
      </w:r>
      <w:r w:rsidRPr="00A03997">
        <w:rPr>
          <w:i/>
          <w:iCs/>
          <w:color w:val="222222"/>
          <w:shd w:val="clear" w:color="auto" w:fill="FFFFFF"/>
        </w:rPr>
        <w:t>Science Po CEVIPOF Research Note</w:t>
      </w:r>
      <w:r w:rsidRPr="00A03997">
        <w:rPr>
          <w:color w:val="222222"/>
          <w:shd w:val="clear" w:color="auto" w:fill="FFFFFF"/>
        </w:rPr>
        <w:t>, </w:t>
      </w:r>
      <w:r w:rsidRPr="00A03997">
        <w:rPr>
          <w:i/>
          <w:iCs/>
          <w:color w:val="222222"/>
          <w:shd w:val="clear" w:color="auto" w:fill="FFFFFF"/>
        </w:rPr>
        <w:t>9</w:t>
      </w:r>
      <w:r w:rsidRPr="00A03997">
        <w:rPr>
          <w:color w:val="222222"/>
          <w:shd w:val="clear" w:color="auto" w:fill="FFFFFF"/>
        </w:rPr>
        <w:t>.</w:t>
      </w:r>
    </w:p>
    <w:p w14:paraId="55300364" w14:textId="77777777" w:rsidR="00F207F8" w:rsidRPr="00A03997" w:rsidRDefault="00F207F8" w:rsidP="009D6562">
      <w:pPr>
        <w:spacing w:before="100" w:after="0" w:line="240" w:lineRule="auto"/>
        <w:ind w:left="540" w:hanging="540"/>
      </w:pPr>
      <w:bookmarkStart w:id="43" w:name="_Toc99017846"/>
      <w:r w:rsidRPr="00A03997">
        <w:rPr>
          <w:shd w:val="clear" w:color="auto" w:fill="FFFFFF"/>
        </w:rPr>
        <w:t xml:space="preserve">Frick, N., and Marx, J. (2021). Integrating </w:t>
      </w:r>
      <w:r>
        <w:rPr>
          <w:shd w:val="clear" w:color="auto" w:fill="FFFFFF"/>
        </w:rPr>
        <w:t>d</w:t>
      </w:r>
      <w:r w:rsidRPr="00A03997">
        <w:rPr>
          <w:shd w:val="clear" w:color="auto" w:fill="FFFFFF"/>
        </w:rPr>
        <w:t xml:space="preserve">igital </w:t>
      </w:r>
      <w:r>
        <w:rPr>
          <w:shd w:val="clear" w:color="auto" w:fill="FFFFFF"/>
        </w:rPr>
        <w:t>n</w:t>
      </w:r>
      <w:r w:rsidRPr="00A03997">
        <w:rPr>
          <w:shd w:val="clear" w:color="auto" w:fill="FFFFFF"/>
        </w:rPr>
        <w:t xml:space="preserve">omads in </w:t>
      </w:r>
      <w:r>
        <w:rPr>
          <w:shd w:val="clear" w:color="auto" w:fill="FFFFFF"/>
        </w:rPr>
        <w:t>c</w:t>
      </w:r>
      <w:r w:rsidRPr="00A03997">
        <w:rPr>
          <w:shd w:val="clear" w:color="auto" w:fill="FFFFFF"/>
        </w:rPr>
        <w:t xml:space="preserve">orporate </w:t>
      </w:r>
      <w:r>
        <w:rPr>
          <w:shd w:val="clear" w:color="auto" w:fill="FFFFFF"/>
        </w:rPr>
        <w:t>s</w:t>
      </w:r>
      <w:r w:rsidRPr="00A03997">
        <w:rPr>
          <w:shd w:val="clear" w:color="auto" w:fill="FFFFFF"/>
        </w:rPr>
        <w:t xml:space="preserve">tructures: Managerial </w:t>
      </w:r>
      <w:r>
        <w:rPr>
          <w:shd w:val="clear" w:color="auto" w:fill="FFFFFF"/>
        </w:rPr>
        <w:t>c</w:t>
      </w:r>
      <w:r w:rsidRPr="00A03997">
        <w:rPr>
          <w:shd w:val="clear" w:color="auto" w:fill="FFFFFF"/>
        </w:rPr>
        <w:t>ontemplations. In </w:t>
      </w:r>
      <w:r w:rsidRPr="00A03997">
        <w:rPr>
          <w:i/>
          <w:iCs/>
          <w:shd w:val="clear" w:color="auto" w:fill="FFFFFF"/>
        </w:rPr>
        <w:t>Proceedings of the 54th Hawaii International Conference on System Sciences</w:t>
      </w:r>
      <w:r w:rsidRPr="00A03997">
        <w:rPr>
          <w:shd w:val="clear" w:color="auto" w:fill="FFFFFF"/>
        </w:rPr>
        <w:t> (p. 2111).</w:t>
      </w:r>
      <w:bookmarkEnd w:id="43"/>
    </w:p>
    <w:p w14:paraId="2DFEFA81" w14:textId="77777777" w:rsidR="00F207F8" w:rsidRPr="00A03997" w:rsidRDefault="00F207F8" w:rsidP="009D6562">
      <w:pPr>
        <w:shd w:val="clear" w:color="auto" w:fill="FFFFFF"/>
        <w:spacing w:before="100" w:after="0" w:line="240" w:lineRule="auto"/>
        <w:ind w:left="540" w:hanging="540"/>
        <w:rPr>
          <w:rFonts w:eastAsia="Times New Roman"/>
        </w:rPr>
      </w:pPr>
      <w:r w:rsidRPr="00C70726">
        <w:rPr>
          <w:color w:val="222222"/>
          <w:shd w:val="clear" w:color="auto" w:fill="FFFFFF"/>
        </w:rPr>
        <w:t>Gallup (202</w:t>
      </w:r>
      <w:r>
        <w:rPr>
          <w:color w:val="222222"/>
          <w:shd w:val="clear" w:color="auto" w:fill="FFFFFF"/>
        </w:rPr>
        <w:t>0</w:t>
      </w:r>
      <w:r w:rsidRPr="00C70726">
        <w:rPr>
          <w:color w:val="222222"/>
          <w:shd w:val="clear" w:color="auto" w:fill="FFFFFF"/>
        </w:rPr>
        <w:t>).</w:t>
      </w:r>
      <w:r w:rsidRPr="00A03997">
        <w:rPr>
          <w:color w:val="222222"/>
          <w:shd w:val="clear" w:color="auto" w:fill="FFFFFF"/>
        </w:rPr>
        <w:t xml:space="preserve"> </w:t>
      </w:r>
      <w:r w:rsidRPr="00A03997">
        <w:rPr>
          <w:rFonts w:eastAsia="Times New Roman"/>
        </w:rPr>
        <w:t xml:space="preserve">COVID-19: A leader ’s guide to developing a work-from-home strategy. Available at: </w:t>
      </w:r>
      <w:hyperlink r:id="rId152" w:history="1">
        <w:r w:rsidRPr="00A03997">
          <w:rPr>
            <w:rStyle w:val="Hyperlink"/>
            <w:rFonts w:eastAsia="Times New Roman"/>
          </w:rPr>
          <w:t>https://www.gallup.com/workplace/310988/covid-19-working-from-home-guide.aspx</w:t>
        </w:r>
      </w:hyperlink>
      <w:r w:rsidRPr="00A03997">
        <w:rPr>
          <w:rFonts w:eastAsia="Times New Roman"/>
        </w:rPr>
        <w:t>. Accessed March 11, 2022.</w:t>
      </w:r>
    </w:p>
    <w:p w14:paraId="29DD0546" w14:textId="77777777" w:rsidR="00F207F8" w:rsidRPr="00A03997" w:rsidRDefault="00F207F8" w:rsidP="009D6562">
      <w:pPr>
        <w:spacing w:before="100" w:after="0" w:line="240" w:lineRule="auto"/>
        <w:ind w:left="540" w:hanging="540"/>
        <w:rPr>
          <w:color w:val="222222"/>
          <w:shd w:val="clear" w:color="auto" w:fill="FFFFFF"/>
        </w:rPr>
      </w:pPr>
      <w:bookmarkStart w:id="44" w:name="_Hlk105749040"/>
      <w:proofErr w:type="spellStart"/>
      <w:r w:rsidRPr="00A03997">
        <w:rPr>
          <w:color w:val="222222"/>
          <w:shd w:val="clear" w:color="auto" w:fill="FFFFFF"/>
        </w:rPr>
        <w:t>Gebbels</w:t>
      </w:r>
      <w:bookmarkEnd w:id="44"/>
      <w:proofErr w:type="spellEnd"/>
      <w:r w:rsidRPr="00A03997">
        <w:rPr>
          <w:color w:val="222222"/>
          <w:shd w:val="clear" w:color="auto" w:fill="FFFFFF"/>
        </w:rPr>
        <w:t xml:space="preserve">, M., </w:t>
      </w:r>
      <w:proofErr w:type="spellStart"/>
      <w:r w:rsidRPr="00A03997">
        <w:rPr>
          <w:color w:val="222222"/>
          <w:shd w:val="clear" w:color="auto" w:fill="FFFFFF"/>
        </w:rPr>
        <w:t>Pantelidis</w:t>
      </w:r>
      <w:proofErr w:type="spellEnd"/>
      <w:r w:rsidRPr="00A03997">
        <w:rPr>
          <w:color w:val="222222"/>
          <w:shd w:val="clear" w:color="auto" w:fill="FFFFFF"/>
        </w:rPr>
        <w:t>, I.S., and Goss-Turner, S. (20</w:t>
      </w:r>
      <w:r>
        <w:rPr>
          <w:color w:val="222222"/>
          <w:shd w:val="clear" w:color="auto" w:fill="FFFFFF"/>
        </w:rPr>
        <w:t>20</w:t>
      </w:r>
      <w:r w:rsidRPr="00A03997">
        <w:rPr>
          <w:color w:val="222222"/>
          <w:shd w:val="clear" w:color="auto" w:fill="FFFFFF"/>
        </w:rPr>
        <w:t xml:space="preserve">). </w:t>
      </w:r>
      <w:proofErr w:type="spellStart"/>
      <w:r w:rsidRPr="00A03997">
        <w:rPr>
          <w:color w:val="222222"/>
          <w:shd w:val="clear" w:color="auto" w:fill="FFFFFF"/>
        </w:rPr>
        <w:t>Conceptualising</w:t>
      </w:r>
      <w:proofErr w:type="spellEnd"/>
      <w:r w:rsidRPr="00A03997">
        <w:rPr>
          <w:color w:val="222222"/>
          <w:shd w:val="clear" w:color="auto" w:fill="FFFFFF"/>
        </w:rPr>
        <w:t xml:space="preserve"> patterns of career commitment: </w:t>
      </w:r>
      <w:r>
        <w:rPr>
          <w:color w:val="222222"/>
          <w:shd w:val="clear" w:color="auto" w:fill="FFFFFF"/>
        </w:rPr>
        <w:t>T</w:t>
      </w:r>
      <w:r w:rsidRPr="00A03997">
        <w:rPr>
          <w:color w:val="222222"/>
          <w:shd w:val="clear" w:color="auto" w:fill="FFFFFF"/>
        </w:rPr>
        <w:t>he leaving process in hospitality. </w:t>
      </w:r>
      <w:r w:rsidRPr="00A03997">
        <w:rPr>
          <w:i/>
          <w:iCs/>
          <w:color w:val="222222"/>
          <w:shd w:val="clear" w:color="auto" w:fill="FFFFFF"/>
        </w:rPr>
        <w:t>International Journal of Contemporary Hospitality Management</w:t>
      </w:r>
      <w:r>
        <w:rPr>
          <w:color w:val="222222"/>
          <w:shd w:val="clear" w:color="auto" w:fill="FFFFFF"/>
        </w:rPr>
        <w:t xml:space="preserve">, </w:t>
      </w:r>
      <w:r w:rsidRPr="00282914">
        <w:rPr>
          <w:i/>
          <w:color w:val="222222"/>
          <w:shd w:val="clear" w:color="auto" w:fill="FFFFFF"/>
        </w:rPr>
        <w:t>32</w:t>
      </w:r>
      <w:r>
        <w:rPr>
          <w:color w:val="222222"/>
          <w:shd w:val="clear" w:color="auto" w:fill="FFFFFF"/>
        </w:rPr>
        <w:t>(1), 126-147.</w:t>
      </w:r>
    </w:p>
    <w:p w14:paraId="1F20232D" w14:textId="77777777" w:rsidR="00F207F8" w:rsidRPr="00A03997" w:rsidRDefault="00F207F8" w:rsidP="009D6562">
      <w:pPr>
        <w:spacing w:before="100" w:after="0" w:line="240" w:lineRule="auto"/>
        <w:ind w:left="540" w:hanging="540"/>
        <w:rPr>
          <w:color w:val="222222"/>
          <w:shd w:val="clear" w:color="auto" w:fill="FFFFFF"/>
        </w:rPr>
      </w:pPr>
      <w:bookmarkStart w:id="45" w:name="_Hlk101511943"/>
      <w:proofErr w:type="spellStart"/>
      <w:r w:rsidRPr="00A03997">
        <w:rPr>
          <w:color w:val="222222"/>
          <w:shd w:val="clear" w:color="auto" w:fill="FFFFFF"/>
        </w:rPr>
        <w:t>Georgiadou</w:t>
      </w:r>
      <w:proofErr w:type="spellEnd"/>
      <w:r w:rsidRPr="00A03997">
        <w:rPr>
          <w:color w:val="222222"/>
          <w:shd w:val="clear" w:color="auto" w:fill="FFFFFF"/>
        </w:rPr>
        <w:t>, A., and Syed</w:t>
      </w:r>
      <w:bookmarkEnd w:id="45"/>
      <w:r w:rsidRPr="00A03997">
        <w:rPr>
          <w:color w:val="222222"/>
          <w:shd w:val="clear" w:color="auto" w:fill="FFFFFF"/>
        </w:rPr>
        <w:t>, J. (2021). The interaction between gender and informal social networks: An East Asian perspective: Gender diversity management in East Asia. </w:t>
      </w:r>
      <w:r w:rsidRPr="00A03997">
        <w:rPr>
          <w:i/>
          <w:iCs/>
          <w:color w:val="222222"/>
          <w:shd w:val="clear" w:color="auto" w:fill="FFFFFF"/>
        </w:rPr>
        <w:t>Human Resource Management Journal</w:t>
      </w:r>
      <w:r w:rsidRPr="00A03997">
        <w:rPr>
          <w:color w:val="222222"/>
          <w:shd w:val="clear" w:color="auto" w:fill="FFFFFF"/>
        </w:rPr>
        <w:t>, </w:t>
      </w:r>
      <w:r w:rsidRPr="00A03997">
        <w:rPr>
          <w:i/>
          <w:iCs/>
          <w:color w:val="222222"/>
          <w:shd w:val="clear" w:color="auto" w:fill="FFFFFF"/>
        </w:rPr>
        <w:t>31</w:t>
      </w:r>
      <w:r w:rsidRPr="00A03997">
        <w:rPr>
          <w:color w:val="222222"/>
          <w:shd w:val="clear" w:color="auto" w:fill="FFFFFF"/>
        </w:rPr>
        <w:t>(4), 995-1009.</w:t>
      </w:r>
    </w:p>
    <w:p w14:paraId="2EF23989" w14:textId="77777777" w:rsidR="00F207F8" w:rsidRPr="00A03997" w:rsidRDefault="00F207F8" w:rsidP="009D6562">
      <w:pPr>
        <w:shd w:val="clear" w:color="auto" w:fill="FFFFFF"/>
        <w:spacing w:before="100" w:after="0" w:line="240" w:lineRule="auto"/>
        <w:ind w:left="540" w:hanging="540"/>
        <w:rPr>
          <w:color w:val="222222"/>
          <w:shd w:val="clear" w:color="auto" w:fill="FFFFFF"/>
        </w:rPr>
      </w:pPr>
      <w:proofErr w:type="spellStart"/>
      <w:r w:rsidRPr="00A03997">
        <w:rPr>
          <w:color w:val="222222"/>
          <w:shd w:val="clear" w:color="auto" w:fill="FFFFFF"/>
        </w:rPr>
        <w:t>Greguletz</w:t>
      </w:r>
      <w:proofErr w:type="spellEnd"/>
      <w:r w:rsidRPr="00A03997">
        <w:rPr>
          <w:color w:val="222222"/>
          <w:shd w:val="clear" w:color="auto" w:fill="FFFFFF"/>
        </w:rPr>
        <w:t xml:space="preserve">, E., Diehl, M.R., and Kreutzer, K. (2019). Why women build </w:t>
      </w:r>
      <w:proofErr w:type="gramStart"/>
      <w:r w:rsidRPr="00A03997">
        <w:rPr>
          <w:color w:val="222222"/>
          <w:shd w:val="clear" w:color="auto" w:fill="FFFFFF"/>
        </w:rPr>
        <w:t>less</w:t>
      </w:r>
      <w:proofErr w:type="gramEnd"/>
      <w:r w:rsidRPr="00A03997">
        <w:rPr>
          <w:color w:val="222222"/>
          <w:shd w:val="clear" w:color="auto" w:fill="FFFFFF"/>
        </w:rPr>
        <w:t xml:space="preserve"> effective networks than men: The role of structural exclusion and personal hesitation. </w:t>
      </w:r>
      <w:r w:rsidRPr="00A03997">
        <w:rPr>
          <w:i/>
          <w:iCs/>
          <w:color w:val="222222"/>
          <w:shd w:val="clear" w:color="auto" w:fill="FFFFFF"/>
        </w:rPr>
        <w:t>Human Relations</w:t>
      </w:r>
      <w:r w:rsidRPr="00A03997">
        <w:rPr>
          <w:color w:val="222222"/>
          <w:shd w:val="clear" w:color="auto" w:fill="FFFFFF"/>
        </w:rPr>
        <w:t>, </w:t>
      </w:r>
      <w:r w:rsidRPr="00A03997">
        <w:rPr>
          <w:i/>
          <w:iCs/>
          <w:color w:val="222222"/>
          <w:shd w:val="clear" w:color="auto" w:fill="FFFFFF"/>
        </w:rPr>
        <w:t>72</w:t>
      </w:r>
      <w:r w:rsidRPr="00A03997">
        <w:rPr>
          <w:color w:val="222222"/>
          <w:shd w:val="clear" w:color="auto" w:fill="FFFFFF"/>
        </w:rPr>
        <w:t>(7), 1234-1261.</w:t>
      </w:r>
    </w:p>
    <w:p w14:paraId="1D95FB7D" w14:textId="77777777" w:rsidR="00F207F8" w:rsidRPr="00A03997" w:rsidRDefault="00F207F8" w:rsidP="009D6562">
      <w:pPr>
        <w:spacing w:before="100" w:after="0" w:line="240" w:lineRule="auto"/>
        <w:ind w:left="540" w:hanging="540"/>
        <w:rPr>
          <w:color w:val="222222"/>
          <w:shd w:val="clear" w:color="auto" w:fill="FFFFFF"/>
        </w:rPr>
      </w:pPr>
      <w:r w:rsidRPr="00A03997">
        <w:rPr>
          <w:color w:val="222222"/>
          <w:shd w:val="clear" w:color="auto" w:fill="FFFFFF"/>
        </w:rPr>
        <w:t xml:space="preserve">Groen, B.A., Van </w:t>
      </w:r>
      <w:proofErr w:type="spellStart"/>
      <w:r w:rsidRPr="00A03997">
        <w:rPr>
          <w:color w:val="222222"/>
          <w:shd w:val="clear" w:color="auto" w:fill="FFFFFF"/>
        </w:rPr>
        <w:t>Triest</w:t>
      </w:r>
      <w:proofErr w:type="spellEnd"/>
      <w:r w:rsidRPr="00A03997">
        <w:rPr>
          <w:color w:val="222222"/>
          <w:shd w:val="clear" w:color="auto" w:fill="FFFFFF"/>
        </w:rPr>
        <w:t xml:space="preserve">, S.P., </w:t>
      </w:r>
      <w:proofErr w:type="spellStart"/>
      <w:r w:rsidRPr="00A03997">
        <w:rPr>
          <w:color w:val="222222"/>
          <w:shd w:val="clear" w:color="auto" w:fill="FFFFFF"/>
        </w:rPr>
        <w:t>Coers</w:t>
      </w:r>
      <w:proofErr w:type="spellEnd"/>
      <w:r w:rsidRPr="00A03997">
        <w:rPr>
          <w:color w:val="222222"/>
          <w:shd w:val="clear" w:color="auto" w:fill="FFFFFF"/>
        </w:rPr>
        <w:t xml:space="preserve">, M., and </w:t>
      </w:r>
      <w:proofErr w:type="spellStart"/>
      <w:r w:rsidRPr="00A03997">
        <w:rPr>
          <w:color w:val="222222"/>
          <w:shd w:val="clear" w:color="auto" w:fill="FFFFFF"/>
        </w:rPr>
        <w:t>Wtenweerde</w:t>
      </w:r>
      <w:proofErr w:type="spellEnd"/>
      <w:r w:rsidRPr="00A03997">
        <w:rPr>
          <w:color w:val="222222"/>
          <w:shd w:val="clear" w:color="auto" w:fill="FFFFFF"/>
        </w:rPr>
        <w:t>, N. (2018). Managing flexible work arrangements: Teleworking and output controls. </w:t>
      </w:r>
      <w:r w:rsidRPr="00A03997">
        <w:rPr>
          <w:i/>
          <w:iCs/>
          <w:color w:val="222222"/>
          <w:shd w:val="clear" w:color="auto" w:fill="FFFFFF"/>
        </w:rPr>
        <w:t>European Management Journal</w:t>
      </w:r>
      <w:r w:rsidRPr="00A03997">
        <w:rPr>
          <w:color w:val="222222"/>
          <w:shd w:val="clear" w:color="auto" w:fill="FFFFFF"/>
        </w:rPr>
        <w:t xml:space="preserve">, </w:t>
      </w:r>
      <w:r w:rsidRPr="00A03997">
        <w:rPr>
          <w:i/>
          <w:iCs/>
          <w:color w:val="222222"/>
          <w:shd w:val="clear" w:color="auto" w:fill="FFFFFF"/>
        </w:rPr>
        <w:t>36</w:t>
      </w:r>
      <w:r w:rsidRPr="00A03997">
        <w:rPr>
          <w:color w:val="222222"/>
          <w:shd w:val="clear" w:color="auto" w:fill="FFFFFF"/>
        </w:rPr>
        <w:t>(6), 727-735.</w:t>
      </w:r>
    </w:p>
    <w:p w14:paraId="1DDD9F29" w14:textId="77777777" w:rsidR="00F207F8" w:rsidRPr="00A03997" w:rsidRDefault="00F207F8" w:rsidP="009D6562">
      <w:pPr>
        <w:spacing w:before="100" w:after="0" w:line="240" w:lineRule="auto"/>
        <w:ind w:left="540" w:hanging="540"/>
        <w:rPr>
          <w:color w:val="222222"/>
          <w:shd w:val="clear" w:color="auto" w:fill="FFFFFF"/>
        </w:rPr>
      </w:pPr>
      <w:proofErr w:type="spellStart"/>
      <w:r w:rsidRPr="00A03997">
        <w:rPr>
          <w:color w:val="222222"/>
          <w:shd w:val="clear" w:color="auto" w:fill="FFFFFF"/>
        </w:rPr>
        <w:t>Gunden</w:t>
      </w:r>
      <w:proofErr w:type="spellEnd"/>
      <w:r w:rsidRPr="00A03997">
        <w:rPr>
          <w:color w:val="222222"/>
          <w:shd w:val="clear" w:color="auto" w:fill="FFFFFF"/>
        </w:rPr>
        <w:t xml:space="preserve">, N., </w:t>
      </w:r>
      <w:proofErr w:type="spellStart"/>
      <w:r w:rsidRPr="00A03997">
        <w:rPr>
          <w:color w:val="222222"/>
          <w:shd w:val="clear" w:color="auto" w:fill="FFFFFF"/>
        </w:rPr>
        <w:t>Morosan</w:t>
      </w:r>
      <w:proofErr w:type="spellEnd"/>
      <w:r w:rsidRPr="00A03997">
        <w:rPr>
          <w:color w:val="222222"/>
          <w:shd w:val="clear" w:color="auto" w:fill="FFFFFF"/>
        </w:rPr>
        <w:t xml:space="preserve">, C., and </w:t>
      </w:r>
      <w:proofErr w:type="spellStart"/>
      <w:r w:rsidRPr="00A03997">
        <w:rPr>
          <w:color w:val="222222"/>
          <w:shd w:val="clear" w:color="auto" w:fill="FFFFFF"/>
        </w:rPr>
        <w:t>DeFranco</w:t>
      </w:r>
      <w:proofErr w:type="spellEnd"/>
      <w:r w:rsidRPr="00A03997">
        <w:rPr>
          <w:color w:val="222222"/>
          <w:shd w:val="clear" w:color="auto" w:fill="FFFFFF"/>
        </w:rPr>
        <w:t>, A. (2020). Consumers’ intentions to use online food delivery systems in the USA. </w:t>
      </w:r>
      <w:r w:rsidRPr="00A03997">
        <w:rPr>
          <w:i/>
          <w:iCs/>
          <w:color w:val="222222"/>
          <w:shd w:val="clear" w:color="auto" w:fill="FFFFFF"/>
        </w:rPr>
        <w:t>International Journal of Contemporary Hospitality Management</w:t>
      </w:r>
      <w:r w:rsidRPr="00A03997">
        <w:rPr>
          <w:color w:val="222222"/>
          <w:shd w:val="clear" w:color="auto" w:fill="FFFFFF"/>
        </w:rPr>
        <w:t>, </w:t>
      </w:r>
      <w:r w:rsidRPr="00A03997">
        <w:rPr>
          <w:i/>
          <w:iCs/>
          <w:color w:val="222222"/>
          <w:shd w:val="clear" w:color="auto" w:fill="FFFFFF"/>
        </w:rPr>
        <w:t>32</w:t>
      </w:r>
      <w:r w:rsidRPr="00A03997">
        <w:rPr>
          <w:color w:val="222222"/>
          <w:shd w:val="clear" w:color="auto" w:fill="FFFFFF"/>
        </w:rPr>
        <w:t>(3), 1325-1345.</w:t>
      </w:r>
    </w:p>
    <w:p w14:paraId="5A2FBCF0" w14:textId="77777777" w:rsidR="00F207F8" w:rsidRPr="00A03997" w:rsidRDefault="00F207F8" w:rsidP="009D6562">
      <w:pPr>
        <w:spacing w:before="100" w:after="0" w:line="240" w:lineRule="auto"/>
        <w:ind w:left="540" w:hanging="540"/>
        <w:rPr>
          <w:color w:val="222222"/>
          <w:shd w:val="clear" w:color="auto" w:fill="FFFFFF"/>
        </w:rPr>
      </w:pPr>
      <w:r w:rsidRPr="00A03997">
        <w:rPr>
          <w:color w:val="222222"/>
          <w:shd w:val="clear" w:color="auto" w:fill="FFFFFF"/>
        </w:rPr>
        <w:t xml:space="preserve">Haddad, A., Mondal, A., </w:t>
      </w:r>
      <w:r>
        <w:rPr>
          <w:color w:val="222222"/>
          <w:shd w:val="clear" w:color="auto" w:fill="FFFFFF"/>
        </w:rPr>
        <w:t xml:space="preserve">and </w:t>
      </w:r>
      <w:r w:rsidRPr="00A03997">
        <w:rPr>
          <w:color w:val="222222"/>
          <w:shd w:val="clear" w:color="auto" w:fill="FFFFFF"/>
        </w:rPr>
        <w:t xml:space="preserve">Bhat, C.R. (2022). </w:t>
      </w:r>
      <w:r>
        <w:t>Eat-in or eat-out? A joint model to analyze the new landscape of dinner meal preferences</w:t>
      </w:r>
      <w:r w:rsidRPr="00A03997">
        <w:rPr>
          <w:color w:val="222222"/>
          <w:shd w:val="clear" w:color="auto" w:fill="FFFFFF"/>
        </w:rPr>
        <w:t>. Technical paper, Department of Civil, Architectural and Environmental Engineering, The University of Texas at Austin.</w:t>
      </w:r>
    </w:p>
    <w:p w14:paraId="7470233E" w14:textId="77777777" w:rsidR="00F207F8" w:rsidRPr="00A03997" w:rsidRDefault="00F207F8" w:rsidP="009D6562">
      <w:pPr>
        <w:spacing w:before="100" w:after="0" w:line="240" w:lineRule="auto"/>
        <w:ind w:left="540" w:hanging="540"/>
        <w:rPr>
          <w:color w:val="222222"/>
          <w:shd w:val="clear" w:color="auto" w:fill="FFFFFF"/>
        </w:rPr>
      </w:pPr>
      <w:r w:rsidRPr="00A03997">
        <w:rPr>
          <w:color w:val="222222"/>
          <w:shd w:val="clear" w:color="auto" w:fill="FFFFFF"/>
        </w:rPr>
        <w:t>Haddad, H., Lyons, G., and Chatterjee, K. (2009). An examination of determinants influencing the desire for and frequency of part-day and whole-day homeworking. </w:t>
      </w:r>
      <w:r w:rsidRPr="00A03997">
        <w:rPr>
          <w:i/>
          <w:iCs/>
          <w:color w:val="222222"/>
          <w:shd w:val="clear" w:color="auto" w:fill="FFFFFF"/>
        </w:rPr>
        <w:t>Journal of Transport Geography</w:t>
      </w:r>
      <w:r w:rsidRPr="00A03997">
        <w:rPr>
          <w:color w:val="222222"/>
          <w:shd w:val="clear" w:color="auto" w:fill="FFFFFF"/>
        </w:rPr>
        <w:t>, </w:t>
      </w:r>
      <w:r w:rsidRPr="00A03997">
        <w:rPr>
          <w:i/>
          <w:iCs/>
          <w:color w:val="222222"/>
          <w:shd w:val="clear" w:color="auto" w:fill="FFFFFF"/>
        </w:rPr>
        <w:t>17</w:t>
      </w:r>
      <w:r w:rsidRPr="00A03997">
        <w:rPr>
          <w:color w:val="222222"/>
          <w:shd w:val="clear" w:color="auto" w:fill="FFFFFF"/>
        </w:rPr>
        <w:t>(2), 124-133.</w:t>
      </w:r>
    </w:p>
    <w:p w14:paraId="0D04FC7C" w14:textId="77777777" w:rsidR="00F207F8" w:rsidRDefault="00F207F8" w:rsidP="009D6562">
      <w:pPr>
        <w:spacing w:before="100" w:after="0" w:line="240" w:lineRule="auto"/>
        <w:ind w:left="540" w:hanging="540"/>
        <w:rPr>
          <w:color w:val="222222"/>
          <w:shd w:val="clear" w:color="auto" w:fill="FFFFFF"/>
        </w:rPr>
      </w:pPr>
      <w:bookmarkStart w:id="46" w:name="_Hlk109912185"/>
      <w:r w:rsidRPr="00F83DA2">
        <w:rPr>
          <w:color w:val="222222"/>
          <w:shd w:val="clear" w:color="auto" w:fill="FFFFFF"/>
        </w:rPr>
        <w:t>Harold</w:t>
      </w:r>
      <w:bookmarkEnd w:id="46"/>
      <w:r w:rsidRPr="00F83DA2">
        <w:rPr>
          <w:color w:val="222222"/>
          <w:shd w:val="clear" w:color="auto" w:fill="FFFFFF"/>
        </w:rPr>
        <w:t xml:space="preserve">, S.W., </w:t>
      </w:r>
      <w:proofErr w:type="spellStart"/>
      <w:r w:rsidRPr="00F83DA2">
        <w:rPr>
          <w:color w:val="222222"/>
          <w:shd w:val="clear" w:color="auto" w:fill="FFFFFF"/>
        </w:rPr>
        <w:t>Bouskill</w:t>
      </w:r>
      <w:proofErr w:type="spellEnd"/>
      <w:r w:rsidRPr="00F83DA2">
        <w:rPr>
          <w:color w:val="222222"/>
          <w:shd w:val="clear" w:color="auto" w:fill="FFFFFF"/>
        </w:rPr>
        <w:t xml:space="preserve">, K.E., Ichikawa, H., Lilly, S., and Watanabe, R. (2022). Proceedings of the U.S.-Japan Socioeconomic Policy Research Exchange: The </w:t>
      </w:r>
      <w:r>
        <w:rPr>
          <w:color w:val="222222"/>
          <w:shd w:val="clear" w:color="auto" w:fill="FFFFFF"/>
        </w:rPr>
        <w:t>r</w:t>
      </w:r>
      <w:r w:rsidRPr="00F83DA2">
        <w:rPr>
          <w:color w:val="222222"/>
          <w:shd w:val="clear" w:color="auto" w:fill="FFFFFF"/>
        </w:rPr>
        <w:t xml:space="preserve">ise of </w:t>
      </w:r>
      <w:r>
        <w:rPr>
          <w:color w:val="222222"/>
          <w:shd w:val="clear" w:color="auto" w:fill="FFFFFF"/>
        </w:rPr>
        <w:t>t</w:t>
      </w:r>
      <w:r w:rsidRPr="00F83DA2">
        <w:rPr>
          <w:color w:val="222222"/>
          <w:shd w:val="clear" w:color="auto" w:fill="FFFFFF"/>
        </w:rPr>
        <w:t xml:space="preserve">elework </w:t>
      </w:r>
      <w:r>
        <w:rPr>
          <w:color w:val="222222"/>
          <w:shd w:val="clear" w:color="auto" w:fill="FFFFFF"/>
        </w:rPr>
        <w:t>u</w:t>
      </w:r>
      <w:r w:rsidRPr="00F83DA2">
        <w:rPr>
          <w:color w:val="222222"/>
          <w:shd w:val="clear" w:color="auto" w:fill="FFFFFF"/>
        </w:rPr>
        <w:t xml:space="preserve">nder COVID-19 and the </w:t>
      </w:r>
      <w:r>
        <w:rPr>
          <w:color w:val="222222"/>
          <w:shd w:val="clear" w:color="auto" w:fill="FFFFFF"/>
        </w:rPr>
        <w:t>g</w:t>
      </w:r>
      <w:r w:rsidRPr="00F83DA2">
        <w:rPr>
          <w:color w:val="222222"/>
          <w:shd w:val="clear" w:color="auto" w:fill="FFFFFF"/>
        </w:rPr>
        <w:t xml:space="preserve">rowth of </w:t>
      </w:r>
      <w:r>
        <w:rPr>
          <w:color w:val="222222"/>
          <w:shd w:val="clear" w:color="auto" w:fill="FFFFFF"/>
        </w:rPr>
        <w:t>c</w:t>
      </w:r>
      <w:r w:rsidRPr="00F83DA2">
        <w:rPr>
          <w:color w:val="222222"/>
          <w:shd w:val="clear" w:color="auto" w:fill="FFFFFF"/>
        </w:rPr>
        <w:t>ryptocurrency.</w:t>
      </w:r>
      <w:r>
        <w:rPr>
          <w:color w:val="222222"/>
          <w:shd w:val="clear" w:color="auto" w:fill="FFFFFF"/>
        </w:rPr>
        <w:t xml:space="preserve"> </w:t>
      </w:r>
      <w:r w:rsidRPr="00F83DA2">
        <w:rPr>
          <w:color w:val="222222"/>
          <w:shd w:val="clear" w:color="auto" w:fill="FFFFFF"/>
        </w:rPr>
        <w:t xml:space="preserve">RAND Corporation, Santa Monica, CA. Available at: </w:t>
      </w:r>
      <w:hyperlink r:id="rId153" w:history="1">
        <w:r w:rsidRPr="000A7AC2">
          <w:rPr>
            <w:rStyle w:val="Hyperlink"/>
            <w:shd w:val="clear" w:color="auto" w:fill="FFFFFF"/>
          </w:rPr>
          <w:t>https://www.rand.org/pubs/conf_proceedings/CFA1556-1.html</w:t>
        </w:r>
      </w:hyperlink>
      <w:r w:rsidRPr="00F83DA2">
        <w:rPr>
          <w:color w:val="222222"/>
          <w:shd w:val="clear" w:color="auto" w:fill="FFFFFF"/>
        </w:rPr>
        <w:t>.</w:t>
      </w:r>
      <w:r>
        <w:rPr>
          <w:color w:val="222222"/>
          <w:shd w:val="clear" w:color="auto" w:fill="FFFFFF"/>
        </w:rPr>
        <w:t xml:space="preserve"> </w:t>
      </w:r>
      <w:r w:rsidRPr="00532699">
        <w:rPr>
          <w:color w:val="222222"/>
          <w:shd w:val="clear" w:color="auto" w:fill="FFFFFF"/>
        </w:rPr>
        <w:t>Accessed April 12, 2022</w:t>
      </w:r>
      <w:r w:rsidRPr="00532699" w:rsidDel="00641C7E">
        <w:rPr>
          <w:color w:val="222222"/>
          <w:shd w:val="clear" w:color="auto" w:fill="FFFFFF"/>
        </w:rPr>
        <w:t>.</w:t>
      </w:r>
    </w:p>
    <w:p w14:paraId="1356D75F" w14:textId="77777777" w:rsidR="00F207F8" w:rsidRPr="00A03997" w:rsidRDefault="00F207F8" w:rsidP="009D6562">
      <w:pPr>
        <w:spacing w:before="100" w:after="0" w:line="240" w:lineRule="auto"/>
        <w:ind w:left="540" w:hanging="540"/>
      </w:pPr>
      <w:r w:rsidRPr="00A03997">
        <w:lastRenderedPageBreak/>
        <w:t xml:space="preserve">Heckman, J.J., and </w:t>
      </w:r>
      <w:proofErr w:type="spellStart"/>
      <w:r w:rsidRPr="00A03997">
        <w:t>Vytlacil</w:t>
      </w:r>
      <w:proofErr w:type="spellEnd"/>
      <w:r w:rsidRPr="00A03997">
        <w:t>, E.J.</w:t>
      </w:r>
      <w:r>
        <w:t xml:space="preserve"> (</w:t>
      </w:r>
      <w:r w:rsidRPr="00A03997">
        <w:t>2000</w:t>
      </w:r>
      <w:r>
        <w:t>)</w:t>
      </w:r>
      <w:r w:rsidRPr="00A03997">
        <w:t xml:space="preserve">. The relationship between treatment parameters within a latent variable framework. </w:t>
      </w:r>
      <w:r w:rsidRPr="00A03997">
        <w:rPr>
          <w:i/>
          <w:iCs/>
        </w:rPr>
        <w:t>Economics Letters</w:t>
      </w:r>
      <w:r>
        <w:t xml:space="preserve">, </w:t>
      </w:r>
      <w:r w:rsidRPr="00A03997">
        <w:t>66(1), 33-39.</w:t>
      </w:r>
    </w:p>
    <w:p w14:paraId="05912571" w14:textId="77777777" w:rsidR="00F207F8" w:rsidRPr="00A03997" w:rsidRDefault="00F207F8" w:rsidP="009D6562">
      <w:pPr>
        <w:spacing w:before="100" w:after="0" w:line="240" w:lineRule="auto"/>
        <w:ind w:left="540" w:hanging="540"/>
        <w:rPr>
          <w:shd w:val="clear" w:color="auto" w:fill="FFFFFF"/>
        </w:rPr>
      </w:pPr>
      <w:bookmarkStart w:id="47" w:name="_Hlk106300066"/>
      <w:proofErr w:type="spellStart"/>
      <w:r w:rsidRPr="00A03997">
        <w:rPr>
          <w:shd w:val="clear" w:color="auto" w:fill="FFFFFF"/>
        </w:rPr>
        <w:t>Heiden</w:t>
      </w:r>
      <w:bookmarkEnd w:id="47"/>
      <w:proofErr w:type="spellEnd"/>
      <w:r w:rsidRPr="00A03997">
        <w:rPr>
          <w:shd w:val="clear" w:color="auto" w:fill="FFFFFF"/>
        </w:rPr>
        <w:t xml:space="preserve">, M., </w:t>
      </w:r>
      <w:proofErr w:type="spellStart"/>
      <w:r w:rsidRPr="00A03997">
        <w:rPr>
          <w:shd w:val="clear" w:color="auto" w:fill="FFFFFF"/>
        </w:rPr>
        <w:t>Widar</w:t>
      </w:r>
      <w:proofErr w:type="spellEnd"/>
      <w:r w:rsidRPr="00A03997">
        <w:rPr>
          <w:shd w:val="clear" w:color="auto" w:fill="FFFFFF"/>
        </w:rPr>
        <w:t xml:space="preserve">, L., </w:t>
      </w:r>
      <w:proofErr w:type="spellStart"/>
      <w:r w:rsidRPr="00A03997">
        <w:rPr>
          <w:shd w:val="clear" w:color="auto" w:fill="FFFFFF"/>
        </w:rPr>
        <w:t>Wiitavaara</w:t>
      </w:r>
      <w:proofErr w:type="spellEnd"/>
      <w:r w:rsidRPr="00A03997">
        <w:rPr>
          <w:shd w:val="clear" w:color="auto" w:fill="FFFFFF"/>
        </w:rPr>
        <w:t xml:space="preserve">, B., and </w:t>
      </w:r>
      <w:proofErr w:type="spellStart"/>
      <w:r w:rsidRPr="00A03997">
        <w:rPr>
          <w:shd w:val="clear" w:color="auto" w:fill="FFFFFF"/>
        </w:rPr>
        <w:t>Boman</w:t>
      </w:r>
      <w:proofErr w:type="spellEnd"/>
      <w:r w:rsidRPr="00A03997">
        <w:rPr>
          <w:shd w:val="clear" w:color="auto" w:fill="FFFFFF"/>
        </w:rPr>
        <w:t>, E. (2021). Telework in academia: associations with health and well-being among staff. </w:t>
      </w:r>
      <w:r w:rsidRPr="00A03997">
        <w:rPr>
          <w:i/>
          <w:iCs/>
          <w:shd w:val="clear" w:color="auto" w:fill="FFFFFF"/>
        </w:rPr>
        <w:t>Higher Education</w:t>
      </w:r>
      <w:r w:rsidRPr="00A03997">
        <w:rPr>
          <w:shd w:val="clear" w:color="auto" w:fill="FFFFFF"/>
        </w:rPr>
        <w:t>, </w:t>
      </w:r>
      <w:r w:rsidRPr="00A03997">
        <w:rPr>
          <w:i/>
          <w:iCs/>
          <w:shd w:val="clear" w:color="auto" w:fill="FFFFFF"/>
        </w:rPr>
        <w:t>81</w:t>
      </w:r>
      <w:r w:rsidRPr="00A03997">
        <w:rPr>
          <w:shd w:val="clear" w:color="auto" w:fill="FFFFFF"/>
        </w:rPr>
        <w:t>(4), 707-722.</w:t>
      </w:r>
    </w:p>
    <w:p w14:paraId="2C560FEE" w14:textId="77777777" w:rsidR="00F207F8" w:rsidRPr="00A03997" w:rsidRDefault="00F207F8" w:rsidP="009D6562">
      <w:pPr>
        <w:spacing w:before="100" w:after="0" w:line="240" w:lineRule="auto"/>
        <w:ind w:left="540" w:hanging="540"/>
        <w:rPr>
          <w:color w:val="222222"/>
          <w:shd w:val="clear" w:color="auto" w:fill="FFFFFF"/>
        </w:rPr>
      </w:pPr>
      <w:bookmarkStart w:id="48" w:name="_Hlk101517317"/>
      <w:proofErr w:type="spellStart"/>
      <w:r w:rsidRPr="00A03997">
        <w:rPr>
          <w:color w:val="222222"/>
          <w:shd w:val="clear" w:color="auto" w:fill="FFFFFF"/>
        </w:rPr>
        <w:t>Henshe</w:t>
      </w:r>
      <w:bookmarkEnd w:id="48"/>
      <w:r w:rsidRPr="00A03997">
        <w:rPr>
          <w:color w:val="222222"/>
          <w:shd w:val="clear" w:color="auto" w:fill="FFFFFF"/>
        </w:rPr>
        <w:t>r</w:t>
      </w:r>
      <w:proofErr w:type="spellEnd"/>
      <w:r w:rsidRPr="00A03997">
        <w:rPr>
          <w:color w:val="222222"/>
          <w:shd w:val="clear" w:color="auto" w:fill="FFFFFF"/>
        </w:rPr>
        <w:t>, D.A., Beck, M.J., and Wei, E. (2021). Working from home and its implications for strategic transport modelling based on the early days of the COVID-19 pandemic. </w:t>
      </w:r>
      <w:r w:rsidRPr="00A03997">
        <w:rPr>
          <w:i/>
          <w:iCs/>
          <w:color w:val="222222"/>
          <w:shd w:val="clear" w:color="auto" w:fill="FFFFFF"/>
        </w:rPr>
        <w:t>Transportation Research Part A</w:t>
      </w:r>
      <w:r w:rsidRPr="00A03997">
        <w:rPr>
          <w:color w:val="222222"/>
          <w:shd w:val="clear" w:color="auto" w:fill="FFFFFF"/>
        </w:rPr>
        <w:t>, </w:t>
      </w:r>
      <w:r w:rsidRPr="00A03997">
        <w:rPr>
          <w:i/>
          <w:iCs/>
          <w:color w:val="222222"/>
          <w:shd w:val="clear" w:color="auto" w:fill="FFFFFF"/>
        </w:rPr>
        <w:t>148</w:t>
      </w:r>
      <w:r w:rsidRPr="00A03997">
        <w:rPr>
          <w:color w:val="222222"/>
          <w:shd w:val="clear" w:color="auto" w:fill="FFFFFF"/>
        </w:rPr>
        <w:t>, 64-78.</w:t>
      </w:r>
    </w:p>
    <w:p w14:paraId="7CADF9EB" w14:textId="77777777" w:rsidR="00F207F8" w:rsidRPr="00A03997" w:rsidRDefault="00F207F8" w:rsidP="009D6562">
      <w:pPr>
        <w:spacing w:before="100" w:after="0" w:line="240" w:lineRule="auto"/>
        <w:ind w:left="540" w:hanging="540"/>
        <w:rPr>
          <w:shd w:val="clear" w:color="auto" w:fill="FFFFFF"/>
        </w:rPr>
      </w:pPr>
      <w:bookmarkStart w:id="49" w:name="_Toc99017849"/>
      <w:r w:rsidRPr="00A03997">
        <w:rPr>
          <w:shd w:val="clear" w:color="auto" w:fill="FFFFFF"/>
        </w:rPr>
        <w:t xml:space="preserve">Hermann, I., and Paris, C.M. (2020). Digital </w:t>
      </w:r>
      <w:r>
        <w:rPr>
          <w:shd w:val="clear" w:color="auto" w:fill="FFFFFF"/>
        </w:rPr>
        <w:t>n</w:t>
      </w:r>
      <w:r w:rsidRPr="00A03997">
        <w:rPr>
          <w:shd w:val="clear" w:color="auto" w:fill="FFFFFF"/>
        </w:rPr>
        <w:t xml:space="preserve">omadism: </w:t>
      </w:r>
      <w:r>
        <w:rPr>
          <w:shd w:val="clear" w:color="auto" w:fill="FFFFFF"/>
        </w:rPr>
        <w:t>T</w:t>
      </w:r>
      <w:r w:rsidRPr="00A03997">
        <w:rPr>
          <w:shd w:val="clear" w:color="auto" w:fill="FFFFFF"/>
        </w:rPr>
        <w:t>he nexus of remote working and travel mobility. </w:t>
      </w:r>
      <w:r w:rsidRPr="00A03997">
        <w:rPr>
          <w:i/>
          <w:iCs/>
          <w:shd w:val="clear" w:color="auto" w:fill="FFFFFF"/>
        </w:rPr>
        <w:t>Information Technology and Tourism</w:t>
      </w:r>
      <w:r w:rsidRPr="00A03997">
        <w:rPr>
          <w:shd w:val="clear" w:color="auto" w:fill="FFFFFF"/>
        </w:rPr>
        <w:t>, </w:t>
      </w:r>
      <w:r w:rsidRPr="00A03997">
        <w:rPr>
          <w:i/>
          <w:iCs/>
          <w:shd w:val="clear" w:color="auto" w:fill="FFFFFF"/>
        </w:rPr>
        <w:t>22</w:t>
      </w:r>
      <w:r w:rsidRPr="00A03997">
        <w:rPr>
          <w:shd w:val="clear" w:color="auto" w:fill="FFFFFF"/>
        </w:rPr>
        <w:t>(3), 329-334.</w:t>
      </w:r>
      <w:bookmarkEnd w:id="49"/>
    </w:p>
    <w:p w14:paraId="3959B21E" w14:textId="77777777" w:rsidR="00F207F8" w:rsidRPr="00A03997" w:rsidRDefault="00F207F8" w:rsidP="009D6562">
      <w:pPr>
        <w:spacing w:before="100" w:after="0" w:line="240" w:lineRule="auto"/>
        <w:ind w:left="540" w:hanging="540"/>
        <w:rPr>
          <w:shd w:val="clear" w:color="auto" w:fill="FFFFFF"/>
        </w:rPr>
      </w:pPr>
      <w:r w:rsidRPr="00A03997">
        <w:rPr>
          <w:shd w:val="clear" w:color="auto" w:fill="FFFFFF"/>
        </w:rPr>
        <w:t xml:space="preserve">Hopkins, J.C., and Figaro, K.A. (2021). The </w:t>
      </w:r>
      <w:r>
        <w:rPr>
          <w:shd w:val="clear" w:color="auto" w:fill="FFFFFF"/>
        </w:rPr>
        <w:t>g</w:t>
      </w:r>
      <w:r w:rsidRPr="00A03997">
        <w:rPr>
          <w:shd w:val="clear" w:color="auto" w:fill="FFFFFF"/>
        </w:rPr>
        <w:t xml:space="preserve">reat </w:t>
      </w:r>
      <w:r>
        <w:rPr>
          <w:shd w:val="clear" w:color="auto" w:fill="FFFFFF"/>
        </w:rPr>
        <w:t>r</w:t>
      </w:r>
      <w:r w:rsidRPr="00A03997">
        <w:rPr>
          <w:shd w:val="clear" w:color="auto" w:fill="FFFFFF"/>
        </w:rPr>
        <w:t xml:space="preserve">esignation: An </w:t>
      </w:r>
      <w:r>
        <w:rPr>
          <w:shd w:val="clear" w:color="auto" w:fill="FFFFFF"/>
        </w:rPr>
        <w:t>a</w:t>
      </w:r>
      <w:r w:rsidRPr="00A03997">
        <w:rPr>
          <w:shd w:val="clear" w:color="auto" w:fill="FFFFFF"/>
        </w:rPr>
        <w:t xml:space="preserve">rgument for </w:t>
      </w:r>
      <w:r>
        <w:rPr>
          <w:shd w:val="clear" w:color="auto" w:fill="FFFFFF"/>
        </w:rPr>
        <w:t>h</w:t>
      </w:r>
      <w:r w:rsidRPr="00A03997">
        <w:rPr>
          <w:shd w:val="clear" w:color="auto" w:fill="FFFFFF"/>
        </w:rPr>
        <w:t xml:space="preserve">ybrid </w:t>
      </w:r>
      <w:r>
        <w:rPr>
          <w:shd w:val="clear" w:color="auto" w:fill="FFFFFF"/>
        </w:rPr>
        <w:t>l</w:t>
      </w:r>
      <w:r w:rsidRPr="00A03997">
        <w:rPr>
          <w:shd w:val="clear" w:color="auto" w:fill="FFFFFF"/>
        </w:rPr>
        <w:t>eadership. </w:t>
      </w:r>
      <w:r w:rsidRPr="00A03997">
        <w:rPr>
          <w:i/>
          <w:iCs/>
          <w:shd w:val="clear" w:color="auto" w:fill="FFFFFF"/>
        </w:rPr>
        <w:t>International Journal of Business and Management Research</w:t>
      </w:r>
      <w:r w:rsidRPr="00A03997">
        <w:rPr>
          <w:shd w:val="clear" w:color="auto" w:fill="FFFFFF"/>
        </w:rPr>
        <w:t>, </w:t>
      </w:r>
      <w:r w:rsidRPr="00A03997">
        <w:rPr>
          <w:i/>
          <w:iCs/>
          <w:shd w:val="clear" w:color="auto" w:fill="FFFFFF"/>
        </w:rPr>
        <w:t>9</w:t>
      </w:r>
      <w:r w:rsidRPr="00A03997">
        <w:rPr>
          <w:shd w:val="clear" w:color="auto" w:fill="FFFFFF"/>
        </w:rPr>
        <w:t>(4), 393-400.</w:t>
      </w:r>
    </w:p>
    <w:p w14:paraId="41130B94" w14:textId="77777777" w:rsidR="00F207F8" w:rsidRPr="00C70726" w:rsidRDefault="00F207F8" w:rsidP="009D6562">
      <w:pPr>
        <w:spacing w:before="100" w:after="0" w:line="240" w:lineRule="auto"/>
        <w:ind w:left="540" w:hanging="540"/>
      </w:pPr>
      <w:r>
        <w:t xml:space="preserve"> </w:t>
      </w:r>
      <w:r>
        <w:tab/>
      </w:r>
      <w:hyperlink r:id="rId154" w:history="1">
        <w:r w:rsidRPr="000A7AC2">
          <w:rPr>
            <w:rStyle w:val="Hyperlink"/>
          </w:rPr>
          <w:t>https://www.internationaltaxreview.com/article/2a6aa4kx02vkiebxxqkn4/the-rise-of-digital-nomads-in-greece</w:t>
        </w:r>
      </w:hyperlink>
      <w:r>
        <w:t>.</w:t>
      </w:r>
    </w:p>
    <w:p w14:paraId="12B00F13" w14:textId="77777777" w:rsidR="00F207F8" w:rsidRPr="00A03997" w:rsidRDefault="00F207F8" w:rsidP="009D6562">
      <w:pPr>
        <w:spacing w:before="100" w:after="0" w:line="240" w:lineRule="auto"/>
        <w:ind w:left="540" w:hanging="540"/>
      </w:pPr>
      <w:proofErr w:type="spellStart"/>
      <w:r w:rsidRPr="00C70726">
        <w:rPr>
          <w:color w:val="222222"/>
          <w:shd w:val="clear" w:color="auto" w:fill="FFFFFF"/>
        </w:rPr>
        <w:t>Irawan</w:t>
      </w:r>
      <w:proofErr w:type="spellEnd"/>
      <w:r w:rsidRPr="00C70726">
        <w:rPr>
          <w:color w:val="222222"/>
          <w:shd w:val="clear" w:color="auto" w:fill="FFFFFF"/>
        </w:rPr>
        <w:t xml:space="preserve">, M.Z., </w:t>
      </w:r>
      <w:proofErr w:type="spellStart"/>
      <w:r w:rsidRPr="00C70726">
        <w:rPr>
          <w:color w:val="222222"/>
          <w:shd w:val="clear" w:color="auto" w:fill="FFFFFF"/>
        </w:rPr>
        <w:t>Belgiawan</w:t>
      </w:r>
      <w:proofErr w:type="spellEnd"/>
      <w:r w:rsidRPr="00C70726">
        <w:rPr>
          <w:color w:val="222222"/>
          <w:shd w:val="clear" w:color="auto" w:fill="FFFFFF"/>
        </w:rPr>
        <w:t xml:space="preserve">, P.F., </w:t>
      </w:r>
      <w:proofErr w:type="spellStart"/>
      <w:r w:rsidRPr="00C70726">
        <w:rPr>
          <w:color w:val="222222"/>
          <w:shd w:val="clear" w:color="auto" w:fill="FFFFFF"/>
        </w:rPr>
        <w:t>Joewono</w:t>
      </w:r>
      <w:proofErr w:type="spellEnd"/>
      <w:r w:rsidRPr="00C70726">
        <w:rPr>
          <w:color w:val="222222"/>
          <w:shd w:val="clear" w:color="auto" w:fill="FFFFFF"/>
        </w:rPr>
        <w:t xml:space="preserve">, T.B., </w:t>
      </w:r>
      <w:proofErr w:type="spellStart"/>
      <w:r w:rsidRPr="00C70726">
        <w:rPr>
          <w:color w:val="222222"/>
          <w:shd w:val="clear" w:color="auto" w:fill="FFFFFF"/>
        </w:rPr>
        <w:t>Bastarianto</w:t>
      </w:r>
      <w:proofErr w:type="spellEnd"/>
      <w:r w:rsidRPr="00C70726">
        <w:rPr>
          <w:color w:val="222222"/>
          <w:shd w:val="clear" w:color="auto" w:fill="FFFFFF"/>
        </w:rPr>
        <w:t xml:space="preserve">, F.F., </w:t>
      </w:r>
      <w:proofErr w:type="spellStart"/>
      <w:r w:rsidRPr="00C70726">
        <w:rPr>
          <w:color w:val="222222"/>
          <w:shd w:val="clear" w:color="auto" w:fill="FFFFFF"/>
        </w:rPr>
        <w:t>Rizki</w:t>
      </w:r>
      <w:proofErr w:type="spellEnd"/>
      <w:r w:rsidRPr="00C70726">
        <w:rPr>
          <w:color w:val="222222"/>
          <w:shd w:val="clear" w:color="auto" w:fill="FFFFFF"/>
        </w:rPr>
        <w:t xml:space="preserve">, M., and </w:t>
      </w:r>
      <w:proofErr w:type="spellStart"/>
      <w:r w:rsidRPr="00C70726">
        <w:rPr>
          <w:color w:val="222222"/>
          <w:shd w:val="clear" w:color="auto" w:fill="FFFFFF"/>
        </w:rPr>
        <w:t>Ilahi</w:t>
      </w:r>
      <w:proofErr w:type="spellEnd"/>
      <w:r w:rsidRPr="00C70726">
        <w:rPr>
          <w:color w:val="222222"/>
          <w:shd w:val="clear" w:color="auto" w:fill="FFFFFF"/>
        </w:rPr>
        <w:t>, A. (2022). Exploring activity-travel behavior changes during the beginning of COVID-19 pandemic in Indonesia. </w:t>
      </w:r>
      <w:r w:rsidRPr="00C70726">
        <w:rPr>
          <w:i/>
          <w:iCs/>
          <w:color w:val="222222"/>
          <w:shd w:val="clear" w:color="auto" w:fill="FFFFFF"/>
        </w:rPr>
        <w:t>Transportation</w:t>
      </w:r>
      <w:r w:rsidRPr="00C70726">
        <w:rPr>
          <w:color w:val="222222"/>
          <w:shd w:val="clear" w:color="auto" w:fill="FFFFFF"/>
        </w:rPr>
        <w:t xml:space="preserve">, </w:t>
      </w:r>
      <w:r w:rsidRPr="00C70726">
        <w:rPr>
          <w:i/>
          <w:color w:val="222222"/>
          <w:shd w:val="clear" w:color="auto" w:fill="FFFFFF"/>
        </w:rPr>
        <w:t>49</w:t>
      </w:r>
      <w:r w:rsidRPr="00C70726">
        <w:rPr>
          <w:color w:val="222222"/>
          <w:shd w:val="clear" w:color="auto" w:fill="FFFFFF"/>
        </w:rPr>
        <w:t>, 529-553.</w:t>
      </w:r>
    </w:p>
    <w:p w14:paraId="073F0B5F" w14:textId="77777777" w:rsidR="00F207F8" w:rsidRPr="00A03997" w:rsidRDefault="00F207F8" w:rsidP="009D6562">
      <w:pPr>
        <w:spacing w:before="100" w:after="0" w:line="240" w:lineRule="auto"/>
        <w:ind w:left="540" w:hanging="540"/>
        <w:rPr>
          <w:shd w:val="clear" w:color="auto" w:fill="FFFFFF"/>
        </w:rPr>
      </w:pPr>
      <w:bookmarkStart w:id="50" w:name="_Toc99017855"/>
      <w:proofErr w:type="spellStart"/>
      <w:r w:rsidRPr="00A03997">
        <w:rPr>
          <w:shd w:val="clear" w:color="auto" w:fill="FFFFFF"/>
        </w:rPr>
        <w:t>Jaff</w:t>
      </w:r>
      <w:proofErr w:type="spellEnd"/>
      <w:r w:rsidRPr="00A03997">
        <w:rPr>
          <w:shd w:val="clear" w:color="auto" w:fill="FFFFFF"/>
        </w:rPr>
        <w:t xml:space="preserve">, M.M., and </w:t>
      </w:r>
      <w:proofErr w:type="spellStart"/>
      <w:r w:rsidRPr="00A03997">
        <w:rPr>
          <w:shd w:val="clear" w:color="auto" w:fill="FFFFFF"/>
        </w:rPr>
        <w:t>Hamsa</w:t>
      </w:r>
      <w:proofErr w:type="spellEnd"/>
      <w:r w:rsidRPr="00A03997">
        <w:rPr>
          <w:shd w:val="clear" w:color="auto" w:fill="FFFFFF"/>
        </w:rPr>
        <w:t>, A.A.K. (2021). Exploratory factor analysis on advantages and disadvantages of potential female telecommuters in Kuala Lumpur. </w:t>
      </w:r>
      <w:r w:rsidRPr="00A03997">
        <w:rPr>
          <w:i/>
          <w:iCs/>
          <w:shd w:val="clear" w:color="auto" w:fill="FFFFFF"/>
        </w:rPr>
        <w:t>Asian Transport Studies</w:t>
      </w:r>
      <w:r w:rsidRPr="00A03997">
        <w:rPr>
          <w:shd w:val="clear" w:color="auto" w:fill="FFFFFF"/>
        </w:rPr>
        <w:t>, </w:t>
      </w:r>
      <w:r w:rsidRPr="00A03997">
        <w:rPr>
          <w:i/>
          <w:iCs/>
          <w:shd w:val="clear" w:color="auto" w:fill="FFFFFF"/>
        </w:rPr>
        <w:t>7</w:t>
      </w:r>
      <w:r w:rsidRPr="00A03997">
        <w:rPr>
          <w:shd w:val="clear" w:color="auto" w:fill="FFFFFF"/>
        </w:rPr>
        <w:t>, 100034.</w:t>
      </w:r>
      <w:bookmarkEnd w:id="50"/>
    </w:p>
    <w:p w14:paraId="18A3E939" w14:textId="77777777" w:rsidR="00F207F8" w:rsidRPr="00A03997" w:rsidRDefault="00F207F8" w:rsidP="009D6562">
      <w:pPr>
        <w:spacing w:before="100" w:after="0" w:line="240" w:lineRule="auto"/>
        <w:ind w:left="540" w:hanging="540"/>
        <w:rPr>
          <w:shd w:val="clear" w:color="auto" w:fill="FFFFFF"/>
        </w:rPr>
      </w:pPr>
      <w:r w:rsidRPr="00A03997">
        <w:rPr>
          <w:shd w:val="clear" w:color="auto" w:fill="FFFFFF"/>
        </w:rPr>
        <w:t>Jain, T., Currie, G., and Aston, L. (2022). COVID and working from home: Long-term impacts and psycho-social determinants. </w:t>
      </w:r>
      <w:r w:rsidRPr="00A03997">
        <w:rPr>
          <w:i/>
          <w:iCs/>
          <w:shd w:val="clear" w:color="auto" w:fill="FFFFFF"/>
        </w:rPr>
        <w:t>Transportation Research Part A</w:t>
      </w:r>
      <w:r w:rsidRPr="00A03997">
        <w:rPr>
          <w:shd w:val="clear" w:color="auto" w:fill="FFFFFF"/>
        </w:rPr>
        <w:t>, </w:t>
      </w:r>
      <w:r w:rsidRPr="00A03997">
        <w:rPr>
          <w:i/>
          <w:iCs/>
          <w:shd w:val="clear" w:color="auto" w:fill="FFFFFF"/>
        </w:rPr>
        <w:t>156</w:t>
      </w:r>
      <w:r w:rsidRPr="00A03997">
        <w:rPr>
          <w:shd w:val="clear" w:color="auto" w:fill="FFFFFF"/>
        </w:rPr>
        <w:t>, 52-68.</w:t>
      </w:r>
    </w:p>
    <w:p w14:paraId="6336DB8A" w14:textId="77777777" w:rsidR="00F207F8" w:rsidRPr="00A03997" w:rsidRDefault="00F207F8" w:rsidP="009D6562">
      <w:pPr>
        <w:spacing w:before="100" w:after="0" w:line="240" w:lineRule="auto"/>
        <w:ind w:left="540" w:hanging="540"/>
        <w:rPr>
          <w:shd w:val="clear" w:color="auto" w:fill="FFFFFF"/>
        </w:rPr>
      </w:pPr>
      <w:r w:rsidRPr="00A03997">
        <w:rPr>
          <w:shd w:val="clear" w:color="auto" w:fill="FFFFFF"/>
        </w:rPr>
        <w:t xml:space="preserve">Kaplan, S., </w:t>
      </w:r>
      <w:proofErr w:type="spellStart"/>
      <w:r w:rsidRPr="00A03997">
        <w:rPr>
          <w:shd w:val="clear" w:color="auto" w:fill="FFFFFF"/>
        </w:rPr>
        <w:t>Engelsted</w:t>
      </w:r>
      <w:proofErr w:type="spellEnd"/>
      <w:r w:rsidRPr="00A03997">
        <w:rPr>
          <w:shd w:val="clear" w:color="auto" w:fill="FFFFFF"/>
        </w:rPr>
        <w:t>, L., Lei, X., and Lockwood, K. (2018). Unpackaging manager mistrust in allowing telework: comparing and integrating theoretical perspectives. </w:t>
      </w:r>
      <w:r w:rsidRPr="00A03997">
        <w:rPr>
          <w:i/>
          <w:iCs/>
          <w:shd w:val="clear" w:color="auto" w:fill="FFFFFF"/>
        </w:rPr>
        <w:t>Journal of Business and Psychology</w:t>
      </w:r>
      <w:r w:rsidRPr="00A03997">
        <w:rPr>
          <w:shd w:val="clear" w:color="auto" w:fill="FFFFFF"/>
        </w:rPr>
        <w:t>, </w:t>
      </w:r>
      <w:r w:rsidRPr="00A03997">
        <w:rPr>
          <w:i/>
          <w:iCs/>
          <w:shd w:val="clear" w:color="auto" w:fill="FFFFFF"/>
        </w:rPr>
        <w:t>33</w:t>
      </w:r>
      <w:r w:rsidRPr="00A03997">
        <w:rPr>
          <w:shd w:val="clear" w:color="auto" w:fill="FFFFFF"/>
        </w:rPr>
        <w:t>(3), 365-382.</w:t>
      </w:r>
    </w:p>
    <w:p w14:paraId="4A9120F0" w14:textId="77777777" w:rsidR="00F207F8" w:rsidRPr="00A03997" w:rsidRDefault="00F207F8" w:rsidP="009D6562">
      <w:pPr>
        <w:spacing w:before="100" w:after="0" w:line="240" w:lineRule="auto"/>
        <w:ind w:left="540" w:hanging="540"/>
        <w:rPr>
          <w:shd w:val="clear" w:color="auto" w:fill="FFFFFF"/>
        </w:rPr>
      </w:pPr>
      <w:proofErr w:type="spellStart"/>
      <w:r w:rsidRPr="00A03997">
        <w:rPr>
          <w:shd w:val="clear" w:color="auto" w:fill="FFFFFF"/>
        </w:rPr>
        <w:t>Knoesen</w:t>
      </w:r>
      <w:proofErr w:type="spellEnd"/>
      <w:r w:rsidRPr="00A03997">
        <w:rPr>
          <w:shd w:val="clear" w:color="auto" w:fill="FFFFFF"/>
        </w:rPr>
        <w:t>, H., and Seymour, L.F. (</w:t>
      </w:r>
      <w:r>
        <w:rPr>
          <w:shd w:val="clear" w:color="auto" w:fill="FFFFFF"/>
        </w:rPr>
        <w:t>2021</w:t>
      </w:r>
      <w:r w:rsidRPr="00A03997">
        <w:rPr>
          <w:shd w:val="clear" w:color="auto" w:fill="FFFFFF"/>
        </w:rPr>
        <w:t>). Examining the effect of experience on managers’ attitudes towards telework during COVID</w:t>
      </w:r>
      <w:r w:rsidRPr="00ED6120">
        <w:t xml:space="preserve">. In: </w:t>
      </w:r>
      <w:proofErr w:type="spellStart"/>
      <w:r w:rsidRPr="00ED6120">
        <w:t>Garimella</w:t>
      </w:r>
      <w:proofErr w:type="spellEnd"/>
      <w:r w:rsidRPr="00ED6120">
        <w:t xml:space="preserve">, A., </w:t>
      </w:r>
      <w:proofErr w:type="spellStart"/>
      <w:r w:rsidRPr="00ED6120">
        <w:t>Karhade</w:t>
      </w:r>
      <w:proofErr w:type="spellEnd"/>
      <w:r w:rsidRPr="00ED6120">
        <w:t xml:space="preserve">, P., </w:t>
      </w:r>
      <w:proofErr w:type="spellStart"/>
      <w:r w:rsidRPr="00ED6120">
        <w:t>Kathuria</w:t>
      </w:r>
      <w:proofErr w:type="spellEnd"/>
      <w:r w:rsidRPr="00ED6120">
        <w:t xml:space="preserve">, A., Liu, X., Xu, J., Zhao, K. (eds) </w:t>
      </w:r>
      <w:r w:rsidRPr="00ED6120">
        <w:rPr>
          <w:i/>
        </w:rPr>
        <w:t>The Role of e-Business during the Time of Grand Challenges</w:t>
      </w:r>
      <w:r w:rsidRPr="00ED6120">
        <w:t xml:space="preserve">. </w:t>
      </w:r>
      <w:proofErr w:type="spellStart"/>
      <w:r w:rsidRPr="00ED6120">
        <w:t>WeB</w:t>
      </w:r>
      <w:proofErr w:type="spellEnd"/>
      <w:r w:rsidRPr="00ED6120">
        <w:t xml:space="preserve"> 2020. Lecture Notes in Business Information Processing, vol 418. Springer, Cham.</w:t>
      </w:r>
    </w:p>
    <w:p w14:paraId="3CA96EEE" w14:textId="77777777" w:rsidR="00F207F8" w:rsidRPr="00A03997" w:rsidRDefault="00F207F8" w:rsidP="009D6562">
      <w:pPr>
        <w:spacing w:before="100" w:after="0" w:line="240" w:lineRule="auto"/>
        <w:ind w:left="540" w:hanging="540"/>
        <w:rPr>
          <w:color w:val="222222"/>
          <w:shd w:val="clear" w:color="auto" w:fill="FFFFFF"/>
        </w:rPr>
      </w:pPr>
      <w:proofErr w:type="spellStart"/>
      <w:r w:rsidRPr="00A03997">
        <w:rPr>
          <w:color w:val="222222"/>
          <w:shd w:val="clear" w:color="auto" w:fill="FFFFFF"/>
        </w:rPr>
        <w:t>Kuriyama</w:t>
      </w:r>
      <w:proofErr w:type="spellEnd"/>
      <w:r w:rsidRPr="00A03997">
        <w:rPr>
          <w:color w:val="222222"/>
          <w:shd w:val="clear" w:color="auto" w:fill="FFFFFF"/>
        </w:rPr>
        <w:t xml:space="preserve">, K., Shoji, Y., and </w:t>
      </w:r>
      <w:proofErr w:type="spellStart"/>
      <w:r w:rsidRPr="00A03997">
        <w:rPr>
          <w:color w:val="222222"/>
          <w:shd w:val="clear" w:color="auto" w:fill="FFFFFF"/>
        </w:rPr>
        <w:t>Tsuge</w:t>
      </w:r>
      <w:proofErr w:type="spellEnd"/>
      <w:r w:rsidRPr="00A03997">
        <w:rPr>
          <w:color w:val="222222"/>
          <w:shd w:val="clear" w:color="auto" w:fill="FFFFFF"/>
        </w:rPr>
        <w:t>, T. (2020). The value of leisure time of weekends and long holidays: The multiple discrete–continuous extreme value (MDCEV) choice model with triple constraints. </w:t>
      </w:r>
      <w:r w:rsidRPr="00A03997">
        <w:rPr>
          <w:i/>
          <w:iCs/>
          <w:color w:val="222222"/>
          <w:shd w:val="clear" w:color="auto" w:fill="FFFFFF"/>
        </w:rPr>
        <w:t>Journal of Choice Modelling</w:t>
      </w:r>
      <w:r w:rsidRPr="00A03997">
        <w:rPr>
          <w:color w:val="222222"/>
          <w:shd w:val="clear" w:color="auto" w:fill="FFFFFF"/>
        </w:rPr>
        <w:t>, </w:t>
      </w:r>
      <w:r w:rsidRPr="00A03997">
        <w:rPr>
          <w:i/>
          <w:iCs/>
          <w:color w:val="222222"/>
          <w:shd w:val="clear" w:color="auto" w:fill="FFFFFF"/>
        </w:rPr>
        <w:t>37</w:t>
      </w:r>
      <w:r w:rsidRPr="00A03997">
        <w:rPr>
          <w:color w:val="222222"/>
          <w:shd w:val="clear" w:color="auto" w:fill="FFFFFF"/>
        </w:rPr>
        <w:t>, 100238.</w:t>
      </w:r>
    </w:p>
    <w:p w14:paraId="4B116ED6" w14:textId="77777777" w:rsidR="00F207F8" w:rsidRPr="00A03997" w:rsidRDefault="00F207F8" w:rsidP="009D6562">
      <w:pPr>
        <w:spacing w:before="100" w:after="0" w:line="240" w:lineRule="auto"/>
        <w:ind w:left="540" w:hanging="540"/>
        <w:rPr>
          <w:color w:val="222222"/>
          <w:shd w:val="clear" w:color="auto" w:fill="FFFFFF"/>
        </w:rPr>
      </w:pPr>
      <w:proofErr w:type="spellStart"/>
      <w:r w:rsidRPr="00A03997">
        <w:rPr>
          <w:color w:val="222222"/>
          <w:shd w:val="clear" w:color="auto" w:fill="FFFFFF"/>
        </w:rPr>
        <w:t>Marikyan</w:t>
      </w:r>
      <w:proofErr w:type="spellEnd"/>
      <w:r w:rsidRPr="00A03997">
        <w:rPr>
          <w:color w:val="222222"/>
          <w:shd w:val="clear" w:color="auto" w:fill="FFFFFF"/>
        </w:rPr>
        <w:t xml:space="preserve">, D., </w:t>
      </w:r>
      <w:proofErr w:type="spellStart"/>
      <w:r w:rsidRPr="00A03997">
        <w:rPr>
          <w:color w:val="222222"/>
          <w:shd w:val="clear" w:color="auto" w:fill="FFFFFF"/>
        </w:rPr>
        <w:t>Papagiannidis</w:t>
      </w:r>
      <w:proofErr w:type="spellEnd"/>
      <w:r w:rsidRPr="00A03997">
        <w:rPr>
          <w:color w:val="222222"/>
          <w:shd w:val="clear" w:color="auto" w:fill="FFFFFF"/>
        </w:rPr>
        <w:t xml:space="preserve">, S., and </w:t>
      </w:r>
      <w:proofErr w:type="spellStart"/>
      <w:r w:rsidRPr="00A03997">
        <w:rPr>
          <w:color w:val="222222"/>
          <w:shd w:val="clear" w:color="auto" w:fill="FFFFFF"/>
        </w:rPr>
        <w:t>Alamanos</w:t>
      </w:r>
      <w:proofErr w:type="spellEnd"/>
      <w:r w:rsidRPr="00A03997">
        <w:rPr>
          <w:color w:val="222222"/>
          <w:shd w:val="clear" w:color="auto" w:fill="FFFFFF"/>
        </w:rPr>
        <w:t>, E. (2019). A systematic review of the smart home literature: A user perspective. </w:t>
      </w:r>
      <w:r w:rsidRPr="00A03997">
        <w:rPr>
          <w:i/>
          <w:iCs/>
          <w:color w:val="222222"/>
          <w:shd w:val="clear" w:color="auto" w:fill="FFFFFF"/>
        </w:rPr>
        <w:t>Technological Forecasting and Social Change</w:t>
      </w:r>
      <w:r w:rsidRPr="00A03997">
        <w:rPr>
          <w:color w:val="222222"/>
          <w:shd w:val="clear" w:color="auto" w:fill="FFFFFF"/>
        </w:rPr>
        <w:t>,</w:t>
      </w:r>
      <w:r>
        <w:rPr>
          <w:color w:val="222222"/>
          <w:shd w:val="clear" w:color="auto" w:fill="FFFFFF"/>
        </w:rPr>
        <w:t xml:space="preserve"> </w:t>
      </w:r>
      <w:r w:rsidRPr="00A03997">
        <w:rPr>
          <w:i/>
          <w:iCs/>
          <w:color w:val="222222"/>
          <w:shd w:val="clear" w:color="auto" w:fill="FFFFFF"/>
        </w:rPr>
        <w:t>138</w:t>
      </w:r>
      <w:r w:rsidRPr="00A03997">
        <w:rPr>
          <w:color w:val="222222"/>
          <w:shd w:val="clear" w:color="auto" w:fill="FFFFFF"/>
        </w:rPr>
        <w:t>, 139-154</w:t>
      </w:r>
      <w:r>
        <w:rPr>
          <w:color w:val="222222"/>
          <w:shd w:val="clear" w:color="auto" w:fill="FFFFFF"/>
        </w:rPr>
        <w:t>.</w:t>
      </w:r>
    </w:p>
    <w:p w14:paraId="76D5E16E" w14:textId="77777777" w:rsidR="00F207F8" w:rsidRPr="00F207F8" w:rsidRDefault="00F207F8" w:rsidP="009D6562">
      <w:pPr>
        <w:spacing w:before="100" w:after="0" w:line="240" w:lineRule="auto"/>
        <w:ind w:left="540" w:hanging="540"/>
        <w:rPr>
          <w:color w:val="222222"/>
          <w:shd w:val="clear" w:color="auto" w:fill="FFFFFF"/>
        </w:rPr>
      </w:pPr>
      <w:r w:rsidRPr="00F207F8">
        <w:t xml:space="preserve">Marks, G. (2022). Turns out the Great Resignation may be followed by the Great Regret. </w:t>
      </w:r>
      <w:r w:rsidRPr="00F207F8">
        <w:rPr>
          <w:i/>
        </w:rPr>
        <w:t>The Guardian.</w:t>
      </w:r>
      <w:r w:rsidRPr="00F207F8">
        <w:t xml:space="preserve"> Available at: </w:t>
      </w:r>
      <w:hyperlink r:id="rId155" w:history="1">
        <w:r w:rsidRPr="00F207F8">
          <w:rPr>
            <w:rStyle w:val="Hyperlink"/>
          </w:rPr>
          <w:t>https://www.theguardian.com/business/2022/mar/20/great-resignation-great-regret-employees-quitting</w:t>
        </w:r>
      </w:hyperlink>
      <w:r w:rsidRPr="00F207F8">
        <w:t xml:space="preserve">. </w:t>
      </w:r>
      <w:r w:rsidRPr="00F207F8">
        <w:rPr>
          <w:color w:val="222222"/>
          <w:shd w:val="clear" w:color="auto" w:fill="FFFFFF"/>
        </w:rPr>
        <w:t>Accessed January 30, 2023.</w:t>
      </w:r>
    </w:p>
    <w:p w14:paraId="06362310" w14:textId="77777777" w:rsidR="00F207F8" w:rsidRPr="00C70726" w:rsidRDefault="00F207F8" w:rsidP="009D6562">
      <w:pPr>
        <w:spacing w:before="100" w:after="0" w:line="240" w:lineRule="auto"/>
        <w:ind w:left="540" w:hanging="540"/>
      </w:pPr>
      <w:r w:rsidRPr="008F40FB">
        <w:t>MBO Partners (2018)</w:t>
      </w:r>
      <w:r>
        <w:t>.</w:t>
      </w:r>
      <w:r w:rsidRPr="008F40FB">
        <w:t xml:space="preserve"> Digital </w:t>
      </w:r>
      <w:r>
        <w:t>n</w:t>
      </w:r>
      <w:r w:rsidRPr="008F40FB">
        <w:t xml:space="preserve">omadism: A </w:t>
      </w:r>
      <w:r>
        <w:t>r</w:t>
      </w:r>
      <w:r w:rsidRPr="008F40FB">
        <w:t xml:space="preserve">ising </w:t>
      </w:r>
      <w:r>
        <w:t>t</w:t>
      </w:r>
      <w:r w:rsidRPr="008F40FB">
        <w:t>rend.</w:t>
      </w:r>
      <w:r w:rsidRPr="00A03997">
        <w:rPr>
          <w:color w:val="333333"/>
          <w:shd w:val="clear" w:color="auto" w:fill="FCFCFC"/>
        </w:rPr>
        <w:t> </w:t>
      </w:r>
      <w:r w:rsidRPr="00C70726">
        <w:t xml:space="preserve">Available at: </w:t>
      </w:r>
      <w:hyperlink r:id="rId156" w:history="1">
        <w:r w:rsidRPr="00C70726">
          <w:rPr>
            <w:rStyle w:val="Hyperlink"/>
          </w:rPr>
          <w:t>https://www.mbopartners.com/wp-content/uploads/2019/02/StateofIndependence-ResearchBrief-DigitalNomads.pdf</w:t>
        </w:r>
      </w:hyperlink>
      <w:r w:rsidRPr="00C70726">
        <w:t>.</w:t>
      </w:r>
      <w:r>
        <w:t xml:space="preserve"> </w:t>
      </w:r>
      <w:r w:rsidRPr="00C70726">
        <w:t>Accessed 25 March 2022</w:t>
      </w:r>
    </w:p>
    <w:p w14:paraId="65EBD814" w14:textId="77777777" w:rsidR="00F207F8" w:rsidRDefault="00F207F8" w:rsidP="009D6562">
      <w:pPr>
        <w:spacing w:before="100" w:after="0" w:line="240" w:lineRule="auto"/>
        <w:ind w:left="540" w:hanging="540"/>
      </w:pPr>
      <w:bookmarkStart w:id="51" w:name="_Hlk109207521"/>
      <w:proofErr w:type="spellStart"/>
      <w:r w:rsidRPr="00A03997">
        <w:rPr>
          <w:color w:val="222222"/>
          <w:shd w:val="clear" w:color="auto" w:fill="FFFFFF"/>
        </w:rPr>
        <w:t>Nanopoulos</w:t>
      </w:r>
      <w:bookmarkEnd w:id="51"/>
      <w:proofErr w:type="spellEnd"/>
      <w:r w:rsidRPr="00A03997">
        <w:rPr>
          <w:color w:val="222222"/>
          <w:shd w:val="clear" w:color="auto" w:fill="FFFFFF"/>
        </w:rPr>
        <w:t xml:space="preserve">, K., </w:t>
      </w:r>
      <w:proofErr w:type="spellStart"/>
      <w:r w:rsidRPr="00A03997">
        <w:rPr>
          <w:color w:val="222222"/>
          <w:shd w:val="clear" w:color="auto" w:fill="FFFFFF"/>
        </w:rPr>
        <w:t>Demiroglou</w:t>
      </w:r>
      <w:proofErr w:type="spellEnd"/>
      <w:r w:rsidRPr="00A03997">
        <w:rPr>
          <w:color w:val="222222"/>
          <w:shd w:val="clear" w:color="auto" w:fill="FFFFFF"/>
        </w:rPr>
        <w:t xml:space="preserve">, N., and </w:t>
      </w:r>
      <w:proofErr w:type="spellStart"/>
      <w:r w:rsidRPr="00A03997">
        <w:rPr>
          <w:color w:val="222222"/>
          <w:shd w:val="clear" w:color="auto" w:fill="FFFFFF"/>
        </w:rPr>
        <w:t>Iliopoulou</w:t>
      </w:r>
      <w:proofErr w:type="spellEnd"/>
      <w:r w:rsidRPr="00A03997">
        <w:rPr>
          <w:color w:val="222222"/>
          <w:shd w:val="clear" w:color="auto" w:fill="FFFFFF"/>
        </w:rPr>
        <w:t xml:space="preserve">, V. (2021). The rise of ‘digital nomads’ in </w:t>
      </w:r>
      <w:r w:rsidRPr="00C70726">
        <w:t>Greece. </w:t>
      </w:r>
      <w:r w:rsidRPr="00B10232">
        <w:rPr>
          <w:i/>
        </w:rPr>
        <w:t>International Tax Review</w:t>
      </w:r>
      <w:r w:rsidRPr="00B10232">
        <w:t xml:space="preserve">. </w:t>
      </w:r>
      <w:r w:rsidRPr="00C70726">
        <w:t>Available at:</w:t>
      </w:r>
    </w:p>
    <w:p w14:paraId="23CD6B1B" w14:textId="77777777" w:rsidR="00F207F8" w:rsidRPr="00A03997" w:rsidRDefault="00F207F8" w:rsidP="009D6562">
      <w:pPr>
        <w:spacing w:before="100" w:after="0" w:line="240" w:lineRule="auto"/>
        <w:ind w:left="540" w:hanging="540"/>
        <w:rPr>
          <w:shd w:val="clear" w:color="auto" w:fill="FFFFFF"/>
        </w:rPr>
      </w:pPr>
      <w:r w:rsidRPr="00A03997">
        <w:rPr>
          <w:shd w:val="clear" w:color="auto" w:fill="FFFFFF"/>
        </w:rPr>
        <w:lastRenderedPageBreak/>
        <w:t xml:space="preserve">Nash, C., </w:t>
      </w:r>
      <w:proofErr w:type="spellStart"/>
      <w:r w:rsidRPr="00A03997">
        <w:rPr>
          <w:shd w:val="clear" w:color="auto" w:fill="FFFFFF"/>
        </w:rPr>
        <w:t>Jarrahi</w:t>
      </w:r>
      <w:proofErr w:type="spellEnd"/>
      <w:r w:rsidRPr="00A03997">
        <w:rPr>
          <w:shd w:val="clear" w:color="auto" w:fill="FFFFFF"/>
        </w:rPr>
        <w:t>, M.H., and Sutherland, W. (2021). Nomadic work and location independence: The role of space in shaping the work of digital nomads. </w:t>
      </w:r>
      <w:r w:rsidRPr="00A03997">
        <w:rPr>
          <w:i/>
          <w:iCs/>
          <w:shd w:val="clear" w:color="auto" w:fill="FFFFFF"/>
        </w:rPr>
        <w:t>Human Behavior and Emerging Technologies</w:t>
      </w:r>
      <w:r w:rsidRPr="00A03997">
        <w:rPr>
          <w:shd w:val="clear" w:color="auto" w:fill="FFFFFF"/>
        </w:rPr>
        <w:t>, </w:t>
      </w:r>
      <w:r w:rsidRPr="00A03997">
        <w:rPr>
          <w:i/>
          <w:iCs/>
          <w:shd w:val="clear" w:color="auto" w:fill="FFFFFF"/>
        </w:rPr>
        <w:t>3</w:t>
      </w:r>
      <w:r w:rsidRPr="00A03997">
        <w:rPr>
          <w:shd w:val="clear" w:color="auto" w:fill="FFFFFF"/>
        </w:rPr>
        <w:t>(2), 271-282.</w:t>
      </w:r>
    </w:p>
    <w:p w14:paraId="1A92BD9B" w14:textId="77777777" w:rsidR="00F207F8" w:rsidRPr="00A03997" w:rsidRDefault="00F207F8" w:rsidP="009D6562">
      <w:pPr>
        <w:spacing w:before="100" w:after="0" w:line="240" w:lineRule="auto"/>
        <w:ind w:left="540" w:hanging="540"/>
        <w:rPr>
          <w:shd w:val="clear" w:color="auto" w:fill="FFFFFF"/>
        </w:rPr>
      </w:pPr>
      <w:bookmarkStart w:id="52" w:name="_Hlk101517989"/>
      <w:r w:rsidRPr="00A03997">
        <w:rPr>
          <w:shd w:val="clear" w:color="auto" w:fill="FFFFFF"/>
        </w:rPr>
        <w:t>Nayak, S., and Pandit</w:t>
      </w:r>
      <w:bookmarkEnd w:id="52"/>
      <w:r w:rsidRPr="00A03997">
        <w:rPr>
          <w:shd w:val="clear" w:color="auto" w:fill="FFFFFF"/>
        </w:rPr>
        <w:t>, D. (2021). Potential of telecommuting for different employees in the Indian context beyond COVID-19 lockdown. </w:t>
      </w:r>
      <w:r w:rsidRPr="00A03997">
        <w:rPr>
          <w:i/>
          <w:iCs/>
          <w:shd w:val="clear" w:color="auto" w:fill="FFFFFF"/>
        </w:rPr>
        <w:t>Transport Policy</w:t>
      </w:r>
      <w:r w:rsidRPr="00A03997">
        <w:rPr>
          <w:shd w:val="clear" w:color="auto" w:fill="FFFFFF"/>
        </w:rPr>
        <w:t>, </w:t>
      </w:r>
      <w:r w:rsidRPr="00A03997">
        <w:rPr>
          <w:i/>
          <w:iCs/>
          <w:shd w:val="clear" w:color="auto" w:fill="FFFFFF"/>
        </w:rPr>
        <w:t>111</w:t>
      </w:r>
      <w:r w:rsidRPr="00A03997">
        <w:rPr>
          <w:shd w:val="clear" w:color="auto" w:fill="FFFFFF"/>
        </w:rPr>
        <w:t>, 98-110.</w:t>
      </w:r>
    </w:p>
    <w:p w14:paraId="247A9F87" w14:textId="77777777" w:rsidR="003406D6" w:rsidRDefault="00F207F8" w:rsidP="009D6562">
      <w:pPr>
        <w:spacing w:before="100" w:after="0" w:line="240" w:lineRule="auto"/>
        <w:ind w:left="540" w:hanging="540"/>
        <w:rPr>
          <w:color w:val="222222"/>
          <w:shd w:val="clear" w:color="auto" w:fill="FFFFFF"/>
        </w:rPr>
      </w:pPr>
      <w:r w:rsidRPr="00A03997">
        <w:rPr>
          <w:color w:val="222222"/>
          <w:shd w:val="clear" w:color="auto" w:fill="FFFFFF"/>
        </w:rPr>
        <w:t>Nguyen, M.H. (2021). Factors influencing home-based telework in Hanoi (Vietnam) during and after the COVID-19 era. </w:t>
      </w:r>
      <w:r w:rsidRPr="00A03997">
        <w:rPr>
          <w:i/>
          <w:iCs/>
          <w:color w:val="222222"/>
          <w:shd w:val="clear" w:color="auto" w:fill="FFFFFF"/>
        </w:rPr>
        <w:t>Transportation</w:t>
      </w:r>
      <w:r w:rsidRPr="00A03997">
        <w:rPr>
          <w:color w:val="222222"/>
          <w:shd w:val="clear" w:color="auto" w:fill="FFFFFF"/>
        </w:rPr>
        <w:t>, </w:t>
      </w:r>
      <w:r w:rsidRPr="00A03997">
        <w:rPr>
          <w:i/>
          <w:iCs/>
          <w:color w:val="222222"/>
          <w:shd w:val="clear" w:color="auto" w:fill="FFFFFF"/>
        </w:rPr>
        <w:t>48</w:t>
      </w:r>
      <w:r w:rsidRPr="00A03997">
        <w:rPr>
          <w:color w:val="222222"/>
          <w:shd w:val="clear" w:color="auto" w:fill="FFFFFF"/>
        </w:rPr>
        <w:t>(6), 3207-3238.</w:t>
      </w:r>
    </w:p>
    <w:p w14:paraId="063E9F7E" w14:textId="3000A9B0" w:rsidR="00F207F8" w:rsidRPr="003406D6" w:rsidRDefault="00F207F8" w:rsidP="009D6562">
      <w:pPr>
        <w:spacing w:before="100" w:after="0" w:line="240" w:lineRule="auto"/>
        <w:ind w:left="540" w:hanging="540"/>
        <w:rPr>
          <w:color w:val="222222"/>
          <w:shd w:val="clear" w:color="auto" w:fill="FFFFFF"/>
        </w:rPr>
      </w:pPr>
      <w:r w:rsidRPr="0039272F">
        <w:rPr>
          <w:shd w:val="clear" w:color="auto" w:fill="FFFFFF"/>
        </w:rPr>
        <w:t xml:space="preserve">Office of the Texas Governor (2021, March 2). </w:t>
      </w:r>
      <w:r w:rsidRPr="0039272F">
        <w:rPr>
          <w:i/>
          <w:shd w:val="clear" w:color="auto" w:fill="FFFFFF"/>
        </w:rPr>
        <w:t>Relating to the opening of Texas in response to the COVID-19 disaster</w:t>
      </w:r>
      <w:r w:rsidRPr="0039272F">
        <w:rPr>
          <w:shd w:val="clear" w:color="auto" w:fill="FFFFFF"/>
        </w:rPr>
        <w:t xml:space="preserve"> [Press release]. </w:t>
      </w:r>
      <w:hyperlink r:id="rId157" w:history="1">
        <w:r w:rsidRPr="0039272F">
          <w:rPr>
            <w:rStyle w:val="Hyperlink"/>
            <w:shd w:val="clear" w:color="auto" w:fill="FFFFFF"/>
          </w:rPr>
          <w:t>https://gov.texas.gov/news/post/governor-abbott-lifts-mask-mandate-opens-texas-100-percent</w:t>
        </w:r>
      </w:hyperlink>
      <w:r w:rsidRPr="0039272F">
        <w:rPr>
          <w:shd w:val="clear" w:color="auto" w:fill="FFFFFF"/>
        </w:rPr>
        <w:t xml:space="preserve">. </w:t>
      </w:r>
    </w:p>
    <w:p w14:paraId="2B794FC9" w14:textId="77777777" w:rsidR="00F207F8" w:rsidRPr="00A03997" w:rsidRDefault="00F207F8" w:rsidP="009D6562">
      <w:pPr>
        <w:spacing w:before="100" w:after="0" w:line="240" w:lineRule="auto"/>
        <w:ind w:left="540" w:hanging="540"/>
        <w:rPr>
          <w:color w:val="222222"/>
          <w:shd w:val="clear" w:color="auto" w:fill="FFFFFF"/>
        </w:rPr>
      </w:pPr>
      <w:r w:rsidRPr="00471A22">
        <w:rPr>
          <w:color w:val="222222"/>
          <w:shd w:val="clear" w:color="auto" w:fill="FFFFFF"/>
        </w:rPr>
        <w:t xml:space="preserve">Parker, K., Horowitz, J.M., and </w:t>
      </w:r>
      <w:proofErr w:type="spellStart"/>
      <w:r w:rsidRPr="00471A22">
        <w:rPr>
          <w:color w:val="222222"/>
          <w:shd w:val="clear" w:color="auto" w:fill="FFFFFF"/>
        </w:rPr>
        <w:t>Minkin</w:t>
      </w:r>
      <w:proofErr w:type="spellEnd"/>
      <w:r w:rsidRPr="00471A22">
        <w:rPr>
          <w:color w:val="222222"/>
          <w:shd w:val="clear" w:color="auto" w:fill="FFFFFF"/>
        </w:rPr>
        <w:t>, R. (2020). How the coronavirus outbreak has–and hasn’t–changed the way Americans work.</w:t>
      </w:r>
      <w:r>
        <w:rPr>
          <w:color w:val="222222"/>
          <w:shd w:val="clear" w:color="auto" w:fill="FFFFFF"/>
        </w:rPr>
        <w:t xml:space="preserve"> </w:t>
      </w:r>
      <w:r w:rsidRPr="00532699">
        <w:rPr>
          <w:i/>
          <w:color w:val="222222"/>
          <w:shd w:val="clear" w:color="auto" w:fill="FFFFFF"/>
        </w:rPr>
        <w:t>Pew Research Center.</w:t>
      </w:r>
      <w:r w:rsidRPr="00532699">
        <w:rPr>
          <w:color w:val="222222"/>
          <w:shd w:val="clear" w:color="auto" w:fill="FFFFFF"/>
        </w:rPr>
        <w:t xml:space="preserve"> </w:t>
      </w:r>
      <w:r w:rsidRPr="00F83DA2">
        <w:rPr>
          <w:color w:val="212529"/>
          <w:shd w:val="clear" w:color="auto" w:fill="FFFFFF"/>
        </w:rPr>
        <w:t>Available</w:t>
      </w:r>
      <w:r w:rsidRPr="00532699">
        <w:rPr>
          <w:color w:val="212529"/>
          <w:shd w:val="clear" w:color="auto" w:fill="FFFFFF"/>
        </w:rPr>
        <w:t xml:space="preserve"> at: </w:t>
      </w:r>
      <w:hyperlink r:id="rId158" w:history="1">
        <w:r w:rsidRPr="000A7AC2">
          <w:rPr>
            <w:rStyle w:val="Hyperlink"/>
            <w:shd w:val="clear" w:color="auto" w:fill="FFFFFF"/>
          </w:rPr>
          <w:t>https://policycommons.net/artifacts/1426277/how-the-coronavirus-outbreak-has/2040685/</w:t>
        </w:r>
      </w:hyperlink>
      <w:r w:rsidRPr="00532699">
        <w:rPr>
          <w:color w:val="212529"/>
          <w:shd w:val="clear" w:color="auto" w:fill="FFFFFF"/>
        </w:rPr>
        <w:t>.</w:t>
      </w:r>
      <w:r>
        <w:rPr>
          <w:color w:val="212529"/>
          <w:shd w:val="clear" w:color="auto" w:fill="FFFFFF"/>
        </w:rPr>
        <w:t xml:space="preserve"> </w:t>
      </w:r>
      <w:r w:rsidRPr="00532699">
        <w:rPr>
          <w:color w:val="212529"/>
          <w:shd w:val="clear" w:color="auto" w:fill="FFFFFF"/>
        </w:rPr>
        <w:t>Accessed on July 10, 2022.</w:t>
      </w:r>
    </w:p>
    <w:p w14:paraId="67F68F89" w14:textId="77777777" w:rsidR="00F207F8" w:rsidRPr="00A03997" w:rsidRDefault="00F207F8" w:rsidP="009D6562">
      <w:pPr>
        <w:spacing w:before="100" w:after="0" w:line="240" w:lineRule="auto"/>
        <w:ind w:left="540" w:hanging="540"/>
      </w:pPr>
      <w:r w:rsidRPr="00A03997">
        <w:t xml:space="preserve">Peters, P., </w:t>
      </w:r>
      <w:proofErr w:type="spellStart"/>
      <w:r w:rsidRPr="00A03997">
        <w:t>Tijdens</w:t>
      </w:r>
      <w:proofErr w:type="spellEnd"/>
      <w:r w:rsidRPr="00A03997">
        <w:t xml:space="preserve">, K.G., and </w:t>
      </w:r>
      <w:proofErr w:type="spellStart"/>
      <w:r w:rsidRPr="00A03997">
        <w:t>Wetzels</w:t>
      </w:r>
      <w:proofErr w:type="spellEnd"/>
      <w:r w:rsidRPr="00A03997">
        <w:t xml:space="preserve">, C. (2004). Employees’ opportunities, preferences, and practices in telecommuting adoption. </w:t>
      </w:r>
      <w:r>
        <w:rPr>
          <w:i/>
        </w:rPr>
        <w:t>Information &amp; Management</w:t>
      </w:r>
      <w:r>
        <w:t>,</w:t>
      </w:r>
      <w:r w:rsidRPr="00A03997">
        <w:t xml:space="preserve"> </w:t>
      </w:r>
      <w:r w:rsidRPr="00BD1957">
        <w:rPr>
          <w:i/>
        </w:rPr>
        <w:t>41</w:t>
      </w:r>
      <w:r>
        <w:t>(4)</w:t>
      </w:r>
      <w:r w:rsidRPr="00A03997">
        <w:t xml:space="preserve">, 469-482. </w:t>
      </w:r>
    </w:p>
    <w:p w14:paraId="78ED597A" w14:textId="77777777" w:rsidR="00F207F8" w:rsidRPr="00A03997" w:rsidRDefault="00F207F8" w:rsidP="009D6562">
      <w:pPr>
        <w:spacing w:before="100" w:after="0" w:line="240" w:lineRule="auto"/>
        <w:ind w:left="540" w:hanging="540"/>
        <w:rPr>
          <w:color w:val="222222"/>
          <w:shd w:val="clear" w:color="auto" w:fill="FFFFFF"/>
        </w:rPr>
      </w:pPr>
      <w:r w:rsidRPr="00A03997">
        <w:rPr>
          <w:color w:val="222222"/>
          <w:shd w:val="clear" w:color="auto" w:fill="FFFFFF"/>
        </w:rPr>
        <w:t>Popuri, Y.D., and Bhat, C.R. (2003). On modeling choice and frequency of home-based telecommuting. </w:t>
      </w:r>
      <w:r w:rsidRPr="00A03997">
        <w:rPr>
          <w:i/>
          <w:iCs/>
          <w:color w:val="222222"/>
          <w:shd w:val="clear" w:color="auto" w:fill="FFFFFF"/>
        </w:rPr>
        <w:t>Transportation Research Record</w:t>
      </w:r>
      <w:r w:rsidRPr="00A03997">
        <w:rPr>
          <w:color w:val="222222"/>
          <w:shd w:val="clear" w:color="auto" w:fill="FFFFFF"/>
        </w:rPr>
        <w:t>, </w:t>
      </w:r>
      <w:r w:rsidRPr="00A03997">
        <w:rPr>
          <w:i/>
          <w:iCs/>
          <w:color w:val="222222"/>
          <w:shd w:val="clear" w:color="auto" w:fill="FFFFFF"/>
        </w:rPr>
        <w:t>1858</w:t>
      </w:r>
      <w:r w:rsidRPr="00A03997">
        <w:rPr>
          <w:color w:val="222222"/>
          <w:shd w:val="clear" w:color="auto" w:fill="FFFFFF"/>
        </w:rPr>
        <w:t>(1), 55-60.</w:t>
      </w:r>
    </w:p>
    <w:p w14:paraId="448E8DF0" w14:textId="77777777" w:rsidR="00F207F8" w:rsidRPr="00A03997" w:rsidRDefault="00F207F8" w:rsidP="009D6562">
      <w:pPr>
        <w:spacing w:before="100" w:after="0" w:line="240" w:lineRule="auto"/>
        <w:ind w:left="540" w:hanging="540"/>
        <w:rPr>
          <w:color w:val="222222"/>
          <w:shd w:val="clear" w:color="auto" w:fill="FFFFFF"/>
        </w:rPr>
      </w:pPr>
      <w:r w:rsidRPr="00A03997">
        <w:rPr>
          <w:color w:val="222222"/>
          <w:shd w:val="clear" w:color="auto" w:fill="FFFFFF"/>
        </w:rPr>
        <w:t>Prochaska, J.O., and DiClemente, C.C. (1982). Transtheoretical therapy: Toward a more integrative model of change. </w:t>
      </w:r>
      <w:r w:rsidRPr="00A03997">
        <w:rPr>
          <w:i/>
          <w:iCs/>
          <w:color w:val="222222"/>
          <w:shd w:val="clear" w:color="auto" w:fill="FFFFFF"/>
        </w:rPr>
        <w:t>Psychotherapy: T</w:t>
      </w:r>
      <w:bookmarkStart w:id="53" w:name="_GoBack"/>
      <w:bookmarkEnd w:id="53"/>
      <w:r w:rsidRPr="00A03997">
        <w:rPr>
          <w:i/>
          <w:iCs/>
          <w:color w:val="222222"/>
          <w:shd w:val="clear" w:color="auto" w:fill="FFFFFF"/>
        </w:rPr>
        <w:t>heory, Research &amp; Practice</w:t>
      </w:r>
      <w:r w:rsidRPr="00A03997">
        <w:rPr>
          <w:color w:val="222222"/>
          <w:shd w:val="clear" w:color="auto" w:fill="FFFFFF"/>
        </w:rPr>
        <w:t>, </w:t>
      </w:r>
      <w:r w:rsidRPr="00A03997">
        <w:rPr>
          <w:i/>
          <w:iCs/>
          <w:color w:val="222222"/>
          <w:shd w:val="clear" w:color="auto" w:fill="FFFFFF"/>
        </w:rPr>
        <w:t>19</w:t>
      </w:r>
      <w:r w:rsidRPr="00A03997">
        <w:rPr>
          <w:color w:val="222222"/>
          <w:shd w:val="clear" w:color="auto" w:fill="FFFFFF"/>
        </w:rPr>
        <w:t>(3), 276</w:t>
      </w:r>
      <w:r>
        <w:rPr>
          <w:color w:val="222222"/>
          <w:shd w:val="clear" w:color="auto" w:fill="FFFFFF"/>
        </w:rPr>
        <w:t>-288</w:t>
      </w:r>
      <w:r w:rsidRPr="00A03997">
        <w:rPr>
          <w:color w:val="222222"/>
          <w:shd w:val="clear" w:color="auto" w:fill="FFFFFF"/>
        </w:rPr>
        <w:t>.</w:t>
      </w:r>
    </w:p>
    <w:p w14:paraId="2BE80A54" w14:textId="77777777" w:rsidR="00F207F8" w:rsidRPr="00A03997" w:rsidRDefault="00F207F8" w:rsidP="009D6562">
      <w:pPr>
        <w:spacing w:before="100" w:after="0" w:line="240" w:lineRule="auto"/>
        <w:ind w:left="540" w:hanging="540"/>
        <w:rPr>
          <w:color w:val="222222"/>
          <w:shd w:val="clear" w:color="auto" w:fill="FFFFFF"/>
        </w:rPr>
      </w:pPr>
      <w:r w:rsidRPr="00A03997">
        <w:t>Ramsey, K., and Bell, A. (2014). Smart Location Database</w:t>
      </w:r>
      <w:r>
        <w:t>,</w:t>
      </w:r>
      <w:r w:rsidRPr="00A03997">
        <w:t xml:space="preserve"> Version 2.0 User Guide. Available at: </w:t>
      </w:r>
      <w:hyperlink r:id="rId159" w:history="1">
        <w:r w:rsidRPr="00A03997">
          <w:rPr>
            <w:rStyle w:val="Hyperlink"/>
          </w:rPr>
          <w:t>https://www.epa.gov/sites/production/files/2014-03/documents/sld_userguide.pdf</w:t>
        </w:r>
      </w:hyperlink>
      <w:r w:rsidRPr="00A03997">
        <w:t>. Accessed on May 15, 2022.</w:t>
      </w:r>
    </w:p>
    <w:p w14:paraId="7FE0FFB2" w14:textId="77777777" w:rsidR="00F207F8" w:rsidRPr="00F207F8" w:rsidRDefault="00F207F8" w:rsidP="009D6562">
      <w:pPr>
        <w:spacing w:before="100" w:after="0" w:line="240" w:lineRule="auto"/>
        <w:ind w:left="540" w:hanging="540"/>
      </w:pPr>
      <w:r w:rsidRPr="00F207F8">
        <w:rPr>
          <w:color w:val="222222"/>
          <w:shd w:val="clear" w:color="auto" w:fill="FFFFFF"/>
        </w:rPr>
        <w:t>Ray, R. S., and Ong, P. M. (2020). Unequal Access to Remote Work during the COVID-19 Pandemic. </w:t>
      </w:r>
      <w:r w:rsidRPr="00F207F8">
        <w:rPr>
          <w:i/>
          <w:iCs/>
          <w:color w:val="222222"/>
          <w:shd w:val="clear" w:color="auto" w:fill="FFFFFF"/>
        </w:rPr>
        <w:t xml:space="preserve">UCLA Center for Neighborhood Knowledge. </w:t>
      </w:r>
      <w:r w:rsidRPr="00F207F8">
        <w:rPr>
          <w:iCs/>
          <w:color w:val="222222"/>
          <w:shd w:val="clear" w:color="auto" w:fill="FFFFFF"/>
        </w:rPr>
        <w:t xml:space="preserve">Available at: </w:t>
      </w:r>
      <w:hyperlink r:id="rId160" w:history="1">
        <w:r w:rsidRPr="00F207F8">
          <w:rPr>
            <w:rStyle w:val="Hyperlink"/>
            <w:iCs/>
            <w:shd w:val="clear" w:color="auto" w:fill="FFFFFF"/>
          </w:rPr>
          <w:t>https://escholarship.org/content/qt1xk852cv/qt1xk852cv_noSplash_4fbf08afb36d3a8c625cc961b8d3907f.pdf</w:t>
        </w:r>
      </w:hyperlink>
      <w:r w:rsidRPr="00F207F8">
        <w:rPr>
          <w:iCs/>
          <w:color w:val="222222"/>
          <w:shd w:val="clear" w:color="auto" w:fill="FFFFFF"/>
        </w:rPr>
        <w:t xml:space="preserve">. </w:t>
      </w:r>
      <w:r w:rsidRPr="00F207F8">
        <w:rPr>
          <w:color w:val="222222"/>
          <w:shd w:val="clear" w:color="auto" w:fill="FFFFFF"/>
        </w:rPr>
        <w:t>Accessed January 30, 2023.</w:t>
      </w:r>
    </w:p>
    <w:p w14:paraId="75BE3EEE" w14:textId="77777777" w:rsidR="00F207F8" w:rsidRPr="001B39D4" w:rsidRDefault="00F207F8" w:rsidP="009D6562">
      <w:pPr>
        <w:spacing w:before="100" w:after="0" w:line="240" w:lineRule="auto"/>
        <w:ind w:left="540" w:hanging="540"/>
        <w:rPr>
          <w:color w:val="222222"/>
          <w:shd w:val="clear" w:color="auto" w:fill="FFFFFF"/>
        </w:rPr>
      </w:pPr>
      <w:proofErr w:type="spellStart"/>
      <w:r w:rsidRPr="001B39D4">
        <w:rPr>
          <w:color w:val="222222"/>
          <w:shd w:val="clear" w:color="auto" w:fill="FFFFFF"/>
        </w:rPr>
        <w:t>Schieman</w:t>
      </w:r>
      <w:proofErr w:type="spellEnd"/>
      <w:r w:rsidRPr="001B39D4">
        <w:rPr>
          <w:color w:val="222222"/>
          <w:shd w:val="clear" w:color="auto" w:fill="FFFFFF"/>
        </w:rPr>
        <w:t xml:space="preserve">, S., </w:t>
      </w:r>
      <w:proofErr w:type="spellStart"/>
      <w:r w:rsidRPr="001B39D4">
        <w:rPr>
          <w:color w:val="222222"/>
          <w:shd w:val="clear" w:color="auto" w:fill="FFFFFF"/>
        </w:rPr>
        <w:t>Badawy</w:t>
      </w:r>
      <w:proofErr w:type="spellEnd"/>
      <w:r w:rsidRPr="001B39D4">
        <w:rPr>
          <w:color w:val="222222"/>
          <w:shd w:val="clear" w:color="auto" w:fill="FFFFFF"/>
        </w:rPr>
        <w:t xml:space="preserve">, P.J., A. </w:t>
      </w:r>
      <w:proofErr w:type="spellStart"/>
      <w:r w:rsidRPr="001B39D4">
        <w:rPr>
          <w:color w:val="222222"/>
          <w:shd w:val="clear" w:color="auto" w:fill="FFFFFF"/>
        </w:rPr>
        <w:t>Milkie</w:t>
      </w:r>
      <w:proofErr w:type="spellEnd"/>
      <w:r w:rsidRPr="001B39D4">
        <w:rPr>
          <w:color w:val="222222"/>
          <w:shd w:val="clear" w:color="auto" w:fill="FFFFFF"/>
        </w:rPr>
        <w:t>, M., and Bierman, A. (2021). Work-life conflict during the COVID-19 pandemic. </w:t>
      </w:r>
      <w:r w:rsidRPr="001B39D4">
        <w:rPr>
          <w:i/>
          <w:iCs/>
          <w:color w:val="222222"/>
          <w:shd w:val="clear" w:color="auto" w:fill="FFFFFF"/>
        </w:rPr>
        <w:t>Socius</w:t>
      </w:r>
      <w:r w:rsidRPr="001B39D4">
        <w:rPr>
          <w:color w:val="222222"/>
          <w:shd w:val="clear" w:color="auto" w:fill="FFFFFF"/>
        </w:rPr>
        <w:t>, </w:t>
      </w:r>
      <w:r w:rsidRPr="001B39D4">
        <w:rPr>
          <w:i/>
          <w:iCs/>
          <w:color w:val="222222"/>
          <w:shd w:val="clear" w:color="auto" w:fill="FFFFFF"/>
        </w:rPr>
        <w:t>7</w:t>
      </w:r>
      <w:r w:rsidRPr="001B39D4">
        <w:rPr>
          <w:color w:val="222222"/>
          <w:shd w:val="clear" w:color="auto" w:fill="FFFFFF"/>
        </w:rPr>
        <w:t>.</w:t>
      </w:r>
      <w:r w:rsidRPr="001B39D4">
        <w:t xml:space="preserve"> </w:t>
      </w:r>
      <w:hyperlink r:id="rId161" w:history="1">
        <w:r w:rsidRPr="00D74494">
          <w:rPr>
            <w:rStyle w:val="Hyperlink"/>
            <w:shd w:val="clear" w:color="auto" w:fill="FFFFFF"/>
          </w:rPr>
          <w:t>https://doi.org/10.1177/2378023120982856</w:t>
        </w:r>
      </w:hyperlink>
      <w:r w:rsidRPr="001B39D4">
        <w:rPr>
          <w:color w:val="222222"/>
          <w:shd w:val="clear" w:color="auto" w:fill="FFFFFF"/>
        </w:rPr>
        <w:t>.</w:t>
      </w:r>
      <w:r>
        <w:rPr>
          <w:color w:val="222222"/>
          <w:shd w:val="clear" w:color="auto" w:fill="FFFFFF"/>
        </w:rPr>
        <w:t xml:space="preserve"> </w:t>
      </w:r>
    </w:p>
    <w:p w14:paraId="1E8126A0" w14:textId="77777777" w:rsidR="00F207F8" w:rsidRPr="00A03997" w:rsidRDefault="00F207F8" w:rsidP="009D6562">
      <w:pPr>
        <w:spacing w:before="100" w:after="0" w:line="240" w:lineRule="auto"/>
        <w:ind w:left="540" w:hanging="540"/>
        <w:rPr>
          <w:shd w:val="clear" w:color="auto" w:fill="FFFFFF"/>
        </w:rPr>
      </w:pPr>
      <w:bookmarkStart w:id="54" w:name="_Toc99017865"/>
      <w:r w:rsidRPr="001B39D4">
        <w:rPr>
          <w:shd w:val="clear" w:color="auto" w:fill="FFFFFF"/>
        </w:rPr>
        <w:t>Sener, I.N., and Bhat, C.R. (2011). A copula-based sample selection model of telecommuting</w:t>
      </w:r>
      <w:r w:rsidRPr="00A03997">
        <w:rPr>
          <w:shd w:val="clear" w:color="auto" w:fill="FFFFFF"/>
        </w:rPr>
        <w:t xml:space="preserve"> choice and frequency. </w:t>
      </w:r>
      <w:r w:rsidRPr="00A03997">
        <w:rPr>
          <w:i/>
          <w:iCs/>
          <w:shd w:val="clear" w:color="auto" w:fill="FFFFFF"/>
        </w:rPr>
        <w:t>Environment and Planning A</w:t>
      </w:r>
      <w:r w:rsidRPr="00A03997">
        <w:rPr>
          <w:shd w:val="clear" w:color="auto" w:fill="FFFFFF"/>
        </w:rPr>
        <w:t>, </w:t>
      </w:r>
      <w:r w:rsidRPr="00A03997">
        <w:rPr>
          <w:i/>
          <w:iCs/>
          <w:shd w:val="clear" w:color="auto" w:fill="FFFFFF"/>
        </w:rPr>
        <w:t>43</w:t>
      </w:r>
      <w:r w:rsidRPr="00A03997">
        <w:rPr>
          <w:shd w:val="clear" w:color="auto" w:fill="FFFFFF"/>
        </w:rPr>
        <w:t>(1), 126-145.</w:t>
      </w:r>
      <w:bookmarkEnd w:id="54"/>
    </w:p>
    <w:p w14:paraId="5BB38CD5" w14:textId="77777777" w:rsidR="00F207F8" w:rsidRDefault="00F207F8" w:rsidP="009D6562">
      <w:pPr>
        <w:spacing w:before="100" w:after="0" w:line="240" w:lineRule="auto"/>
        <w:ind w:left="540" w:hanging="540"/>
        <w:rPr>
          <w:shd w:val="clear" w:color="auto" w:fill="FFFFFF"/>
        </w:rPr>
      </w:pPr>
      <w:bookmarkStart w:id="55" w:name="_Hlk101167779"/>
      <w:proofErr w:type="spellStart"/>
      <w:r w:rsidRPr="00A03997">
        <w:rPr>
          <w:shd w:val="clear" w:color="auto" w:fill="FFFFFF"/>
        </w:rPr>
        <w:t>Shabanpour</w:t>
      </w:r>
      <w:bookmarkEnd w:id="55"/>
      <w:proofErr w:type="spellEnd"/>
      <w:r w:rsidRPr="00A03997">
        <w:rPr>
          <w:shd w:val="clear" w:color="auto" w:fill="FFFFFF"/>
        </w:rPr>
        <w:t xml:space="preserve">, R., </w:t>
      </w:r>
      <w:proofErr w:type="spellStart"/>
      <w:r w:rsidRPr="00A03997">
        <w:rPr>
          <w:shd w:val="clear" w:color="auto" w:fill="FFFFFF"/>
        </w:rPr>
        <w:t>Golshani</w:t>
      </w:r>
      <w:proofErr w:type="spellEnd"/>
      <w:r w:rsidRPr="00A03997">
        <w:rPr>
          <w:shd w:val="clear" w:color="auto" w:fill="FFFFFF"/>
        </w:rPr>
        <w:t xml:space="preserve">, N., </w:t>
      </w:r>
      <w:proofErr w:type="spellStart"/>
      <w:r w:rsidRPr="00A03997">
        <w:rPr>
          <w:shd w:val="clear" w:color="auto" w:fill="FFFFFF"/>
        </w:rPr>
        <w:t>Tayarani</w:t>
      </w:r>
      <w:proofErr w:type="spellEnd"/>
      <w:r w:rsidRPr="00A03997">
        <w:rPr>
          <w:shd w:val="clear" w:color="auto" w:fill="FFFFFF"/>
        </w:rPr>
        <w:t>, M., Auld, J., and Mohammadian, A.K. (2018). Analysis of telecommuting behavior and impacts on travel demand and the environment. </w:t>
      </w:r>
      <w:r w:rsidRPr="00A03997">
        <w:rPr>
          <w:i/>
          <w:iCs/>
          <w:shd w:val="clear" w:color="auto" w:fill="FFFFFF"/>
        </w:rPr>
        <w:t>Transportation Research Part D</w:t>
      </w:r>
      <w:r w:rsidRPr="00A03997">
        <w:rPr>
          <w:shd w:val="clear" w:color="auto" w:fill="FFFFFF"/>
        </w:rPr>
        <w:t>, </w:t>
      </w:r>
      <w:r w:rsidRPr="00A03997">
        <w:rPr>
          <w:i/>
          <w:iCs/>
          <w:shd w:val="clear" w:color="auto" w:fill="FFFFFF"/>
        </w:rPr>
        <w:t>62</w:t>
      </w:r>
      <w:r w:rsidRPr="00A03997">
        <w:rPr>
          <w:shd w:val="clear" w:color="auto" w:fill="FFFFFF"/>
        </w:rPr>
        <w:t>, 563-576.</w:t>
      </w:r>
    </w:p>
    <w:p w14:paraId="122EB6E0" w14:textId="77777777" w:rsidR="00F207F8" w:rsidRPr="000E593C" w:rsidRDefault="00F207F8" w:rsidP="009D6562">
      <w:pPr>
        <w:spacing w:before="100" w:after="0" w:line="240" w:lineRule="auto"/>
        <w:ind w:left="540" w:hanging="540"/>
        <w:jc w:val="left"/>
      </w:pPr>
      <w:proofErr w:type="spellStart"/>
      <w:r w:rsidRPr="001B39D4">
        <w:t>Sheather</w:t>
      </w:r>
      <w:proofErr w:type="spellEnd"/>
      <w:r w:rsidRPr="001B39D4">
        <w:t>, J., and Slattery, D. (2021). The great resignation—how do we support and retain staff already stretched to their limit? </w:t>
      </w:r>
      <w:r w:rsidRPr="001B39D4">
        <w:rPr>
          <w:i/>
        </w:rPr>
        <w:t>BMJ</w:t>
      </w:r>
      <w:r w:rsidRPr="001B39D4">
        <w:t>, </w:t>
      </w:r>
      <w:r w:rsidRPr="001B39D4">
        <w:rPr>
          <w:i/>
        </w:rPr>
        <w:t>375</w:t>
      </w:r>
      <w:r w:rsidRPr="001B39D4">
        <w:t>, n2533</w:t>
      </w:r>
      <w:r>
        <w:t xml:space="preserve">. </w:t>
      </w:r>
      <w:r w:rsidRPr="000E593C">
        <w:t xml:space="preserve">doi:10.1136/bmj.n2533 </w:t>
      </w:r>
    </w:p>
    <w:p w14:paraId="252A6DA4" w14:textId="77777777" w:rsidR="00F207F8" w:rsidRPr="00A03997" w:rsidRDefault="00F207F8" w:rsidP="009D6562">
      <w:pPr>
        <w:spacing w:before="100" w:after="0" w:line="240" w:lineRule="auto"/>
        <w:ind w:left="540" w:hanging="540"/>
        <w:rPr>
          <w:shd w:val="clear" w:color="auto" w:fill="FFFFFF"/>
        </w:rPr>
      </w:pPr>
      <w:bookmarkStart w:id="56" w:name="_Toc99017863"/>
      <w:r w:rsidRPr="00A03997">
        <w:rPr>
          <w:shd w:val="clear" w:color="auto" w:fill="FFFFFF"/>
        </w:rPr>
        <w:t>Silva-C, A.</w:t>
      </w:r>
      <w:r>
        <w:rPr>
          <w:shd w:val="clear" w:color="auto" w:fill="FFFFFF"/>
        </w:rPr>
        <w:t xml:space="preserve">, </w:t>
      </w:r>
      <w:r w:rsidRPr="00ED6120">
        <w:rPr>
          <w:shd w:val="clear" w:color="auto" w:fill="FFFFFF"/>
        </w:rPr>
        <w:t>Montoya R,</w:t>
      </w:r>
      <w:r>
        <w:rPr>
          <w:shd w:val="clear" w:color="auto" w:fill="FFFFFF"/>
        </w:rPr>
        <w:t xml:space="preserve"> I.A., and</w:t>
      </w:r>
      <w:r w:rsidRPr="00ED6120">
        <w:rPr>
          <w:shd w:val="clear" w:color="auto" w:fill="FFFFFF"/>
        </w:rPr>
        <w:t xml:space="preserve"> Valencia A</w:t>
      </w:r>
      <w:r>
        <w:rPr>
          <w:shd w:val="clear" w:color="auto" w:fill="FFFFFF"/>
        </w:rPr>
        <w:t>, J.A.</w:t>
      </w:r>
      <w:r w:rsidRPr="00A03997">
        <w:rPr>
          <w:shd w:val="clear" w:color="auto" w:fill="FFFFFF"/>
        </w:rPr>
        <w:t xml:space="preserve"> (2019). The attitude of managers toward telework, why is it so difficult to adopt it in organizations? </w:t>
      </w:r>
      <w:r w:rsidRPr="00A03997">
        <w:rPr>
          <w:i/>
          <w:iCs/>
          <w:shd w:val="clear" w:color="auto" w:fill="FFFFFF"/>
        </w:rPr>
        <w:t>Technology in Society</w:t>
      </w:r>
      <w:r w:rsidRPr="00A03997">
        <w:rPr>
          <w:shd w:val="clear" w:color="auto" w:fill="FFFFFF"/>
        </w:rPr>
        <w:t>, </w:t>
      </w:r>
      <w:r w:rsidRPr="00A03997">
        <w:rPr>
          <w:i/>
          <w:iCs/>
          <w:shd w:val="clear" w:color="auto" w:fill="FFFFFF"/>
        </w:rPr>
        <w:t>59</w:t>
      </w:r>
      <w:r w:rsidRPr="00A03997">
        <w:rPr>
          <w:shd w:val="clear" w:color="auto" w:fill="FFFFFF"/>
        </w:rPr>
        <w:t>, 101133.</w:t>
      </w:r>
      <w:bookmarkEnd w:id="56"/>
      <w:r>
        <w:rPr>
          <w:shd w:val="clear" w:color="auto" w:fill="FFFFFF"/>
        </w:rPr>
        <w:t xml:space="preserve"> </w:t>
      </w:r>
    </w:p>
    <w:p w14:paraId="67BD043E" w14:textId="77777777" w:rsidR="00F207F8" w:rsidRPr="00A03997" w:rsidRDefault="00F207F8" w:rsidP="009D6562">
      <w:pPr>
        <w:spacing w:before="100" w:after="0" w:line="240" w:lineRule="auto"/>
        <w:ind w:left="540" w:hanging="540"/>
      </w:pPr>
      <w:r w:rsidRPr="00A03997">
        <w:t xml:space="preserve">Smite, D., </w:t>
      </w:r>
      <w:proofErr w:type="spellStart"/>
      <w:r w:rsidRPr="00A03997">
        <w:t>Tkalich</w:t>
      </w:r>
      <w:proofErr w:type="spellEnd"/>
      <w:r w:rsidRPr="00A03997">
        <w:t xml:space="preserve">, A., Moe, N.B., </w:t>
      </w:r>
      <w:proofErr w:type="spellStart"/>
      <w:r w:rsidRPr="00A03997">
        <w:t>Papatheocharous</w:t>
      </w:r>
      <w:proofErr w:type="spellEnd"/>
      <w:r w:rsidRPr="00A03997">
        <w:t xml:space="preserve">, E., </w:t>
      </w:r>
      <w:proofErr w:type="spellStart"/>
      <w:r w:rsidRPr="00A03997">
        <w:t>Klotins</w:t>
      </w:r>
      <w:proofErr w:type="spellEnd"/>
      <w:r w:rsidRPr="00A03997">
        <w:t xml:space="preserve">, E., and </w:t>
      </w:r>
      <w:proofErr w:type="spellStart"/>
      <w:r w:rsidRPr="00A03997">
        <w:t>Buvik</w:t>
      </w:r>
      <w:proofErr w:type="spellEnd"/>
      <w:r w:rsidRPr="00A03997">
        <w:t xml:space="preserve">, M.P. (2022). Changes in perceived productivity of software engineers during COVID-19 pandemic: The voice of evidence. </w:t>
      </w:r>
      <w:r w:rsidRPr="00A03997">
        <w:rPr>
          <w:i/>
        </w:rPr>
        <w:t>Journal of Systems and Software</w:t>
      </w:r>
      <w:r w:rsidRPr="00A03997">
        <w:t xml:space="preserve">, </w:t>
      </w:r>
      <w:r w:rsidRPr="00A03997">
        <w:rPr>
          <w:i/>
        </w:rPr>
        <w:t>186</w:t>
      </w:r>
      <w:r w:rsidRPr="00A03997">
        <w:t>, 111197.</w:t>
      </w:r>
    </w:p>
    <w:p w14:paraId="5958AC4B" w14:textId="77777777" w:rsidR="00F207F8" w:rsidRPr="00A03997" w:rsidRDefault="00F207F8" w:rsidP="009D6562">
      <w:pPr>
        <w:spacing w:before="100" w:after="0" w:line="240" w:lineRule="auto"/>
        <w:ind w:left="540" w:hanging="540"/>
        <w:rPr>
          <w:shd w:val="clear" w:color="auto" w:fill="FFFFFF"/>
        </w:rPr>
      </w:pPr>
      <w:r w:rsidRPr="00A03997">
        <w:rPr>
          <w:shd w:val="clear" w:color="auto" w:fill="FFFFFF"/>
        </w:rPr>
        <w:lastRenderedPageBreak/>
        <w:t>Smith, S.L.</w:t>
      </w:r>
      <w:r>
        <w:rPr>
          <w:shd w:val="clear" w:color="auto" w:fill="FFFFFF"/>
        </w:rPr>
        <w:t>J.</w:t>
      </w:r>
      <w:r w:rsidRPr="00A03997">
        <w:rPr>
          <w:shd w:val="clear" w:color="auto" w:fill="FFFFFF"/>
        </w:rPr>
        <w:t xml:space="preserve"> (1990). </w:t>
      </w:r>
      <w:r w:rsidRPr="00A03997">
        <w:rPr>
          <w:i/>
          <w:iCs/>
          <w:shd w:val="clear" w:color="auto" w:fill="FFFFFF"/>
        </w:rPr>
        <w:t xml:space="preserve">Dictionary of </w:t>
      </w:r>
      <w:r>
        <w:rPr>
          <w:i/>
          <w:iCs/>
          <w:shd w:val="clear" w:color="auto" w:fill="FFFFFF"/>
        </w:rPr>
        <w:t>C</w:t>
      </w:r>
      <w:r w:rsidRPr="00A03997">
        <w:rPr>
          <w:i/>
          <w:iCs/>
          <w:shd w:val="clear" w:color="auto" w:fill="FFFFFF"/>
        </w:rPr>
        <w:t>oncepts in</w:t>
      </w:r>
      <w:r>
        <w:rPr>
          <w:i/>
          <w:iCs/>
          <w:shd w:val="clear" w:color="auto" w:fill="FFFFFF"/>
        </w:rPr>
        <w:t xml:space="preserve"> R</w:t>
      </w:r>
      <w:r w:rsidRPr="00A03997">
        <w:rPr>
          <w:i/>
          <w:iCs/>
          <w:shd w:val="clear" w:color="auto" w:fill="FFFFFF"/>
        </w:rPr>
        <w:t xml:space="preserve">ecreation and </w:t>
      </w:r>
      <w:r>
        <w:rPr>
          <w:i/>
          <w:iCs/>
          <w:shd w:val="clear" w:color="auto" w:fill="FFFFFF"/>
        </w:rPr>
        <w:t>L</w:t>
      </w:r>
      <w:r w:rsidRPr="00A03997">
        <w:rPr>
          <w:i/>
          <w:iCs/>
          <w:shd w:val="clear" w:color="auto" w:fill="FFFFFF"/>
        </w:rPr>
        <w:t xml:space="preserve">eisure </w:t>
      </w:r>
      <w:r>
        <w:rPr>
          <w:i/>
          <w:iCs/>
          <w:shd w:val="clear" w:color="auto" w:fill="FFFFFF"/>
        </w:rPr>
        <w:t>S</w:t>
      </w:r>
      <w:r w:rsidRPr="00A03997">
        <w:rPr>
          <w:i/>
          <w:iCs/>
          <w:shd w:val="clear" w:color="auto" w:fill="FFFFFF"/>
        </w:rPr>
        <w:t>tudies</w:t>
      </w:r>
      <w:r w:rsidRPr="00A03997">
        <w:rPr>
          <w:shd w:val="clear" w:color="auto" w:fill="FFFFFF"/>
        </w:rPr>
        <w:t> (No. 9). Greenwood.</w:t>
      </w:r>
    </w:p>
    <w:p w14:paraId="39D6970F" w14:textId="77777777" w:rsidR="00F207F8" w:rsidRPr="00A03997" w:rsidRDefault="00F207F8" w:rsidP="009D6562">
      <w:pPr>
        <w:spacing w:before="100" w:after="0" w:line="240" w:lineRule="auto"/>
        <w:ind w:left="540" w:hanging="540"/>
      </w:pPr>
      <w:proofErr w:type="spellStart"/>
      <w:r w:rsidRPr="00A03997">
        <w:rPr>
          <w:color w:val="222222"/>
          <w:shd w:val="clear" w:color="auto" w:fill="FFFFFF"/>
        </w:rPr>
        <w:t>Spissu</w:t>
      </w:r>
      <w:proofErr w:type="spellEnd"/>
      <w:r w:rsidRPr="00A03997">
        <w:rPr>
          <w:color w:val="222222"/>
          <w:shd w:val="clear" w:color="auto" w:fill="FFFFFF"/>
        </w:rPr>
        <w:t>, E., Pinjari, A.R., Bhat, C.R., Pendyala, R.M., and Axhausen, K.W. (2009). An analysis of weekly out-of-home discretionary activity participation and time-use behavior. </w:t>
      </w:r>
      <w:r w:rsidRPr="00A03997">
        <w:rPr>
          <w:i/>
          <w:iCs/>
          <w:color w:val="222222"/>
          <w:shd w:val="clear" w:color="auto" w:fill="FFFFFF"/>
        </w:rPr>
        <w:t>Transportation</w:t>
      </w:r>
      <w:r w:rsidRPr="00A03997">
        <w:rPr>
          <w:color w:val="222222"/>
          <w:shd w:val="clear" w:color="auto" w:fill="FFFFFF"/>
        </w:rPr>
        <w:t>, </w:t>
      </w:r>
      <w:r w:rsidRPr="00A03997">
        <w:rPr>
          <w:i/>
          <w:iCs/>
          <w:color w:val="222222"/>
          <w:shd w:val="clear" w:color="auto" w:fill="FFFFFF"/>
        </w:rPr>
        <w:t>36</w:t>
      </w:r>
      <w:r w:rsidRPr="00A03997">
        <w:rPr>
          <w:color w:val="222222"/>
          <w:shd w:val="clear" w:color="auto" w:fill="FFFFFF"/>
        </w:rPr>
        <w:t>(5), 483-510.</w:t>
      </w:r>
    </w:p>
    <w:p w14:paraId="786DDDCE" w14:textId="77777777" w:rsidR="00F207F8" w:rsidRPr="00F207F8" w:rsidRDefault="00F207F8" w:rsidP="009D6562">
      <w:pPr>
        <w:spacing w:before="100" w:after="0" w:line="240" w:lineRule="auto"/>
        <w:ind w:left="540" w:hanging="540"/>
        <w:rPr>
          <w:color w:val="222222"/>
          <w:shd w:val="clear" w:color="auto" w:fill="FFFFFF"/>
        </w:rPr>
      </w:pPr>
      <w:proofErr w:type="spellStart"/>
      <w:r w:rsidRPr="00F207F8">
        <w:t>Stillman</w:t>
      </w:r>
      <w:proofErr w:type="spellEnd"/>
      <w:r w:rsidRPr="00F207F8">
        <w:t xml:space="preserve">, J. (2022). The Great Resignation Is Turning Into the Great Regret. </w:t>
      </w:r>
      <w:r w:rsidRPr="00F207F8">
        <w:rPr>
          <w:i/>
        </w:rPr>
        <w:t xml:space="preserve">Inc. </w:t>
      </w:r>
      <w:r w:rsidRPr="00F207F8">
        <w:t xml:space="preserve">Available at: </w:t>
      </w:r>
      <w:hyperlink r:id="rId162" w:history="1">
        <w:r w:rsidRPr="00F207F8">
          <w:rPr>
            <w:rStyle w:val="Hyperlink"/>
          </w:rPr>
          <w:t>https://www.inc.com/jessica-stillman/hiring-great-resignation-great-regret.html</w:t>
        </w:r>
      </w:hyperlink>
      <w:r w:rsidRPr="00F207F8">
        <w:t xml:space="preserve">. </w:t>
      </w:r>
      <w:r w:rsidRPr="00F207F8">
        <w:rPr>
          <w:color w:val="222222"/>
          <w:shd w:val="clear" w:color="auto" w:fill="FFFFFF"/>
        </w:rPr>
        <w:t>Accessed January 30, 2023.</w:t>
      </w:r>
    </w:p>
    <w:p w14:paraId="29E3335B" w14:textId="77777777" w:rsidR="00F207F8" w:rsidRPr="00A03997" w:rsidRDefault="00F207F8" w:rsidP="009D6562">
      <w:pPr>
        <w:spacing w:before="100" w:after="0" w:line="240" w:lineRule="auto"/>
        <w:ind w:left="540" w:hanging="540"/>
        <w:rPr>
          <w:color w:val="222222"/>
          <w:shd w:val="clear" w:color="auto" w:fill="FFFFFF"/>
        </w:rPr>
      </w:pPr>
      <w:r w:rsidRPr="00A03997">
        <w:rPr>
          <w:color w:val="222222"/>
          <w:shd w:val="clear" w:color="auto" w:fill="FFFFFF"/>
        </w:rPr>
        <w:t>Su, R., McBride, E.C., and Goulias, K.G. (2021). Unveiling daily activity pattern differences between telecommuters and commuters using human mobility motifs and sequence analysis. </w:t>
      </w:r>
      <w:r w:rsidRPr="00A03997">
        <w:rPr>
          <w:i/>
          <w:iCs/>
          <w:color w:val="222222"/>
          <w:shd w:val="clear" w:color="auto" w:fill="FFFFFF"/>
        </w:rPr>
        <w:t>Transportation Research Part A</w:t>
      </w:r>
      <w:r w:rsidRPr="00A03997">
        <w:rPr>
          <w:color w:val="222222"/>
          <w:shd w:val="clear" w:color="auto" w:fill="FFFFFF"/>
        </w:rPr>
        <w:t>, </w:t>
      </w:r>
      <w:r w:rsidRPr="00A03997">
        <w:rPr>
          <w:i/>
          <w:iCs/>
          <w:color w:val="222222"/>
          <w:shd w:val="clear" w:color="auto" w:fill="FFFFFF"/>
        </w:rPr>
        <w:t>147</w:t>
      </w:r>
      <w:r w:rsidRPr="00A03997">
        <w:rPr>
          <w:color w:val="222222"/>
          <w:shd w:val="clear" w:color="auto" w:fill="FFFFFF"/>
        </w:rPr>
        <w:t>, 106-132.</w:t>
      </w:r>
    </w:p>
    <w:p w14:paraId="0C35E5EE" w14:textId="77777777" w:rsidR="00F207F8" w:rsidRPr="00A03997" w:rsidRDefault="00F207F8" w:rsidP="009D6562">
      <w:pPr>
        <w:keepLines/>
        <w:spacing w:before="100" w:after="0" w:line="240" w:lineRule="auto"/>
        <w:ind w:left="547" w:hanging="547"/>
      </w:pPr>
      <w:bookmarkStart w:id="57" w:name="_Toc99017864"/>
      <w:proofErr w:type="spellStart"/>
      <w:r w:rsidRPr="00A03997">
        <w:rPr>
          <w:shd w:val="clear" w:color="auto" w:fill="FFFFFF"/>
        </w:rPr>
        <w:t>Tahlyan</w:t>
      </w:r>
      <w:proofErr w:type="spellEnd"/>
      <w:r w:rsidRPr="00A03997">
        <w:rPr>
          <w:shd w:val="clear" w:color="auto" w:fill="FFFFFF"/>
        </w:rPr>
        <w:t xml:space="preserve">, D., Said, M., </w:t>
      </w:r>
      <w:proofErr w:type="spellStart"/>
      <w:r w:rsidRPr="00A03997">
        <w:rPr>
          <w:shd w:val="clear" w:color="auto" w:fill="FFFFFF"/>
        </w:rPr>
        <w:t>Mahmassani</w:t>
      </w:r>
      <w:proofErr w:type="spellEnd"/>
      <w:r w:rsidRPr="00A03997">
        <w:rPr>
          <w:shd w:val="clear" w:color="auto" w:fill="FFFFFF"/>
        </w:rPr>
        <w:t xml:space="preserve">, H., Stathopoulos, A., Walker, J., and </w:t>
      </w:r>
      <w:proofErr w:type="spellStart"/>
      <w:r w:rsidRPr="00A03997">
        <w:rPr>
          <w:shd w:val="clear" w:color="auto" w:fill="FFFFFF"/>
        </w:rPr>
        <w:t>Shaheen</w:t>
      </w:r>
      <w:proofErr w:type="spellEnd"/>
      <w:r w:rsidRPr="00A03997">
        <w:rPr>
          <w:shd w:val="clear" w:color="auto" w:fill="FFFFFF"/>
        </w:rPr>
        <w:t>, S. (2022). For whom did telework not work during the Pandemic? understanding the factors impacting telework satisfaction in the US using a multiple indicator multiple cause (MIMIC) model. </w:t>
      </w:r>
      <w:r w:rsidRPr="00A03997">
        <w:rPr>
          <w:i/>
          <w:iCs/>
          <w:shd w:val="clear" w:color="auto" w:fill="FFFFFF"/>
        </w:rPr>
        <w:t>Transportation Research Part A</w:t>
      </w:r>
      <w:r w:rsidRPr="00A03997">
        <w:rPr>
          <w:shd w:val="clear" w:color="auto" w:fill="FFFFFF"/>
        </w:rPr>
        <w:t>, </w:t>
      </w:r>
      <w:r w:rsidRPr="00A03997">
        <w:rPr>
          <w:i/>
          <w:iCs/>
          <w:shd w:val="clear" w:color="auto" w:fill="FFFFFF"/>
        </w:rPr>
        <w:t>155</w:t>
      </w:r>
      <w:r w:rsidRPr="00A03997">
        <w:rPr>
          <w:shd w:val="clear" w:color="auto" w:fill="FFFFFF"/>
        </w:rPr>
        <w:t>, 387-402.</w:t>
      </w:r>
      <w:bookmarkEnd w:id="57"/>
    </w:p>
    <w:p w14:paraId="0AC293F6" w14:textId="77777777" w:rsidR="00F207F8" w:rsidRPr="00A03997" w:rsidRDefault="00F207F8" w:rsidP="009D6562">
      <w:pPr>
        <w:spacing w:before="100" w:after="0" w:line="240" w:lineRule="auto"/>
        <w:ind w:left="540" w:hanging="540"/>
        <w:rPr>
          <w:color w:val="222222"/>
          <w:shd w:val="clear" w:color="auto" w:fill="FFFFFF"/>
        </w:rPr>
      </w:pPr>
      <w:r w:rsidRPr="00A03997">
        <w:rPr>
          <w:color w:val="222222"/>
          <w:shd w:val="clear" w:color="auto" w:fill="FFFFFF"/>
        </w:rPr>
        <w:t>Texas Demographic Center</w:t>
      </w:r>
      <w:r>
        <w:rPr>
          <w:color w:val="222222"/>
          <w:shd w:val="clear" w:color="auto" w:fill="FFFFFF"/>
        </w:rPr>
        <w:t xml:space="preserve"> (</w:t>
      </w:r>
      <w:r w:rsidRPr="00A03997">
        <w:rPr>
          <w:color w:val="222222"/>
          <w:shd w:val="clear" w:color="auto" w:fill="FFFFFF"/>
        </w:rPr>
        <w:t>2022</w:t>
      </w:r>
      <w:r>
        <w:rPr>
          <w:color w:val="222222"/>
          <w:shd w:val="clear" w:color="auto" w:fill="FFFFFF"/>
        </w:rPr>
        <w:t>)</w:t>
      </w:r>
      <w:r w:rsidRPr="00A03997">
        <w:rPr>
          <w:color w:val="222222"/>
          <w:shd w:val="clear" w:color="auto" w:fill="FFFFFF"/>
        </w:rPr>
        <w:t xml:space="preserve">. 2020 Census. Available at: </w:t>
      </w:r>
      <w:hyperlink r:id="rId163" w:history="1">
        <w:r w:rsidRPr="00A03997">
          <w:rPr>
            <w:rStyle w:val="Hyperlink"/>
            <w:shd w:val="clear" w:color="auto" w:fill="FFFFFF"/>
          </w:rPr>
          <w:t>https://demographics.texas.gov/</w:t>
        </w:r>
      </w:hyperlink>
      <w:r w:rsidRPr="00A03997">
        <w:rPr>
          <w:color w:val="222222"/>
          <w:shd w:val="clear" w:color="auto" w:fill="FFFFFF"/>
        </w:rPr>
        <w:t xml:space="preserve">. </w:t>
      </w:r>
      <w:bookmarkStart w:id="58" w:name="_Hlk125959694"/>
      <w:r w:rsidRPr="00A03997">
        <w:rPr>
          <w:color w:val="222222"/>
          <w:shd w:val="clear" w:color="auto" w:fill="FFFFFF"/>
        </w:rPr>
        <w:t xml:space="preserve">Accessed March 12, 2022. </w:t>
      </w:r>
      <w:bookmarkEnd w:id="58"/>
    </w:p>
    <w:p w14:paraId="65B2F631" w14:textId="77777777" w:rsidR="00F207F8" w:rsidRPr="00A03997" w:rsidRDefault="00F207F8" w:rsidP="009D6562">
      <w:pPr>
        <w:spacing w:before="100" w:after="0" w:line="240" w:lineRule="auto"/>
        <w:ind w:left="540" w:hanging="540"/>
        <w:rPr>
          <w:color w:val="222222"/>
          <w:shd w:val="clear" w:color="auto" w:fill="FFFFFF"/>
        </w:rPr>
      </w:pPr>
      <w:r w:rsidRPr="00A03997">
        <w:rPr>
          <w:color w:val="222222"/>
          <w:shd w:val="clear" w:color="auto" w:fill="FFFFFF"/>
        </w:rPr>
        <w:t>Thompson, B.Y. (2019). The digital nomad lifestyle:(remote) work/leisure balance, privilege, and constructed community. </w:t>
      </w:r>
      <w:r w:rsidRPr="00A03997">
        <w:rPr>
          <w:i/>
          <w:iCs/>
          <w:color w:val="222222"/>
          <w:shd w:val="clear" w:color="auto" w:fill="FFFFFF"/>
        </w:rPr>
        <w:t>International Journal of the Sociology of Leisure</w:t>
      </w:r>
      <w:r w:rsidRPr="00A03997">
        <w:rPr>
          <w:color w:val="222222"/>
          <w:shd w:val="clear" w:color="auto" w:fill="FFFFFF"/>
        </w:rPr>
        <w:t>, </w:t>
      </w:r>
      <w:r w:rsidRPr="00A03997">
        <w:rPr>
          <w:i/>
          <w:iCs/>
          <w:color w:val="222222"/>
          <w:shd w:val="clear" w:color="auto" w:fill="FFFFFF"/>
        </w:rPr>
        <w:t>2</w:t>
      </w:r>
      <w:r w:rsidRPr="00A03997">
        <w:rPr>
          <w:color w:val="222222"/>
          <w:shd w:val="clear" w:color="auto" w:fill="FFFFFF"/>
        </w:rPr>
        <w:t>(1), 27-42.</w:t>
      </w:r>
    </w:p>
    <w:p w14:paraId="1D9BADFD" w14:textId="77777777" w:rsidR="00F207F8" w:rsidRPr="00A03997" w:rsidRDefault="00F207F8" w:rsidP="009D6562">
      <w:pPr>
        <w:spacing w:before="100" w:after="0" w:line="240" w:lineRule="auto"/>
        <w:ind w:left="540" w:hanging="540"/>
        <w:rPr>
          <w:shd w:val="clear" w:color="auto" w:fill="FFFFFF"/>
        </w:rPr>
      </w:pPr>
      <w:r w:rsidRPr="00471A22">
        <w:rPr>
          <w:shd w:val="clear" w:color="auto" w:fill="FFFFFF"/>
        </w:rPr>
        <w:t>Thompson, R.J., Payne, S.C., Alexander, A.L., Gaskins, V.A., and Henning, J.B. (2022). A taxonomy of employee motives for telework. </w:t>
      </w:r>
      <w:r w:rsidRPr="00471A22">
        <w:rPr>
          <w:i/>
          <w:iCs/>
          <w:shd w:val="clear" w:color="auto" w:fill="FFFFFF"/>
        </w:rPr>
        <w:t>Occupational Health Science</w:t>
      </w:r>
      <w:r w:rsidRPr="00471A22">
        <w:rPr>
          <w:shd w:val="clear" w:color="auto" w:fill="FFFFFF"/>
        </w:rPr>
        <w:t xml:space="preserve">, </w:t>
      </w:r>
      <w:r w:rsidRPr="00471A22">
        <w:rPr>
          <w:i/>
          <w:shd w:val="clear" w:color="auto" w:fill="FFFFFF"/>
        </w:rPr>
        <w:t>6</w:t>
      </w:r>
      <w:r w:rsidRPr="00471A22">
        <w:rPr>
          <w:shd w:val="clear" w:color="auto" w:fill="FFFFFF"/>
        </w:rPr>
        <w:t>(2), 149-178.</w:t>
      </w:r>
    </w:p>
    <w:p w14:paraId="786E83DF" w14:textId="77777777" w:rsidR="00F207F8" w:rsidRPr="00A03997" w:rsidRDefault="00F207F8" w:rsidP="009D6562">
      <w:pPr>
        <w:spacing w:before="100" w:after="0" w:line="240" w:lineRule="auto"/>
        <w:ind w:left="540" w:hanging="540"/>
        <w:rPr>
          <w:shd w:val="clear" w:color="auto" w:fill="FFFFFF"/>
        </w:rPr>
      </w:pPr>
      <w:bookmarkStart w:id="59" w:name="_Toc99017868"/>
      <w:proofErr w:type="spellStart"/>
      <w:r w:rsidRPr="00A03997">
        <w:rPr>
          <w:shd w:val="clear" w:color="auto" w:fill="FFFFFF"/>
        </w:rPr>
        <w:t>Tokarchuk</w:t>
      </w:r>
      <w:proofErr w:type="spellEnd"/>
      <w:r w:rsidRPr="00A03997">
        <w:rPr>
          <w:shd w:val="clear" w:color="auto" w:fill="FFFFFF"/>
        </w:rPr>
        <w:t xml:space="preserve">, O., Gabriele, R., and </w:t>
      </w:r>
      <w:proofErr w:type="spellStart"/>
      <w:r w:rsidRPr="00A03997">
        <w:rPr>
          <w:shd w:val="clear" w:color="auto" w:fill="FFFFFF"/>
        </w:rPr>
        <w:t>Neglia</w:t>
      </w:r>
      <w:proofErr w:type="spellEnd"/>
      <w:r w:rsidRPr="00A03997">
        <w:rPr>
          <w:shd w:val="clear" w:color="auto" w:fill="FFFFFF"/>
        </w:rPr>
        <w:t>, G. (2021). Teleworking during the Covid-19 crisis in Italy: Evidence and tentative interpretations. </w:t>
      </w:r>
      <w:r w:rsidRPr="00A03997">
        <w:rPr>
          <w:i/>
          <w:iCs/>
          <w:shd w:val="clear" w:color="auto" w:fill="FFFFFF"/>
        </w:rPr>
        <w:t>Sustainability</w:t>
      </w:r>
      <w:r w:rsidRPr="00A03997">
        <w:rPr>
          <w:shd w:val="clear" w:color="auto" w:fill="FFFFFF"/>
        </w:rPr>
        <w:t>, </w:t>
      </w:r>
      <w:r w:rsidRPr="00A03997">
        <w:rPr>
          <w:i/>
          <w:iCs/>
          <w:shd w:val="clear" w:color="auto" w:fill="FFFFFF"/>
        </w:rPr>
        <w:t>13</w:t>
      </w:r>
      <w:r w:rsidRPr="00A03997">
        <w:rPr>
          <w:shd w:val="clear" w:color="auto" w:fill="FFFFFF"/>
        </w:rPr>
        <w:t>(4), 2147.</w:t>
      </w:r>
      <w:bookmarkEnd w:id="59"/>
    </w:p>
    <w:p w14:paraId="42C5EE5C" w14:textId="77777777" w:rsidR="00F207F8" w:rsidRPr="00F207F8" w:rsidRDefault="00F207F8" w:rsidP="009D6562">
      <w:pPr>
        <w:spacing w:before="100" w:after="0" w:line="240" w:lineRule="auto"/>
        <w:ind w:left="540" w:hanging="540"/>
        <w:rPr>
          <w:color w:val="222222"/>
          <w:shd w:val="clear" w:color="auto" w:fill="FFFFFF"/>
        </w:rPr>
      </w:pPr>
      <w:r w:rsidRPr="00F207F8">
        <w:t xml:space="preserve">Tong, G. C. (2022). ‘Boomerang’ employees are back in force. Why you should — or shouldn’t — try to get your old job back. </w:t>
      </w:r>
      <w:r w:rsidRPr="00F207F8">
        <w:rPr>
          <w:i/>
        </w:rPr>
        <w:t>CNBC.</w:t>
      </w:r>
      <w:r w:rsidRPr="00F207F8">
        <w:t xml:space="preserve"> Available at: </w:t>
      </w:r>
      <w:hyperlink r:id="rId164" w:history="1">
        <w:r w:rsidRPr="00F207F8">
          <w:rPr>
            <w:rStyle w:val="Hyperlink"/>
          </w:rPr>
          <w:t>https://www.cnbc.com/2022/08/16/heres-why-you-should-or-shouldnt-go-back-to-your-old-job.html</w:t>
        </w:r>
      </w:hyperlink>
      <w:r w:rsidRPr="00F207F8">
        <w:t xml:space="preserve">. </w:t>
      </w:r>
      <w:r w:rsidRPr="00F207F8">
        <w:rPr>
          <w:color w:val="222222"/>
          <w:shd w:val="clear" w:color="auto" w:fill="FFFFFF"/>
        </w:rPr>
        <w:t>Accessed January 30, 2023.</w:t>
      </w:r>
    </w:p>
    <w:p w14:paraId="3E560C13" w14:textId="77777777" w:rsidR="00F207F8" w:rsidRPr="00F207F8" w:rsidRDefault="00F207F8" w:rsidP="009D6562">
      <w:pPr>
        <w:spacing w:before="100" w:after="0" w:line="240" w:lineRule="auto"/>
        <w:ind w:left="540" w:hanging="540"/>
        <w:rPr>
          <w:color w:val="222222"/>
          <w:shd w:val="clear" w:color="auto" w:fill="FFFFFF"/>
        </w:rPr>
      </w:pPr>
      <w:r w:rsidRPr="00F207F8">
        <w:t xml:space="preserve">Upadhyay, S. (2022). Why hiring boomerang employees can be beneficial for businesses. </w:t>
      </w:r>
      <w:r w:rsidRPr="00F207F8">
        <w:rPr>
          <w:i/>
        </w:rPr>
        <w:t xml:space="preserve">Economic Times: </w:t>
      </w:r>
      <w:proofErr w:type="spellStart"/>
      <w:r w:rsidRPr="00F207F8">
        <w:rPr>
          <w:i/>
        </w:rPr>
        <w:t>HRWorld</w:t>
      </w:r>
      <w:proofErr w:type="spellEnd"/>
      <w:r w:rsidRPr="00F207F8">
        <w:rPr>
          <w:i/>
        </w:rPr>
        <w:t>.</w:t>
      </w:r>
      <w:r w:rsidRPr="00F207F8">
        <w:t xml:space="preserve"> Available at: </w:t>
      </w:r>
      <w:hyperlink r:id="rId165" w:history="1">
        <w:r w:rsidRPr="00F207F8">
          <w:rPr>
            <w:rStyle w:val="Hyperlink"/>
          </w:rPr>
          <w:t>https://hr.economictimes.indiatimes.com/news/hrtech/talent-acquisition-and-management/why-hiring-boomerang-employees-can-be-beneficial-for-businesses/94630879</w:t>
        </w:r>
      </w:hyperlink>
      <w:r w:rsidRPr="00F207F8">
        <w:t xml:space="preserve">. </w:t>
      </w:r>
      <w:r w:rsidRPr="00F207F8">
        <w:rPr>
          <w:color w:val="222222"/>
          <w:shd w:val="clear" w:color="auto" w:fill="FFFFFF"/>
        </w:rPr>
        <w:t>Accessed January 30, 2023.</w:t>
      </w:r>
    </w:p>
    <w:p w14:paraId="061A07C7" w14:textId="77777777" w:rsidR="00F207F8" w:rsidRPr="00A03997" w:rsidRDefault="00F207F8" w:rsidP="009D6562">
      <w:pPr>
        <w:spacing w:before="100" w:after="0" w:line="240" w:lineRule="auto"/>
        <w:ind w:left="540" w:hanging="540"/>
      </w:pPr>
      <w:r w:rsidRPr="00A03997">
        <w:t xml:space="preserve">Van Nostrand, C., </w:t>
      </w:r>
      <w:proofErr w:type="spellStart"/>
      <w:r w:rsidRPr="00A03997">
        <w:t>Sivaraman</w:t>
      </w:r>
      <w:proofErr w:type="spellEnd"/>
      <w:r w:rsidRPr="00A03997">
        <w:t xml:space="preserve">, V., and Pinjari, A.R. (2013). Analysis of long-distance vacation travel demand in the United States: </w:t>
      </w:r>
      <w:r>
        <w:t>A</w:t>
      </w:r>
      <w:r w:rsidRPr="00A03997">
        <w:t xml:space="preserve"> multiple discrete-continuous choice framework. </w:t>
      </w:r>
      <w:r w:rsidRPr="00A03997">
        <w:rPr>
          <w:i/>
        </w:rPr>
        <w:t>Transportation</w:t>
      </w:r>
      <w:r w:rsidRPr="00A03997">
        <w:t xml:space="preserve">, </w:t>
      </w:r>
      <w:r w:rsidRPr="00F15B44">
        <w:rPr>
          <w:i/>
        </w:rPr>
        <w:t>40</w:t>
      </w:r>
      <w:r w:rsidRPr="00A03997">
        <w:t>(1), 151-171.</w:t>
      </w:r>
    </w:p>
    <w:p w14:paraId="2FA90CB9" w14:textId="77777777" w:rsidR="00F207F8" w:rsidRPr="00A03997" w:rsidRDefault="00F207F8" w:rsidP="009D6562">
      <w:pPr>
        <w:spacing w:before="100" w:after="0" w:line="240" w:lineRule="auto"/>
        <w:ind w:left="540" w:hanging="540"/>
        <w:rPr>
          <w:bCs/>
          <w:color w:val="000000" w:themeColor="text1"/>
        </w:rPr>
      </w:pPr>
      <w:bookmarkStart w:id="60" w:name="_Hlk106611785"/>
      <w:r w:rsidRPr="00A03997">
        <w:rPr>
          <w:bCs/>
          <w:color w:val="000000" w:themeColor="text1"/>
        </w:rPr>
        <w:t xml:space="preserve">Venkatesh, V., </w:t>
      </w:r>
      <w:r w:rsidRPr="00A03997">
        <w:rPr>
          <w:color w:val="000000" w:themeColor="text1"/>
        </w:rPr>
        <w:t>and</w:t>
      </w:r>
      <w:r w:rsidRPr="00A03997">
        <w:rPr>
          <w:bCs/>
          <w:color w:val="000000" w:themeColor="text1"/>
        </w:rPr>
        <w:t xml:space="preserve"> Davis, F.D. (2000). </w:t>
      </w:r>
      <w:r w:rsidRPr="00A03997">
        <w:rPr>
          <w:color w:val="222222"/>
          <w:shd w:val="clear" w:color="auto" w:fill="FFFFFF"/>
        </w:rPr>
        <w:t>A theoretical extension of the technology acceptance model: Four longitudinal field studies</w:t>
      </w:r>
      <w:r w:rsidRPr="00A03997">
        <w:rPr>
          <w:bCs/>
          <w:color w:val="000000" w:themeColor="text1"/>
        </w:rPr>
        <w:t xml:space="preserve">. </w:t>
      </w:r>
      <w:r w:rsidRPr="00A03997">
        <w:rPr>
          <w:bCs/>
          <w:i/>
          <w:iCs/>
          <w:color w:val="000000" w:themeColor="text1"/>
        </w:rPr>
        <w:t>Management Science</w:t>
      </w:r>
      <w:r w:rsidRPr="00A03997">
        <w:rPr>
          <w:bCs/>
          <w:color w:val="000000" w:themeColor="text1"/>
        </w:rPr>
        <w:t xml:space="preserve">, </w:t>
      </w:r>
      <w:r w:rsidRPr="00F15B44">
        <w:rPr>
          <w:bCs/>
          <w:i/>
          <w:iCs/>
          <w:color w:val="000000" w:themeColor="text1"/>
        </w:rPr>
        <w:t>46</w:t>
      </w:r>
      <w:r w:rsidRPr="00A03997">
        <w:rPr>
          <w:bCs/>
          <w:color w:val="000000" w:themeColor="text1"/>
        </w:rPr>
        <w:t>(2), 186</w:t>
      </w:r>
      <w:r>
        <w:rPr>
          <w:bCs/>
          <w:color w:val="000000" w:themeColor="text1"/>
        </w:rPr>
        <w:t>-</w:t>
      </w:r>
      <w:r w:rsidRPr="00A03997">
        <w:rPr>
          <w:bCs/>
          <w:color w:val="000000" w:themeColor="text1"/>
        </w:rPr>
        <w:t xml:space="preserve">204. </w:t>
      </w:r>
      <w:bookmarkEnd w:id="60"/>
    </w:p>
    <w:p w14:paraId="0359EE3A" w14:textId="77777777" w:rsidR="00F207F8" w:rsidRPr="00F207F8" w:rsidRDefault="00F207F8" w:rsidP="009D6562">
      <w:pPr>
        <w:spacing w:before="100" w:after="0" w:line="240" w:lineRule="auto"/>
        <w:ind w:left="540" w:hanging="540"/>
        <w:rPr>
          <w:color w:val="222222"/>
          <w:shd w:val="clear" w:color="auto" w:fill="FFFFFF"/>
        </w:rPr>
      </w:pPr>
      <w:r w:rsidRPr="00F207F8">
        <w:t xml:space="preserve">Verma, H. and Banerjee A. (2022). The Great Resignation [Case Study] - How was it Started and Who is Driving it? </w:t>
      </w:r>
      <w:r w:rsidRPr="00F207F8">
        <w:rPr>
          <w:i/>
        </w:rPr>
        <w:t>Startup Talky.</w:t>
      </w:r>
      <w:r w:rsidRPr="00F207F8">
        <w:t xml:space="preserve"> Available at: </w:t>
      </w:r>
      <w:hyperlink r:id="rId166" w:anchor="The_U_Turn_after_the_Great_Resignation" w:history="1">
        <w:r w:rsidRPr="00F207F8">
          <w:rPr>
            <w:rStyle w:val="Hyperlink"/>
          </w:rPr>
          <w:t>https://startuptalky.com/the-great-resignation-case-study/#The_U_Turn_after_the_Great_Resignation</w:t>
        </w:r>
      </w:hyperlink>
      <w:r w:rsidRPr="00F207F8">
        <w:t xml:space="preserve">. </w:t>
      </w:r>
      <w:r w:rsidRPr="00F207F8">
        <w:rPr>
          <w:color w:val="222222"/>
          <w:shd w:val="clear" w:color="auto" w:fill="FFFFFF"/>
        </w:rPr>
        <w:t>Accessed January 30, 2023.</w:t>
      </w:r>
    </w:p>
    <w:p w14:paraId="2C14D275" w14:textId="77777777" w:rsidR="00F207F8" w:rsidRPr="00A03997" w:rsidRDefault="00F207F8" w:rsidP="009D6562">
      <w:pPr>
        <w:spacing w:before="100" w:after="0" w:line="240" w:lineRule="auto"/>
        <w:ind w:left="540" w:hanging="540"/>
        <w:rPr>
          <w:color w:val="222222"/>
          <w:shd w:val="clear" w:color="auto" w:fill="FFFFFF"/>
        </w:rPr>
      </w:pPr>
      <w:r w:rsidRPr="00A03997">
        <w:lastRenderedPageBreak/>
        <w:t xml:space="preserve">von </w:t>
      </w:r>
      <w:proofErr w:type="spellStart"/>
      <w:r w:rsidRPr="00A03997">
        <w:t>Haefen</w:t>
      </w:r>
      <w:proofErr w:type="spellEnd"/>
      <w:r w:rsidRPr="00A03997">
        <w:t xml:space="preserve">, R.H., and Phaneuf, D.J. (2003). Estimating preferences for outdoor recreation: </w:t>
      </w:r>
      <w:r>
        <w:t>A</w:t>
      </w:r>
      <w:r w:rsidRPr="00A03997">
        <w:t xml:space="preserve"> comparison of continuous and count data demand system frameworks. </w:t>
      </w:r>
      <w:r w:rsidRPr="00A03997">
        <w:rPr>
          <w:i/>
        </w:rPr>
        <w:t>Journal of Environmental Economics and Management</w:t>
      </w:r>
      <w:r w:rsidRPr="00F15B44">
        <w:t xml:space="preserve">, </w:t>
      </w:r>
      <w:r w:rsidRPr="00F15B44">
        <w:rPr>
          <w:i/>
        </w:rPr>
        <w:t>45</w:t>
      </w:r>
      <w:r>
        <w:t>(3)</w:t>
      </w:r>
      <w:r w:rsidRPr="00A03997">
        <w:t>, 612-630.</w:t>
      </w:r>
    </w:p>
    <w:p w14:paraId="35DA8C80" w14:textId="77777777" w:rsidR="00F207F8" w:rsidRPr="00C73DF1" w:rsidRDefault="00F207F8" w:rsidP="009D6562">
      <w:pPr>
        <w:spacing w:before="100" w:after="0" w:line="240" w:lineRule="auto"/>
        <w:ind w:left="540" w:hanging="540"/>
        <w:rPr>
          <w:color w:val="222222"/>
          <w:shd w:val="clear" w:color="auto" w:fill="FFFFFF"/>
        </w:rPr>
      </w:pPr>
      <w:r w:rsidRPr="00A03997">
        <w:rPr>
          <w:color w:val="222222"/>
          <w:shd w:val="clear" w:color="auto" w:fill="FFFFFF"/>
        </w:rPr>
        <w:t>Walker, J., Ben-Akiva, M., and Bolduc, D. (2004). Identification of the logit kernel (or mixed logit) model. </w:t>
      </w:r>
      <w:r>
        <w:rPr>
          <w:color w:val="222222"/>
          <w:shd w:val="clear" w:color="auto" w:fill="FFFFFF"/>
        </w:rPr>
        <w:t xml:space="preserve">Presented at the </w:t>
      </w:r>
      <w:r w:rsidRPr="00C73DF1">
        <w:rPr>
          <w:iCs/>
          <w:color w:val="222222"/>
          <w:shd w:val="clear" w:color="auto" w:fill="FFFFFF"/>
        </w:rPr>
        <w:t>10th International Conference on Travel Behavior Research, Lucerne, Switzerland, August</w:t>
      </w:r>
      <w:r w:rsidRPr="00C73DF1">
        <w:rPr>
          <w:color w:val="222222"/>
          <w:shd w:val="clear" w:color="auto" w:fill="FFFFFF"/>
        </w:rPr>
        <w:t>.</w:t>
      </w:r>
    </w:p>
    <w:p w14:paraId="1C4CD49B" w14:textId="77777777" w:rsidR="00F207F8" w:rsidRPr="00A03997" w:rsidRDefault="00F207F8" w:rsidP="009D6562">
      <w:pPr>
        <w:spacing w:before="100" w:after="0" w:line="240" w:lineRule="auto"/>
        <w:ind w:left="540" w:hanging="540"/>
        <w:rPr>
          <w:shd w:val="clear" w:color="auto" w:fill="FFFFFF"/>
        </w:rPr>
      </w:pPr>
      <w:bookmarkStart w:id="61" w:name="_Toc99017871"/>
      <w:proofErr w:type="spellStart"/>
      <w:r w:rsidRPr="00A03997">
        <w:rPr>
          <w:shd w:val="clear" w:color="auto" w:fill="FFFFFF"/>
        </w:rPr>
        <w:t>Wöhrmann</w:t>
      </w:r>
      <w:proofErr w:type="spellEnd"/>
      <w:r w:rsidRPr="00A03997">
        <w:rPr>
          <w:shd w:val="clear" w:color="auto" w:fill="FFFFFF"/>
        </w:rPr>
        <w:t>, A.M., and Ebner, C. (2021). Understanding the bright side and the dark side of telework: An empirical analysis of working conditions and psychosomatic health complaints. </w:t>
      </w:r>
      <w:r w:rsidRPr="00A03997">
        <w:rPr>
          <w:i/>
          <w:iCs/>
          <w:shd w:val="clear" w:color="auto" w:fill="FFFFFF"/>
        </w:rPr>
        <w:t>New Technology, Work and Employment</w:t>
      </w:r>
      <w:r w:rsidRPr="00A03997">
        <w:rPr>
          <w:shd w:val="clear" w:color="auto" w:fill="FFFFFF"/>
        </w:rPr>
        <w:t>, </w:t>
      </w:r>
      <w:r w:rsidRPr="00A03997">
        <w:rPr>
          <w:i/>
          <w:iCs/>
          <w:shd w:val="clear" w:color="auto" w:fill="FFFFFF"/>
        </w:rPr>
        <w:t>36</w:t>
      </w:r>
      <w:r w:rsidRPr="00A03997">
        <w:rPr>
          <w:shd w:val="clear" w:color="auto" w:fill="FFFFFF"/>
        </w:rPr>
        <w:t>(3), 348-370.</w:t>
      </w:r>
      <w:bookmarkEnd w:id="61"/>
    </w:p>
    <w:p w14:paraId="4A850A6F" w14:textId="77777777" w:rsidR="00F207F8" w:rsidRPr="00A03997" w:rsidRDefault="00F207F8" w:rsidP="009D6562">
      <w:pPr>
        <w:spacing w:before="100" w:after="0" w:line="240" w:lineRule="auto"/>
        <w:ind w:left="540" w:hanging="540"/>
        <w:rPr>
          <w:color w:val="222222"/>
          <w:shd w:val="clear" w:color="auto" w:fill="FFFFFF"/>
        </w:rPr>
      </w:pPr>
      <w:bookmarkStart w:id="62" w:name="_Hlk108280661"/>
      <w:r w:rsidRPr="00A03997">
        <w:rPr>
          <w:color w:val="222222"/>
          <w:shd w:val="clear" w:color="auto" w:fill="FFFFFF"/>
        </w:rPr>
        <w:t>Wu</w:t>
      </w:r>
      <w:bookmarkEnd w:id="62"/>
      <w:r w:rsidRPr="00A03997">
        <w:rPr>
          <w:color w:val="222222"/>
          <w:shd w:val="clear" w:color="auto" w:fill="FFFFFF"/>
        </w:rPr>
        <w:t>, S., Sun, S., Camilleri, J.A., Eickhoff, S.B., and Yu, R. (2021). Better the devil you know than the devil you don't: Neural processing of risk and ambiguity. </w:t>
      </w:r>
      <w:proofErr w:type="spellStart"/>
      <w:r w:rsidRPr="00A03997">
        <w:rPr>
          <w:i/>
          <w:iCs/>
          <w:color w:val="222222"/>
          <w:shd w:val="clear" w:color="auto" w:fill="FFFFFF"/>
        </w:rPr>
        <w:t>NeuroImage</w:t>
      </w:r>
      <w:proofErr w:type="spellEnd"/>
      <w:r w:rsidRPr="00A03997">
        <w:rPr>
          <w:color w:val="222222"/>
          <w:shd w:val="clear" w:color="auto" w:fill="FFFFFF"/>
        </w:rPr>
        <w:t>, </w:t>
      </w:r>
      <w:r w:rsidRPr="00A03997">
        <w:rPr>
          <w:i/>
          <w:iCs/>
          <w:color w:val="222222"/>
          <w:shd w:val="clear" w:color="auto" w:fill="FFFFFF"/>
        </w:rPr>
        <w:t>236</w:t>
      </w:r>
      <w:r w:rsidRPr="00A03997">
        <w:rPr>
          <w:color w:val="222222"/>
          <w:shd w:val="clear" w:color="auto" w:fill="FFFFFF"/>
        </w:rPr>
        <w:t>, 118109.</w:t>
      </w:r>
    </w:p>
    <w:p w14:paraId="6CEE3324" w14:textId="77777777" w:rsidR="00F207F8" w:rsidRPr="00A03997" w:rsidRDefault="00F207F8" w:rsidP="009D6562">
      <w:pPr>
        <w:spacing w:before="100" w:after="0" w:line="240" w:lineRule="auto"/>
        <w:ind w:left="540" w:hanging="540"/>
        <w:rPr>
          <w:color w:val="222222"/>
          <w:shd w:val="clear" w:color="auto" w:fill="FFFFFF"/>
        </w:rPr>
      </w:pPr>
      <w:proofErr w:type="spellStart"/>
      <w:r w:rsidRPr="00A03997">
        <w:rPr>
          <w:color w:val="222222"/>
          <w:shd w:val="clear" w:color="auto" w:fill="FFFFFF"/>
        </w:rPr>
        <w:t>Yasenov</w:t>
      </w:r>
      <w:proofErr w:type="spellEnd"/>
      <w:r w:rsidRPr="00A03997">
        <w:rPr>
          <w:color w:val="222222"/>
          <w:shd w:val="clear" w:color="auto" w:fill="FFFFFF"/>
        </w:rPr>
        <w:t>, V. (2020). </w:t>
      </w:r>
      <w:r w:rsidRPr="000E41FA">
        <w:rPr>
          <w:iCs/>
          <w:color w:val="222222"/>
          <w:shd w:val="clear" w:color="auto" w:fill="FFFFFF"/>
        </w:rPr>
        <w:t xml:space="preserve">Who </w:t>
      </w:r>
      <w:r>
        <w:rPr>
          <w:iCs/>
          <w:color w:val="222222"/>
          <w:shd w:val="clear" w:color="auto" w:fill="FFFFFF"/>
        </w:rPr>
        <w:t>c</w:t>
      </w:r>
      <w:r w:rsidRPr="000E41FA">
        <w:rPr>
          <w:iCs/>
          <w:color w:val="222222"/>
          <w:shd w:val="clear" w:color="auto" w:fill="FFFFFF"/>
        </w:rPr>
        <w:t xml:space="preserve">an </w:t>
      </w:r>
      <w:r>
        <w:rPr>
          <w:iCs/>
          <w:color w:val="222222"/>
          <w:shd w:val="clear" w:color="auto" w:fill="FFFFFF"/>
        </w:rPr>
        <w:t>w</w:t>
      </w:r>
      <w:r w:rsidRPr="000E41FA">
        <w:rPr>
          <w:iCs/>
          <w:color w:val="222222"/>
          <w:shd w:val="clear" w:color="auto" w:fill="FFFFFF"/>
        </w:rPr>
        <w:t xml:space="preserve">ork from </w:t>
      </w:r>
      <w:r>
        <w:rPr>
          <w:iCs/>
          <w:color w:val="222222"/>
          <w:shd w:val="clear" w:color="auto" w:fill="FFFFFF"/>
        </w:rPr>
        <w:t>h</w:t>
      </w:r>
      <w:r w:rsidRPr="000E41FA">
        <w:rPr>
          <w:iCs/>
          <w:color w:val="222222"/>
          <w:shd w:val="clear" w:color="auto" w:fill="FFFFFF"/>
        </w:rPr>
        <w:t>ome?</w:t>
      </w:r>
      <w:r w:rsidRPr="00A03997">
        <w:rPr>
          <w:color w:val="222222"/>
          <w:shd w:val="clear" w:color="auto" w:fill="FFFFFF"/>
        </w:rPr>
        <w:t> </w:t>
      </w:r>
      <w:r>
        <w:rPr>
          <w:color w:val="222222"/>
          <w:shd w:val="clear" w:color="auto" w:fill="FFFFFF"/>
        </w:rPr>
        <w:t xml:space="preserve"> Discussion Paper </w:t>
      </w:r>
      <w:r w:rsidRPr="00A03997">
        <w:rPr>
          <w:color w:val="222222"/>
          <w:shd w:val="clear" w:color="auto" w:fill="FFFFFF"/>
        </w:rPr>
        <w:t>No. 13197. Institute of Labor Economics (IZA).</w:t>
      </w:r>
    </w:p>
    <w:p w14:paraId="092CDEB9" w14:textId="77777777" w:rsidR="00F207F8" w:rsidRPr="00407841" w:rsidRDefault="00F207F8" w:rsidP="009D6562">
      <w:pPr>
        <w:spacing w:before="100" w:after="0" w:line="240" w:lineRule="auto"/>
        <w:ind w:left="540" w:hanging="540"/>
        <w:rPr>
          <w:shd w:val="clear" w:color="auto" w:fill="FFFFFF"/>
        </w:rPr>
      </w:pPr>
      <w:r w:rsidRPr="00A03997">
        <w:rPr>
          <w:shd w:val="clear" w:color="auto" w:fill="FFFFFF"/>
        </w:rPr>
        <w:t>Zhang, S., Moeckel, R., Moreno, A.T., Shuai, B., and Gao, J. (2020). A work-life conflict perspective on telework. </w:t>
      </w:r>
      <w:r w:rsidRPr="00A03997">
        <w:rPr>
          <w:i/>
          <w:iCs/>
          <w:shd w:val="clear" w:color="auto" w:fill="FFFFFF"/>
        </w:rPr>
        <w:t>Transportation Research Part A</w:t>
      </w:r>
      <w:r w:rsidRPr="00A03997">
        <w:rPr>
          <w:shd w:val="clear" w:color="auto" w:fill="FFFFFF"/>
        </w:rPr>
        <w:t>, </w:t>
      </w:r>
      <w:r w:rsidRPr="00A03997">
        <w:rPr>
          <w:i/>
          <w:iCs/>
          <w:shd w:val="clear" w:color="auto" w:fill="FFFFFF"/>
        </w:rPr>
        <w:t>141</w:t>
      </w:r>
      <w:r w:rsidRPr="00A03997">
        <w:rPr>
          <w:shd w:val="clear" w:color="auto" w:fill="FFFFFF"/>
        </w:rPr>
        <w:t>, 51-68.</w:t>
      </w:r>
    </w:p>
    <w:p w14:paraId="37EB7221" w14:textId="44A08C89" w:rsidR="00F207F8" w:rsidRDefault="00F207F8">
      <w:pPr>
        <w:sectPr w:rsidR="00F207F8" w:rsidSect="007E6974">
          <w:footerReference w:type="default" r:id="rId167"/>
          <w:pgSz w:w="12240" w:h="15840" w:code="1"/>
          <w:pgMar w:top="1440" w:right="1440" w:bottom="1440" w:left="1440" w:header="720" w:footer="720" w:gutter="0"/>
          <w:pgNumType w:start="1"/>
          <w:cols w:space="720"/>
          <w:docGrid w:linePitch="360"/>
        </w:sectPr>
      </w:pPr>
    </w:p>
    <w:tbl>
      <w:tblPr>
        <w:tblStyle w:val="TableGrid"/>
        <w:tblW w:w="0" w:type="auto"/>
        <w:tblLook w:val="04A0" w:firstRow="1" w:lastRow="0" w:firstColumn="1" w:lastColumn="0" w:noHBand="0" w:noVBand="1"/>
      </w:tblPr>
      <w:tblGrid>
        <w:gridCol w:w="7555"/>
        <w:gridCol w:w="2790"/>
        <w:gridCol w:w="95"/>
        <w:gridCol w:w="2510"/>
      </w:tblGrid>
      <w:tr w:rsidR="00ED063B" w:rsidRPr="00F35425" w14:paraId="709AC8C0" w14:textId="77777777" w:rsidTr="00ED063B">
        <w:tc>
          <w:tcPr>
            <w:tcW w:w="12950" w:type="dxa"/>
            <w:gridSpan w:val="4"/>
            <w:tcBorders>
              <w:top w:val="nil"/>
              <w:left w:val="nil"/>
              <w:bottom w:val="double" w:sz="4" w:space="0" w:color="auto"/>
              <w:right w:val="nil"/>
            </w:tcBorders>
          </w:tcPr>
          <w:p w14:paraId="5AE07950" w14:textId="77777777" w:rsidR="00ED063B" w:rsidRPr="00F35425" w:rsidRDefault="00ED063B" w:rsidP="00AE180F">
            <w:pPr>
              <w:spacing w:line="240" w:lineRule="auto"/>
              <w:jc w:val="left"/>
              <w:rPr>
                <w:b/>
              </w:rPr>
            </w:pPr>
            <w:r w:rsidRPr="00F35425">
              <w:rPr>
                <w:b/>
              </w:rPr>
              <w:lastRenderedPageBreak/>
              <w:t>Table 1: Experimental Design Attribute and Levels</w:t>
            </w:r>
          </w:p>
        </w:tc>
      </w:tr>
      <w:tr w:rsidR="00ED063B" w:rsidRPr="00F35425" w14:paraId="14B3D0D7" w14:textId="77777777" w:rsidTr="00ED063B">
        <w:tc>
          <w:tcPr>
            <w:tcW w:w="12950" w:type="dxa"/>
            <w:gridSpan w:val="4"/>
            <w:tcBorders>
              <w:top w:val="double" w:sz="4" w:space="0" w:color="auto"/>
              <w:left w:val="double" w:sz="4" w:space="0" w:color="auto"/>
              <w:right w:val="double" w:sz="4" w:space="0" w:color="auto"/>
            </w:tcBorders>
          </w:tcPr>
          <w:p w14:paraId="7D147405" w14:textId="77777777" w:rsidR="00ED063B" w:rsidRPr="00F35425" w:rsidRDefault="00ED063B" w:rsidP="00AE180F">
            <w:pPr>
              <w:spacing w:line="240" w:lineRule="auto"/>
              <w:jc w:val="center"/>
              <w:rPr>
                <w:b/>
                <w:i/>
                <w:sz w:val="20"/>
              </w:rPr>
            </w:pPr>
            <w:r w:rsidRPr="00F35425">
              <w:rPr>
                <w:b/>
                <w:i/>
                <w:sz w:val="20"/>
              </w:rPr>
              <w:t>Work from Home</w:t>
            </w:r>
          </w:p>
        </w:tc>
      </w:tr>
      <w:tr w:rsidR="00ED063B" w:rsidRPr="00F35425" w14:paraId="58BE41A9" w14:textId="77777777" w:rsidTr="00ED063B">
        <w:tc>
          <w:tcPr>
            <w:tcW w:w="12950" w:type="dxa"/>
            <w:gridSpan w:val="4"/>
            <w:tcBorders>
              <w:left w:val="double" w:sz="4" w:space="0" w:color="auto"/>
              <w:right w:val="double" w:sz="4" w:space="0" w:color="auto"/>
            </w:tcBorders>
          </w:tcPr>
          <w:p w14:paraId="515F86AB" w14:textId="77777777" w:rsidR="00ED063B" w:rsidRPr="00F35425" w:rsidRDefault="00ED063B" w:rsidP="00AE180F">
            <w:pPr>
              <w:spacing w:line="240" w:lineRule="auto"/>
              <w:jc w:val="left"/>
              <w:rPr>
                <w:sz w:val="20"/>
              </w:rPr>
            </w:pPr>
            <w:r>
              <w:rPr>
                <w:rFonts w:eastAsia="Times New Roman"/>
                <w:b/>
                <w:bCs/>
                <w:color w:val="000000"/>
                <w:sz w:val="20"/>
              </w:rPr>
              <w:t xml:space="preserve">                     </w:t>
            </w:r>
            <w:r w:rsidRPr="00F35425">
              <w:rPr>
                <w:rFonts w:eastAsia="Times New Roman"/>
                <w:b/>
                <w:bCs/>
                <w:color w:val="000000"/>
                <w:sz w:val="20"/>
              </w:rPr>
              <w:t>Distraction Level</w:t>
            </w:r>
          </w:p>
        </w:tc>
      </w:tr>
      <w:tr w:rsidR="00ED063B" w:rsidRPr="00F35425" w14:paraId="00E7781A" w14:textId="77777777" w:rsidTr="00ED063B">
        <w:tc>
          <w:tcPr>
            <w:tcW w:w="12950" w:type="dxa"/>
            <w:gridSpan w:val="4"/>
            <w:tcBorders>
              <w:left w:val="double" w:sz="4" w:space="0" w:color="auto"/>
              <w:bottom w:val="double" w:sz="4" w:space="0" w:color="auto"/>
              <w:right w:val="double" w:sz="4" w:space="0" w:color="auto"/>
            </w:tcBorders>
          </w:tcPr>
          <w:p w14:paraId="15E9CDAF" w14:textId="77777777" w:rsidR="00ED063B" w:rsidRPr="00F35425" w:rsidRDefault="00ED063B" w:rsidP="00AE180F">
            <w:pPr>
              <w:pStyle w:val="ListParagraph"/>
              <w:numPr>
                <w:ilvl w:val="0"/>
                <w:numId w:val="11"/>
              </w:numPr>
              <w:spacing w:line="240" w:lineRule="auto"/>
              <w:ind w:left="150" w:hanging="180"/>
              <w:jc w:val="left"/>
              <w:rPr>
                <w:rFonts w:eastAsia="Times New Roman"/>
                <w:color w:val="000000"/>
                <w:sz w:val="20"/>
              </w:rPr>
            </w:pPr>
            <w:r w:rsidRPr="00F35425">
              <w:rPr>
                <w:rFonts w:eastAsia="Times New Roman"/>
                <w:color w:val="000000"/>
                <w:sz w:val="20"/>
              </w:rPr>
              <w:t>High distraction</w:t>
            </w:r>
          </w:p>
          <w:p w14:paraId="45846B85" w14:textId="77777777" w:rsidR="00ED063B" w:rsidRPr="00F35425" w:rsidRDefault="00ED063B" w:rsidP="00AE180F">
            <w:pPr>
              <w:pStyle w:val="ListParagraph"/>
              <w:numPr>
                <w:ilvl w:val="0"/>
                <w:numId w:val="11"/>
              </w:numPr>
              <w:spacing w:line="240" w:lineRule="auto"/>
              <w:ind w:left="150" w:hanging="180"/>
              <w:jc w:val="left"/>
              <w:rPr>
                <w:rFonts w:eastAsia="Times New Roman"/>
                <w:color w:val="000000"/>
                <w:sz w:val="20"/>
              </w:rPr>
            </w:pPr>
            <w:r w:rsidRPr="00F35425">
              <w:rPr>
                <w:rFonts w:eastAsia="Times New Roman"/>
                <w:color w:val="000000"/>
                <w:sz w:val="20"/>
              </w:rPr>
              <w:t>Low distraction</w:t>
            </w:r>
          </w:p>
          <w:p w14:paraId="041DA8F5" w14:textId="77777777" w:rsidR="00ED063B" w:rsidRPr="00F35425" w:rsidRDefault="00ED063B" w:rsidP="00AE180F">
            <w:pPr>
              <w:pStyle w:val="ListParagraph"/>
              <w:numPr>
                <w:ilvl w:val="0"/>
                <w:numId w:val="11"/>
              </w:numPr>
              <w:spacing w:line="240" w:lineRule="auto"/>
              <w:ind w:left="150" w:hanging="180"/>
              <w:jc w:val="left"/>
              <w:rPr>
                <w:rFonts w:eastAsia="Times New Roman"/>
                <w:color w:val="000000"/>
                <w:sz w:val="20"/>
              </w:rPr>
            </w:pPr>
            <w:r w:rsidRPr="00F35425">
              <w:rPr>
                <w:rFonts w:eastAsia="Times New Roman"/>
                <w:color w:val="000000"/>
                <w:sz w:val="20"/>
              </w:rPr>
              <w:t>No distractions</w:t>
            </w:r>
          </w:p>
        </w:tc>
      </w:tr>
      <w:tr w:rsidR="00ED063B" w:rsidRPr="00F35425" w14:paraId="0A784441" w14:textId="77777777" w:rsidTr="00ED063B">
        <w:tc>
          <w:tcPr>
            <w:tcW w:w="12950" w:type="dxa"/>
            <w:gridSpan w:val="4"/>
            <w:tcBorders>
              <w:top w:val="double" w:sz="4" w:space="0" w:color="auto"/>
              <w:left w:val="double" w:sz="4" w:space="0" w:color="auto"/>
              <w:right w:val="double" w:sz="4" w:space="0" w:color="auto"/>
            </w:tcBorders>
          </w:tcPr>
          <w:p w14:paraId="4AF740A8" w14:textId="77777777" w:rsidR="00ED063B" w:rsidRPr="00F35425" w:rsidRDefault="00ED063B" w:rsidP="00AE180F">
            <w:pPr>
              <w:spacing w:line="240" w:lineRule="auto"/>
              <w:jc w:val="center"/>
              <w:rPr>
                <w:sz w:val="20"/>
              </w:rPr>
            </w:pPr>
            <w:r w:rsidRPr="00F35425">
              <w:rPr>
                <w:rFonts w:eastAsia="Times New Roman"/>
                <w:b/>
                <w:bCs/>
                <w:i/>
                <w:iCs/>
                <w:color w:val="000000"/>
                <w:sz w:val="20"/>
              </w:rPr>
              <w:t>Work from the Work</w:t>
            </w:r>
            <w:r>
              <w:rPr>
                <w:rFonts w:eastAsia="Times New Roman"/>
                <w:b/>
                <w:bCs/>
                <w:i/>
                <w:iCs/>
                <w:color w:val="000000"/>
                <w:sz w:val="20"/>
              </w:rPr>
              <w:t xml:space="preserve"> Office</w:t>
            </w:r>
          </w:p>
        </w:tc>
      </w:tr>
      <w:tr w:rsidR="00ED063B" w:rsidRPr="00F35425" w14:paraId="550860DD" w14:textId="77777777" w:rsidTr="00ED063B">
        <w:tc>
          <w:tcPr>
            <w:tcW w:w="7555" w:type="dxa"/>
            <w:tcBorders>
              <w:left w:val="double" w:sz="4" w:space="0" w:color="auto"/>
            </w:tcBorders>
            <w:vAlign w:val="center"/>
          </w:tcPr>
          <w:p w14:paraId="42DF1AAD" w14:textId="77777777" w:rsidR="00ED063B" w:rsidRPr="00F35425" w:rsidRDefault="00ED063B" w:rsidP="00AE180F">
            <w:pPr>
              <w:spacing w:line="240" w:lineRule="auto"/>
              <w:jc w:val="center"/>
              <w:rPr>
                <w:rFonts w:eastAsia="Times New Roman"/>
                <w:b/>
                <w:bCs/>
                <w:color w:val="000000"/>
                <w:sz w:val="20"/>
              </w:rPr>
            </w:pPr>
            <w:r w:rsidRPr="00F35425">
              <w:rPr>
                <w:rFonts w:eastAsia="Times New Roman"/>
                <w:b/>
                <w:bCs/>
                <w:color w:val="000000"/>
                <w:sz w:val="20"/>
              </w:rPr>
              <w:t>Distraction/Crowding Level</w:t>
            </w:r>
          </w:p>
        </w:tc>
        <w:tc>
          <w:tcPr>
            <w:tcW w:w="2790" w:type="dxa"/>
            <w:vAlign w:val="center"/>
          </w:tcPr>
          <w:p w14:paraId="040F2702" w14:textId="77777777" w:rsidR="00ED063B" w:rsidRPr="00F35425" w:rsidRDefault="00ED063B" w:rsidP="00AE180F">
            <w:pPr>
              <w:spacing w:line="240" w:lineRule="auto"/>
              <w:jc w:val="center"/>
              <w:rPr>
                <w:rFonts w:eastAsia="Times New Roman"/>
                <w:b/>
                <w:bCs/>
                <w:color w:val="000000"/>
                <w:sz w:val="20"/>
              </w:rPr>
            </w:pPr>
            <w:r w:rsidRPr="00F35425">
              <w:rPr>
                <w:rFonts w:eastAsia="Times New Roman"/>
                <w:b/>
                <w:bCs/>
                <w:color w:val="000000"/>
                <w:sz w:val="20"/>
              </w:rPr>
              <w:t>Commute Time</w:t>
            </w:r>
          </w:p>
        </w:tc>
        <w:tc>
          <w:tcPr>
            <w:tcW w:w="2605" w:type="dxa"/>
            <w:gridSpan w:val="2"/>
            <w:tcBorders>
              <w:right w:val="double" w:sz="4" w:space="0" w:color="auto"/>
            </w:tcBorders>
            <w:vAlign w:val="center"/>
          </w:tcPr>
          <w:p w14:paraId="54582821" w14:textId="77777777" w:rsidR="00ED063B" w:rsidRPr="00F35425" w:rsidRDefault="00ED063B" w:rsidP="00AE180F">
            <w:pPr>
              <w:spacing w:line="240" w:lineRule="auto"/>
              <w:jc w:val="center"/>
              <w:rPr>
                <w:rFonts w:eastAsia="Times New Roman"/>
                <w:b/>
                <w:bCs/>
                <w:color w:val="000000"/>
                <w:sz w:val="20"/>
              </w:rPr>
            </w:pPr>
            <w:r w:rsidRPr="00F35425">
              <w:rPr>
                <w:rFonts w:eastAsia="Times New Roman"/>
                <w:b/>
                <w:bCs/>
                <w:color w:val="000000"/>
                <w:sz w:val="20"/>
              </w:rPr>
              <w:t>Workplace Safety Implementation for COVID</w:t>
            </w:r>
          </w:p>
        </w:tc>
      </w:tr>
      <w:tr w:rsidR="00ED063B" w:rsidRPr="00F35425" w14:paraId="01D7E666" w14:textId="77777777" w:rsidTr="00ED063B">
        <w:tc>
          <w:tcPr>
            <w:tcW w:w="7555" w:type="dxa"/>
            <w:tcBorders>
              <w:left w:val="double" w:sz="4" w:space="0" w:color="auto"/>
              <w:bottom w:val="double" w:sz="4" w:space="0" w:color="auto"/>
            </w:tcBorders>
            <w:vAlign w:val="center"/>
          </w:tcPr>
          <w:p w14:paraId="3D78E72F" w14:textId="77777777" w:rsidR="00ED063B" w:rsidRPr="00F35425" w:rsidRDefault="00ED063B" w:rsidP="00AE180F">
            <w:pPr>
              <w:pStyle w:val="ListParagraph"/>
              <w:numPr>
                <w:ilvl w:val="0"/>
                <w:numId w:val="11"/>
              </w:numPr>
              <w:spacing w:line="240" w:lineRule="auto"/>
              <w:ind w:left="150" w:hanging="180"/>
              <w:jc w:val="left"/>
              <w:rPr>
                <w:rFonts w:eastAsia="Times New Roman"/>
                <w:color w:val="000000"/>
                <w:sz w:val="20"/>
              </w:rPr>
            </w:pPr>
            <w:r w:rsidRPr="00F35425">
              <w:rPr>
                <w:rFonts w:eastAsia="Times New Roman"/>
                <w:color w:val="000000"/>
                <w:sz w:val="20"/>
              </w:rPr>
              <w:t>No crowding at the out-of-home workplace; you have your own designated, quiet, closed-off room (No distractions)</w:t>
            </w:r>
          </w:p>
          <w:p w14:paraId="6249DB4D" w14:textId="77777777" w:rsidR="00ED063B" w:rsidRPr="00F35425" w:rsidRDefault="00ED063B" w:rsidP="00AE180F">
            <w:pPr>
              <w:pStyle w:val="ListParagraph"/>
              <w:numPr>
                <w:ilvl w:val="0"/>
                <w:numId w:val="11"/>
              </w:numPr>
              <w:spacing w:line="240" w:lineRule="auto"/>
              <w:ind w:left="150" w:hanging="180"/>
              <w:jc w:val="left"/>
              <w:rPr>
                <w:rFonts w:eastAsia="Times New Roman"/>
                <w:color w:val="000000"/>
                <w:sz w:val="20"/>
              </w:rPr>
            </w:pPr>
            <w:r w:rsidRPr="00F35425">
              <w:rPr>
                <w:rFonts w:eastAsia="Times New Roman"/>
                <w:color w:val="000000"/>
                <w:sz w:val="20"/>
              </w:rPr>
              <w:t>Some crowding at the out-of-home workplace, but you have a small area to yourself or with chosen coworkers (Low distraction)</w:t>
            </w:r>
          </w:p>
          <w:p w14:paraId="466F0206" w14:textId="77777777" w:rsidR="00ED063B" w:rsidRPr="00F35425" w:rsidRDefault="00ED063B" w:rsidP="00AE180F">
            <w:pPr>
              <w:pStyle w:val="ListParagraph"/>
              <w:numPr>
                <w:ilvl w:val="0"/>
                <w:numId w:val="11"/>
              </w:numPr>
              <w:spacing w:line="240" w:lineRule="auto"/>
              <w:ind w:left="150" w:hanging="180"/>
              <w:jc w:val="left"/>
              <w:rPr>
                <w:rFonts w:eastAsia="Times New Roman"/>
                <w:color w:val="000000"/>
                <w:sz w:val="20"/>
              </w:rPr>
            </w:pPr>
            <w:r w:rsidRPr="00F35425">
              <w:rPr>
                <w:rFonts w:eastAsia="Times New Roman"/>
                <w:color w:val="000000"/>
                <w:sz w:val="20"/>
              </w:rPr>
              <w:t>The out-of-home workplace is crowded and you are in close proximity to quiet coworkers (Low distraction)</w:t>
            </w:r>
          </w:p>
          <w:p w14:paraId="2BAD6CFC" w14:textId="77777777" w:rsidR="00ED063B" w:rsidRPr="00F35425" w:rsidRDefault="00ED063B" w:rsidP="00AE180F">
            <w:pPr>
              <w:pStyle w:val="ListParagraph"/>
              <w:numPr>
                <w:ilvl w:val="0"/>
                <w:numId w:val="11"/>
              </w:numPr>
              <w:spacing w:line="240" w:lineRule="auto"/>
              <w:ind w:left="150" w:hanging="180"/>
              <w:jc w:val="left"/>
              <w:rPr>
                <w:rFonts w:eastAsia="Times New Roman"/>
                <w:color w:val="000000"/>
                <w:sz w:val="20"/>
              </w:rPr>
            </w:pPr>
            <w:r w:rsidRPr="00F35425">
              <w:rPr>
                <w:rFonts w:eastAsia="Times New Roman"/>
                <w:color w:val="000000"/>
                <w:sz w:val="20"/>
              </w:rPr>
              <w:t>The out-of-home workplace is crowded and you are in close proximity to loud coworkers (High distraction)</w:t>
            </w:r>
          </w:p>
        </w:tc>
        <w:tc>
          <w:tcPr>
            <w:tcW w:w="2790" w:type="dxa"/>
            <w:tcBorders>
              <w:bottom w:val="double" w:sz="4" w:space="0" w:color="auto"/>
            </w:tcBorders>
            <w:vAlign w:val="center"/>
          </w:tcPr>
          <w:p w14:paraId="373AB9FE" w14:textId="77777777" w:rsidR="00ED063B" w:rsidRPr="00F35425" w:rsidRDefault="00ED063B" w:rsidP="00AE180F">
            <w:pPr>
              <w:pStyle w:val="ListParagraph"/>
              <w:numPr>
                <w:ilvl w:val="0"/>
                <w:numId w:val="11"/>
              </w:numPr>
              <w:spacing w:line="240" w:lineRule="auto"/>
              <w:ind w:left="151" w:hanging="180"/>
              <w:jc w:val="left"/>
              <w:rPr>
                <w:rFonts w:eastAsia="Times New Roman"/>
                <w:color w:val="000000"/>
                <w:sz w:val="20"/>
              </w:rPr>
            </w:pPr>
            <w:r w:rsidRPr="00F35425">
              <w:rPr>
                <w:rFonts w:eastAsia="Times New Roman"/>
                <w:color w:val="000000"/>
                <w:sz w:val="20"/>
              </w:rPr>
              <w:t>Same commute length as before</w:t>
            </w:r>
          </w:p>
          <w:p w14:paraId="62FE12D3" w14:textId="77777777" w:rsidR="00ED063B" w:rsidRPr="00F35425" w:rsidRDefault="00ED063B" w:rsidP="00AE180F">
            <w:pPr>
              <w:pStyle w:val="ListParagraph"/>
              <w:numPr>
                <w:ilvl w:val="0"/>
                <w:numId w:val="11"/>
              </w:numPr>
              <w:spacing w:line="240" w:lineRule="auto"/>
              <w:ind w:left="151" w:hanging="180"/>
              <w:jc w:val="left"/>
              <w:rPr>
                <w:rFonts w:eastAsia="Times New Roman"/>
                <w:color w:val="000000"/>
                <w:sz w:val="20"/>
              </w:rPr>
            </w:pPr>
            <w:r w:rsidRPr="00F35425">
              <w:rPr>
                <w:rFonts w:eastAsia="Times New Roman"/>
                <w:color w:val="000000"/>
                <w:sz w:val="20"/>
              </w:rPr>
              <w:t>50% longer than before</w:t>
            </w:r>
          </w:p>
          <w:p w14:paraId="4825026B" w14:textId="77777777" w:rsidR="00ED063B" w:rsidRPr="00F35425" w:rsidRDefault="00ED063B" w:rsidP="00AE180F">
            <w:pPr>
              <w:pStyle w:val="ListParagraph"/>
              <w:numPr>
                <w:ilvl w:val="0"/>
                <w:numId w:val="11"/>
              </w:numPr>
              <w:spacing w:line="240" w:lineRule="auto"/>
              <w:ind w:left="151" w:hanging="180"/>
              <w:jc w:val="left"/>
              <w:rPr>
                <w:rFonts w:eastAsia="Times New Roman"/>
                <w:color w:val="000000"/>
                <w:sz w:val="20"/>
              </w:rPr>
            </w:pPr>
            <w:r w:rsidRPr="00F35425">
              <w:rPr>
                <w:rFonts w:eastAsia="Times New Roman"/>
                <w:color w:val="000000"/>
                <w:sz w:val="20"/>
              </w:rPr>
              <w:t>75% longer than before</w:t>
            </w:r>
          </w:p>
          <w:p w14:paraId="4EDA8D93" w14:textId="77777777" w:rsidR="00ED063B" w:rsidRPr="00F35425" w:rsidRDefault="00ED063B" w:rsidP="00AE180F">
            <w:pPr>
              <w:pStyle w:val="ListParagraph"/>
              <w:numPr>
                <w:ilvl w:val="0"/>
                <w:numId w:val="11"/>
              </w:numPr>
              <w:spacing w:line="240" w:lineRule="auto"/>
              <w:ind w:left="151" w:hanging="180"/>
              <w:jc w:val="left"/>
              <w:rPr>
                <w:rFonts w:eastAsia="Times New Roman"/>
                <w:color w:val="000000"/>
                <w:sz w:val="20"/>
              </w:rPr>
            </w:pPr>
            <w:r w:rsidRPr="00F35425">
              <w:rPr>
                <w:rFonts w:eastAsia="Times New Roman"/>
                <w:color w:val="000000"/>
                <w:sz w:val="20"/>
              </w:rPr>
              <w:t>50% shorter than before</w:t>
            </w:r>
          </w:p>
          <w:p w14:paraId="31761DEA" w14:textId="77777777" w:rsidR="00ED063B" w:rsidRPr="00F35425" w:rsidRDefault="00ED063B" w:rsidP="00AE180F">
            <w:pPr>
              <w:pStyle w:val="ListParagraph"/>
              <w:numPr>
                <w:ilvl w:val="0"/>
                <w:numId w:val="11"/>
              </w:numPr>
              <w:spacing w:line="240" w:lineRule="auto"/>
              <w:ind w:left="151" w:hanging="180"/>
              <w:jc w:val="left"/>
              <w:rPr>
                <w:rFonts w:eastAsia="Times New Roman"/>
                <w:color w:val="000000"/>
                <w:sz w:val="20"/>
              </w:rPr>
            </w:pPr>
            <w:r w:rsidRPr="00F35425">
              <w:rPr>
                <w:rFonts w:eastAsia="Times New Roman"/>
                <w:color w:val="000000"/>
                <w:sz w:val="20"/>
              </w:rPr>
              <w:t>75% shorter than before</w:t>
            </w:r>
          </w:p>
        </w:tc>
        <w:tc>
          <w:tcPr>
            <w:tcW w:w="2605" w:type="dxa"/>
            <w:gridSpan w:val="2"/>
            <w:tcBorders>
              <w:bottom w:val="double" w:sz="4" w:space="0" w:color="auto"/>
              <w:right w:val="double" w:sz="4" w:space="0" w:color="auto"/>
            </w:tcBorders>
            <w:vAlign w:val="center"/>
          </w:tcPr>
          <w:p w14:paraId="1B6667DC" w14:textId="77777777" w:rsidR="00ED063B" w:rsidRPr="00F35425" w:rsidRDefault="00ED063B" w:rsidP="00AE180F">
            <w:pPr>
              <w:pStyle w:val="ListParagraph"/>
              <w:numPr>
                <w:ilvl w:val="0"/>
                <w:numId w:val="11"/>
              </w:numPr>
              <w:spacing w:line="240" w:lineRule="auto"/>
              <w:ind w:left="136" w:hanging="135"/>
              <w:jc w:val="left"/>
              <w:rPr>
                <w:rFonts w:eastAsia="Times New Roman"/>
                <w:color w:val="000000"/>
                <w:sz w:val="20"/>
              </w:rPr>
            </w:pPr>
            <w:r w:rsidRPr="00F35425">
              <w:rPr>
                <w:rFonts w:eastAsia="Times New Roman"/>
                <w:color w:val="000000"/>
                <w:sz w:val="20"/>
              </w:rPr>
              <w:t>No safety regulations</w:t>
            </w:r>
          </w:p>
          <w:p w14:paraId="42AB3232" w14:textId="77777777" w:rsidR="00ED063B" w:rsidRPr="00F35425" w:rsidRDefault="00ED063B" w:rsidP="00AE180F">
            <w:pPr>
              <w:pStyle w:val="ListParagraph"/>
              <w:numPr>
                <w:ilvl w:val="0"/>
                <w:numId w:val="11"/>
              </w:numPr>
              <w:spacing w:line="240" w:lineRule="auto"/>
              <w:ind w:left="136" w:hanging="135"/>
              <w:jc w:val="left"/>
              <w:rPr>
                <w:rFonts w:eastAsia="Times New Roman"/>
                <w:color w:val="000000"/>
                <w:sz w:val="20"/>
              </w:rPr>
            </w:pPr>
            <w:r w:rsidRPr="00F35425">
              <w:rPr>
                <w:rFonts w:eastAsia="Times New Roman"/>
                <w:color w:val="000000"/>
                <w:sz w:val="20"/>
              </w:rPr>
              <w:t>Only one safety measure is implemented</w:t>
            </w:r>
          </w:p>
          <w:p w14:paraId="3CB188BF" w14:textId="77777777" w:rsidR="00ED063B" w:rsidRPr="00F35425" w:rsidRDefault="00ED063B" w:rsidP="00AE180F">
            <w:pPr>
              <w:pStyle w:val="ListParagraph"/>
              <w:numPr>
                <w:ilvl w:val="0"/>
                <w:numId w:val="11"/>
              </w:numPr>
              <w:spacing w:line="240" w:lineRule="auto"/>
              <w:ind w:left="136" w:hanging="135"/>
              <w:jc w:val="left"/>
              <w:rPr>
                <w:rFonts w:eastAsia="Times New Roman"/>
                <w:color w:val="000000"/>
                <w:sz w:val="20"/>
              </w:rPr>
            </w:pPr>
            <w:r w:rsidRPr="00F35425">
              <w:rPr>
                <w:rFonts w:eastAsia="Times New Roman"/>
                <w:color w:val="000000"/>
                <w:sz w:val="20"/>
              </w:rPr>
              <w:t>Two or more safety measures are implemented</w:t>
            </w:r>
          </w:p>
        </w:tc>
      </w:tr>
      <w:tr w:rsidR="00ED063B" w:rsidRPr="00F35425" w14:paraId="0EDCBFE0" w14:textId="77777777" w:rsidTr="00ED063B">
        <w:tc>
          <w:tcPr>
            <w:tcW w:w="12950" w:type="dxa"/>
            <w:gridSpan w:val="4"/>
            <w:tcBorders>
              <w:top w:val="double" w:sz="4" w:space="0" w:color="auto"/>
              <w:left w:val="double" w:sz="4" w:space="0" w:color="auto"/>
              <w:right w:val="double" w:sz="4" w:space="0" w:color="auto"/>
            </w:tcBorders>
          </w:tcPr>
          <w:p w14:paraId="52AE96D1" w14:textId="77777777" w:rsidR="00ED063B" w:rsidRPr="00F35425" w:rsidRDefault="00ED063B" w:rsidP="00AE180F">
            <w:pPr>
              <w:spacing w:line="240" w:lineRule="auto"/>
              <w:jc w:val="center"/>
              <w:rPr>
                <w:sz w:val="20"/>
              </w:rPr>
            </w:pPr>
            <w:r w:rsidRPr="00F35425">
              <w:rPr>
                <w:rFonts w:eastAsia="Times New Roman"/>
                <w:b/>
                <w:bCs/>
                <w:i/>
                <w:iCs/>
                <w:color w:val="000000"/>
                <w:sz w:val="20"/>
              </w:rPr>
              <w:t>Work from a 3</w:t>
            </w:r>
            <w:r w:rsidRPr="00F35425">
              <w:rPr>
                <w:rFonts w:eastAsia="Times New Roman"/>
                <w:b/>
                <w:bCs/>
                <w:i/>
                <w:iCs/>
                <w:color w:val="000000"/>
                <w:sz w:val="20"/>
                <w:vertAlign w:val="superscript"/>
              </w:rPr>
              <w:t>rd</w:t>
            </w:r>
            <w:r w:rsidRPr="00F35425">
              <w:rPr>
                <w:rFonts w:eastAsia="Times New Roman"/>
                <w:b/>
                <w:bCs/>
                <w:i/>
                <w:iCs/>
                <w:color w:val="000000"/>
                <w:sz w:val="20"/>
              </w:rPr>
              <w:t xml:space="preserve"> W</w:t>
            </w:r>
            <w:r>
              <w:rPr>
                <w:rFonts w:eastAsia="Times New Roman"/>
                <w:b/>
                <w:bCs/>
                <w:i/>
                <w:iCs/>
                <w:color w:val="000000"/>
                <w:sz w:val="20"/>
              </w:rPr>
              <w:t>PL</w:t>
            </w:r>
          </w:p>
        </w:tc>
      </w:tr>
      <w:tr w:rsidR="00ED063B" w:rsidRPr="00F35425" w14:paraId="2D0B14AE" w14:textId="77777777" w:rsidTr="00ED063B">
        <w:tc>
          <w:tcPr>
            <w:tcW w:w="7555" w:type="dxa"/>
            <w:tcBorders>
              <w:left w:val="double" w:sz="4" w:space="0" w:color="auto"/>
            </w:tcBorders>
            <w:vAlign w:val="center"/>
          </w:tcPr>
          <w:p w14:paraId="45B9A6BA" w14:textId="77777777" w:rsidR="00ED063B" w:rsidRPr="00F35425" w:rsidRDefault="00ED063B" w:rsidP="00AE180F">
            <w:pPr>
              <w:spacing w:line="240" w:lineRule="auto"/>
              <w:jc w:val="center"/>
              <w:rPr>
                <w:rFonts w:eastAsia="Times New Roman"/>
                <w:b/>
                <w:bCs/>
                <w:color w:val="000000"/>
                <w:sz w:val="20"/>
              </w:rPr>
            </w:pPr>
            <w:r w:rsidRPr="00F35425">
              <w:rPr>
                <w:rFonts w:eastAsia="Times New Roman"/>
                <w:b/>
                <w:bCs/>
                <w:color w:val="000000"/>
                <w:sz w:val="20"/>
              </w:rPr>
              <w:t>Distraction/Crowding Level</w:t>
            </w:r>
          </w:p>
        </w:tc>
        <w:tc>
          <w:tcPr>
            <w:tcW w:w="5395" w:type="dxa"/>
            <w:gridSpan w:val="3"/>
            <w:tcBorders>
              <w:right w:val="double" w:sz="4" w:space="0" w:color="auto"/>
            </w:tcBorders>
            <w:vAlign w:val="center"/>
          </w:tcPr>
          <w:p w14:paraId="7E3E09CE" w14:textId="77777777" w:rsidR="00ED063B" w:rsidRPr="00F35425" w:rsidRDefault="00ED063B" w:rsidP="00AE180F">
            <w:pPr>
              <w:spacing w:line="240" w:lineRule="auto"/>
              <w:jc w:val="center"/>
              <w:rPr>
                <w:sz w:val="20"/>
              </w:rPr>
            </w:pPr>
            <w:r w:rsidRPr="00F35425">
              <w:rPr>
                <w:rFonts w:eastAsia="Times New Roman"/>
                <w:b/>
                <w:bCs/>
                <w:color w:val="000000"/>
                <w:sz w:val="20"/>
              </w:rPr>
              <w:t>Commute Time</w:t>
            </w:r>
          </w:p>
        </w:tc>
      </w:tr>
      <w:tr w:rsidR="00ED063B" w:rsidRPr="00F35425" w14:paraId="75953F4C" w14:textId="77777777" w:rsidTr="00ED063B">
        <w:trPr>
          <w:trHeight w:val="260"/>
        </w:trPr>
        <w:tc>
          <w:tcPr>
            <w:tcW w:w="7555" w:type="dxa"/>
            <w:tcBorders>
              <w:left w:val="double" w:sz="4" w:space="0" w:color="auto"/>
            </w:tcBorders>
            <w:vAlign w:val="center"/>
          </w:tcPr>
          <w:p w14:paraId="1D251FF8" w14:textId="77777777" w:rsidR="00ED063B" w:rsidRPr="00F35425" w:rsidRDefault="00ED063B" w:rsidP="00AE180F">
            <w:pPr>
              <w:pStyle w:val="ListParagraph"/>
              <w:numPr>
                <w:ilvl w:val="0"/>
                <w:numId w:val="20"/>
              </w:numPr>
              <w:spacing w:line="240" w:lineRule="auto"/>
              <w:ind w:left="240" w:hanging="270"/>
              <w:jc w:val="left"/>
              <w:rPr>
                <w:rFonts w:eastAsia="Times New Roman"/>
                <w:color w:val="000000"/>
                <w:sz w:val="20"/>
              </w:rPr>
            </w:pPr>
            <w:r w:rsidRPr="00F35425">
              <w:rPr>
                <w:rFonts w:eastAsia="Times New Roman"/>
                <w:color w:val="000000"/>
                <w:sz w:val="20"/>
              </w:rPr>
              <w:t>No crowding at the third workplace; you have your own designated, quiet, closed-off room (No distraction)</w:t>
            </w:r>
          </w:p>
          <w:p w14:paraId="34482EE2" w14:textId="77777777" w:rsidR="00ED063B" w:rsidRPr="00F35425" w:rsidRDefault="00ED063B" w:rsidP="00AE180F">
            <w:pPr>
              <w:pStyle w:val="ListParagraph"/>
              <w:numPr>
                <w:ilvl w:val="0"/>
                <w:numId w:val="20"/>
              </w:numPr>
              <w:spacing w:line="240" w:lineRule="auto"/>
              <w:ind w:left="240" w:hanging="270"/>
              <w:jc w:val="left"/>
              <w:rPr>
                <w:rFonts w:eastAsia="Times New Roman"/>
                <w:color w:val="000000"/>
                <w:sz w:val="20"/>
              </w:rPr>
            </w:pPr>
            <w:r w:rsidRPr="00F35425">
              <w:rPr>
                <w:rFonts w:eastAsia="Times New Roman"/>
                <w:color w:val="000000"/>
                <w:sz w:val="20"/>
              </w:rPr>
              <w:t>Some crowding at the third workplace, but you have a small area to yourself or with chosen coworkers (Low distraction)</w:t>
            </w:r>
          </w:p>
          <w:p w14:paraId="503B5A02" w14:textId="77777777" w:rsidR="00ED063B" w:rsidRPr="00F35425" w:rsidRDefault="00ED063B" w:rsidP="00AE180F">
            <w:pPr>
              <w:pStyle w:val="ListParagraph"/>
              <w:numPr>
                <w:ilvl w:val="0"/>
                <w:numId w:val="20"/>
              </w:numPr>
              <w:spacing w:line="240" w:lineRule="auto"/>
              <w:ind w:left="240" w:hanging="270"/>
              <w:jc w:val="left"/>
              <w:rPr>
                <w:rFonts w:eastAsia="Times New Roman"/>
                <w:color w:val="000000"/>
                <w:sz w:val="20"/>
              </w:rPr>
            </w:pPr>
            <w:r w:rsidRPr="00F35425">
              <w:rPr>
                <w:rFonts w:eastAsia="Times New Roman"/>
                <w:color w:val="000000"/>
                <w:sz w:val="20"/>
              </w:rPr>
              <w:t>The third workplace is crowded and you are in close proximity to quiet strangers (Low distraction)</w:t>
            </w:r>
          </w:p>
          <w:p w14:paraId="0FF8EAA0" w14:textId="77777777" w:rsidR="00ED063B" w:rsidRPr="00F35425" w:rsidRDefault="00ED063B" w:rsidP="00AE180F">
            <w:pPr>
              <w:pStyle w:val="ListParagraph"/>
              <w:numPr>
                <w:ilvl w:val="0"/>
                <w:numId w:val="20"/>
              </w:numPr>
              <w:spacing w:line="240" w:lineRule="auto"/>
              <w:ind w:left="240" w:hanging="270"/>
              <w:jc w:val="left"/>
              <w:rPr>
                <w:rFonts w:eastAsia="Times New Roman"/>
                <w:color w:val="000000"/>
                <w:sz w:val="20"/>
              </w:rPr>
            </w:pPr>
            <w:r w:rsidRPr="00F35425">
              <w:rPr>
                <w:rFonts w:eastAsia="Times New Roman"/>
                <w:color w:val="000000"/>
                <w:sz w:val="20"/>
              </w:rPr>
              <w:t>The third workplace is crowded and you are in close proximity to loud strangers (High distraction)</w:t>
            </w:r>
          </w:p>
        </w:tc>
        <w:tc>
          <w:tcPr>
            <w:tcW w:w="5395" w:type="dxa"/>
            <w:gridSpan w:val="3"/>
            <w:tcBorders>
              <w:right w:val="double" w:sz="4" w:space="0" w:color="auto"/>
            </w:tcBorders>
            <w:vAlign w:val="center"/>
          </w:tcPr>
          <w:p w14:paraId="5B4DC52E" w14:textId="77777777" w:rsidR="00ED063B" w:rsidRPr="00796CF0" w:rsidRDefault="00ED063B" w:rsidP="00AE180F">
            <w:pPr>
              <w:pStyle w:val="ListParagraph"/>
              <w:numPr>
                <w:ilvl w:val="0"/>
                <w:numId w:val="11"/>
              </w:numPr>
              <w:spacing w:line="240" w:lineRule="auto"/>
              <w:ind w:left="166" w:hanging="210"/>
              <w:jc w:val="left"/>
              <w:rPr>
                <w:rFonts w:eastAsia="Times New Roman"/>
                <w:color w:val="000000"/>
                <w:sz w:val="20"/>
              </w:rPr>
            </w:pPr>
            <w:r w:rsidRPr="00796CF0">
              <w:rPr>
                <w:rFonts w:eastAsia="Times New Roman"/>
                <w:color w:val="000000"/>
                <w:sz w:val="20"/>
              </w:rPr>
              <w:t>Shorter than your outside-of-home workplace commute</w:t>
            </w:r>
          </w:p>
          <w:p w14:paraId="5192535F" w14:textId="77777777" w:rsidR="00ED063B" w:rsidRPr="00796CF0" w:rsidRDefault="00ED063B" w:rsidP="00AE180F">
            <w:pPr>
              <w:pStyle w:val="ListParagraph"/>
              <w:numPr>
                <w:ilvl w:val="0"/>
                <w:numId w:val="11"/>
              </w:numPr>
              <w:spacing w:line="240" w:lineRule="auto"/>
              <w:ind w:left="166" w:hanging="210"/>
              <w:jc w:val="left"/>
              <w:rPr>
                <w:rFonts w:eastAsia="Times New Roman"/>
                <w:color w:val="000000"/>
                <w:sz w:val="20"/>
              </w:rPr>
            </w:pPr>
            <w:r w:rsidRPr="00796CF0">
              <w:rPr>
                <w:rFonts w:eastAsia="Times New Roman"/>
                <w:color w:val="000000"/>
                <w:sz w:val="20"/>
              </w:rPr>
              <w:t>Same length as your outside-of-home commute to the workplace</w:t>
            </w:r>
          </w:p>
        </w:tc>
      </w:tr>
      <w:tr w:rsidR="00ED063B" w:rsidRPr="00F35425" w14:paraId="1199EBB3" w14:textId="77777777" w:rsidTr="00ED063B">
        <w:trPr>
          <w:trHeight w:val="260"/>
        </w:trPr>
        <w:tc>
          <w:tcPr>
            <w:tcW w:w="12950" w:type="dxa"/>
            <w:gridSpan w:val="4"/>
            <w:tcBorders>
              <w:top w:val="double" w:sz="4" w:space="0" w:color="auto"/>
              <w:left w:val="double" w:sz="4" w:space="0" w:color="auto"/>
              <w:right w:val="double" w:sz="4" w:space="0" w:color="auto"/>
            </w:tcBorders>
            <w:vAlign w:val="center"/>
          </w:tcPr>
          <w:p w14:paraId="79AA3400" w14:textId="77777777" w:rsidR="00ED063B" w:rsidRPr="009913B0" w:rsidRDefault="00ED063B" w:rsidP="00AE180F">
            <w:pPr>
              <w:pStyle w:val="ListParagraph"/>
              <w:spacing w:line="240" w:lineRule="auto"/>
              <w:ind w:left="166"/>
              <w:jc w:val="center"/>
              <w:rPr>
                <w:rFonts w:eastAsia="Times New Roman"/>
                <w:i/>
                <w:color w:val="000000"/>
                <w:sz w:val="20"/>
              </w:rPr>
            </w:pPr>
            <w:r w:rsidRPr="009913B0">
              <w:rPr>
                <w:b/>
                <w:i/>
                <w:sz w:val="20"/>
              </w:rPr>
              <w:t>General Attributes</w:t>
            </w:r>
          </w:p>
        </w:tc>
      </w:tr>
      <w:tr w:rsidR="00ED063B" w:rsidRPr="00F35425" w14:paraId="0468FA42" w14:textId="77777777" w:rsidTr="00ED063B">
        <w:trPr>
          <w:trHeight w:val="260"/>
        </w:trPr>
        <w:tc>
          <w:tcPr>
            <w:tcW w:w="7555" w:type="dxa"/>
            <w:tcBorders>
              <w:left w:val="double" w:sz="4" w:space="0" w:color="auto"/>
              <w:right w:val="single" w:sz="4" w:space="0" w:color="auto"/>
            </w:tcBorders>
          </w:tcPr>
          <w:p w14:paraId="58F3E3B4" w14:textId="77777777" w:rsidR="00ED063B" w:rsidRPr="009913B0" w:rsidRDefault="00ED063B" w:rsidP="00AE180F">
            <w:pPr>
              <w:pStyle w:val="ListParagraph"/>
              <w:spacing w:line="240" w:lineRule="auto"/>
              <w:ind w:left="166"/>
              <w:jc w:val="center"/>
              <w:rPr>
                <w:b/>
                <w:i/>
                <w:sz w:val="20"/>
              </w:rPr>
            </w:pPr>
            <w:r w:rsidRPr="009913B0">
              <w:rPr>
                <w:rFonts w:eastAsia="Times New Roman"/>
                <w:b/>
                <w:bCs/>
                <w:color w:val="000000"/>
                <w:sz w:val="20"/>
              </w:rPr>
              <w:t>COVID Risk Level</w:t>
            </w:r>
          </w:p>
        </w:tc>
        <w:tc>
          <w:tcPr>
            <w:tcW w:w="2885" w:type="dxa"/>
            <w:gridSpan w:val="2"/>
            <w:tcBorders>
              <w:left w:val="single" w:sz="4" w:space="0" w:color="auto"/>
              <w:right w:val="single" w:sz="4" w:space="0" w:color="auto"/>
            </w:tcBorders>
          </w:tcPr>
          <w:p w14:paraId="1F735AA4" w14:textId="77777777" w:rsidR="00ED063B" w:rsidRPr="009913B0" w:rsidRDefault="00ED063B" w:rsidP="00AE180F">
            <w:pPr>
              <w:pStyle w:val="ListParagraph"/>
              <w:spacing w:line="240" w:lineRule="auto"/>
              <w:ind w:left="166"/>
              <w:jc w:val="center"/>
              <w:rPr>
                <w:b/>
                <w:i/>
                <w:sz w:val="20"/>
              </w:rPr>
            </w:pPr>
            <w:r w:rsidRPr="009913B0">
              <w:rPr>
                <w:rFonts w:eastAsia="Times New Roman"/>
                <w:b/>
                <w:bCs/>
                <w:color w:val="000000"/>
                <w:sz w:val="20"/>
              </w:rPr>
              <w:t>Shifting Work Hours</w:t>
            </w:r>
          </w:p>
        </w:tc>
        <w:tc>
          <w:tcPr>
            <w:tcW w:w="2510" w:type="dxa"/>
            <w:tcBorders>
              <w:left w:val="single" w:sz="4" w:space="0" w:color="auto"/>
              <w:right w:val="double" w:sz="4" w:space="0" w:color="auto"/>
            </w:tcBorders>
          </w:tcPr>
          <w:p w14:paraId="27690EC9" w14:textId="77777777" w:rsidR="00ED063B" w:rsidRPr="009913B0" w:rsidRDefault="00ED063B" w:rsidP="00AE180F">
            <w:pPr>
              <w:pStyle w:val="ListParagraph"/>
              <w:spacing w:line="240" w:lineRule="auto"/>
              <w:ind w:left="166"/>
              <w:jc w:val="center"/>
              <w:rPr>
                <w:b/>
                <w:i/>
                <w:sz w:val="20"/>
              </w:rPr>
            </w:pPr>
            <w:r w:rsidRPr="009913B0">
              <w:rPr>
                <w:rFonts w:eastAsia="Times New Roman"/>
                <w:b/>
                <w:bCs/>
                <w:color w:val="000000"/>
                <w:sz w:val="20"/>
              </w:rPr>
              <w:t>Splitting Work Hours</w:t>
            </w:r>
          </w:p>
        </w:tc>
      </w:tr>
      <w:tr w:rsidR="00ED063B" w:rsidRPr="00F35425" w14:paraId="75948F5B" w14:textId="77777777" w:rsidTr="00ED063B">
        <w:trPr>
          <w:trHeight w:val="260"/>
        </w:trPr>
        <w:tc>
          <w:tcPr>
            <w:tcW w:w="7555" w:type="dxa"/>
            <w:tcBorders>
              <w:left w:val="double" w:sz="4" w:space="0" w:color="auto"/>
              <w:bottom w:val="double" w:sz="4" w:space="0" w:color="auto"/>
              <w:right w:val="single" w:sz="4" w:space="0" w:color="auto"/>
            </w:tcBorders>
          </w:tcPr>
          <w:p w14:paraId="4A556328" w14:textId="77777777" w:rsidR="00ED063B" w:rsidRPr="00F35425" w:rsidRDefault="00ED063B" w:rsidP="00AE180F">
            <w:pPr>
              <w:pStyle w:val="ListParagraph"/>
              <w:numPr>
                <w:ilvl w:val="0"/>
                <w:numId w:val="11"/>
              </w:numPr>
              <w:spacing w:line="240" w:lineRule="auto"/>
              <w:ind w:left="150" w:hanging="180"/>
              <w:jc w:val="left"/>
              <w:rPr>
                <w:rFonts w:eastAsia="Times New Roman"/>
                <w:color w:val="000000"/>
                <w:sz w:val="20"/>
              </w:rPr>
            </w:pPr>
            <w:r w:rsidRPr="00F35425">
              <w:rPr>
                <w:rFonts w:eastAsia="Times New Roman"/>
                <w:color w:val="000000"/>
                <w:sz w:val="20"/>
              </w:rPr>
              <w:t>There is a new strand of the virus and current vaccines are ineffective. Risk for the new strand is HIGH.</w:t>
            </w:r>
          </w:p>
          <w:p w14:paraId="48C9E3AD" w14:textId="77777777" w:rsidR="00ED063B" w:rsidRPr="00F35425" w:rsidRDefault="00ED063B" w:rsidP="00AE180F">
            <w:pPr>
              <w:pStyle w:val="ListParagraph"/>
              <w:numPr>
                <w:ilvl w:val="0"/>
                <w:numId w:val="11"/>
              </w:numPr>
              <w:spacing w:line="240" w:lineRule="auto"/>
              <w:ind w:left="150" w:hanging="180"/>
              <w:jc w:val="left"/>
              <w:rPr>
                <w:rFonts w:eastAsia="Times New Roman"/>
                <w:color w:val="000000"/>
                <w:sz w:val="20"/>
              </w:rPr>
            </w:pPr>
            <w:r w:rsidRPr="00F35425">
              <w:rPr>
                <w:rFonts w:eastAsia="Times New Roman"/>
                <w:color w:val="000000"/>
                <w:sz w:val="20"/>
              </w:rPr>
              <w:t>Both the vaccine’s effectiveness against all current strands, and the % of people vaccinated are unknown. Risk is unknown.</w:t>
            </w:r>
          </w:p>
          <w:p w14:paraId="56BE125D" w14:textId="77777777" w:rsidR="00AE180F" w:rsidRDefault="00ED063B" w:rsidP="00AE180F">
            <w:pPr>
              <w:pStyle w:val="ListParagraph"/>
              <w:numPr>
                <w:ilvl w:val="0"/>
                <w:numId w:val="11"/>
              </w:numPr>
              <w:spacing w:line="240" w:lineRule="auto"/>
              <w:ind w:left="150" w:hanging="180"/>
              <w:jc w:val="left"/>
              <w:rPr>
                <w:rFonts w:eastAsia="Times New Roman"/>
                <w:color w:val="000000"/>
                <w:sz w:val="20"/>
              </w:rPr>
            </w:pPr>
            <w:r w:rsidRPr="00F35425">
              <w:rPr>
                <w:rFonts w:eastAsia="Times New Roman"/>
                <w:color w:val="000000"/>
                <w:sz w:val="20"/>
              </w:rPr>
              <w:t>60% of people are vaccinated and the vaccine is effective for all current strands. Risk is low.</w:t>
            </w:r>
          </w:p>
          <w:p w14:paraId="49CC99D5" w14:textId="7E88875E" w:rsidR="00ED063B" w:rsidRPr="00AE180F" w:rsidRDefault="00ED063B" w:rsidP="00AE180F">
            <w:pPr>
              <w:pStyle w:val="ListParagraph"/>
              <w:numPr>
                <w:ilvl w:val="0"/>
                <w:numId w:val="11"/>
              </w:numPr>
              <w:spacing w:line="240" w:lineRule="auto"/>
              <w:ind w:left="150" w:hanging="180"/>
              <w:jc w:val="left"/>
              <w:rPr>
                <w:rFonts w:eastAsia="Times New Roman"/>
                <w:color w:val="000000"/>
                <w:sz w:val="20"/>
              </w:rPr>
            </w:pPr>
            <w:r w:rsidRPr="00AE180F">
              <w:rPr>
                <w:rFonts w:eastAsia="Times New Roman"/>
                <w:color w:val="000000"/>
                <w:sz w:val="20"/>
              </w:rPr>
              <w:t>80% of people are vaccinated and the vaccine is effective for all current strands. Risk is extremely low.</w:t>
            </w:r>
          </w:p>
        </w:tc>
        <w:tc>
          <w:tcPr>
            <w:tcW w:w="2885" w:type="dxa"/>
            <w:gridSpan w:val="2"/>
            <w:tcBorders>
              <w:left w:val="single" w:sz="4" w:space="0" w:color="auto"/>
              <w:bottom w:val="double" w:sz="4" w:space="0" w:color="auto"/>
              <w:right w:val="single" w:sz="4" w:space="0" w:color="auto"/>
            </w:tcBorders>
          </w:tcPr>
          <w:p w14:paraId="49366768" w14:textId="77777777" w:rsidR="00ED063B" w:rsidRPr="009913B0" w:rsidRDefault="00ED063B" w:rsidP="00AE180F">
            <w:pPr>
              <w:pStyle w:val="ListParagraph"/>
              <w:numPr>
                <w:ilvl w:val="0"/>
                <w:numId w:val="11"/>
              </w:numPr>
              <w:spacing w:line="240" w:lineRule="auto"/>
              <w:ind w:left="150" w:hanging="180"/>
              <w:jc w:val="left"/>
              <w:rPr>
                <w:rFonts w:eastAsia="Times New Roman"/>
                <w:b/>
                <w:bCs/>
                <w:color w:val="000000"/>
                <w:sz w:val="20"/>
              </w:rPr>
            </w:pPr>
            <w:r w:rsidRPr="00F35425">
              <w:rPr>
                <w:rFonts w:eastAsia="Times New Roman"/>
                <w:color w:val="000000"/>
                <w:sz w:val="20"/>
              </w:rPr>
              <w:t>Allowed</w:t>
            </w:r>
          </w:p>
          <w:p w14:paraId="4729D141" w14:textId="77777777" w:rsidR="00ED063B" w:rsidRPr="009913B0" w:rsidRDefault="00ED063B" w:rsidP="00AE180F">
            <w:pPr>
              <w:pStyle w:val="ListParagraph"/>
              <w:numPr>
                <w:ilvl w:val="0"/>
                <w:numId w:val="11"/>
              </w:numPr>
              <w:spacing w:line="240" w:lineRule="auto"/>
              <w:ind w:left="150" w:hanging="180"/>
              <w:jc w:val="left"/>
              <w:rPr>
                <w:rFonts w:eastAsia="Times New Roman"/>
                <w:b/>
                <w:bCs/>
                <w:color w:val="000000"/>
                <w:sz w:val="20"/>
              </w:rPr>
            </w:pPr>
            <w:r w:rsidRPr="00F35425">
              <w:rPr>
                <w:rFonts w:eastAsia="Times New Roman"/>
                <w:color w:val="000000"/>
                <w:sz w:val="20"/>
              </w:rPr>
              <w:t>Not allowed</w:t>
            </w:r>
          </w:p>
        </w:tc>
        <w:tc>
          <w:tcPr>
            <w:tcW w:w="2510" w:type="dxa"/>
            <w:tcBorders>
              <w:left w:val="single" w:sz="4" w:space="0" w:color="auto"/>
              <w:bottom w:val="double" w:sz="4" w:space="0" w:color="auto"/>
              <w:right w:val="double" w:sz="4" w:space="0" w:color="auto"/>
            </w:tcBorders>
          </w:tcPr>
          <w:p w14:paraId="2A4D879A" w14:textId="77777777" w:rsidR="00ED063B" w:rsidRPr="009913B0" w:rsidRDefault="00ED063B" w:rsidP="00AE180F">
            <w:pPr>
              <w:pStyle w:val="ListParagraph"/>
              <w:numPr>
                <w:ilvl w:val="0"/>
                <w:numId w:val="11"/>
              </w:numPr>
              <w:spacing w:line="240" w:lineRule="auto"/>
              <w:ind w:left="150" w:hanging="180"/>
              <w:jc w:val="left"/>
              <w:rPr>
                <w:rFonts w:eastAsia="Times New Roman"/>
                <w:b/>
                <w:bCs/>
                <w:color w:val="000000"/>
                <w:sz w:val="20"/>
              </w:rPr>
            </w:pPr>
            <w:r w:rsidRPr="00F35425">
              <w:rPr>
                <w:rFonts w:eastAsia="Times New Roman"/>
                <w:color w:val="000000"/>
                <w:sz w:val="20"/>
              </w:rPr>
              <w:t>Allowed</w:t>
            </w:r>
          </w:p>
          <w:p w14:paraId="7B57E261" w14:textId="77777777" w:rsidR="00ED063B" w:rsidRPr="009913B0" w:rsidRDefault="00ED063B" w:rsidP="00AE180F">
            <w:pPr>
              <w:pStyle w:val="ListParagraph"/>
              <w:numPr>
                <w:ilvl w:val="0"/>
                <w:numId w:val="11"/>
              </w:numPr>
              <w:spacing w:line="240" w:lineRule="auto"/>
              <w:ind w:left="150" w:hanging="180"/>
              <w:jc w:val="left"/>
              <w:rPr>
                <w:rFonts w:eastAsia="Times New Roman"/>
                <w:b/>
                <w:bCs/>
                <w:color w:val="000000"/>
                <w:sz w:val="20"/>
              </w:rPr>
            </w:pPr>
            <w:r w:rsidRPr="00F35425">
              <w:rPr>
                <w:rFonts w:eastAsia="Times New Roman"/>
                <w:color w:val="000000"/>
                <w:sz w:val="20"/>
              </w:rPr>
              <w:t>Not allowed</w:t>
            </w:r>
          </w:p>
        </w:tc>
      </w:tr>
    </w:tbl>
    <w:p w14:paraId="5F4C9A75" w14:textId="77777777" w:rsidR="00ED063B" w:rsidRPr="00735704" w:rsidRDefault="00ED063B" w:rsidP="00ED063B">
      <w:pPr>
        <w:spacing w:after="0" w:line="259" w:lineRule="auto"/>
        <w:jc w:val="center"/>
      </w:pPr>
      <w:bookmarkStart w:id="63" w:name="_Hlk105749244"/>
      <w:r w:rsidRPr="00735704">
        <w:rPr>
          <w:noProof/>
        </w:rPr>
        <w:lastRenderedPageBreak/>
        <w:drawing>
          <wp:inline distT="0" distB="0" distL="0" distR="0" wp14:anchorId="44DB264C" wp14:editId="26590F46">
            <wp:extent cx="3959942" cy="3426873"/>
            <wp:effectExtent l="0" t="0" r="254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8">
                      <a:biLevel thresh="75000"/>
                      <a:extLst>
                        <a:ext uri="{BEBA8EAE-BF5A-486C-A8C5-ECC9F3942E4B}">
                          <a14:imgProps xmlns:a14="http://schemas.microsoft.com/office/drawing/2010/main">
                            <a14:imgLayer r:embed="rId169">
                              <a14:imgEffect>
                                <a14:sharpenSoften amount="50000"/>
                              </a14:imgEffect>
                              <a14:imgEffect>
                                <a14:brightnessContrast contrast="40000"/>
                              </a14:imgEffect>
                            </a14:imgLayer>
                          </a14:imgProps>
                        </a:ext>
                      </a:extLst>
                    </a:blip>
                    <a:stretch>
                      <a:fillRect/>
                    </a:stretch>
                  </pic:blipFill>
                  <pic:spPr>
                    <a:xfrm>
                      <a:off x="0" y="0"/>
                      <a:ext cx="3983399" cy="3447172"/>
                    </a:xfrm>
                    <a:prstGeom prst="rect">
                      <a:avLst/>
                    </a:prstGeom>
                  </pic:spPr>
                </pic:pic>
              </a:graphicData>
            </a:graphic>
          </wp:inline>
        </w:drawing>
      </w:r>
    </w:p>
    <w:p w14:paraId="18CE52D9" w14:textId="77777777" w:rsidR="00ED063B" w:rsidRPr="00735704" w:rsidRDefault="00ED063B" w:rsidP="00ED063B">
      <w:pPr>
        <w:spacing w:after="0" w:line="240" w:lineRule="auto"/>
        <w:ind w:left="360"/>
      </w:pPr>
      <w:r w:rsidRPr="00735704">
        <w:t xml:space="preserve">You reported to work </w:t>
      </w:r>
      <w:r w:rsidRPr="00916ED7">
        <w:rPr>
          <w:u w:val="single"/>
        </w:rPr>
        <w:t xml:space="preserve"> 22 </w:t>
      </w:r>
      <w:r w:rsidRPr="00735704">
        <w:t xml:space="preserve"> days last month. For this scenario, please distribute the number of days you would work at each workplace so that they all add up to </w:t>
      </w:r>
      <w:r>
        <w:rPr>
          <w:u w:val="single"/>
        </w:rPr>
        <w:t xml:space="preserve"> 22 </w:t>
      </w:r>
      <w:r w:rsidRPr="00735704">
        <w:t xml:space="preserve">. You can put 0 days </w:t>
      </w:r>
      <w:r>
        <w:t>for</w:t>
      </w:r>
      <w:r w:rsidRPr="00735704">
        <w:t xml:space="preserve"> one or two of the alternatives as long as it adds up to </w:t>
      </w:r>
      <w:r>
        <w:rPr>
          <w:u w:val="single"/>
        </w:rPr>
        <w:t xml:space="preserve"> 22 </w:t>
      </w:r>
      <w:r w:rsidRPr="00735704">
        <w:t>.</w:t>
      </w:r>
    </w:p>
    <w:p w14:paraId="3E4D083A" w14:textId="77777777" w:rsidR="00ED063B" w:rsidRPr="00735704" w:rsidRDefault="00ED063B" w:rsidP="00ED063B">
      <w:pPr>
        <w:spacing w:after="0" w:line="240" w:lineRule="auto"/>
        <w:ind w:left="360"/>
      </w:pPr>
      <w:r w:rsidRPr="00735704">
        <w:t xml:space="preserve"> </w:t>
      </w:r>
    </w:p>
    <w:p w14:paraId="2C417828" w14:textId="77777777" w:rsidR="00ED063B" w:rsidRPr="00735704" w:rsidRDefault="00ED063B" w:rsidP="00ED063B">
      <w:pPr>
        <w:spacing w:after="0" w:line="240" w:lineRule="auto"/>
        <w:ind w:left="360"/>
      </w:pPr>
      <w:r w:rsidRPr="00735704">
        <w:t xml:space="preserve">Remember, a third workplace is a remote workplace outside of the home such as </w:t>
      </w:r>
      <w:r>
        <w:t>a</w:t>
      </w:r>
      <w:r w:rsidRPr="00735704">
        <w:t xml:space="preserve"> coffee shop, cafe, hotel</w:t>
      </w:r>
      <w:r>
        <w:t>,</w:t>
      </w:r>
      <w:r w:rsidRPr="00735704">
        <w:t xml:space="preserve"> or co-working space.</w:t>
      </w:r>
    </w:p>
    <w:p w14:paraId="66AB5D43" w14:textId="77777777" w:rsidR="00ED063B" w:rsidRDefault="00ED063B" w:rsidP="001F6327">
      <w:pPr>
        <w:spacing w:after="0"/>
        <w:jc w:val="center"/>
      </w:pPr>
      <w:r>
        <w:rPr>
          <w:noProof/>
        </w:rPr>
        <mc:AlternateContent>
          <mc:Choice Requires="wps">
            <w:drawing>
              <wp:anchor distT="45720" distB="45720" distL="114300" distR="114300" simplePos="0" relativeHeight="251659264" behindDoc="0" locked="0" layoutInCell="1" allowOverlap="1" wp14:anchorId="41ABA5DB" wp14:editId="71068997">
                <wp:simplePos x="0" y="0"/>
                <wp:positionH relativeFrom="column">
                  <wp:posOffset>6265545</wp:posOffset>
                </wp:positionH>
                <wp:positionV relativeFrom="paragraph">
                  <wp:posOffset>816364</wp:posOffset>
                </wp:positionV>
                <wp:extent cx="471538" cy="280219"/>
                <wp:effectExtent l="0" t="0" r="5080" b="571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538" cy="280219"/>
                        </a:xfrm>
                        <a:prstGeom prst="rect">
                          <a:avLst/>
                        </a:prstGeom>
                        <a:solidFill>
                          <a:srgbClr val="FFFFFF"/>
                        </a:solidFill>
                        <a:ln w="9525">
                          <a:noFill/>
                          <a:miter lim="800000"/>
                          <a:headEnd/>
                          <a:tailEnd/>
                        </a:ln>
                      </wps:spPr>
                      <wps:txbx>
                        <w:txbxContent>
                          <w:p w14:paraId="5E862258" w14:textId="77777777" w:rsidR="0073414C" w:rsidRPr="00916ED7" w:rsidRDefault="0073414C" w:rsidP="00ED063B">
                            <w:pPr>
                              <w:jc w:val="right"/>
                              <w:rPr>
                                <w:sz w:val="22"/>
                                <w:u w:val="single"/>
                              </w:rPr>
                            </w:pPr>
                            <w:r>
                              <w:rPr>
                                <w:sz w:val="22"/>
                                <w:u w:val="single"/>
                              </w:rPr>
                              <w:t xml:space="preserve"> </w:t>
                            </w:r>
                            <w:r w:rsidRPr="00916ED7">
                              <w:rPr>
                                <w:sz w:val="22"/>
                                <w:u w:val="single"/>
                              </w:rPr>
                              <w:t>22</w:t>
                            </w:r>
                            <w:r>
                              <w:rPr>
                                <w:sz w:val="22"/>
                                <w:u w:val="single"/>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ABA5DB" id="_x0000_t202" coordsize="21600,21600" o:spt="202" path="m,l,21600r21600,l21600,xe">
                <v:stroke joinstyle="miter"/>
                <v:path gradientshapeok="t" o:connecttype="rect"/>
              </v:shapetype>
              <v:shape id="Text Box 2" o:spid="_x0000_s1026" type="#_x0000_t202" style="position:absolute;left:0;text-align:left;margin-left:493.35pt;margin-top:64.3pt;width:37.15pt;height:22.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W9IIQIAABwEAAAOAAAAZHJzL2Uyb0RvYy54bWysU9uO2yAQfa/Uf0C8N740aRIrzmqbbapK&#10;24u02w8gGMeowFAgsdOv3wFns2n7VpUHxDAzhzNnhtXNoBU5CuclmJoWk5wSYTg00uxr+v1x+2ZB&#10;iQ/MNEyBETU9CU9v1q9frXpbiRI6UI1wBEGMr3pb0y4EW2WZ553QzE/ACoPOFpxmAU23zxrHekTX&#10;Kivz/F3Wg2usAy68x9u70UnXCb9tBQ9f29aLQFRNkVtIu0v7Lu7ZesWqvWO2k/xMg/0DC82kwUcv&#10;UHcsMHJw8i8oLbkDD22YcNAZtK3kItWA1RT5H9U8dMyKVAuK4+1FJv//YPmX4zdHZFPTsphTYpjG&#10;Jj2KIZD3MJAy6tNbX2HYg8XAMOA19jnV6u098B+eGNh0zOzFrXPQd4I1yK+ImdlV6ojjI8iu/wwN&#10;PsMOARLQ0DodxUM5CKJjn06X3kQqHC+n82L2FoeJo6tc5GWxTC+w6jnZOh8+CtAkHmrqsPUJnB3v&#10;fYhkWPUcEt/yoGSzlUolw+13G+XIkeGYbNM6o/8Wpgzpa7qclbOEbCDmpwnSMuAYK6lrusjjiums&#10;imJ8ME06BybVeEYmypzViYKM0oRhN2BglGwHzQl1cjCOK34vPHTgflHS46jW1P88MCcoUZ8Mar0s&#10;ptM428mYzuYlGu7as7v2MMMRqqaBkvG4Cek/RL4GbrEnrUx6vTA5c8URTDKev0uc8Ws7Rb186vUT&#10;AAAA//8DAFBLAwQUAAYACAAAACEARY+2S98AAAAMAQAADwAAAGRycy9kb3ducmV2LnhtbEyPwU7D&#10;MBBE70j8g7VIXBB1GoGdhjgVIIG4tvQDnGSbRMTrKHab9O/ZnuC2o3manSm2ixvEGafQezKwXiUg&#10;kGrf9NQaOHx/PGYgQrTU2METGrhggG15e1PYvPEz7fC8j63gEAq5NdDFOOZShrpDZ8PKj0jsHf3k&#10;bGQ5tbKZ7MzhbpBpkijpbE/8obMjvndY/+xPzsDxa3543szVZzzo3ZN6s72u/MWY+7vl9QVExCX+&#10;wXCtz9Wh5E6VP1ETxGBgkynNKBtppkBciUSteV7Fl041yLKQ/0eUvwAAAP//AwBQSwECLQAUAAYA&#10;CAAAACEAtoM4kv4AAADhAQAAEwAAAAAAAAAAAAAAAAAAAAAAW0NvbnRlbnRfVHlwZXNdLnhtbFBL&#10;AQItABQABgAIAAAAIQA4/SH/1gAAAJQBAAALAAAAAAAAAAAAAAAAAC8BAABfcmVscy8ucmVsc1BL&#10;AQItABQABgAIAAAAIQAkmW9IIQIAABwEAAAOAAAAAAAAAAAAAAAAAC4CAABkcnMvZTJvRG9jLnht&#10;bFBLAQItABQABgAIAAAAIQBFj7ZL3wAAAAwBAAAPAAAAAAAAAAAAAAAAAHsEAABkcnMvZG93bnJl&#10;di54bWxQSwUGAAAAAAQABADzAAAAhwUAAAAA&#10;" stroked="f">
                <v:textbox>
                  <w:txbxContent>
                    <w:p w14:paraId="5E862258" w14:textId="77777777" w:rsidR="0073414C" w:rsidRPr="00916ED7" w:rsidRDefault="0073414C" w:rsidP="00ED063B">
                      <w:pPr>
                        <w:jc w:val="right"/>
                        <w:rPr>
                          <w:sz w:val="22"/>
                          <w:u w:val="single"/>
                        </w:rPr>
                      </w:pPr>
                      <w:r>
                        <w:rPr>
                          <w:sz w:val="22"/>
                          <w:u w:val="single"/>
                        </w:rPr>
                        <w:t xml:space="preserve"> </w:t>
                      </w:r>
                      <w:r w:rsidRPr="00916ED7">
                        <w:rPr>
                          <w:sz w:val="22"/>
                          <w:u w:val="single"/>
                        </w:rPr>
                        <w:t>22</w:t>
                      </w:r>
                      <w:r>
                        <w:rPr>
                          <w:sz w:val="22"/>
                          <w:u w:val="single"/>
                        </w:rPr>
                        <w:t xml:space="preserve"> </w:t>
                      </w:r>
                    </w:p>
                  </w:txbxContent>
                </v:textbox>
              </v:shape>
            </w:pict>
          </mc:Fallback>
        </mc:AlternateContent>
      </w:r>
      <w:r w:rsidRPr="00F24D27">
        <w:rPr>
          <w:noProof/>
        </w:rPr>
        <w:drawing>
          <wp:inline distT="0" distB="0" distL="0" distR="0" wp14:anchorId="22D94730" wp14:editId="048CD47B">
            <wp:extent cx="5311036" cy="1128328"/>
            <wp:effectExtent l="0" t="0" r="4445"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70"/>
                    <a:srcRect l="-2" r="-146"/>
                    <a:stretch/>
                  </pic:blipFill>
                  <pic:spPr bwMode="auto">
                    <a:xfrm>
                      <a:off x="0" y="0"/>
                      <a:ext cx="5346403" cy="1135842"/>
                    </a:xfrm>
                    <a:prstGeom prst="rect">
                      <a:avLst/>
                    </a:prstGeom>
                    <a:ln>
                      <a:noFill/>
                    </a:ln>
                    <a:extLst>
                      <a:ext uri="{53640926-AAD7-44D8-BBD7-CCE9431645EC}">
                        <a14:shadowObscured xmlns:a14="http://schemas.microsoft.com/office/drawing/2010/main"/>
                      </a:ext>
                    </a:extLst>
                  </pic:spPr>
                </pic:pic>
              </a:graphicData>
            </a:graphic>
          </wp:inline>
        </w:drawing>
      </w:r>
      <w:bookmarkEnd w:id="63"/>
    </w:p>
    <w:p w14:paraId="5725BF29" w14:textId="77777777" w:rsidR="00ED063B" w:rsidRPr="00F35425" w:rsidRDefault="00ED063B" w:rsidP="00ED063B">
      <w:pPr>
        <w:jc w:val="center"/>
        <w:rPr>
          <w:b/>
        </w:rPr>
        <w:sectPr w:rsidR="00ED063B" w:rsidRPr="00F35425" w:rsidSect="00ED063B">
          <w:footerReference w:type="default" r:id="rId171"/>
          <w:pgSz w:w="15840" w:h="12240" w:orient="landscape"/>
          <w:pgMar w:top="1440" w:right="1440" w:bottom="1440" w:left="1440" w:header="720" w:footer="720" w:gutter="0"/>
          <w:cols w:space="720"/>
          <w:docGrid w:linePitch="360"/>
        </w:sectPr>
      </w:pPr>
      <w:r w:rsidRPr="00F35425">
        <w:rPr>
          <w:b/>
        </w:rPr>
        <w:t>Figure 1: Example SP Question</w:t>
      </w:r>
    </w:p>
    <w:p w14:paraId="5E237058" w14:textId="77777777" w:rsidR="00ED063B" w:rsidRDefault="00ED063B" w:rsidP="00ED063B">
      <w:pPr>
        <w:spacing w:line="259" w:lineRule="auto"/>
        <w:jc w:val="left"/>
      </w:pPr>
    </w:p>
    <w:p w14:paraId="1099C1C1" w14:textId="278D46F3" w:rsidR="00ED063B" w:rsidRDefault="00ED063B" w:rsidP="00AE180F">
      <w:pPr>
        <w:spacing w:after="0" w:line="240" w:lineRule="auto"/>
        <w:jc w:val="left"/>
        <w:rPr>
          <w:b/>
        </w:rPr>
      </w:pPr>
      <w:r>
        <w:rPr>
          <w:b/>
        </w:rPr>
        <w:t xml:space="preserve">Table 2: Descriptive Statistics of WPL </w:t>
      </w:r>
      <w:r w:rsidR="00512E77">
        <w:rPr>
          <w:b/>
        </w:rPr>
        <w:t>P</w:t>
      </w:r>
      <w:r>
        <w:rPr>
          <w:b/>
        </w:rPr>
        <w:t xml:space="preserve">articipation and Frequency of WPL </w:t>
      </w:r>
      <w:r w:rsidR="00512E77">
        <w:rPr>
          <w:b/>
        </w:rPr>
        <w:t>P</w:t>
      </w:r>
      <w:r>
        <w:rPr>
          <w:b/>
        </w:rPr>
        <w:t>articipation</w:t>
      </w:r>
    </w:p>
    <w:tbl>
      <w:tblPr>
        <w:tblW w:w="1299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695"/>
        <w:gridCol w:w="2178"/>
        <w:gridCol w:w="1801"/>
        <w:gridCol w:w="1809"/>
        <w:gridCol w:w="1961"/>
        <w:gridCol w:w="1838"/>
        <w:gridCol w:w="1714"/>
      </w:tblGrid>
      <w:tr w:rsidR="00ED063B" w14:paraId="62711BC3" w14:textId="77777777" w:rsidTr="007F18AB">
        <w:trPr>
          <w:cantSplit/>
          <w:trHeight w:val="1440"/>
        </w:trPr>
        <w:tc>
          <w:tcPr>
            <w:tcW w:w="1695" w:type="dxa"/>
            <w:tcBorders>
              <w:top w:val="double" w:sz="4" w:space="0" w:color="auto"/>
              <w:bottom w:val="double" w:sz="4" w:space="0" w:color="auto"/>
              <w:right w:val="double" w:sz="4" w:space="0" w:color="auto"/>
            </w:tcBorders>
            <w:vAlign w:val="center"/>
          </w:tcPr>
          <w:p w14:paraId="75AABE29" w14:textId="77777777" w:rsidR="00ED063B" w:rsidRPr="00E14953" w:rsidRDefault="00ED063B" w:rsidP="00AE180F">
            <w:pPr>
              <w:spacing w:after="0" w:line="240" w:lineRule="auto"/>
              <w:jc w:val="center"/>
              <w:rPr>
                <w:b/>
                <w:sz w:val="22"/>
                <w:szCs w:val="22"/>
              </w:rPr>
            </w:pPr>
            <w:r w:rsidRPr="00E14953">
              <w:rPr>
                <w:b/>
                <w:sz w:val="22"/>
                <w:szCs w:val="22"/>
              </w:rPr>
              <w:t>WPL Location</w:t>
            </w:r>
          </w:p>
        </w:tc>
        <w:tc>
          <w:tcPr>
            <w:tcW w:w="2178" w:type="dxa"/>
            <w:tcBorders>
              <w:top w:val="double" w:sz="4" w:space="0" w:color="auto"/>
              <w:bottom w:val="double" w:sz="4" w:space="0" w:color="auto"/>
              <w:right w:val="double" w:sz="4" w:space="0" w:color="auto"/>
            </w:tcBorders>
            <w:vAlign w:val="center"/>
          </w:tcPr>
          <w:p w14:paraId="324E1BD0" w14:textId="77777777" w:rsidR="00ED063B" w:rsidRPr="00E14953" w:rsidRDefault="00ED063B" w:rsidP="00AE180F">
            <w:pPr>
              <w:spacing w:after="0" w:line="240" w:lineRule="auto"/>
              <w:jc w:val="center"/>
              <w:rPr>
                <w:b/>
                <w:sz w:val="22"/>
                <w:szCs w:val="22"/>
              </w:rPr>
            </w:pPr>
            <w:r w:rsidRPr="00E14953">
              <w:rPr>
                <w:b/>
                <w:sz w:val="22"/>
                <w:szCs w:val="22"/>
              </w:rPr>
              <w:t>Total number (%) of choice occasions with positive participation</w:t>
            </w:r>
            <w:r w:rsidRPr="00E14953">
              <w:rPr>
                <w:rStyle w:val="FootnoteReference"/>
                <w:b/>
                <w:sz w:val="22"/>
                <w:szCs w:val="22"/>
              </w:rPr>
              <w:footnoteReference w:id="10"/>
            </w:r>
          </w:p>
        </w:tc>
        <w:tc>
          <w:tcPr>
            <w:tcW w:w="1801" w:type="dxa"/>
            <w:tcBorders>
              <w:top w:val="double" w:sz="4" w:space="0" w:color="auto"/>
              <w:bottom w:val="double" w:sz="4" w:space="0" w:color="auto"/>
              <w:right w:val="double" w:sz="4" w:space="0" w:color="auto"/>
            </w:tcBorders>
            <w:vAlign w:val="center"/>
          </w:tcPr>
          <w:p w14:paraId="798DCA35" w14:textId="77777777" w:rsidR="00ED063B" w:rsidRPr="00E14953" w:rsidRDefault="00ED063B" w:rsidP="00AE180F">
            <w:pPr>
              <w:spacing w:after="0" w:line="240" w:lineRule="auto"/>
              <w:jc w:val="center"/>
              <w:rPr>
                <w:b/>
                <w:sz w:val="22"/>
                <w:szCs w:val="22"/>
              </w:rPr>
            </w:pPr>
            <w:r w:rsidRPr="00E14953">
              <w:rPr>
                <w:b/>
                <w:sz w:val="22"/>
                <w:szCs w:val="22"/>
              </w:rPr>
              <w:t>Mean number of days conditional on positive participation</w:t>
            </w:r>
          </w:p>
        </w:tc>
        <w:tc>
          <w:tcPr>
            <w:tcW w:w="7322" w:type="dxa"/>
            <w:gridSpan w:val="4"/>
            <w:tcBorders>
              <w:top w:val="double" w:sz="4" w:space="0" w:color="auto"/>
              <w:left w:val="double" w:sz="4" w:space="0" w:color="auto"/>
              <w:bottom w:val="double" w:sz="4" w:space="0" w:color="auto"/>
            </w:tcBorders>
            <w:vAlign w:val="center"/>
          </w:tcPr>
          <w:p w14:paraId="4F9356AD" w14:textId="77777777" w:rsidR="00ED063B" w:rsidRPr="00E14953" w:rsidRDefault="00ED063B" w:rsidP="00AE180F">
            <w:pPr>
              <w:spacing w:after="0" w:line="240" w:lineRule="auto"/>
              <w:jc w:val="center"/>
              <w:rPr>
                <w:b/>
                <w:sz w:val="22"/>
                <w:szCs w:val="22"/>
              </w:rPr>
            </w:pPr>
            <w:r w:rsidRPr="00E14953">
              <w:rPr>
                <w:b/>
                <w:sz w:val="22"/>
                <w:szCs w:val="22"/>
              </w:rPr>
              <w:t>Number of choice occasions (% of total number of participations in each WPL location) with participation….</w:t>
            </w:r>
            <w:r w:rsidRPr="00E14953">
              <w:rPr>
                <w:rStyle w:val="FootnoteReference"/>
                <w:b/>
                <w:sz w:val="22"/>
                <w:szCs w:val="22"/>
              </w:rPr>
              <w:footnoteReference w:id="11"/>
            </w:r>
          </w:p>
        </w:tc>
      </w:tr>
      <w:tr w:rsidR="00ED063B" w14:paraId="740A90B6" w14:textId="77777777" w:rsidTr="00512E77">
        <w:trPr>
          <w:cantSplit/>
          <w:trHeight w:val="691"/>
        </w:trPr>
        <w:tc>
          <w:tcPr>
            <w:tcW w:w="1695" w:type="dxa"/>
            <w:vMerge w:val="restart"/>
            <w:tcBorders>
              <w:top w:val="double" w:sz="4" w:space="0" w:color="auto"/>
              <w:bottom w:val="double" w:sz="4" w:space="0" w:color="auto"/>
              <w:right w:val="double" w:sz="4" w:space="0" w:color="auto"/>
            </w:tcBorders>
            <w:vAlign w:val="center"/>
          </w:tcPr>
          <w:p w14:paraId="2842FDC7" w14:textId="77777777" w:rsidR="00ED063B" w:rsidRPr="00E14953" w:rsidRDefault="00ED063B" w:rsidP="00AE180F">
            <w:pPr>
              <w:spacing w:after="0" w:line="240" w:lineRule="auto"/>
              <w:jc w:val="center"/>
              <w:rPr>
                <w:b/>
                <w:sz w:val="22"/>
                <w:szCs w:val="22"/>
              </w:rPr>
            </w:pPr>
            <w:r w:rsidRPr="00E14953">
              <w:rPr>
                <w:b/>
                <w:sz w:val="22"/>
                <w:szCs w:val="22"/>
              </w:rPr>
              <w:t>Home</w:t>
            </w:r>
          </w:p>
        </w:tc>
        <w:tc>
          <w:tcPr>
            <w:tcW w:w="2178" w:type="dxa"/>
            <w:vMerge w:val="restart"/>
            <w:tcBorders>
              <w:top w:val="double" w:sz="4" w:space="0" w:color="auto"/>
              <w:bottom w:val="double" w:sz="4" w:space="0" w:color="auto"/>
              <w:right w:val="double" w:sz="4" w:space="0" w:color="auto"/>
            </w:tcBorders>
            <w:vAlign w:val="center"/>
          </w:tcPr>
          <w:p w14:paraId="2D0E9163" w14:textId="77777777" w:rsidR="00ED063B" w:rsidRDefault="00ED063B" w:rsidP="00AE180F">
            <w:pPr>
              <w:spacing w:after="0" w:line="240" w:lineRule="auto"/>
              <w:jc w:val="center"/>
              <w:rPr>
                <w:sz w:val="22"/>
                <w:szCs w:val="22"/>
              </w:rPr>
            </w:pPr>
            <w:r>
              <w:rPr>
                <w:sz w:val="22"/>
                <w:szCs w:val="22"/>
              </w:rPr>
              <w:t>1635 (72.0)</w:t>
            </w:r>
          </w:p>
        </w:tc>
        <w:tc>
          <w:tcPr>
            <w:tcW w:w="1801" w:type="dxa"/>
            <w:vMerge w:val="restart"/>
            <w:tcBorders>
              <w:top w:val="double" w:sz="4" w:space="0" w:color="auto"/>
              <w:bottom w:val="double" w:sz="4" w:space="0" w:color="auto"/>
              <w:right w:val="double" w:sz="4" w:space="0" w:color="auto"/>
            </w:tcBorders>
            <w:vAlign w:val="center"/>
          </w:tcPr>
          <w:p w14:paraId="22EC517E" w14:textId="77777777" w:rsidR="00ED063B" w:rsidRPr="002424AF" w:rsidRDefault="00ED063B" w:rsidP="00AE180F">
            <w:pPr>
              <w:spacing w:after="0" w:line="240" w:lineRule="auto"/>
              <w:jc w:val="center"/>
              <w:rPr>
                <w:sz w:val="22"/>
                <w:szCs w:val="22"/>
              </w:rPr>
            </w:pPr>
            <w:r w:rsidRPr="002424AF">
              <w:rPr>
                <w:sz w:val="22"/>
                <w:szCs w:val="22"/>
              </w:rPr>
              <w:t>14.5</w:t>
            </w:r>
          </w:p>
        </w:tc>
        <w:tc>
          <w:tcPr>
            <w:tcW w:w="1809" w:type="dxa"/>
            <w:tcBorders>
              <w:top w:val="double" w:sz="4" w:space="0" w:color="auto"/>
              <w:left w:val="double" w:sz="4" w:space="0" w:color="auto"/>
              <w:bottom w:val="single" w:sz="4" w:space="0" w:color="auto"/>
            </w:tcBorders>
            <w:vAlign w:val="center"/>
          </w:tcPr>
          <w:p w14:paraId="5EFF1009" w14:textId="77777777" w:rsidR="00ED063B" w:rsidRPr="00E14953" w:rsidRDefault="00ED063B" w:rsidP="00AE180F">
            <w:pPr>
              <w:spacing w:after="0" w:line="240" w:lineRule="auto"/>
              <w:jc w:val="center"/>
              <w:rPr>
                <w:b/>
                <w:sz w:val="22"/>
                <w:szCs w:val="22"/>
              </w:rPr>
            </w:pPr>
            <w:r w:rsidRPr="00E14953">
              <w:rPr>
                <w:b/>
                <w:sz w:val="22"/>
                <w:szCs w:val="22"/>
              </w:rPr>
              <w:t>Only in home</w:t>
            </w:r>
          </w:p>
        </w:tc>
        <w:tc>
          <w:tcPr>
            <w:tcW w:w="1961" w:type="dxa"/>
            <w:tcBorders>
              <w:top w:val="double" w:sz="4" w:space="0" w:color="auto"/>
              <w:bottom w:val="single" w:sz="4" w:space="0" w:color="auto"/>
            </w:tcBorders>
            <w:vAlign w:val="center"/>
          </w:tcPr>
          <w:p w14:paraId="7A170B1F" w14:textId="77777777" w:rsidR="00ED063B" w:rsidRPr="00E14953" w:rsidRDefault="00ED063B" w:rsidP="00AE180F">
            <w:pPr>
              <w:spacing w:after="0" w:line="240" w:lineRule="auto"/>
              <w:jc w:val="center"/>
              <w:rPr>
                <w:b/>
                <w:sz w:val="22"/>
                <w:szCs w:val="22"/>
              </w:rPr>
            </w:pPr>
            <w:r w:rsidRPr="00E14953">
              <w:rPr>
                <w:b/>
                <w:sz w:val="22"/>
                <w:szCs w:val="22"/>
              </w:rPr>
              <w:t>Only in home and work office</w:t>
            </w:r>
          </w:p>
        </w:tc>
        <w:tc>
          <w:tcPr>
            <w:tcW w:w="1838" w:type="dxa"/>
            <w:tcBorders>
              <w:top w:val="double" w:sz="4" w:space="0" w:color="auto"/>
              <w:bottom w:val="single" w:sz="4" w:space="0" w:color="auto"/>
            </w:tcBorders>
            <w:vAlign w:val="center"/>
          </w:tcPr>
          <w:p w14:paraId="6112AD01" w14:textId="77777777" w:rsidR="00ED063B" w:rsidRPr="00E14953" w:rsidRDefault="00ED063B" w:rsidP="00AE180F">
            <w:pPr>
              <w:spacing w:after="0" w:line="240" w:lineRule="auto"/>
              <w:jc w:val="center"/>
              <w:rPr>
                <w:b/>
                <w:sz w:val="22"/>
                <w:szCs w:val="22"/>
              </w:rPr>
            </w:pPr>
            <w:r w:rsidRPr="00E14953">
              <w:rPr>
                <w:b/>
                <w:sz w:val="22"/>
                <w:szCs w:val="22"/>
              </w:rPr>
              <w:t>Only in home and third WPL</w:t>
            </w:r>
          </w:p>
        </w:tc>
        <w:tc>
          <w:tcPr>
            <w:tcW w:w="1714" w:type="dxa"/>
            <w:tcBorders>
              <w:top w:val="double" w:sz="4" w:space="0" w:color="auto"/>
              <w:bottom w:val="single" w:sz="4" w:space="0" w:color="auto"/>
            </w:tcBorders>
            <w:vAlign w:val="center"/>
          </w:tcPr>
          <w:p w14:paraId="2483EC3C" w14:textId="77777777" w:rsidR="00ED063B" w:rsidRPr="00E14953" w:rsidRDefault="00ED063B" w:rsidP="00AE180F">
            <w:pPr>
              <w:spacing w:after="0" w:line="240" w:lineRule="auto"/>
              <w:jc w:val="center"/>
              <w:rPr>
                <w:b/>
                <w:sz w:val="22"/>
                <w:szCs w:val="22"/>
              </w:rPr>
            </w:pPr>
            <w:r w:rsidRPr="00E14953">
              <w:rPr>
                <w:b/>
                <w:sz w:val="22"/>
                <w:szCs w:val="22"/>
              </w:rPr>
              <w:t>All WPLs</w:t>
            </w:r>
          </w:p>
        </w:tc>
      </w:tr>
      <w:tr w:rsidR="00ED063B" w14:paraId="2ADBE420" w14:textId="77777777" w:rsidTr="00512E77">
        <w:trPr>
          <w:trHeight w:val="691"/>
        </w:trPr>
        <w:tc>
          <w:tcPr>
            <w:tcW w:w="1695" w:type="dxa"/>
            <w:vMerge/>
            <w:tcBorders>
              <w:top w:val="double" w:sz="4" w:space="0" w:color="auto"/>
              <w:bottom w:val="double" w:sz="4" w:space="0" w:color="auto"/>
              <w:right w:val="double" w:sz="4" w:space="0" w:color="auto"/>
            </w:tcBorders>
            <w:vAlign w:val="center"/>
          </w:tcPr>
          <w:p w14:paraId="545E8AEE" w14:textId="77777777" w:rsidR="00ED063B" w:rsidRPr="00E14953" w:rsidRDefault="00ED063B" w:rsidP="00AE180F">
            <w:pPr>
              <w:spacing w:after="0" w:line="240" w:lineRule="auto"/>
              <w:jc w:val="center"/>
              <w:rPr>
                <w:b/>
                <w:sz w:val="22"/>
                <w:szCs w:val="22"/>
              </w:rPr>
            </w:pPr>
          </w:p>
        </w:tc>
        <w:tc>
          <w:tcPr>
            <w:tcW w:w="2178" w:type="dxa"/>
            <w:vMerge/>
            <w:tcBorders>
              <w:top w:val="double" w:sz="4" w:space="0" w:color="auto"/>
              <w:left w:val="double" w:sz="4" w:space="0" w:color="auto"/>
              <w:bottom w:val="double" w:sz="4" w:space="0" w:color="auto"/>
              <w:right w:val="double" w:sz="4" w:space="0" w:color="auto"/>
            </w:tcBorders>
            <w:vAlign w:val="center"/>
          </w:tcPr>
          <w:p w14:paraId="4A04AD31" w14:textId="77777777" w:rsidR="00ED063B" w:rsidRDefault="00ED063B" w:rsidP="00AE180F">
            <w:pPr>
              <w:spacing w:after="0" w:line="240" w:lineRule="auto"/>
              <w:jc w:val="center"/>
              <w:rPr>
                <w:sz w:val="22"/>
                <w:szCs w:val="22"/>
              </w:rPr>
            </w:pPr>
          </w:p>
        </w:tc>
        <w:tc>
          <w:tcPr>
            <w:tcW w:w="1801" w:type="dxa"/>
            <w:vMerge/>
            <w:tcBorders>
              <w:top w:val="double" w:sz="4" w:space="0" w:color="auto"/>
              <w:left w:val="double" w:sz="4" w:space="0" w:color="auto"/>
              <w:bottom w:val="double" w:sz="4" w:space="0" w:color="auto"/>
              <w:right w:val="double" w:sz="4" w:space="0" w:color="auto"/>
            </w:tcBorders>
            <w:vAlign w:val="center"/>
          </w:tcPr>
          <w:p w14:paraId="30751DBF" w14:textId="77777777" w:rsidR="00ED063B" w:rsidRPr="002424AF" w:rsidRDefault="00ED063B" w:rsidP="00AE180F">
            <w:pPr>
              <w:spacing w:after="0" w:line="240" w:lineRule="auto"/>
              <w:jc w:val="center"/>
              <w:rPr>
                <w:sz w:val="22"/>
                <w:szCs w:val="22"/>
              </w:rPr>
            </w:pPr>
          </w:p>
        </w:tc>
        <w:tc>
          <w:tcPr>
            <w:tcW w:w="1809" w:type="dxa"/>
            <w:tcBorders>
              <w:top w:val="single" w:sz="4" w:space="0" w:color="auto"/>
              <w:left w:val="double" w:sz="4" w:space="0" w:color="auto"/>
              <w:bottom w:val="double" w:sz="4" w:space="0" w:color="auto"/>
            </w:tcBorders>
            <w:vAlign w:val="center"/>
          </w:tcPr>
          <w:p w14:paraId="18030646" w14:textId="77777777" w:rsidR="00ED063B" w:rsidRDefault="00ED063B" w:rsidP="00AE180F">
            <w:pPr>
              <w:spacing w:after="0" w:line="240" w:lineRule="auto"/>
              <w:jc w:val="center"/>
              <w:rPr>
                <w:sz w:val="22"/>
                <w:szCs w:val="22"/>
              </w:rPr>
            </w:pPr>
            <w:r>
              <w:rPr>
                <w:sz w:val="22"/>
                <w:szCs w:val="22"/>
              </w:rPr>
              <w:t>599 (36.6%)</w:t>
            </w:r>
          </w:p>
        </w:tc>
        <w:tc>
          <w:tcPr>
            <w:tcW w:w="1961" w:type="dxa"/>
            <w:tcBorders>
              <w:top w:val="single" w:sz="4" w:space="0" w:color="auto"/>
              <w:bottom w:val="double" w:sz="4" w:space="0" w:color="auto"/>
            </w:tcBorders>
            <w:vAlign w:val="center"/>
          </w:tcPr>
          <w:p w14:paraId="471475C2" w14:textId="77777777" w:rsidR="00ED063B" w:rsidRDefault="00ED063B" w:rsidP="00AE180F">
            <w:pPr>
              <w:spacing w:after="0" w:line="240" w:lineRule="auto"/>
              <w:jc w:val="center"/>
              <w:rPr>
                <w:sz w:val="22"/>
                <w:szCs w:val="22"/>
              </w:rPr>
            </w:pPr>
            <w:r>
              <w:rPr>
                <w:sz w:val="22"/>
                <w:szCs w:val="22"/>
              </w:rPr>
              <w:t>771 (47.2%)</w:t>
            </w:r>
          </w:p>
        </w:tc>
        <w:tc>
          <w:tcPr>
            <w:tcW w:w="1838" w:type="dxa"/>
            <w:tcBorders>
              <w:top w:val="single" w:sz="4" w:space="0" w:color="auto"/>
              <w:bottom w:val="double" w:sz="4" w:space="0" w:color="auto"/>
            </w:tcBorders>
            <w:vAlign w:val="center"/>
          </w:tcPr>
          <w:p w14:paraId="76F67481" w14:textId="77777777" w:rsidR="00ED063B" w:rsidRDefault="00ED063B" w:rsidP="00AE180F">
            <w:pPr>
              <w:spacing w:after="0" w:line="240" w:lineRule="auto"/>
              <w:jc w:val="center"/>
              <w:rPr>
                <w:sz w:val="22"/>
                <w:szCs w:val="22"/>
              </w:rPr>
            </w:pPr>
            <w:r>
              <w:rPr>
                <w:sz w:val="22"/>
                <w:szCs w:val="22"/>
              </w:rPr>
              <w:t>83 (5.1%)</w:t>
            </w:r>
          </w:p>
        </w:tc>
        <w:tc>
          <w:tcPr>
            <w:tcW w:w="1714" w:type="dxa"/>
            <w:tcBorders>
              <w:top w:val="single" w:sz="4" w:space="0" w:color="auto"/>
              <w:bottom w:val="double" w:sz="4" w:space="0" w:color="auto"/>
            </w:tcBorders>
            <w:vAlign w:val="center"/>
          </w:tcPr>
          <w:p w14:paraId="67E081AE" w14:textId="77777777" w:rsidR="00ED063B" w:rsidRDefault="00ED063B" w:rsidP="00AE180F">
            <w:pPr>
              <w:spacing w:after="0" w:line="240" w:lineRule="auto"/>
              <w:jc w:val="center"/>
              <w:rPr>
                <w:sz w:val="22"/>
                <w:szCs w:val="22"/>
              </w:rPr>
            </w:pPr>
            <w:r>
              <w:rPr>
                <w:sz w:val="22"/>
                <w:szCs w:val="22"/>
              </w:rPr>
              <w:t>182 (11.1%)</w:t>
            </w:r>
          </w:p>
        </w:tc>
      </w:tr>
      <w:tr w:rsidR="00ED063B" w14:paraId="02FE3A56" w14:textId="77777777" w:rsidTr="00512E77">
        <w:trPr>
          <w:trHeight w:val="691"/>
        </w:trPr>
        <w:tc>
          <w:tcPr>
            <w:tcW w:w="1695" w:type="dxa"/>
            <w:vMerge w:val="restart"/>
            <w:tcBorders>
              <w:top w:val="double" w:sz="4" w:space="0" w:color="auto"/>
              <w:bottom w:val="double" w:sz="4" w:space="0" w:color="auto"/>
              <w:right w:val="double" w:sz="4" w:space="0" w:color="auto"/>
            </w:tcBorders>
            <w:vAlign w:val="center"/>
          </w:tcPr>
          <w:p w14:paraId="50CB7963" w14:textId="77777777" w:rsidR="00ED063B" w:rsidRPr="00E14953" w:rsidRDefault="00ED063B" w:rsidP="00AE180F">
            <w:pPr>
              <w:spacing w:after="0" w:line="240" w:lineRule="auto"/>
              <w:jc w:val="center"/>
              <w:rPr>
                <w:b/>
                <w:sz w:val="22"/>
                <w:szCs w:val="22"/>
              </w:rPr>
            </w:pPr>
            <w:r w:rsidRPr="00E14953">
              <w:rPr>
                <w:b/>
                <w:sz w:val="22"/>
                <w:szCs w:val="22"/>
              </w:rPr>
              <w:t>Work Office</w:t>
            </w:r>
          </w:p>
        </w:tc>
        <w:tc>
          <w:tcPr>
            <w:tcW w:w="2178" w:type="dxa"/>
            <w:vMerge w:val="restart"/>
            <w:tcBorders>
              <w:top w:val="double" w:sz="4" w:space="0" w:color="auto"/>
              <w:left w:val="double" w:sz="4" w:space="0" w:color="auto"/>
              <w:bottom w:val="double" w:sz="4" w:space="0" w:color="auto"/>
              <w:right w:val="double" w:sz="4" w:space="0" w:color="auto"/>
            </w:tcBorders>
            <w:vAlign w:val="center"/>
          </w:tcPr>
          <w:p w14:paraId="28FCBC09" w14:textId="77777777" w:rsidR="00ED063B" w:rsidRDefault="00ED063B" w:rsidP="00AE180F">
            <w:pPr>
              <w:spacing w:after="0" w:line="240" w:lineRule="auto"/>
              <w:jc w:val="center"/>
              <w:rPr>
                <w:sz w:val="22"/>
                <w:szCs w:val="22"/>
              </w:rPr>
            </w:pPr>
            <w:r>
              <w:rPr>
                <w:sz w:val="22"/>
                <w:szCs w:val="22"/>
              </w:rPr>
              <w:t>1561 (68.7)</w:t>
            </w:r>
          </w:p>
        </w:tc>
        <w:tc>
          <w:tcPr>
            <w:tcW w:w="1801" w:type="dxa"/>
            <w:vMerge w:val="restart"/>
            <w:tcBorders>
              <w:top w:val="double" w:sz="4" w:space="0" w:color="auto"/>
              <w:left w:val="double" w:sz="4" w:space="0" w:color="auto"/>
              <w:bottom w:val="double" w:sz="4" w:space="0" w:color="auto"/>
              <w:right w:val="double" w:sz="4" w:space="0" w:color="auto"/>
            </w:tcBorders>
            <w:vAlign w:val="center"/>
          </w:tcPr>
          <w:p w14:paraId="02C65C6C" w14:textId="77777777" w:rsidR="00ED063B" w:rsidRPr="002424AF" w:rsidRDefault="00ED063B" w:rsidP="00AE180F">
            <w:pPr>
              <w:spacing w:after="0" w:line="240" w:lineRule="auto"/>
              <w:jc w:val="center"/>
              <w:rPr>
                <w:sz w:val="22"/>
                <w:szCs w:val="22"/>
              </w:rPr>
            </w:pPr>
            <w:r w:rsidRPr="002424AF">
              <w:rPr>
                <w:sz w:val="22"/>
                <w:szCs w:val="22"/>
              </w:rPr>
              <w:t>14.5</w:t>
            </w:r>
          </w:p>
        </w:tc>
        <w:tc>
          <w:tcPr>
            <w:tcW w:w="1809" w:type="dxa"/>
            <w:tcBorders>
              <w:top w:val="double" w:sz="4" w:space="0" w:color="auto"/>
              <w:left w:val="double" w:sz="4" w:space="0" w:color="auto"/>
              <w:bottom w:val="single" w:sz="4" w:space="0" w:color="auto"/>
            </w:tcBorders>
            <w:vAlign w:val="center"/>
          </w:tcPr>
          <w:p w14:paraId="0ED442BA" w14:textId="77777777" w:rsidR="00ED063B" w:rsidRPr="00E14953" w:rsidRDefault="00ED063B" w:rsidP="00AE180F">
            <w:pPr>
              <w:spacing w:after="0" w:line="240" w:lineRule="auto"/>
              <w:jc w:val="center"/>
              <w:rPr>
                <w:b/>
                <w:sz w:val="22"/>
                <w:szCs w:val="22"/>
              </w:rPr>
            </w:pPr>
            <w:r w:rsidRPr="00E14953">
              <w:rPr>
                <w:b/>
                <w:sz w:val="22"/>
                <w:szCs w:val="22"/>
              </w:rPr>
              <w:t>Only in work office</w:t>
            </w:r>
          </w:p>
        </w:tc>
        <w:tc>
          <w:tcPr>
            <w:tcW w:w="1961" w:type="dxa"/>
            <w:tcBorders>
              <w:top w:val="double" w:sz="4" w:space="0" w:color="auto"/>
              <w:bottom w:val="single" w:sz="4" w:space="0" w:color="auto"/>
            </w:tcBorders>
            <w:vAlign w:val="center"/>
          </w:tcPr>
          <w:p w14:paraId="0010827D" w14:textId="77777777" w:rsidR="00ED063B" w:rsidRPr="00E14953" w:rsidRDefault="00ED063B" w:rsidP="00AE180F">
            <w:pPr>
              <w:spacing w:after="0" w:line="240" w:lineRule="auto"/>
              <w:jc w:val="center"/>
              <w:rPr>
                <w:b/>
                <w:sz w:val="22"/>
                <w:szCs w:val="22"/>
              </w:rPr>
            </w:pPr>
            <w:r w:rsidRPr="00E14953">
              <w:rPr>
                <w:b/>
                <w:sz w:val="22"/>
                <w:szCs w:val="22"/>
              </w:rPr>
              <w:t>Only in work office and home</w:t>
            </w:r>
          </w:p>
        </w:tc>
        <w:tc>
          <w:tcPr>
            <w:tcW w:w="1838" w:type="dxa"/>
            <w:tcBorders>
              <w:top w:val="double" w:sz="4" w:space="0" w:color="auto"/>
              <w:bottom w:val="single" w:sz="4" w:space="0" w:color="auto"/>
            </w:tcBorders>
            <w:vAlign w:val="center"/>
          </w:tcPr>
          <w:p w14:paraId="146AA046" w14:textId="77777777" w:rsidR="00ED063B" w:rsidRPr="00E14953" w:rsidRDefault="00ED063B" w:rsidP="00AE180F">
            <w:pPr>
              <w:spacing w:after="0" w:line="240" w:lineRule="auto"/>
              <w:jc w:val="center"/>
              <w:rPr>
                <w:b/>
                <w:sz w:val="22"/>
                <w:szCs w:val="22"/>
              </w:rPr>
            </w:pPr>
            <w:r w:rsidRPr="00E14953">
              <w:rPr>
                <w:b/>
                <w:sz w:val="22"/>
                <w:szCs w:val="22"/>
              </w:rPr>
              <w:t>Only in work office and third WPL</w:t>
            </w:r>
          </w:p>
        </w:tc>
        <w:tc>
          <w:tcPr>
            <w:tcW w:w="1714" w:type="dxa"/>
            <w:tcBorders>
              <w:top w:val="double" w:sz="4" w:space="0" w:color="auto"/>
              <w:bottom w:val="single" w:sz="4" w:space="0" w:color="auto"/>
            </w:tcBorders>
            <w:vAlign w:val="center"/>
          </w:tcPr>
          <w:p w14:paraId="59934D02" w14:textId="77777777" w:rsidR="00ED063B" w:rsidRPr="00E14953" w:rsidRDefault="00ED063B" w:rsidP="00AE180F">
            <w:pPr>
              <w:spacing w:after="0" w:line="240" w:lineRule="auto"/>
              <w:jc w:val="center"/>
              <w:rPr>
                <w:b/>
                <w:sz w:val="22"/>
                <w:szCs w:val="22"/>
              </w:rPr>
            </w:pPr>
            <w:r w:rsidRPr="00E14953">
              <w:rPr>
                <w:b/>
                <w:sz w:val="22"/>
                <w:szCs w:val="22"/>
              </w:rPr>
              <w:t>All WPLs</w:t>
            </w:r>
          </w:p>
        </w:tc>
      </w:tr>
      <w:tr w:rsidR="00ED063B" w14:paraId="6269F6EF" w14:textId="77777777" w:rsidTr="00512E77">
        <w:trPr>
          <w:trHeight w:val="691"/>
        </w:trPr>
        <w:tc>
          <w:tcPr>
            <w:tcW w:w="1695" w:type="dxa"/>
            <w:vMerge/>
            <w:tcBorders>
              <w:bottom w:val="double" w:sz="4" w:space="0" w:color="auto"/>
              <w:right w:val="double" w:sz="4" w:space="0" w:color="auto"/>
            </w:tcBorders>
            <w:vAlign w:val="center"/>
          </w:tcPr>
          <w:p w14:paraId="6E10B920" w14:textId="77777777" w:rsidR="00ED063B" w:rsidRPr="00E14953" w:rsidRDefault="00ED063B" w:rsidP="00AE180F">
            <w:pPr>
              <w:spacing w:after="0" w:line="240" w:lineRule="auto"/>
              <w:jc w:val="center"/>
              <w:rPr>
                <w:b/>
                <w:sz w:val="22"/>
                <w:szCs w:val="22"/>
              </w:rPr>
            </w:pPr>
          </w:p>
        </w:tc>
        <w:tc>
          <w:tcPr>
            <w:tcW w:w="2178" w:type="dxa"/>
            <w:vMerge/>
            <w:tcBorders>
              <w:left w:val="double" w:sz="4" w:space="0" w:color="auto"/>
              <w:bottom w:val="double" w:sz="4" w:space="0" w:color="auto"/>
              <w:right w:val="double" w:sz="4" w:space="0" w:color="auto"/>
            </w:tcBorders>
            <w:vAlign w:val="center"/>
          </w:tcPr>
          <w:p w14:paraId="129AF033" w14:textId="77777777" w:rsidR="00ED063B" w:rsidRDefault="00ED063B" w:rsidP="00AE180F">
            <w:pPr>
              <w:spacing w:after="0" w:line="240" w:lineRule="auto"/>
              <w:jc w:val="center"/>
              <w:rPr>
                <w:sz w:val="22"/>
                <w:szCs w:val="22"/>
              </w:rPr>
            </w:pPr>
          </w:p>
        </w:tc>
        <w:tc>
          <w:tcPr>
            <w:tcW w:w="1801" w:type="dxa"/>
            <w:vMerge/>
            <w:tcBorders>
              <w:left w:val="double" w:sz="4" w:space="0" w:color="auto"/>
              <w:bottom w:val="double" w:sz="4" w:space="0" w:color="auto"/>
              <w:right w:val="double" w:sz="4" w:space="0" w:color="auto"/>
            </w:tcBorders>
            <w:vAlign w:val="center"/>
          </w:tcPr>
          <w:p w14:paraId="5CFD8A66" w14:textId="77777777" w:rsidR="00ED063B" w:rsidRPr="002424AF" w:rsidRDefault="00ED063B" w:rsidP="00AE180F">
            <w:pPr>
              <w:spacing w:after="0" w:line="240" w:lineRule="auto"/>
              <w:jc w:val="center"/>
              <w:rPr>
                <w:sz w:val="22"/>
                <w:szCs w:val="22"/>
              </w:rPr>
            </w:pPr>
          </w:p>
        </w:tc>
        <w:tc>
          <w:tcPr>
            <w:tcW w:w="1809" w:type="dxa"/>
            <w:tcBorders>
              <w:top w:val="single" w:sz="4" w:space="0" w:color="auto"/>
              <w:left w:val="double" w:sz="4" w:space="0" w:color="auto"/>
              <w:bottom w:val="double" w:sz="4" w:space="0" w:color="auto"/>
            </w:tcBorders>
            <w:vAlign w:val="center"/>
          </w:tcPr>
          <w:p w14:paraId="05B35BE7" w14:textId="77777777" w:rsidR="00ED063B" w:rsidRDefault="00ED063B" w:rsidP="00AE180F">
            <w:pPr>
              <w:spacing w:after="0" w:line="240" w:lineRule="auto"/>
              <w:jc w:val="center"/>
              <w:rPr>
                <w:sz w:val="22"/>
                <w:szCs w:val="22"/>
              </w:rPr>
            </w:pPr>
            <w:r>
              <w:rPr>
                <w:sz w:val="22"/>
                <w:szCs w:val="22"/>
              </w:rPr>
              <w:t>572 (36.6%)</w:t>
            </w:r>
          </w:p>
        </w:tc>
        <w:tc>
          <w:tcPr>
            <w:tcW w:w="1961" w:type="dxa"/>
            <w:tcBorders>
              <w:top w:val="single" w:sz="4" w:space="0" w:color="auto"/>
              <w:bottom w:val="double" w:sz="4" w:space="0" w:color="auto"/>
            </w:tcBorders>
            <w:vAlign w:val="center"/>
          </w:tcPr>
          <w:p w14:paraId="4CD94F29" w14:textId="77777777" w:rsidR="00ED063B" w:rsidRDefault="00ED063B" w:rsidP="00AE180F">
            <w:pPr>
              <w:spacing w:after="0" w:line="240" w:lineRule="auto"/>
              <w:jc w:val="center"/>
              <w:rPr>
                <w:sz w:val="22"/>
                <w:szCs w:val="22"/>
              </w:rPr>
            </w:pPr>
            <w:r>
              <w:rPr>
                <w:sz w:val="22"/>
                <w:szCs w:val="22"/>
              </w:rPr>
              <w:t>771 (49.4%)</w:t>
            </w:r>
          </w:p>
        </w:tc>
        <w:tc>
          <w:tcPr>
            <w:tcW w:w="1838" w:type="dxa"/>
            <w:tcBorders>
              <w:top w:val="single" w:sz="4" w:space="0" w:color="auto"/>
              <w:bottom w:val="double" w:sz="4" w:space="0" w:color="auto"/>
            </w:tcBorders>
            <w:vAlign w:val="center"/>
          </w:tcPr>
          <w:p w14:paraId="47BEB21C" w14:textId="77777777" w:rsidR="00ED063B" w:rsidRDefault="00ED063B" w:rsidP="00AE180F">
            <w:pPr>
              <w:spacing w:after="0" w:line="240" w:lineRule="auto"/>
              <w:jc w:val="center"/>
              <w:rPr>
                <w:sz w:val="22"/>
                <w:szCs w:val="22"/>
              </w:rPr>
            </w:pPr>
            <w:r>
              <w:rPr>
                <w:sz w:val="22"/>
                <w:szCs w:val="22"/>
              </w:rPr>
              <w:t>36 (2.3%)</w:t>
            </w:r>
          </w:p>
        </w:tc>
        <w:tc>
          <w:tcPr>
            <w:tcW w:w="1714" w:type="dxa"/>
            <w:tcBorders>
              <w:top w:val="single" w:sz="4" w:space="0" w:color="auto"/>
              <w:bottom w:val="double" w:sz="4" w:space="0" w:color="auto"/>
            </w:tcBorders>
            <w:vAlign w:val="center"/>
          </w:tcPr>
          <w:p w14:paraId="79C3AA52" w14:textId="77777777" w:rsidR="00ED063B" w:rsidRDefault="00ED063B" w:rsidP="00AE180F">
            <w:pPr>
              <w:spacing w:after="0" w:line="240" w:lineRule="auto"/>
              <w:jc w:val="center"/>
              <w:rPr>
                <w:sz w:val="22"/>
                <w:szCs w:val="22"/>
              </w:rPr>
            </w:pPr>
            <w:r>
              <w:rPr>
                <w:sz w:val="22"/>
                <w:szCs w:val="22"/>
              </w:rPr>
              <w:t>182 (11.7%)</w:t>
            </w:r>
          </w:p>
        </w:tc>
      </w:tr>
      <w:tr w:rsidR="00ED063B" w14:paraId="124FBBD3" w14:textId="77777777" w:rsidTr="00512E77">
        <w:trPr>
          <w:trHeight w:val="691"/>
        </w:trPr>
        <w:tc>
          <w:tcPr>
            <w:tcW w:w="1695" w:type="dxa"/>
            <w:vMerge w:val="restart"/>
            <w:tcBorders>
              <w:top w:val="double" w:sz="4" w:space="0" w:color="auto"/>
              <w:right w:val="double" w:sz="4" w:space="0" w:color="auto"/>
            </w:tcBorders>
            <w:vAlign w:val="center"/>
          </w:tcPr>
          <w:p w14:paraId="16332570" w14:textId="77777777" w:rsidR="00ED063B" w:rsidRPr="00E14953" w:rsidRDefault="00ED063B" w:rsidP="00AE180F">
            <w:pPr>
              <w:spacing w:after="0" w:line="240" w:lineRule="auto"/>
              <w:jc w:val="center"/>
              <w:rPr>
                <w:b/>
                <w:sz w:val="22"/>
                <w:szCs w:val="22"/>
              </w:rPr>
            </w:pPr>
            <w:r w:rsidRPr="00E14953">
              <w:rPr>
                <w:b/>
                <w:sz w:val="22"/>
                <w:szCs w:val="22"/>
              </w:rPr>
              <w:t>Third WPL</w:t>
            </w:r>
          </w:p>
        </w:tc>
        <w:tc>
          <w:tcPr>
            <w:tcW w:w="2178" w:type="dxa"/>
            <w:vMerge w:val="restart"/>
            <w:tcBorders>
              <w:top w:val="double" w:sz="4" w:space="0" w:color="auto"/>
              <w:left w:val="double" w:sz="4" w:space="0" w:color="auto"/>
              <w:right w:val="double" w:sz="4" w:space="0" w:color="auto"/>
            </w:tcBorders>
            <w:vAlign w:val="center"/>
          </w:tcPr>
          <w:p w14:paraId="433001C5" w14:textId="77777777" w:rsidR="00ED063B" w:rsidRDefault="00ED063B" w:rsidP="00AE180F">
            <w:pPr>
              <w:spacing w:after="0" w:line="240" w:lineRule="auto"/>
              <w:jc w:val="center"/>
              <w:rPr>
                <w:sz w:val="22"/>
                <w:szCs w:val="22"/>
              </w:rPr>
            </w:pPr>
            <w:r>
              <w:rPr>
                <w:sz w:val="22"/>
                <w:szCs w:val="22"/>
              </w:rPr>
              <w:t xml:space="preserve"> 330 (14.5)</w:t>
            </w:r>
          </w:p>
        </w:tc>
        <w:tc>
          <w:tcPr>
            <w:tcW w:w="1801" w:type="dxa"/>
            <w:vMerge w:val="restart"/>
            <w:tcBorders>
              <w:top w:val="double" w:sz="4" w:space="0" w:color="auto"/>
              <w:left w:val="double" w:sz="4" w:space="0" w:color="auto"/>
              <w:right w:val="double" w:sz="4" w:space="0" w:color="auto"/>
            </w:tcBorders>
            <w:vAlign w:val="center"/>
          </w:tcPr>
          <w:p w14:paraId="23C0B25E" w14:textId="77777777" w:rsidR="00ED063B" w:rsidRPr="002424AF" w:rsidRDefault="00ED063B" w:rsidP="00AE180F">
            <w:pPr>
              <w:spacing w:after="0" w:line="240" w:lineRule="auto"/>
              <w:jc w:val="center"/>
              <w:rPr>
                <w:sz w:val="22"/>
                <w:szCs w:val="22"/>
              </w:rPr>
            </w:pPr>
            <w:r w:rsidRPr="002424AF">
              <w:rPr>
                <w:sz w:val="22"/>
                <w:szCs w:val="22"/>
              </w:rPr>
              <w:t>6.9</w:t>
            </w:r>
          </w:p>
        </w:tc>
        <w:tc>
          <w:tcPr>
            <w:tcW w:w="1809" w:type="dxa"/>
            <w:tcBorders>
              <w:top w:val="double" w:sz="4" w:space="0" w:color="auto"/>
              <w:left w:val="double" w:sz="4" w:space="0" w:color="auto"/>
              <w:bottom w:val="single" w:sz="4" w:space="0" w:color="auto"/>
            </w:tcBorders>
            <w:vAlign w:val="center"/>
          </w:tcPr>
          <w:p w14:paraId="328784C9" w14:textId="77777777" w:rsidR="00ED063B" w:rsidRPr="00E14953" w:rsidRDefault="00ED063B" w:rsidP="00AE180F">
            <w:pPr>
              <w:spacing w:after="0" w:line="240" w:lineRule="auto"/>
              <w:jc w:val="center"/>
              <w:rPr>
                <w:b/>
                <w:sz w:val="22"/>
                <w:szCs w:val="22"/>
              </w:rPr>
            </w:pPr>
            <w:r w:rsidRPr="00E14953">
              <w:rPr>
                <w:b/>
                <w:sz w:val="22"/>
                <w:szCs w:val="22"/>
              </w:rPr>
              <w:t>Only in third WPL</w:t>
            </w:r>
          </w:p>
        </w:tc>
        <w:tc>
          <w:tcPr>
            <w:tcW w:w="1961" w:type="dxa"/>
            <w:tcBorders>
              <w:top w:val="double" w:sz="4" w:space="0" w:color="auto"/>
              <w:bottom w:val="single" w:sz="4" w:space="0" w:color="auto"/>
            </w:tcBorders>
            <w:vAlign w:val="center"/>
          </w:tcPr>
          <w:p w14:paraId="13FDD52F" w14:textId="77777777" w:rsidR="00ED063B" w:rsidRPr="00E14953" w:rsidRDefault="00ED063B" w:rsidP="00AE180F">
            <w:pPr>
              <w:spacing w:after="0" w:line="240" w:lineRule="auto"/>
              <w:jc w:val="center"/>
              <w:rPr>
                <w:b/>
                <w:sz w:val="22"/>
                <w:szCs w:val="22"/>
              </w:rPr>
            </w:pPr>
            <w:r w:rsidRPr="00E14953">
              <w:rPr>
                <w:b/>
                <w:sz w:val="22"/>
                <w:szCs w:val="22"/>
              </w:rPr>
              <w:t>Only in third WPL and home</w:t>
            </w:r>
          </w:p>
        </w:tc>
        <w:tc>
          <w:tcPr>
            <w:tcW w:w="1838" w:type="dxa"/>
            <w:tcBorders>
              <w:top w:val="double" w:sz="4" w:space="0" w:color="auto"/>
              <w:bottom w:val="single" w:sz="4" w:space="0" w:color="auto"/>
            </w:tcBorders>
            <w:vAlign w:val="center"/>
          </w:tcPr>
          <w:p w14:paraId="0BE82E77" w14:textId="77777777" w:rsidR="00ED063B" w:rsidRPr="00E14953" w:rsidRDefault="00ED063B" w:rsidP="00AE180F">
            <w:pPr>
              <w:spacing w:after="0" w:line="240" w:lineRule="auto"/>
              <w:jc w:val="center"/>
              <w:rPr>
                <w:b/>
                <w:sz w:val="22"/>
                <w:szCs w:val="22"/>
              </w:rPr>
            </w:pPr>
            <w:r w:rsidRPr="00E14953">
              <w:rPr>
                <w:b/>
                <w:sz w:val="22"/>
                <w:szCs w:val="22"/>
              </w:rPr>
              <w:t>Only in third WPL and work office</w:t>
            </w:r>
          </w:p>
        </w:tc>
        <w:tc>
          <w:tcPr>
            <w:tcW w:w="1714" w:type="dxa"/>
            <w:tcBorders>
              <w:top w:val="double" w:sz="4" w:space="0" w:color="auto"/>
              <w:bottom w:val="single" w:sz="4" w:space="0" w:color="auto"/>
            </w:tcBorders>
            <w:vAlign w:val="center"/>
          </w:tcPr>
          <w:p w14:paraId="654B3C28" w14:textId="77777777" w:rsidR="00ED063B" w:rsidRPr="00E14953" w:rsidRDefault="00ED063B" w:rsidP="00AE180F">
            <w:pPr>
              <w:spacing w:after="0" w:line="240" w:lineRule="auto"/>
              <w:jc w:val="center"/>
              <w:rPr>
                <w:b/>
                <w:sz w:val="22"/>
                <w:szCs w:val="22"/>
              </w:rPr>
            </w:pPr>
            <w:r w:rsidRPr="00E14953">
              <w:rPr>
                <w:b/>
                <w:sz w:val="22"/>
                <w:szCs w:val="22"/>
              </w:rPr>
              <w:t>All WPLs</w:t>
            </w:r>
          </w:p>
        </w:tc>
      </w:tr>
      <w:tr w:rsidR="00ED063B" w14:paraId="146D42E5" w14:textId="77777777" w:rsidTr="00512E77">
        <w:trPr>
          <w:trHeight w:val="691"/>
        </w:trPr>
        <w:tc>
          <w:tcPr>
            <w:tcW w:w="1695" w:type="dxa"/>
            <w:vMerge/>
            <w:tcBorders>
              <w:bottom w:val="double" w:sz="4" w:space="0" w:color="auto"/>
              <w:right w:val="double" w:sz="4" w:space="0" w:color="auto"/>
            </w:tcBorders>
            <w:vAlign w:val="center"/>
          </w:tcPr>
          <w:p w14:paraId="17E559B5" w14:textId="77777777" w:rsidR="00ED063B" w:rsidRDefault="00ED063B" w:rsidP="00AE180F">
            <w:pPr>
              <w:spacing w:after="0" w:line="240" w:lineRule="auto"/>
              <w:rPr>
                <w:sz w:val="22"/>
                <w:szCs w:val="22"/>
              </w:rPr>
            </w:pPr>
          </w:p>
        </w:tc>
        <w:tc>
          <w:tcPr>
            <w:tcW w:w="2178" w:type="dxa"/>
            <w:vMerge/>
            <w:tcBorders>
              <w:left w:val="double" w:sz="4" w:space="0" w:color="auto"/>
              <w:bottom w:val="double" w:sz="4" w:space="0" w:color="auto"/>
              <w:right w:val="double" w:sz="4" w:space="0" w:color="auto"/>
            </w:tcBorders>
            <w:vAlign w:val="center"/>
          </w:tcPr>
          <w:p w14:paraId="54AF363E" w14:textId="77777777" w:rsidR="00ED063B" w:rsidRDefault="00ED063B" w:rsidP="00AE180F">
            <w:pPr>
              <w:spacing w:after="0" w:line="240" w:lineRule="auto"/>
              <w:jc w:val="center"/>
              <w:rPr>
                <w:sz w:val="22"/>
                <w:szCs w:val="22"/>
              </w:rPr>
            </w:pPr>
          </w:p>
        </w:tc>
        <w:tc>
          <w:tcPr>
            <w:tcW w:w="1801" w:type="dxa"/>
            <w:vMerge/>
            <w:tcBorders>
              <w:left w:val="double" w:sz="4" w:space="0" w:color="auto"/>
              <w:bottom w:val="double" w:sz="4" w:space="0" w:color="auto"/>
              <w:right w:val="double" w:sz="4" w:space="0" w:color="auto"/>
            </w:tcBorders>
            <w:vAlign w:val="center"/>
          </w:tcPr>
          <w:p w14:paraId="60C0B8EB" w14:textId="77777777" w:rsidR="00ED063B" w:rsidRDefault="00ED063B" w:rsidP="00AE180F">
            <w:pPr>
              <w:spacing w:after="0" w:line="240" w:lineRule="auto"/>
              <w:jc w:val="center"/>
              <w:rPr>
                <w:sz w:val="22"/>
                <w:szCs w:val="22"/>
              </w:rPr>
            </w:pPr>
          </w:p>
        </w:tc>
        <w:tc>
          <w:tcPr>
            <w:tcW w:w="1809" w:type="dxa"/>
            <w:tcBorders>
              <w:top w:val="single" w:sz="4" w:space="0" w:color="auto"/>
              <w:left w:val="double" w:sz="4" w:space="0" w:color="auto"/>
              <w:bottom w:val="double" w:sz="4" w:space="0" w:color="auto"/>
            </w:tcBorders>
            <w:vAlign w:val="center"/>
          </w:tcPr>
          <w:p w14:paraId="5C830BC0" w14:textId="77777777" w:rsidR="00ED063B" w:rsidRDefault="00ED063B" w:rsidP="00AE180F">
            <w:pPr>
              <w:spacing w:after="0" w:line="240" w:lineRule="auto"/>
              <w:jc w:val="center"/>
              <w:rPr>
                <w:sz w:val="22"/>
                <w:szCs w:val="22"/>
              </w:rPr>
            </w:pPr>
            <w:r>
              <w:rPr>
                <w:sz w:val="22"/>
                <w:szCs w:val="22"/>
              </w:rPr>
              <w:t>29 (8.8%)</w:t>
            </w:r>
          </w:p>
        </w:tc>
        <w:tc>
          <w:tcPr>
            <w:tcW w:w="1961" w:type="dxa"/>
            <w:tcBorders>
              <w:top w:val="single" w:sz="4" w:space="0" w:color="auto"/>
              <w:bottom w:val="double" w:sz="4" w:space="0" w:color="auto"/>
            </w:tcBorders>
            <w:vAlign w:val="center"/>
          </w:tcPr>
          <w:p w14:paraId="2A66B2AC" w14:textId="77777777" w:rsidR="00ED063B" w:rsidRDefault="00ED063B" w:rsidP="00AE180F">
            <w:pPr>
              <w:spacing w:after="0" w:line="240" w:lineRule="auto"/>
              <w:jc w:val="center"/>
              <w:rPr>
                <w:sz w:val="22"/>
                <w:szCs w:val="22"/>
              </w:rPr>
            </w:pPr>
            <w:r>
              <w:rPr>
                <w:sz w:val="22"/>
                <w:szCs w:val="22"/>
              </w:rPr>
              <w:t>83 (25.1%)</w:t>
            </w:r>
          </w:p>
        </w:tc>
        <w:tc>
          <w:tcPr>
            <w:tcW w:w="1838" w:type="dxa"/>
            <w:tcBorders>
              <w:top w:val="single" w:sz="4" w:space="0" w:color="auto"/>
              <w:bottom w:val="double" w:sz="4" w:space="0" w:color="auto"/>
            </w:tcBorders>
            <w:vAlign w:val="center"/>
          </w:tcPr>
          <w:p w14:paraId="40E135DE" w14:textId="77777777" w:rsidR="00ED063B" w:rsidRDefault="00ED063B" w:rsidP="00AE180F">
            <w:pPr>
              <w:spacing w:after="0" w:line="240" w:lineRule="auto"/>
              <w:jc w:val="center"/>
              <w:rPr>
                <w:sz w:val="22"/>
                <w:szCs w:val="22"/>
              </w:rPr>
            </w:pPr>
            <w:r>
              <w:rPr>
                <w:sz w:val="22"/>
                <w:szCs w:val="22"/>
              </w:rPr>
              <w:t>36 (10.9%)</w:t>
            </w:r>
          </w:p>
        </w:tc>
        <w:tc>
          <w:tcPr>
            <w:tcW w:w="1714" w:type="dxa"/>
            <w:tcBorders>
              <w:top w:val="single" w:sz="4" w:space="0" w:color="auto"/>
              <w:bottom w:val="double" w:sz="4" w:space="0" w:color="auto"/>
            </w:tcBorders>
            <w:vAlign w:val="center"/>
          </w:tcPr>
          <w:p w14:paraId="1ADC6722" w14:textId="77777777" w:rsidR="00ED063B" w:rsidRDefault="00ED063B" w:rsidP="00AE180F">
            <w:pPr>
              <w:spacing w:after="0" w:line="240" w:lineRule="auto"/>
              <w:jc w:val="center"/>
              <w:rPr>
                <w:sz w:val="22"/>
                <w:szCs w:val="22"/>
              </w:rPr>
            </w:pPr>
            <w:r>
              <w:rPr>
                <w:sz w:val="22"/>
                <w:szCs w:val="22"/>
              </w:rPr>
              <w:t>182 (55.2%)</w:t>
            </w:r>
          </w:p>
        </w:tc>
      </w:tr>
    </w:tbl>
    <w:p w14:paraId="47BF7787" w14:textId="50CBC766" w:rsidR="00DA4159" w:rsidRDefault="00ED063B" w:rsidP="00AE180F">
      <w:pPr>
        <w:spacing w:line="240" w:lineRule="auto"/>
      </w:pPr>
      <w:r>
        <w:t xml:space="preserve"> </w:t>
      </w:r>
    </w:p>
    <w:p w14:paraId="58DBBCF4" w14:textId="00ECBC67" w:rsidR="00DA4159" w:rsidRDefault="00DA4159" w:rsidP="00AE180F">
      <w:pPr>
        <w:spacing w:line="240" w:lineRule="auto"/>
      </w:pPr>
    </w:p>
    <w:p w14:paraId="2839E9D1" w14:textId="77777777" w:rsidR="00DA4159" w:rsidRDefault="00DA4159" w:rsidP="00DA4159">
      <w:pPr>
        <w:spacing w:after="0" w:line="240" w:lineRule="auto"/>
        <w:rPr>
          <w:rFonts w:eastAsia="Times New Roman"/>
          <w:b/>
          <w:bCs/>
        </w:rPr>
        <w:sectPr w:rsidR="00DA4159" w:rsidSect="00DA4159">
          <w:pgSz w:w="15840" w:h="12240" w:orient="landscape"/>
          <w:pgMar w:top="1440" w:right="1440" w:bottom="1440" w:left="1440" w:header="720" w:footer="720" w:gutter="0"/>
          <w:cols w:space="720"/>
          <w:docGrid w:linePitch="360"/>
        </w:sectPr>
      </w:pPr>
    </w:p>
    <w:p w14:paraId="4D0706F0" w14:textId="69060D52" w:rsidR="00DA4159" w:rsidRDefault="00DA4159" w:rsidP="00DA4159">
      <w:pPr>
        <w:spacing w:after="0" w:line="240" w:lineRule="auto"/>
        <w:ind w:left="-270"/>
      </w:pPr>
      <w:r w:rsidRPr="002424AF">
        <w:rPr>
          <w:rFonts w:eastAsia="Times New Roman"/>
          <w:b/>
          <w:bCs/>
        </w:rPr>
        <w:lastRenderedPageBreak/>
        <w:t>Table 3: Estimation Results</w:t>
      </w:r>
    </w:p>
    <w:tbl>
      <w:tblPr>
        <w:tblW w:w="9888" w:type="dxa"/>
        <w:jc w:val="center"/>
        <w:tblLayout w:type="fixed"/>
        <w:tblLook w:val="04A0" w:firstRow="1" w:lastRow="0" w:firstColumn="1" w:lastColumn="0" w:noHBand="0" w:noVBand="1"/>
      </w:tblPr>
      <w:tblGrid>
        <w:gridCol w:w="5310"/>
        <w:gridCol w:w="794"/>
        <w:gridCol w:w="720"/>
        <w:gridCol w:w="810"/>
        <w:gridCol w:w="724"/>
        <w:gridCol w:w="810"/>
        <w:gridCol w:w="720"/>
      </w:tblGrid>
      <w:tr w:rsidR="00ED063B" w:rsidRPr="00A462DA" w14:paraId="7B1DA533" w14:textId="77777777" w:rsidTr="008B31DB">
        <w:trPr>
          <w:trHeight w:val="288"/>
          <w:jc w:val="center"/>
        </w:trPr>
        <w:tc>
          <w:tcPr>
            <w:tcW w:w="5310" w:type="dxa"/>
            <w:vMerge w:val="restart"/>
            <w:tcBorders>
              <w:top w:val="double" w:sz="4" w:space="0" w:color="auto"/>
              <w:left w:val="double" w:sz="4" w:space="0" w:color="auto"/>
              <w:right w:val="double" w:sz="4" w:space="0" w:color="auto"/>
            </w:tcBorders>
            <w:shd w:val="clear" w:color="auto" w:fill="auto"/>
            <w:noWrap/>
            <w:vAlign w:val="center"/>
          </w:tcPr>
          <w:p w14:paraId="1B237B36" w14:textId="77777777" w:rsidR="00ED063B" w:rsidRPr="00814E2F" w:rsidRDefault="00ED063B" w:rsidP="00DA4159">
            <w:pPr>
              <w:spacing w:after="0" w:line="240" w:lineRule="auto"/>
              <w:jc w:val="center"/>
              <w:rPr>
                <w:rFonts w:eastAsia="Times New Roman"/>
                <w:b/>
                <w:bCs/>
                <w:sz w:val="19"/>
                <w:szCs w:val="19"/>
              </w:rPr>
            </w:pPr>
            <w:bookmarkStart w:id="67" w:name="_Hlk45612495"/>
            <w:r w:rsidRPr="00814E2F">
              <w:rPr>
                <w:rFonts w:eastAsia="Times New Roman"/>
                <w:b/>
                <w:bCs/>
                <w:sz w:val="19"/>
                <w:szCs w:val="19"/>
              </w:rPr>
              <w:t>Exogenous Variables</w:t>
            </w:r>
          </w:p>
          <w:p w14:paraId="3B3A7BD1" w14:textId="77777777" w:rsidR="00ED063B" w:rsidRPr="00814E2F" w:rsidRDefault="00ED063B" w:rsidP="00DA4159">
            <w:pPr>
              <w:spacing w:after="0" w:line="240" w:lineRule="auto"/>
              <w:jc w:val="center"/>
              <w:rPr>
                <w:rFonts w:eastAsia="Times New Roman"/>
                <w:b/>
                <w:bCs/>
                <w:sz w:val="19"/>
                <w:szCs w:val="19"/>
              </w:rPr>
            </w:pPr>
            <w:r w:rsidRPr="00814E2F">
              <w:rPr>
                <w:rFonts w:eastAsia="Times New Roman"/>
                <w:b/>
                <w:bCs/>
                <w:sz w:val="19"/>
                <w:szCs w:val="19"/>
              </w:rPr>
              <w:t>(base category)</w:t>
            </w:r>
          </w:p>
        </w:tc>
        <w:tc>
          <w:tcPr>
            <w:tcW w:w="4578" w:type="dxa"/>
            <w:gridSpan w:val="6"/>
            <w:tcBorders>
              <w:top w:val="double" w:sz="4" w:space="0" w:color="auto"/>
              <w:left w:val="double" w:sz="4" w:space="0" w:color="auto"/>
              <w:bottom w:val="double" w:sz="4" w:space="0" w:color="auto"/>
              <w:right w:val="double" w:sz="4" w:space="0" w:color="auto"/>
            </w:tcBorders>
            <w:shd w:val="clear" w:color="auto" w:fill="auto"/>
            <w:noWrap/>
            <w:vAlign w:val="center"/>
          </w:tcPr>
          <w:p w14:paraId="4DACD96A" w14:textId="77777777" w:rsidR="00ED063B" w:rsidRPr="007856AB" w:rsidRDefault="00ED063B" w:rsidP="00DA4159">
            <w:pPr>
              <w:spacing w:after="0" w:line="240" w:lineRule="auto"/>
              <w:jc w:val="center"/>
              <w:rPr>
                <w:rFonts w:eastAsia="Times New Roman"/>
                <w:b/>
                <w:bCs/>
                <w:sz w:val="19"/>
                <w:szCs w:val="19"/>
              </w:rPr>
            </w:pPr>
            <w:r w:rsidRPr="007856AB">
              <w:rPr>
                <w:rFonts w:eastAsia="Times New Roman"/>
                <w:b/>
                <w:bCs/>
                <w:sz w:val="19"/>
                <w:szCs w:val="19"/>
              </w:rPr>
              <w:t>Workplace Location Choice</w:t>
            </w:r>
          </w:p>
        </w:tc>
      </w:tr>
      <w:tr w:rsidR="00ED063B" w:rsidRPr="00A462DA" w14:paraId="671E72CF" w14:textId="77777777" w:rsidTr="008B31DB">
        <w:trPr>
          <w:trHeight w:val="288"/>
          <w:jc w:val="center"/>
        </w:trPr>
        <w:tc>
          <w:tcPr>
            <w:tcW w:w="5310" w:type="dxa"/>
            <w:vMerge/>
            <w:tcBorders>
              <w:left w:val="double" w:sz="4" w:space="0" w:color="auto"/>
              <w:right w:val="double" w:sz="4" w:space="0" w:color="auto"/>
            </w:tcBorders>
            <w:shd w:val="clear" w:color="auto" w:fill="auto"/>
            <w:noWrap/>
            <w:vAlign w:val="center"/>
            <w:hideMark/>
          </w:tcPr>
          <w:p w14:paraId="3B5792BC" w14:textId="77777777" w:rsidR="00ED063B" w:rsidRPr="00814E2F" w:rsidRDefault="00ED063B" w:rsidP="00DA4159">
            <w:pPr>
              <w:spacing w:after="0" w:line="240" w:lineRule="auto"/>
              <w:jc w:val="center"/>
              <w:rPr>
                <w:rFonts w:eastAsia="Times New Roman"/>
                <w:b/>
                <w:bCs/>
                <w:sz w:val="19"/>
                <w:szCs w:val="19"/>
              </w:rPr>
            </w:pPr>
          </w:p>
        </w:tc>
        <w:tc>
          <w:tcPr>
            <w:tcW w:w="1514" w:type="dxa"/>
            <w:gridSpan w:val="2"/>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29A4FDDB" w14:textId="77777777" w:rsidR="00ED063B" w:rsidRPr="007856AB" w:rsidRDefault="00ED063B" w:rsidP="00DA4159">
            <w:pPr>
              <w:spacing w:after="0" w:line="240" w:lineRule="auto"/>
              <w:jc w:val="center"/>
              <w:rPr>
                <w:rFonts w:eastAsia="Times New Roman"/>
                <w:b/>
                <w:bCs/>
                <w:sz w:val="19"/>
                <w:szCs w:val="19"/>
              </w:rPr>
            </w:pPr>
            <w:r w:rsidRPr="007856AB">
              <w:rPr>
                <w:rFonts w:eastAsia="Times New Roman"/>
                <w:b/>
                <w:bCs/>
                <w:sz w:val="19"/>
                <w:szCs w:val="19"/>
              </w:rPr>
              <w:t>Work from Home</w:t>
            </w:r>
          </w:p>
        </w:tc>
        <w:tc>
          <w:tcPr>
            <w:tcW w:w="1534" w:type="dxa"/>
            <w:gridSpan w:val="2"/>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39AB7FF1" w14:textId="77777777" w:rsidR="00ED063B" w:rsidRPr="007856AB" w:rsidRDefault="00ED063B" w:rsidP="00DA4159">
            <w:pPr>
              <w:spacing w:after="0" w:line="240" w:lineRule="auto"/>
              <w:jc w:val="center"/>
              <w:rPr>
                <w:rFonts w:eastAsia="Times New Roman"/>
                <w:b/>
                <w:bCs/>
                <w:sz w:val="19"/>
                <w:szCs w:val="19"/>
              </w:rPr>
            </w:pPr>
            <w:r w:rsidRPr="007856AB">
              <w:rPr>
                <w:rFonts w:eastAsia="Times New Roman"/>
                <w:b/>
                <w:bCs/>
                <w:sz w:val="19"/>
                <w:szCs w:val="19"/>
              </w:rPr>
              <w:t>Work from the Work Office</w:t>
            </w:r>
          </w:p>
        </w:tc>
        <w:tc>
          <w:tcPr>
            <w:tcW w:w="1530" w:type="dxa"/>
            <w:gridSpan w:val="2"/>
            <w:tcBorders>
              <w:top w:val="double" w:sz="4" w:space="0" w:color="auto"/>
              <w:left w:val="single" w:sz="12" w:space="0" w:color="auto"/>
              <w:bottom w:val="single" w:sz="4" w:space="0" w:color="auto"/>
              <w:right w:val="double" w:sz="4" w:space="0" w:color="auto"/>
            </w:tcBorders>
            <w:vAlign w:val="center"/>
          </w:tcPr>
          <w:p w14:paraId="03582209" w14:textId="77777777" w:rsidR="00ED063B" w:rsidRPr="007856AB" w:rsidRDefault="00ED063B" w:rsidP="00DA4159">
            <w:pPr>
              <w:spacing w:after="0" w:line="240" w:lineRule="auto"/>
              <w:jc w:val="center"/>
              <w:rPr>
                <w:rFonts w:eastAsia="Times New Roman"/>
                <w:b/>
                <w:sz w:val="19"/>
                <w:szCs w:val="19"/>
              </w:rPr>
            </w:pPr>
            <w:r w:rsidRPr="007856AB">
              <w:rPr>
                <w:rFonts w:eastAsia="Times New Roman"/>
                <w:b/>
                <w:sz w:val="19"/>
                <w:szCs w:val="19"/>
              </w:rPr>
              <w:t>Work from a Third WPL</w:t>
            </w:r>
          </w:p>
        </w:tc>
      </w:tr>
      <w:tr w:rsidR="00ED063B" w:rsidRPr="00A462DA" w14:paraId="214EE75E" w14:textId="77777777" w:rsidTr="008B31DB">
        <w:trPr>
          <w:trHeight w:val="288"/>
          <w:jc w:val="center"/>
        </w:trPr>
        <w:tc>
          <w:tcPr>
            <w:tcW w:w="5310" w:type="dxa"/>
            <w:vMerge/>
            <w:tcBorders>
              <w:left w:val="double" w:sz="4" w:space="0" w:color="auto"/>
              <w:bottom w:val="double" w:sz="4" w:space="0" w:color="auto"/>
              <w:right w:val="double" w:sz="4" w:space="0" w:color="auto"/>
            </w:tcBorders>
            <w:shd w:val="clear" w:color="auto" w:fill="auto"/>
            <w:noWrap/>
            <w:vAlign w:val="bottom"/>
            <w:hideMark/>
          </w:tcPr>
          <w:p w14:paraId="16274A3D" w14:textId="77777777" w:rsidR="00ED063B" w:rsidRPr="00814E2F" w:rsidRDefault="00ED063B" w:rsidP="00DA4159">
            <w:pPr>
              <w:spacing w:after="0" w:line="240" w:lineRule="auto"/>
              <w:rPr>
                <w:rFonts w:eastAsia="Times New Roman"/>
                <w:sz w:val="19"/>
                <w:szCs w:val="19"/>
              </w:rPr>
            </w:pPr>
          </w:p>
        </w:tc>
        <w:tc>
          <w:tcPr>
            <w:tcW w:w="794" w:type="dxa"/>
            <w:tcBorders>
              <w:top w:val="single" w:sz="4" w:space="0" w:color="auto"/>
              <w:left w:val="double" w:sz="4" w:space="0" w:color="auto"/>
              <w:bottom w:val="double" w:sz="4" w:space="0" w:color="auto"/>
              <w:right w:val="single" w:sz="4" w:space="0" w:color="auto"/>
            </w:tcBorders>
            <w:shd w:val="clear" w:color="auto" w:fill="auto"/>
            <w:noWrap/>
            <w:vAlign w:val="bottom"/>
            <w:hideMark/>
          </w:tcPr>
          <w:p w14:paraId="7C57D43B" w14:textId="77777777" w:rsidR="00ED063B" w:rsidRPr="007856AB" w:rsidRDefault="00ED063B" w:rsidP="00DA4159">
            <w:pPr>
              <w:spacing w:after="0" w:line="240" w:lineRule="auto"/>
              <w:jc w:val="center"/>
              <w:rPr>
                <w:rFonts w:eastAsia="Times New Roman"/>
                <w:sz w:val="19"/>
                <w:szCs w:val="19"/>
              </w:rPr>
            </w:pPr>
            <w:proofErr w:type="spellStart"/>
            <w:r w:rsidRPr="007856AB">
              <w:rPr>
                <w:rFonts w:eastAsia="Times New Roman"/>
                <w:sz w:val="19"/>
                <w:szCs w:val="19"/>
              </w:rPr>
              <w:t>Coeff</w:t>
            </w:r>
            <w:proofErr w:type="spellEnd"/>
            <w:r w:rsidRPr="007856AB">
              <w:rPr>
                <w:rFonts w:eastAsia="Times New Roman"/>
                <w:sz w:val="19"/>
                <w:szCs w:val="19"/>
              </w:rPr>
              <w:t>.</w:t>
            </w:r>
          </w:p>
        </w:tc>
        <w:tc>
          <w:tcPr>
            <w:tcW w:w="720" w:type="dxa"/>
            <w:tcBorders>
              <w:top w:val="single" w:sz="4" w:space="0" w:color="auto"/>
              <w:left w:val="single" w:sz="4" w:space="0" w:color="auto"/>
              <w:bottom w:val="double" w:sz="4" w:space="0" w:color="auto"/>
              <w:right w:val="double" w:sz="4" w:space="0" w:color="auto"/>
            </w:tcBorders>
            <w:shd w:val="clear" w:color="auto" w:fill="auto"/>
            <w:noWrap/>
            <w:vAlign w:val="bottom"/>
            <w:hideMark/>
          </w:tcPr>
          <w:p w14:paraId="5075E5FA" w14:textId="04BF02F5" w:rsidR="00ED063B" w:rsidRPr="007856AB" w:rsidRDefault="00ED063B" w:rsidP="00DA4159">
            <w:pPr>
              <w:spacing w:after="0" w:line="240" w:lineRule="auto"/>
              <w:jc w:val="center"/>
              <w:rPr>
                <w:rFonts w:eastAsia="Times New Roman"/>
                <w:sz w:val="19"/>
                <w:szCs w:val="19"/>
              </w:rPr>
            </w:pPr>
            <w:r w:rsidRPr="007856AB">
              <w:rPr>
                <w:rFonts w:eastAsia="Times New Roman"/>
                <w:sz w:val="19"/>
                <w:szCs w:val="19"/>
              </w:rPr>
              <w:t>t-stat</w:t>
            </w:r>
            <w:r w:rsidR="009D2FCD">
              <w:rPr>
                <w:rStyle w:val="FootnoteReference"/>
                <w:rFonts w:eastAsia="Times New Roman"/>
                <w:sz w:val="19"/>
                <w:szCs w:val="19"/>
              </w:rPr>
              <w:footnoteReference w:id="12"/>
            </w:r>
          </w:p>
        </w:tc>
        <w:tc>
          <w:tcPr>
            <w:tcW w:w="810" w:type="dxa"/>
            <w:tcBorders>
              <w:top w:val="single" w:sz="4" w:space="0" w:color="auto"/>
              <w:left w:val="double" w:sz="4" w:space="0" w:color="auto"/>
              <w:bottom w:val="double" w:sz="4" w:space="0" w:color="auto"/>
              <w:right w:val="single" w:sz="4" w:space="0" w:color="auto"/>
            </w:tcBorders>
            <w:shd w:val="clear" w:color="auto" w:fill="auto"/>
            <w:noWrap/>
            <w:vAlign w:val="bottom"/>
            <w:hideMark/>
          </w:tcPr>
          <w:p w14:paraId="56047C1D" w14:textId="77777777" w:rsidR="00ED063B" w:rsidRPr="007856AB" w:rsidRDefault="00ED063B" w:rsidP="00DA4159">
            <w:pPr>
              <w:spacing w:after="0" w:line="240" w:lineRule="auto"/>
              <w:jc w:val="center"/>
              <w:rPr>
                <w:rFonts w:eastAsia="Times New Roman"/>
                <w:sz w:val="19"/>
                <w:szCs w:val="19"/>
              </w:rPr>
            </w:pPr>
            <w:proofErr w:type="spellStart"/>
            <w:r w:rsidRPr="007856AB">
              <w:rPr>
                <w:rFonts w:eastAsia="Times New Roman"/>
                <w:sz w:val="19"/>
                <w:szCs w:val="19"/>
              </w:rPr>
              <w:t>Coeff</w:t>
            </w:r>
            <w:proofErr w:type="spellEnd"/>
            <w:r w:rsidRPr="007856AB">
              <w:rPr>
                <w:rFonts w:eastAsia="Times New Roman"/>
                <w:sz w:val="19"/>
                <w:szCs w:val="19"/>
              </w:rPr>
              <w:t>.</w:t>
            </w:r>
          </w:p>
        </w:tc>
        <w:tc>
          <w:tcPr>
            <w:tcW w:w="724" w:type="dxa"/>
            <w:tcBorders>
              <w:top w:val="single" w:sz="4" w:space="0" w:color="auto"/>
              <w:left w:val="single" w:sz="4" w:space="0" w:color="auto"/>
              <w:bottom w:val="double" w:sz="4" w:space="0" w:color="auto"/>
              <w:right w:val="double" w:sz="4" w:space="0" w:color="auto"/>
            </w:tcBorders>
            <w:shd w:val="clear" w:color="auto" w:fill="auto"/>
            <w:noWrap/>
            <w:vAlign w:val="bottom"/>
            <w:hideMark/>
          </w:tcPr>
          <w:p w14:paraId="051A4BA4" w14:textId="77777777" w:rsidR="00ED063B" w:rsidRPr="007856AB" w:rsidRDefault="00ED063B" w:rsidP="00DA4159">
            <w:pPr>
              <w:spacing w:after="0" w:line="240" w:lineRule="auto"/>
              <w:jc w:val="center"/>
              <w:rPr>
                <w:rFonts w:eastAsia="Times New Roman"/>
                <w:sz w:val="19"/>
                <w:szCs w:val="19"/>
              </w:rPr>
            </w:pPr>
            <w:r w:rsidRPr="007856AB">
              <w:rPr>
                <w:rFonts w:eastAsia="Times New Roman"/>
                <w:sz w:val="19"/>
                <w:szCs w:val="19"/>
              </w:rPr>
              <w:t>t-stat</w:t>
            </w:r>
          </w:p>
        </w:tc>
        <w:tc>
          <w:tcPr>
            <w:tcW w:w="810" w:type="dxa"/>
            <w:tcBorders>
              <w:top w:val="single" w:sz="4" w:space="0" w:color="auto"/>
              <w:left w:val="single" w:sz="12" w:space="0" w:color="auto"/>
              <w:bottom w:val="double" w:sz="4" w:space="0" w:color="auto"/>
              <w:right w:val="single" w:sz="4" w:space="0" w:color="auto"/>
            </w:tcBorders>
            <w:vAlign w:val="bottom"/>
          </w:tcPr>
          <w:p w14:paraId="5CD483A8" w14:textId="77777777" w:rsidR="00ED063B" w:rsidRPr="007856AB" w:rsidRDefault="00ED063B" w:rsidP="00DA4159">
            <w:pPr>
              <w:spacing w:after="0" w:line="240" w:lineRule="auto"/>
              <w:jc w:val="center"/>
              <w:rPr>
                <w:rFonts w:eastAsia="Times New Roman"/>
                <w:sz w:val="19"/>
                <w:szCs w:val="19"/>
              </w:rPr>
            </w:pPr>
            <w:proofErr w:type="spellStart"/>
            <w:r w:rsidRPr="007856AB">
              <w:rPr>
                <w:rFonts w:eastAsia="Times New Roman"/>
                <w:sz w:val="19"/>
                <w:szCs w:val="19"/>
              </w:rPr>
              <w:t>Coeff</w:t>
            </w:r>
            <w:proofErr w:type="spellEnd"/>
            <w:r w:rsidRPr="007856AB">
              <w:rPr>
                <w:rFonts w:eastAsia="Times New Roman"/>
                <w:sz w:val="19"/>
                <w:szCs w:val="19"/>
              </w:rPr>
              <w:t>.</w:t>
            </w:r>
          </w:p>
        </w:tc>
        <w:tc>
          <w:tcPr>
            <w:tcW w:w="720" w:type="dxa"/>
            <w:tcBorders>
              <w:top w:val="single" w:sz="4" w:space="0" w:color="auto"/>
              <w:left w:val="single" w:sz="4" w:space="0" w:color="auto"/>
              <w:bottom w:val="double" w:sz="4" w:space="0" w:color="auto"/>
              <w:right w:val="double" w:sz="4" w:space="0" w:color="auto"/>
            </w:tcBorders>
            <w:vAlign w:val="bottom"/>
          </w:tcPr>
          <w:p w14:paraId="5FCB9CE5" w14:textId="77777777" w:rsidR="00ED063B" w:rsidRPr="007856AB" w:rsidRDefault="00ED063B" w:rsidP="00DA4159">
            <w:pPr>
              <w:spacing w:after="0" w:line="240" w:lineRule="auto"/>
              <w:jc w:val="center"/>
              <w:rPr>
                <w:rFonts w:eastAsia="Times New Roman"/>
                <w:sz w:val="19"/>
                <w:szCs w:val="19"/>
              </w:rPr>
            </w:pPr>
            <w:r w:rsidRPr="007856AB">
              <w:rPr>
                <w:rFonts w:eastAsia="Times New Roman"/>
                <w:sz w:val="19"/>
                <w:szCs w:val="19"/>
              </w:rPr>
              <w:t>t-stat</w:t>
            </w:r>
          </w:p>
        </w:tc>
      </w:tr>
      <w:tr w:rsidR="00ED063B" w:rsidRPr="00A462DA" w14:paraId="2DF153B2" w14:textId="77777777" w:rsidTr="008B31DB">
        <w:trPr>
          <w:trHeight w:val="274"/>
          <w:jc w:val="center"/>
        </w:trPr>
        <w:tc>
          <w:tcPr>
            <w:tcW w:w="5310" w:type="dxa"/>
            <w:tcBorders>
              <w:top w:val="nil"/>
              <w:left w:val="double" w:sz="4" w:space="0" w:color="auto"/>
              <w:bottom w:val="nil"/>
              <w:right w:val="double" w:sz="4" w:space="0" w:color="auto"/>
            </w:tcBorders>
            <w:shd w:val="clear" w:color="auto" w:fill="auto"/>
            <w:noWrap/>
            <w:vAlign w:val="center"/>
          </w:tcPr>
          <w:p w14:paraId="6B0EC362" w14:textId="77777777" w:rsidR="00ED063B" w:rsidRPr="00814E2F" w:rsidRDefault="00ED063B" w:rsidP="00DA4159">
            <w:pPr>
              <w:spacing w:after="0" w:line="240" w:lineRule="auto"/>
              <w:rPr>
                <w:rFonts w:eastAsia="Times New Roman"/>
                <w:sz w:val="19"/>
                <w:szCs w:val="19"/>
                <w:u w:val="single"/>
              </w:rPr>
            </w:pPr>
            <w:r w:rsidRPr="00814E2F">
              <w:rPr>
                <w:rFonts w:eastAsia="Times New Roman"/>
                <w:b/>
                <w:bCs/>
                <w:i/>
                <w:iCs/>
                <w:sz w:val="19"/>
                <w:szCs w:val="19"/>
                <w:u w:val="single"/>
              </w:rPr>
              <w:t>Individual and household-level Characteristics</w:t>
            </w:r>
          </w:p>
        </w:tc>
        <w:tc>
          <w:tcPr>
            <w:tcW w:w="794" w:type="dxa"/>
            <w:tcBorders>
              <w:top w:val="nil"/>
              <w:left w:val="double" w:sz="4" w:space="0" w:color="auto"/>
              <w:bottom w:val="nil"/>
              <w:right w:val="single" w:sz="4" w:space="0" w:color="auto"/>
            </w:tcBorders>
            <w:shd w:val="clear" w:color="auto" w:fill="auto"/>
            <w:noWrap/>
            <w:vAlign w:val="center"/>
          </w:tcPr>
          <w:p w14:paraId="306A7652" w14:textId="77777777" w:rsidR="00ED063B" w:rsidRPr="00A462DA" w:rsidRDefault="00ED063B" w:rsidP="00DA4159">
            <w:pPr>
              <w:spacing w:after="0" w:line="240" w:lineRule="auto"/>
              <w:jc w:val="right"/>
              <w:rPr>
                <w:rFonts w:eastAsia="Times New Roman"/>
                <w:sz w:val="20"/>
                <w:szCs w:val="20"/>
              </w:rPr>
            </w:pPr>
          </w:p>
        </w:tc>
        <w:tc>
          <w:tcPr>
            <w:tcW w:w="720" w:type="dxa"/>
            <w:tcBorders>
              <w:top w:val="nil"/>
              <w:left w:val="single" w:sz="4" w:space="0" w:color="auto"/>
              <w:bottom w:val="nil"/>
              <w:right w:val="double" w:sz="4" w:space="0" w:color="auto"/>
            </w:tcBorders>
            <w:shd w:val="clear" w:color="auto" w:fill="auto"/>
            <w:noWrap/>
            <w:vAlign w:val="center"/>
          </w:tcPr>
          <w:p w14:paraId="7F49FB08" w14:textId="77777777" w:rsidR="00ED063B" w:rsidRPr="00A462DA" w:rsidRDefault="00ED063B" w:rsidP="00DA4159">
            <w:pPr>
              <w:spacing w:after="0" w:line="240" w:lineRule="auto"/>
              <w:jc w:val="right"/>
              <w:rPr>
                <w:rFonts w:eastAsia="Times New Roman"/>
                <w:sz w:val="20"/>
                <w:szCs w:val="20"/>
              </w:rPr>
            </w:pPr>
          </w:p>
        </w:tc>
        <w:tc>
          <w:tcPr>
            <w:tcW w:w="810" w:type="dxa"/>
            <w:tcBorders>
              <w:top w:val="nil"/>
              <w:left w:val="double" w:sz="4" w:space="0" w:color="auto"/>
              <w:bottom w:val="nil"/>
              <w:right w:val="single" w:sz="4" w:space="0" w:color="auto"/>
            </w:tcBorders>
            <w:shd w:val="clear" w:color="auto" w:fill="auto"/>
            <w:noWrap/>
            <w:vAlign w:val="center"/>
          </w:tcPr>
          <w:p w14:paraId="54305A8A" w14:textId="77777777" w:rsidR="00ED063B" w:rsidRPr="00A462DA" w:rsidRDefault="00ED063B" w:rsidP="00DA4159">
            <w:pPr>
              <w:spacing w:after="0" w:line="240" w:lineRule="auto"/>
              <w:jc w:val="right"/>
              <w:rPr>
                <w:rFonts w:eastAsia="Times New Roman"/>
                <w:sz w:val="20"/>
                <w:szCs w:val="20"/>
              </w:rPr>
            </w:pPr>
          </w:p>
        </w:tc>
        <w:tc>
          <w:tcPr>
            <w:tcW w:w="724" w:type="dxa"/>
            <w:tcBorders>
              <w:top w:val="nil"/>
              <w:left w:val="single" w:sz="4" w:space="0" w:color="auto"/>
              <w:bottom w:val="nil"/>
              <w:right w:val="double" w:sz="4" w:space="0" w:color="auto"/>
            </w:tcBorders>
            <w:shd w:val="clear" w:color="auto" w:fill="auto"/>
            <w:noWrap/>
            <w:vAlign w:val="center"/>
          </w:tcPr>
          <w:p w14:paraId="5E0E4B0E" w14:textId="77777777" w:rsidR="00ED063B" w:rsidRPr="00A462DA" w:rsidRDefault="00ED063B" w:rsidP="00DA4159">
            <w:pPr>
              <w:spacing w:after="0" w:line="240" w:lineRule="auto"/>
              <w:jc w:val="right"/>
              <w:rPr>
                <w:rFonts w:eastAsia="Times New Roman"/>
                <w:sz w:val="20"/>
                <w:szCs w:val="20"/>
              </w:rPr>
            </w:pPr>
          </w:p>
        </w:tc>
        <w:tc>
          <w:tcPr>
            <w:tcW w:w="810" w:type="dxa"/>
            <w:tcBorders>
              <w:top w:val="nil"/>
              <w:left w:val="single" w:sz="12" w:space="0" w:color="auto"/>
              <w:bottom w:val="nil"/>
              <w:right w:val="single" w:sz="4" w:space="0" w:color="auto"/>
            </w:tcBorders>
            <w:vAlign w:val="center"/>
          </w:tcPr>
          <w:p w14:paraId="656239A4" w14:textId="77777777" w:rsidR="00ED063B" w:rsidRPr="00A462DA" w:rsidRDefault="00ED063B" w:rsidP="00DA4159">
            <w:pPr>
              <w:spacing w:after="0" w:line="240" w:lineRule="auto"/>
              <w:jc w:val="right"/>
              <w:rPr>
                <w:rFonts w:eastAsia="Times New Roman"/>
                <w:sz w:val="20"/>
                <w:szCs w:val="20"/>
              </w:rPr>
            </w:pPr>
          </w:p>
        </w:tc>
        <w:tc>
          <w:tcPr>
            <w:tcW w:w="720" w:type="dxa"/>
            <w:tcBorders>
              <w:top w:val="nil"/>
              <w:left w:val="single" w:sz="4" w:space="0" w:color="auto"/>
              <w:bottom w:val="nil"/>
              <w:right w:val="double" w:sz="4" w:space="0" w:color="auto"/>
            </w:tcBorders>
            <w:vAlign w:val="center"/>
          </w:tcPr>
          <w:p w14:paraId="044A3574" w14:textId="77777777" w:rsidR="00ED063B" w:rsidRPr="00A462DA" w:rsidRDefault="00ED063B" w:rsidP="00DA4159">
            <w:pPr>
              <w:spacing w:after="0" w:line="240" w:lineRule="auto"/>
              <w:jc w:val="right"/>
              <w:rPr>
                <w:rFonts w:eastAsia="Times New Roman"/>
                <w:sz w:val="20"/>
                <w:szCs w:val="20"/>
              </w:rPr>
            </w:pPr>
          </w:p>
        </w:tc>
      </w:tr>
      <w:tr w:rsidR="00ED063B" w:rsidRPr="00A462DA" w14:paraId="034F630D" w14:textId="77777777" w:rsidTr="008B31DB">
        <w:trPr>
          <w:trHeight w:val="274"/>
          <w:jc w:val="center"/>
        </w:trPr>
        <w:tc>
          <w:tcPr>
            <w:tcW w:w="5310" w:type="dxa"/>
            <w:tcBorders>
              <w:top w:val="nil"/>
              <w:left w:val="double" w:sz="4" w:space="0" w:color="auto"/>
              <w:bottom w:val="nil"/>
              <w:right w:val="double" w:sz="4" w:space="0" w:color="auto"/>
            </w:tcBorders>
            <w:shd w:val="clear" w:color="auto" w:fill="auto"/>
            <w:noWrap/>
            <w:vAlign w:val="center"/>
          </w:tcPr>
          <w:p w14:paraId="1E24A21E" w14:textId="33B5903C" w:rsidR="00ED063B" w:rsidRPr="00814E2F" w:rsidRDefault="00ED063B" w:rsidP="00DA4159">
            <w:pPr>
              <w:spacing w:after="0" w:line="240" w:lineRule="auto"/>
              <w:rPr>
                <w:rFonts w:eastAsia="Times New Roman"/>
                <w:b/>
                <w:bCs/>
                <w:sz w:val="19"/>
                <w:szCs w:val="19"/>
              </w:rPr>
            </w:pPr>
            <w:r w:rsidRPr="00814E2F">
              <w:rPr>
                <w:rFonts w:eastAsia="Times New Roman"/>
                <w:b/>
                <w:bCs/>
                <w:sz w:val="19"/>
                <w:szCs w:val="19"/>
              </w:rPr>
              <w:t>Gendered life</w:t>
            </w:r>
            <w:r w:rsidR="00503CDF" w:rsidRPr="00814E2F">
              <w:rPr>
                <w:rFonts w:eastAsia="Times New Roman"/>
                <w:b/>
                <w:bCs/>
                <w:sz w:val="19"/>
                <w:szCs w:val="19"/>
              </w:rPr>
              <w:t>cycle</w:t>
            </w:r>
            <w:r w:rsidRPr="00814E2F">
              <w:rPr>
                <w:rFonts w:eastAsia="Times New Roman"/>
                <w:b/>
                <w:bCs/>
                <w:sz w:val="19"/>
                <w:szCs w:val="19"/>
              </w:rPr>
              <w:t xml:space="preserve"> variables</w:t>
            </w:r>
          </w:p>
        </w:tc>
        <w:tc>
          <w:tcPr>
            <w:tcW w:w="794" w:type="dxa"/>
            <w:tcBorders>
              <w:top w:val="nil"/>
              <w:left w:val="double" w:sz="4" w:space="0" w:color="auto"/>
              <w:bottom w:val="nil"/>
              <w:right w:val="single" w:sz="4" w:space="0" w:color="auto"/>
            </w:tcBorders>
            <w:shd w:val="clear" w:color="auto" w:fill="auto"/>
            <w:noWrap/>
            <w:vAlign w:val="center"/>
          </w:tcPr>
          <w:p w14:paraId="7E6C1330" w14:textId="77777777" w:rsidR="00ED063B" w:rsidRPr="00A462DA" w:rsidRDefault="00ED063B" w:rsidP="00DA4159">
            <w:pPr>
              <w:spacing w:after="0" w:line="240" w:lineRule="auto"/>
              <w:jc w:val="right"/>
              <w:rPr>
                <w:rFonts w:eastAsia="Times New Roman"/>
                <w:sz w:val="20"/>
                <w:szCs w:val="20"/>
              </w:rPr>
            </w:pPr>
          </w:p>
        </w:tc>
        <w:tc>
          <w:tcPr>
            <w:tcW w:w="720" w:type="dxa"/>
            <w:tcBorders>
              <w:top w:val="nil"/>
              <w:left w:val="single" w:sz="4" w:space="0" w:color="auto"/>
              <w:bottom w:val="nil"/>
              <w:right w:val="double" w:sz="4" w:space="0" w:color="auto"/>
            </w:tcBorders>
            <w:shd w:val="clear" w:color="auto" w:fill="auto"/>
            <w:noWrap/>
            <w:vAlign w:val="center"/>
          </w:tcPr>
          <w:p w14:paraId="132924C8" w14:textId="77777777" w:rsidR="00ED063B" w:rsidRPr="00A462DA" w:rsidRDefault="00ED063B" w:rsidP="00DA4159">
            <w:pPr>
              <w:spacing w:after="0" w:line="240" w:lineRule="auto"/>
              <w:jc w:val="right"/>
              <w:rPr>
                <w:rFonts w:eastAsia="Times New Roman"/>
                <w:sz w:val="20"/>
                <w:szCs w:val="20"/>
              </w:rPr>
            </w:pPr>
          </w:p>
        </w:tc>
        <w:tc>
          <w:tcPr>
            <w:tcW w:w="810" w:type="dxa"/>
            <w:tcBorders>
              <w:top w:val="nil"/>
              <w:left w:val="double" w:sz="4" w:space="0" w:color="auto"/>
              <w:bottom w:val="nil"/>
              <w:right w:val="single" w:sz="4" w:space="0" w:color="auto"/>
            </w:tcBorders>
            <w:shd w:val="clear" w:color="auto" w:fill="auto"/>
            <w:noWrap/>
            <w:vAlign w:val="center"/>
          </w:tcPr>
          <w:p w14:paraId="2C74C860" w14:textId="77777777" w:rsidR="00ED063B" w:rsidRPr="00A462DA" w:rsidRDefault="00ED063B" w:rsidP="00DA4159">
            <w:pPr>
              <w:spacing w:after="0" w:line="240" w:lineRule="auto"/>
              <w:jc w:val="right"/>
              <w:rPr>
                <w:rFonts w:eastAsia="Times New Roman"/>
                <w:sz w:val="20"/>
                <w:szCs w:val="20"/>
              </w:rPr>
            </w:pPr>
          </w:p>
        </w:tc>
        <w:tc>
          <w:tcPr>
            <w:tcW w:w="724" w:type="dxa"/>
            <w:tcBorders>
              <w:top w:val="nil"/>
              <w:left w:val="single" w:sz="4" w:space="0" w:color="auto"/>
              <w:bottom w:val="nil"/>
              <w:right w:val="double" w:sz="4" w:space="0" w:color="auto"/>
            </w:tcBorders>
            <w:shd w:val="clear" w:color="auto" w:fill="auto"/>
            <w:noWrap/>
            <w:vAlign w:val="center"/>
          </w:tcPr>
          <w:p w14:paraId="1737DBCD" w14:textId="77777777" w:rsidR="00ED063B" w:rsidRPr="00A462DA" w:rsidRDefault="00ED063B" w:rsidP="00DA4159">
            <w:pPr>
              <w:spacing w:after="0" w:line="240" w:lineRule="auto"/>
              <w:jc w:val="right"/>
              <w:rPr>
                <w:rFonts w:eastAsia="Times New Roman"/>
                <w:sz w:val="20"/>
                <w:szCs w:val="20"/>
              </w:rPr>
            </w:pPr>
          </w:p>
        </w:tc>
        <w:tc>
          <w:tcPr>
            <w:tcW w:w="810" w:type="dxa"/>
            <w:tcBorders>
              <w:top w:val="nil"/>
              <w:left w:val="single" w:sz="12" w:space="0" w:color="auto"/>
              <w:bottom w:val="nil"/>
              <w:right w:val="single" w:sz="4" w:space="0" w:color="auto"/>
            </w:tcBorders>
            <w:vAlign w:val="center"/>
          </w:tcPr>
          <w:p w14:paraId="54F8018B" w14:textId="77777777" w:rsidR="00ED063B" w:rsidRPr="00A462DA" w:rsidRDefault="00ED063B" w:rsidP="00DA4159">
            <w:pPr>
              <w:spacing w:after="0" w:line="240" w:lineRule="auto"/>
              <w:jc w:val="right"/>
              <w:rPr>
                <w:rFonts w:eastAsia="Times New Roman"/>
                <w:sz w:val="20"/>
                <w:szCs w:val="20"/>
              </w:rPr>
            </w:pPr>
          </w:p>
        </w:tc>
        <w:tc>
          <w:tcPr>
            <w:tcW w:w="720" w:type="dxa"/>
            <w:tcBorders>
              <w:top w:val="nil"/>
              <w:left w:val="single" w:sz="4" w:space="0" w:color="auto"/>
              <w:bottom w:val="nil"/>
              <w:right w:val="double" w:sz="4" w:space="0" w:color="auto"/>
            </w:tcBorders>
            <w:vAlign w:val="center"/>
          </w:tcPr>
          <w:p w14:paraId="49600291" w14:textId="77777777" w:rsidR="00ED063B" w:rsidRPr="00A462DA" w:rsidRDefault="00ED063B" w:rsidP="00DA4159">
            <w:pPr>
              <w:spacing w:after="0" w:line="240" w:lineRule="auto"/>
              <w:jc w:val="right"/>
              <w:rPr>
                <w:rFonts w:eastAsia="Times New Roman"/>
                <w:sz w:val="20"/>
                <w:szCs w:val="20"/>
              </w:rPr>
            </w:pPr>
          </w:p>
        </w:tc>
      </w:tr>
      <w:tr w:rsidR="00ED063B" w:rsidRPr="00A462DA" w14:paraId="1B1EB653" w14:textId="77777777" w:rsidTr="008B31DB">
        <w:trPr>
          <w:trHeight w:val="274"/>
          <w:jc w:val="center"/>
        </w:trPr>
        <w:tc>
          <w:tcPr>
            <w:tcW w:w="5310" w:type="dxa"/>
            <w:tcBorders>
              <w:top w:val="nil"/>
              <w:left w:val="double" w:sz="4" w:space="0" w:color="auto"/>
              <w:bottom w:val="nil"/>
              <w:right w:val="double" w:sz="4" w:space="0" w:color="auto"/>
            </w:tcBorders>
            <w:shd w:val="clear" w:color="auto" w:fill="auto"/>
            <w:noWrap/>
            <w:vAlign w:val="center"/>
          </w:tcPr>
          <w:p w14:paraId="17978C31" w14:textId="77777777" w:rsidR="00ED063B" w:rsidRPr="00814E2F" w:rsidRDefault="00ED063B" w:rsidP="00DA4159">
            <w:pPr>
              <w:spacing w:after="0" w:line="240" w:lineRule="auto"/>
              <w:rPr>
                <w:rFonts w:eastAsia="Times New Roman"/>
                <w:sz w:val="19"/>
                <w:szCs w:val="19"/>
              </w:rPr>
            </w:pPr>
            <w:r w:rsidRPr="00814E2F">
              <w:rPr>
                <w:rFonts w:eastAsia="Times New Roman"/>
                <w:b/>
                <w:bCs/>
                <w:sz w:val="19"/>
                <w:szCs w:val="19"/>
              </w:rPr>
              <w:t xml:space="preserve"> </w:t>
            </w:r>
            <w:r w:rsidRPr="00814E2F">
              <w:rPr>
                <w:rFonts w:eastAsia="Times New Roman"/>
                <w:sz w:val="19"/>
                <w:szCs w:val="19"/>
              </w:rPr>
              <w:t xml:space="preserve"> Female</w:t>
            </w:r>
          </w:p>
        </w:tc>
        <w:tc>
          <w:tcPr>
            <w:tcW w:w="794" w:type="dxa"/>
            <w:tcBorders>
              <w:top w:val="nil"/>
              <w:left w:val="double" w:sz="4" w:space="0" w:color="auto"/>
              <w:bottom w:val="nil"/>
              <w:right w:val="single" w:sz="4" w:space="0" w:color="auto"/>
            </w:tcBorders>
            <w:shd w:val="clear" w:color="auto" w:fill="auto"/>
            <w:noWrap/>
            <w:vAlign w:val="center"/>
          </w:tcPr>
          <w:p w14:paraId="2BE9FC8F" w14:textId="77777777" w:rsidR="00ED063B" w:rsidRPr="00A462DA" w:rsidRDefault="00ED063B" w:rsidP="00DA4159">
            <w:pPr>
              <w:spacing w:after="0" w:line="240" w:lineRule="auto"/>
              <w:jc w:val="right"/>
              <w:rPr>
                <w:rFonts w:eastAsia="Times New Roman"/>
                <w:sz w:val="20"/>
                <w:szCs w:val="20"/>
              </w:rPr>
            </w:pPr>
            <w:r w:rsidRPr="00A462DA">
              <w:rPr>
                <w:rFonts w:eastAsia="Times New Roman"/>
                <w:sz w:val="20"/>
                <w:szCs w:val="20"/>
              </w:rPr>
              <w:t>--</w:t>
            </w:r>
          </w:p>
        </w:tc>
        <w:tc>
          <w:tcPr>
            <w:tcW w:w="720" w:type="dxa"/>
            <w:tcBorders>
              <w:top w:val="nil"/>
              <w:left w:val="single" w:sz="4" w:space="0" w:color="auto"/>
              <w:bottom w:val="nil"/>
              <w:right w:val="double" w:sz="4" w:space="0" w:color="auto"/>
            </w:tcBorders>
            <w:shd w:val="clear" w:color="auto" w:fill="auto"/>
            <w:noWrap/>
            <w:vAlign w:val="center"/>
          </w:tcPr>
          <w:p w14:paraId="4A8AD2BD" w14:textId="77777777" w:rsidR="00ED063B" w:rsidRPr="00A462DA" w:rsidRDefault="00ED063B" w:rsidP="00DA4159">
            <w:pPr>
              <w:spacing w:after="0" w:line="240" w:lineRule="auto"/>
              <w:jc w:val="right"/>
              <w:rPr>
                <w:rFonts w:eastAsia="Times New Roman"/>
                <w:sz w:val="20"/>
                <w:szCs w:val="20"/>
              </w:rPr>
            </w:pPr>
          </w:p>
        </w:tc>
        <w:tc>
          <w:tcPr>
            <w:tcW w:w="810" w:type="dxa"/>
            <w:tcBorders>
              <w:top w:val="nil"/>
              <w:left w:val="double" w:sz="4" w:space="0" w:color="auto"/>
              <w:bottom w:val="nil"/>
              <w:right w:val="single" w:sz="4" w:space="0" w:color="auto"/>
            </w:tcBorders>
            <w:shd w:val="clear" w:color="auto" w:fill="auto"/>
            <w:noWrap/>
            <w:vAlign w:val="center"/>
          </w:tcPr>
          <w:p w14:paraId="4AC37FDD" w14:textId="77777777" w:rsidR="00ED063B" w:rsidRPr="00A462DA" w:rsidRDefault="00ED063B" w:rsidP="00DA4159">
            <w:pPr>
              <w:spacing w:after="0" w:line="240" w:lineRule="auto"/>
              <w:jc w:val="right"/>
              <w:rPr>
                <w:color w:val="000000"/>
                <w:sz w:val="20"/>
                <w:szCs w:val="20"/>
              </w:rPr>
            </w:pPr>
            <w:r w:rsidRPr="00A462DA">
              <w:rPr>
                <w:color w:val="000000"/>
                <w:sz w:val="20"/>
                <w:szCs w:val="20"/>
              </w:rPr>
              <w:t>-0.178</w:t>
            </w:r>
          </w:p>
        </w:tc>
        <w:tc>
          <w:tcPr>
            <w:tcW w:w="724" w:type="dxa"/>
            <w:tcBorders>
              <w:top w:val="nil"/>
              <w:left w:val="single" w:sz="4" w:space="0" w:color="auto"/>
              <w:bottom w:val="nil"/>
              <w:right w:val="double" w:sz="4" w:space="0" w:color="auto"/>
            </w:tcBorders>
            <w:shd w:val="clear" w:color="auto" w:fill="auto"/>
            <w:noWrap/>
            <w:vAlign w:val="center"/>
          </w:tcPr>
          <w:p w14:paraId="490D2E02" w14:textId="77777777" w:rsidR="00ED063B" w:rsidRPr="00A462DA" w:rsidRDefault="00ED063B" w:rsidP="00DA4159">
            <w:pPr>
              <w:spacing w:after="0" w:line="240" w:lineRule="auto"/>
              <w:jc w:val="right"/>
              <w:rPr>
                <w:color w:val="000000"/>
                <w:sz w:val="20"/>
                <w:szCs w:val="20"/>
              </w:rPr>
            </w:pPr>
            <w:r w:rsidRPr="00A462DA">
              <w:rPr>
                <w:color w:val="000000"/>
                <w:sz w:val="20"/>
                <w:szCs w:val="20"/>
              </w:rPr>
              <w:t>-1.44</w:t>
            </w:r>
          </w:p>
        </w:tc>
        <w:tc>
          <w:tcPr>
            <w:tcW w:w="810" w:type="dxa"/>
            <w:tcBorders>
              <w:top w:val="nil"/>
              <w:left w:val="double" w:sz="4" w:space="0" w:color="auto"/>
              <w:bottom w:val="nil"/>
              <w:right w:val="single" w:sz="4" w:space="0" w:color="auto"/>
            </w:tcBorders>
            <w:vAlign w:val="center"/>
          </w:tcPr>
          <w:p w14:paraId="19AACBB6" w14:textId="77777777" w:rsidR="00ED063B" w:rsidRPr="00A462DA" w:rsidRDefault="00ED063B" w:rsidP="00DA4159">
            <w:pPr>
              <w:spacing w:after="0" w:line="240" w:lineRule="auto"/>
              <w:jc w:val="right"/>
              <w:rPr>
                <w:rFonts w:eastAsia="Times New Roman"/>
                <w:sz w:val="20"/>
                <w:szCs w:val="20"/>
              </w:rPr>
            </w:pPr>
            <w:r w:rsidRPr="00A462DA">
              <w:rPr>
                <w:sz w:val="20"/>
                <w:szCs w:val="20"/>
              </w:rPr>
              <w:t>--</w:t>
            </w:r>
          </w:p>
        </w:tc>
        <w:tc>
          <w:tcPr>
            <w:tcW w:w="720" w:type="dxa"/>
            <w:tcBorders>
              <w:top w:val="nil"/>
              <w:left w:val="single" w:sz="4" w:space="0" w:color="auto"/>
              <w:bottom w:val="nil"/>
              <w:right w:val="double" w:sz="4" w:space="0" w:color="auto"/>
            </w:tcBorders>
            <w:vAlign w:val="center"/>
          </w:tcPr>
          <w:p w14:paraId="4855B572" w14:textId="77777777" w:rsidR="00ED063B" w:rsidRPr="00A462DA" w:rsidRDefault="00ED063B" w:rsidP="00DA4159">
            <w:pPr>
              <w:spacing w:after="0" w:line="240" w:lineRule="auto"/>
              <w:jc w:val="right"/>
              <w:rPr>
                <w:rFonts w:eastAsia="Times New Roman"/>
                <w:sz w:val="20"/>
                <w:szCs w:val="20"/>
              </w:rPr>
            </w:pPr>
          </w:p>
        </w:tc>
      </w:tr>
      <w:tr w:rsidR="00ED063B" w:rsidRPr="00A462DA" w14:paraId="42AD0272" w14:textId="77777777" w:rsidTr="008B31DB">
        <w:trPr>
          <w:trHeight w:val="274"/>
          <w:jc w:val="center"/>
        </w:trPr>
        <w:tc>
          <w:tcPr>
            <w:tcW w:w="5310" w:type="dxa"/>
            <w:tcBorders>
              <w:top w:val="nil"/>
              <w:left w:val="double" w:sz="4" w:space="0" w:color="auto"/>
              <w:bottom w:val="nil"/>
              <w:right w:val="double" w:sz="4" w:space="0" w:color="auto"/>
            </w:tcBorders>
            <w:shd w:val="clear" w:color="auto" w:fill="auto"/>
            <w:noWrap/>
            <w:vAlign w:val="center"/>
          </w:tcPr>
          <w:p w14:paraId="044554D0" w14:textId="5538227C" w:rsidR="00ED063B" w:rsidRPr="00814E2F" w:rsidRDefault="00ED063B" w:rsidP="00DA4159">
            <w:pPr>
              <w:spacing w:after="0" w:line="240" w:lineRule="auto"/>
              <w:ind w:left="252" w:hanging="252"/>
              <w:rPr>
                <w:sz w:val="19"/>
                <w:szCs w:val="19"/>
              </w:rPr>
            </w:pPr>
            <w:r w:rsidRPr="00814E2F">
              <w:rPr>
                <w:sz w:val="19"/>
                <w:szCs w:val="19"/>
              </w:rPr>
              <w:t xml:space="preserve">  Female * Child(ren) aged 0 to 4 years * Does not  live with</w:t>
            </w:r>
            <w:r w:rsidR="00814E2F">
              <w:rPr>
                <w:sz w:val="19"/>
                <w:szCs w:val="19"/>
              </w:rPr>
              <w:t xml:space="preserve"> </w:t>
            </w:r>
            <w:r w:rsidRPr="00814E2F">
              <w:rPr>
                <w:sz w:val="19"/>
                <w:szCs w:val="19"/>
              </w:rPr>
              <w:t>partner</w:t>
            </w:r>
          </w:p>
        </w:tc>
        <w:tc>
          <w:tcPr>
            <w:tcW w:w="794" w:type="dxa"/>
            <w:tcBorders>
              <w:top w:val="nil"/>
              <w:left w:val="double" w:sz="4" w:space="0" w:color="auto"/>
              <w:bottom w:val="nil"/>
              <w:right w:val="single" w:sz="4" w:space="0" w:color="auto"/>
            </w:tcBorders>
            <w:shd w:val="clear" w:color="auto" w:fill="auto"/>
            <w:noWrap/>
            <w:vAlign w:val="center"/>
          </w:tcPr>
          <w:p w14:paraId="72D36E0D" w14:textId="77777777" w:rsidR="00ED063B" w:rsidRPr="00A462DA" w:rsidRDefault="00ED063B" w:rsidP="00DA4159">
            <w:pPr>
              <w:spacing w:after="0" w:line="240" w:lineRule="auto"/>
              <w:jc w:val="right"/>
              <w:rPr>
                <w:color w:val="000000"/>
                <w:sz w:val="20"/>
                <w:szCs w:val="20"/>
              </w:rPr>
            </w:pPr>
            <w:r w:rsidRPr="00A462DA">
              <w:rPr>
                <w:color w:val="000000"/>
                <w:sz w:val="20"/>
                <w:szCs w:val="20"/>
              </w:rPr>
              <w:t>2.742</w:t>
            </w:r>
          </w:p>
        </w:tc>
        <w:tc>
          <w:tcPr>
            <w:tcW w:w="720" w:type="dxa"/>
            <w:tcBorders>
              <w:top w:val="nil"/>
              <w:left w:val="single" w:sz="4" w:space="0" w:color="auto"/>
              <w:bottom w:val="nil"/>
              <w:right w:val="double" w:sz="4" w:space="0" w:color="auto"/>
            </w:tcBorders>
            <w:shd w:val="clear" w:color="auto" w:fill="auto"/>
            <w:noWrap/>
            <w:vAlign w:val="center"/>
          </w:tcPr>
          <w:p w14:paraId="3431D54B" w14:textId="77777777" w:rsidR="00ED063B" w:rsidRPr="00A462DA" w:rsidRDefault="00ED063B" w:rsidP="00DA4159">
            <w:pPr>
              <w:spacing w:after="0" w:line="240" w:lineRule="auto"/>
              <w:jc w:val="right"/>
              <w:rPr>
                <w:color w:val="000000"/>
                <w:sz w:val="20"/>
                <w:szCs w:val="20"/>
              </w:rPr>
            </w:pPr>
            <w:r w:rsidRPr="00A462DA">
              <w:rPr>
                <w:color w:val="000000"/>
                <w:sz w:val="20"/>
                <w:szCs w:val="20"/>
              </w:rPr>
              <w:t>2.44</w:t>
            </w:r>
          </w:p>
        </w:tc>
        <w:tc>
          <w:tcPr>
            <w:tcW w:w="810" w:type="dxa"/>
            <w:tcBorders>
              <w:top w:val="nil"/>
              <w:left w:val="double" w:sz="4" w:space="0" w:color="auto"/>
              <w:bottom w:val="nil"/>
              <w:right w:val="single" w:sz="4" w:space="0" w:color="auto"/>
            </w:tcBorders>
            <w:shd w:val="clear" w:color="auto" w:fill="auto"/>
            <w:noWrap/>
            <w:vAlign w:val="center"/>
          </w:tcPr>
          <w:p w14:paraId="76D07FBA" w14:textId="77777777" w:rsidR="00ED063B" w:rsidRPr="00A462DA" w:rsidRDefault="00ED063B" w:rsidP="00DA4159">
            <w:pPr>
              <w:spacing w:after="0" w:line="240" w:lineRule="auto"/>
              <w:jc w:val="right"/>
              <w:rPr>
                <w:sz w:val="20"/>
                <w:szCs w:val="20"/>
              </w:rPr>
            </w:pPr>
            <w:r w:rsidRPr="00A462DA">
              <w:rPr>
                <w:sz w:val="20"/>
                <w:szCs w:val="20"/>
              </w:rPr>
              <w:t>--</w:t>
            </w:r>
          </w:p>
        </w:tc>
        <w:tc>
          <w:tcPr>
            <w:tcW w:w="724" w:type="dxa"/>
            <w:tcBorders>
              <w:top w:val="nil"/>
              <w:left w:val="single" w:sz="4" w:space="0" w:color="auto"/>
              <w:bottom w:val="nil"/>
              <w:right w:val="double" w:sz="4" w:space="0" w:color="auto"/>
            </w:tcBorders>
            <w:shd w:val="clear" w:color="auto" w:fill="auto"/>
            <w:noWrap/>
            <w:vAlign w:val="center"/>
          </w:tcPr>
          <w:p w14:paraId="37C0E879" w14:textId="77777777" w:rsidR="00ED063B" w:rsidRPr="00A462DA" w:rsidRDefault="00ED063B" w:rsidP="00DA4159">
            <w:pPr>
              <w:spacing w:after="0" w:line="240" w:lineRule="auto"/>
              <w:jc w:val="right"/>
              <w:rPr>
                <w:sz w:val="20"/>
                <w:szCs w:val="20"/>
              </w:rPr>
            </w:pPr>
          </w:p>
        </w:tc>
        <w:tc>
          <w:tcPr>
            <w:tcW w:w="810" w:type="dxa"/>
            <w:tcBorders>
              <w:top w:val="nil"/>
              <w:left w:val="double" w:sz="4" w:space="0" w:color="auto"/>
              <w:bottom w:val="nil"/>
              <w:right w:val="single" w:sz="4" w:space="0" w:color="auto"/>
            </w:tcBorders>
            <w:vAlign w:val="center"/>
          </w:tcPr>
          <w:p w14:paraId="7EA344FE" w14:textId="77777777" w:rsidR="00ED063B" w:rsidRPr="00A462DA" w:rsidRDefault="00ED063B" w:rsidP="00DA4159">
            <w:pPr>
              <w:spacing w:after="0" w:line="240" w:lineRule="auto"/>
              <w:jc w:val="right"/>
              <w:rPr>
                <w:color w:val="FF0000"/>
                <w:sz w:val="20"/>
                <w:szCs w:val="20"/>
              </w:rPr>
            </w:pPr>
            <w:r w:rsidRPr="00A462DA">
              <w:rPr>
                <w:sz w:val="20"/>
                <w:szCs w:val="20"/>
              </w:rPr>
              <w:t>--</w:t>
            </w:r>
          </w:p>
        </w:tc>
        <w:tc>
          <w:tcPr>
            <w:tcW w:w="720" w:type="dxa"/>
            <w:tcBorders>
              <w:top w:val="nil"/>
              <w:left w:val="single" w:sz="4" w:space="0" w:color="auto"/>
              <w:bottom w:val="nil"/>
              <w:right w:val="double" w:sz="4" w:space="0" w:color="auto"/>
            </w:tcBorders>
            <w:vAlign w:val="center"/>
          </w:tcPr>
          <w:p w14:paraId="589AB8B6" w14:textId="77777777" w:rsidR="00ED063B" w:rsidRPr="00A462DA" w:rsidRDefault="00ED063B" w:rsidP="00DA4159">
            <w:pPr>
              <w:spacing w:after="0" w:line="240" w:lineRule="auto"/>
              <w:jc w:val="right"/>
              <w:rPr>
                <w:color w:val="FF0000"/>
                <w:sz w:val="20"/>
                <w:szCs w:val="20"/>
              </w:rPr>
            </w:pPr>
          </w:p>
        </w:tc>
      </w:tr>
      <w:tr w:rsidR="00ED063B" w:rsidRPr="00A462DA" w14:paraId="367DDC32" w14:textId="77777777" w:rsidTr="008B31DB">
        <w:trPr>
          <w:trHeight w:val="274"/>
          <w:jc w:val="center"/>
        </w:trPr>
        <w:tc>
          <w:tcPr>
            <w:tcW w:w="5310" w:type="dxa"/>
            <w:tcBorders>
              <w:top w:val="nil"/>
              <w:left w:val="double" w:sz="4" w:space="0" w:color="auto"/>
              <w:bottom w:val="nil"/>
              <w:right w:val="double" w:sz="4" w:space="0" w:color="auto"/>
            </w:tcBorders>
            <w:shd w:val="clear" w:color="auto" w:fill="auto"/>
            <w:noWrap/>
            <w:vAlign w:val="center"/>
          </w:tcPr>
          <w:p w14:paraId="7A0005ED" w14:textId="5358BF2E" w:rsidR="00ED063B" w:rsidRPr="00814E2F" w:rsidRDefault="00ED063B" w:rsidP="00DA4159">
            <w:pPr>
              <w:spacing w:after="0" w:line="240" w:lineRule="auto"/>
              <w:rPr>
                <w:sz w:val="19"/>
                <w:szCs w:val="19"/>
              </w:rPr>
            </w:pPr>
            <w:r w:rsidRPr="00814E2F">
              <w:rPr>
                <w:sz w:val="19"/>
                <w:szCs w:val="19"/>
              </w:rPr>
              <w:t xml:space="preserve">  Female * Child(ren) aged 0 to 4 years * Lives with partner</w:t>
            </w:r>
          </w:p>
        </w:tc>
        <w:tc>
          <w:tcPr>
            <w:tcW w:w="794" w:type="dxa"/>
            <w:tcBorders>
              <w:top w:val="nil"/>
              <w:left w:val="double" w:sz="4" w:space="0" w:color="auto"/>
              <w:bottom w:val="nil"/>
              <w:right w:val="single" w:sz="4" w:space="0" w:color="auto"/>
            </w:tcBorders>
            <w:shd w:val="clear" w:color="auto" w:fill="auto"/>
            <w:noWrap/>
            <w:vAlign w:val="center"/>
          </w:tcPr>
          <w:p w14:paraId="6DF057C6" w14:textId="77777777" w:rsidR="00ED063B" w:rsidRPr="00A462DA" w:rsidRDefault="00ED063B" w:rsidP="00DA4159">
            <w:pPr>
              <w:spacing w:after="0" w:line="240" w:lineRule="auto"/>
              <w:jc w:val="right"/>
              <w:rPr>
                <w:sz w:val="20"/>
                <w:szCs w:val="20"/>
              </w:rPr>
            </w:pPr>
            <w:r w:rsidRPr="00A462DA">
              <w:rPr>
                <w:sz w:val="20"/>
                <w:szCs w:val="20"/>
              </w:rPr>
              <w:t>--</w:t>
            </w:r>
          </w:p>
        </w:tc>
        <w:tc>
          <w:tcPr>
            <w:tcW w:w="720" w:type="dxa"/>
            <w:tcBorders>
              <w:top w:val="nil"/>
              <w:left w:val="single" w:sz="4" w:space="0" w:color="auto"/>
              <w:bottom w:val="nil"/>
              <w:right w:val="double" w:sz="4" w:space="0" w:color="auto"/>
            </w:tcBorders>
            <w:shd w:val="clear" w:color="auto" w:fill="auto"/>
            <w:noWrap/>
            <w:vAlign w:val="center"/>
          </w:tcPr>
          <w:p w14:paraId="38642F75" w14:textId="77777777" w:rsidR="00ED063B" w:rsidRPr="00A462DA" w:rsidRDefault="00ED063B" w:rsidP="00DA4159">
            <w:pPr>
              <w:spacing w:after="0" w:line="240" w:lineRule="auto"/>
              <w:jc w:val="right"/>
              <w:rPr>
                <w:sz w:val="20"/>
                <w:szCs w:val="20"/>
              </w:rPr>
            </w:pPr>
          </w:p>
        </w:tc>
        <w:tc>
          <w:tcPr>
            <w:tcW w:w="810" w:type="dxa"/>
            <w:tcBorders>
              <w:top w:val="nil"/>
              <w:left w:val="double" w:sz="4" w:space="0" w:color="auto"/>
              <w:bottom w:val="nil"/>
              <w:right w:val="single" w:sz="4" w:space="0" w:color="auto"/>
            </w:tcBorders>
            <w:shd w:val="clear" w:color="auto" w:fill="auto"/>
            <w:noWrap/>
            <w:vAlign w:val="center"/>
          </w:tcPr>
          <w:p w14:paraId="767D5DF6" w14:textId="77777777" w:rsidR="00ED063B" w:rsidRPr="00A462DA" w:rsidRDefault="00ED063B" w:rsidP="00DA4159">
            <w:pPr>
              <w:spacing w:after="0" w:line="240" w:lineRule="auto"/>
              <w:jc w:val="right"/>
              <w:rPr>
                <w:sz w:val="20"/>
                <w:szCs w:val="20"/>
              </w:rPr>
            </w:pPr>
            <w:r w:rsidRPr="00A462DA">
              <w:rPr>
                <w:sz w:val="20"/>
                <w:szCs w:val="20"/>
              </w:rPr>
              <w:t>--</w:t>
            </w:r>
          </w:p>
        </w:tc>
        <w:tc>
          <w:tcPr>
            <w:tcW w:w="724" w:type="dxa"/>
            <w:tcBorders>
              <w:top w:val="nil"/>
              <w:left w:val="single" w:sz="4" w:space="0" w:color="auto"/>
              <w:bottom w:val="nil"/>
              <w:right w:val="double" w:sz="4" w:space="0" w:color="auto"/>
            </w:tcBorders>
            <w:shd w:val="clear" w:color="auto" w:fill="auto"/>
            <w:noWrap/>
            <w:vAlign w:val="center"/>
          </w:tcPr>
          <w:p w14:paraId="428AAAFE" w14:textId="77777777" w:rsidR="00ED063B" w:rsidRPr="00A462DA" w:rsidRDefault="00ED063B" w:rsidP="00DA4159">
            <w:pPr>
              <w:spacing w:after="0" w:line="240" w:lineRule="auto"/>
              <w:jc w:val="right"/>
              <w:rPr>
                <w:sz w:val="20"/>
                <w:szCs w:val="20"/>
              </w:rPr>
            </w:pPr>
          </w:p>
        </w:tc>
        <w:tc>
          <w:tcPr>
            <w:tcW w:w="810" w:type="dxa"/>
            <w:tcBorders>
              <w:top w:val="nil"/>
              <w:left w:val="double" w:sz="4" w:space="0" w:color="auto"/>
              <w:bottom w:val="nil"/>
              <w:right w:val="single" w:sz="4" w:space="0" w:color="auto"/>
            </w:tcBorders>
            <w:vAlign w:val="center"/>
          </w:tcPr>
          <w:p w14:paraId="5CCE993B" w14:textId="77777777" w:rsidR="00ED063B" w:rsidRPr="00A462DA" w:rsidRDefault="00ED063B" w:rsidP="00DA4159">
            <w:pPr>
              <w:spacing w:after="0" w:line="240" w:lineRule="auto"/>
              <w:jc w:val="right"/>
              <w:rPr>
                <w:color w:val="000000"/>
                <w:sz w:val="20"/>
                <w:szCs w:val="20"/>
              </w:rPr>
            </w:pPr>
            <w:r w:rsidRPr="00A462DA">
              <w:rPr>
                <w:color w:val="000000"/>
                <w:sz w:val="20"/>
                <w:szCs w:val="20"/>
              </w:rPr>
              <w:t>0.466</w:t>
            </w:r>
          </w:p>
        </w:tc>
        <w:tc>
          <w:tcPr>
            <w:tcW w:w="720" w:type="dxa"/>
            <w:tcBorders>
              <w:top w:val="nil"/>
              <w:left w:val="single" w:sz="4" w:space="0" w:color="auto"/>
              <w:bottom w:val="nil"/>
              <w:right w:val="double" w:sz="4" w:space="0" w:color="auto"/>
            </w:tcBorders>
            <w:vAlign w:val="center"/>
          </w:tcPr>
          <w:p w14:paraId="7CD946CB" w14:textId="77777777" w:rsidR="00ED063B" w:rsidRPr="00A462DA" w:rsidRDefault="00ED063B" w:rsidP="00DA4159">
            <w:pPr>
              <w:spacing w:after="0" w:line="240" w:lineRule="auto"/>
              <w:jc w:val="right"/>
              <w:rPr>
                <w:color w:val="000000"/>
                <w:sz w:val="20"/>
                <w:szCs w:val="20"/>
              </w:rPr>
            </w:pPr>
            <w:r w:rsidRPr="00A462DA">
              <w:rPr>
                <w:color w:val="000000"/>
                <w:sz w:val="20"/>
                <w:szCs w:val="20"/>
              </w:rPr>
              <w:t>1.60</w:t>
            </w:r>
          </w:p>
        </w:tc>
      </w:tr>
      <w:tr w:rsidR="00ED063B" w:rsidRPr="00A462DA" w14:paraId="3B83791B" w14:textId="77777777" w:rsidTr="008B31DB">
        <w:trPr>
          <w:trHeight w:val="274"/>
          <w:jc w:val="center"/>
        </w:trPr>
        <w:tc>
          <w:tcPr>
            <w:tcW w:w="5310" w:type="dxa"/>
            <w:tcBorders>
              <w:top w:val="nil"/>
              <w:left w:val="double" w:sz="4" w:space="0" w:color="auto"/>
              <w:bottom w:val="nil"/>
              <w:right w:val="double" w:sz="4" w:space="0" w:color="auto"/>
            </w:tcBorders>
            <w:shd w:val="clear" w:color="auto" w:fill="auto"/>
            <w:noWrap/>
            <w:vAlign w:val="center"/>
          </w:tcPr>
          <w:p w14:paraId="15754D26" w14:textId="77777777" w:rsidR="00ED063B" w:rsidRPr="00814E2F" w:rsidRDefault="00ED063B" w:rsidP="00DA4159">
            <w:pPr>
              <w:spacing w:after="0" w:line="240" w:lineRule="auto"/>
              <w:ind w:left="72"/>
              <w:rPr>
                <w:sz w:val="19"/>
                <w:szCs w:val="19"/>
              </w:rPr>
            </w:pPr>
            <w:r w:rsidRPr="00814E2F">
              <w:rPr>
                <w:sz w:val="19"/>
                <w:szCs w:val="19"/>
              </w:rPr>
              <w:t>Lives with partner</w:t>
            </w:r>
          </w:p>
        </w:tc>
        <w:tc>
          <w:tcPr>
            <w:tcW w:w="794" w:type="dxa"/>
            <w:tcBorders>
              <w:top w:val="nil"/>
              <w:left w:val="double" w:sz="4" w:space="0" w:color="auto"/>
              <w:bottom w:val="nil"/>
              <w:right w:val="single" w:sz="4" w:space="0" w:color="auto"/>
            </w:tcBorders>
            <w:shd w:val="clear" w:color="auto" w:fill="auto"/>
            <w:noWrap/>
            <w:vAlign w:val="center"/>
          </w:tcPr>
          <w:p w14:paraId="501D5C42" w14:textId="77777777" w:rsidR="00ED063B" w:rsidRPr="00A462DA" w:rsidRDefault="00ED063B" w:rsidP="00DA4159">
            <w:pPr>
              <w:spacing w:after="0" w:line="240" w:lineRule="auto"/>
              <w:jc w:val="right"/>
              <w:rPr>
                <w:sz w:val="20"/>
                <w:szCs w:val="20"/>
              </w:rPr>
            </w:pPr>
            <w:r w:rsidRPr="00A462DA">
              <w:rPr>
                <w:sz w:val="20"/>
                <w:szCs w:val="20"/>
              </w:rPr>
              <w:t>--</w:t>
            </w:r>
          </w:p>
        </w:tc>
        <w:tc>
          <w:tcPr>
            <w:tcW w:w="720" w:type="dxa"/>
            <w:tcBorders>
              <w:top w:val="nil"/>
              <w:left w:val="single" w:sz="4" w:space="0" w:color="auto"/>
              <w:bottom w:val="nil"/>
              <w:right w:val="double" w:sz="4" w:space="0" w:color="auto"/>
            </w:tcBorders>
            <w:shd w:val="clear" w:color="auto" w:fill="auto"/>
            <w:noWrap/>
            <w:vAlign w:val="center"/>
          </w:tcPr>
          <w:p w14:paraId="11692553" w14:textId="77777777" w:rsidR="00ED063B" w:rsidRPr="00A462DA" w:rsidRDefault="00ED063B" w:rsidP="00DA4159">
            <w:pPr>
              <w:spacing w:after="0" w:line="240" w:lineRule="auto"/>
              <w:jc w:val="right"/>
              <w:rPr>
                <w:sz w:val="20"/>
                <w:szCs w:val="20"/>
              </w:rPr>
            </w:pPr>
          </w:p>
        </w:tc>
        <w:tc>
          <w:tcPr>
            <w:tcW w:w="810" w:type="dxa"/>
            <w:tcBorders>
              <w:top w:val="nil"/>
              <w:left w:val="double" w:sz="4" w:space="0" w:color="auto"/>
              <w:bottom w:val="nil"/>
              <w:right w:val="single" w:sz="4" w:space="0" w:color="auto"/>
            </w:tcBorders>
            <w:shd w:val="clear" w:color="auto" w:fill="auto"/>
            <w:noWrap/>
            <w:vAlign w:val="center"/>
          </w:tcPr>
          <w:p w14:paraId="09C9905C" w14:textId="77777777" w:rsidR="00ED063B" w:rsidRPr="00A462DA" w:rsidRDefault="00ED063B" w:rsidP="00DA4159">
            <w:pPr>
              <w:spacing w:after="0" w:line="240" w:lineRule="auto"/>
              <w:jc w:val="right"/>
              <w:rPr>
                <w:sz w:val="20"/>
                <w:szCs w:val="20"/>
              </w:rPr>
            </w:pPr>
            <w:r w:rsidRPr="00A462DA">
              <w:rPr>
                <w:sz w:val="20"/>
                <w:szCs w:val="20"/>
              </w:rPr>
              <w:t>--</w:t>
            </w:r>
          </w:p>
        </w:tc>
        <w:tc>
          <w:tcPr>
            <w:tcW w:w="724" w:type="dxa"/>
            <w:tcBorders>
              <w:top w:val="nil"/>
              <w:left w:val="single" w:sz="4" w:space="0" w:color="auto"/>
              <w:bottom w:val="nil"/>
              <w:right w:val="double" w:sz="4" w:space="0" w:color="auto"/>
            </w:tcBorders>
            <w:shd w:val="clear" w:color="auto" w:fill="auto"/>
            <w:noWrap/>
            <w:vAlign w:val="center"/>
          </w:tcPr>
          <w:p w14:paraId="14B3DD89" w14:textId="77777777" w:rsidR="00ED063B" w:rsidRPr="00A462DA" w:rsidRDefault="00ED063B" w:rsidP="00DA4159">
            <w:pPr>
              <w:spacing w:after="0" w:line="240" w:lineRule="auto"/>
              <w:jc w:val="right"/>
              <w:rPr>
                <w:sz w:val="20"/>
                <w:szCs w:val="20"/>
              </w:rPr>
            </w:pPr>
          </w:p>
        </w:tc>
        <w:tc>
          <w:tcPr>
            <w:tcW w:w="810" w:type="dxa"/>
            <w:tcBorders>
              <w:top w:val="nil"/>
              <w:left w:val="double" w:sz="4" w:space="0" w:color="auto"/>
              <w:bottom w:val="nil"/>
              <w:right w:val="single" w:sz="4" w:space="0" w:color="auto"/>
            </w:tcBorders>
            <w:vAlign w:val="center"/>
          </w:tcPr>
          <w:p w14:paraId="53468884" w14:textId="77777777" w:rsidR="00ED063B" w:rsidRPr="00A462DA" w:rsidRDefault="00ED063B" w:rsidP="00DA4159">
            <w:pPr>
              <w:spacing w:after="0" w:line="240" w:lineRule="auto"/>
              <w:jc w:val="right"/>
              <w:rPr>
                <w:color w:val="000000"/>
                <w:sz w:val="20"/>
                <w:szCs w:val="20"/>
              </w:rPr>
            </w:pPr>
            <w:r w:rsidRPr="00A462DA">
              <w:rPr>
                <w:color w:val="000000"/>
                <w:sz w:val="20"/>
                <w:szCs w:val="20"/>
              </w:rPr>
              <w:t>-0.320</w:t>
            </w:r>
          </w:p>
        </w:tc>
        <w:tc>
          <w:tcPr>
            <w:tcW w:w="720" w:type="dxa"/>
            <w:tcBorders>
              <w:top w:val="nil"/>
              <w:left w:val="single" w:sz="4" w:space="0" w:color="auto"/>
              <w:bottom w:val="nil"/>
              <w:right w:val="double" w:sz="4" w:space="0" w:color="auto"/>
            </w:tcBorders>
            <w:vAlign w:val="center"/>
          </w:tcPr>
          <w:p w14:paraId="53F00F30" w14:textId="77777777" w:rsidR="00ED063B" w:rsidRPr="00A462DA" w:rsidRDefault="00ED063B" w:rsidP="00DA4159">
            <w:pPr>
              <w:spacing w:after="0" w:line="240" w:lineRule="auto"/>
              <w:jc w:val="right"/>
              <w:rPr>
                <w:color w:val="000000"/>
                <w:sz w:val="20"/>
                <w:szCs w:val="20"/>
              </w:rPr>
            </w:pPr>
            <w:r w:rsidRPr="00A462DA">
              <w:rPr>
                <w:color w:val="000000"/>
                <w:sz w:val="20"/>
                <w:szCs w:val="20"/>
              </w:rPr>
              <w:t>-2.43</w:t>
            </w:r>
          </w:p>
        </w:tc>
      </w:tr>
      <w:tr w:rsidR="00ED063B" w:rsidRPr="00A462DA" w14:paraId="3CEE2707" w14:textId="77777777" w:rsidTr="008B31DB">
        <w:trPr>
          <w:trHeight w:val="274"/>
          <w:jc w:val="center"/>
        </w:trPr>
        <w:tc>
          <w:tcPr>
            <w:tcW w:w="5310" w:type="dxa"/>
            <w:tcBorders>
              <w:top w:val="nil"/>
              <w:left w:val="double" w:sz="4" w:space="0" w:color="auto"/>
              <w:bottom w:val="nil"/>
              <w:right w:val="double" w:sz="4" w:space="0" w:color="auto"/>
            </w:tcBorders>
            <w:shd w:val="clear" w:color="auto" w:fill="auto"/>
            <w:noWrap/>
            <w:vAlign w:val="center"/>
          </w:tcPr>
          <w:p w14:paraId="3DC9E464" w14:textId="77777777" w:rsidR="00ED063B" w:rsidRPr="00814E2F" w:rsidRDefault="00ED063B" w:rsidP="00DA4159">
            <w:pPr>
              <w:spacing w:after="0" w:line="240" w:lineRule="auto"/>
              <w:ind w:left="252" w:hanging="180"/>
              <w:rPr>
                <w:sz w:val="19"/>
                <w:szCs w:val="19"/>
              </w:rPr>
            </w:pPr>
            <w:r w:rsidRPr="00814E2F">
              <w:rPr>
                <w:sz w:val="19"/>
                <w:szCs w:val="19"/>
              </w:rPr>
              <w:t>Presence of child(ren) 13 to 17 years</w:t>
            </w:r>
          </w:p>
        </w:tc>
        <w:tc>
          <w:tcPr>
            <w:tcW w:w="794" w:type="dxa"/>
            <w:tcBorders>
              <w:top w:val="nil"/>
              <w:left w:val="double" w:sz="4" w:space="0" w:color="auto"/>
              <w:bottom w:val="nil"/>
              <w:right w:val="single" w:sz="4" w:space="0" w:color="auto"/>
            </w:tcBorders>
            <w:shd w:val="clear" w:color="auto" w:fill="auto"/>
            <w:noWrap/>
            <w:vAlign w:val="center"/>
          </w:tcPr>
          <w:p w14:paraId="054B932B" w14:textId="77777777" w:rsidR="00ED063B" w:rsidRPr="00A462DA" w:rsidRDefault="00ED063B" w:rsidP="00DA4159">
            <w:pPr>
              <w:spacing w:after="0" w:line="240" w:lineRule="auto"/>
              <w:jc w:val="right"/>
              <w:rPr>
                <w:sz w:val="20"/>
                <w:szCs w:val="20"/>
              </w:rPr>
            </w:pPr>
            <w:r w:rsidRPr="00A462DA">
              <w:rPr>
                <w:sz w:val="20"/>
                <w:szCs w:val="20"/>
              </w:rPr>
              <w:t>--</w:t>
            </w:r>
          </w:p>
        </w:tc>
        <w:tc>
          <w:tcPr>
            <w:tcW w:w="720" w:type="dxa"/>
            <w:tcBorders>
              <w:top w:val="nil"/>
              <w:left w:val="single" w:sz="4" w:space="0" w:color="auto"/>
              <w:bottom w:val="nil"/>
              <w:right w:val="double" w:sz="4" w:space="0" w:color="auto"/>
            </w:tcBorders>
            <w:shd w:val="clear" w:color="auto" w:fill="auto"/>
            <w:noWrap/>
            <w:vAlign w:val="center"/>
          </w:tcPr>
          <w:p w14:paraId="3F598CFF" w14:textId="77777777" w:rsidR="00ED063B" w:rsidRPr="00A462DA" w:rsidRDefault="00ED063B" w:rsidP="00DA4159">
            <w:pPr>
              <w:spacing w:after="0" w:line="240" w:lineRule="auto"/>
              <w:jc w:val="right"/>
              <w:rPr>
                <w:sz w:val="20"/>
                <w:szCs w:val="20"/>
              </w:rPr>
            </w:pPr>
          </w:p>
        </w:tc>
        <w:tc>
          <w:tcPr>
            <w:tcW w:w="810" w:type="dxa"/>
            <w:tcBorders>
              <w:top w:val="nil"/>
              <w:left w:val="double" w:sz="4" w:space="0" w:color="auto"/>
              <w:bottom w:val="nil"/>
              <w:right w:val="single" w:sz="4" w:space="0" w:color="auto"/>
            </w:tcBorders>
            <w:shd w:val="clear" w:color="auto" w:fill="auto"/>
            <w:noWrap/>
            <w:vAlign w:val="center"/>
          </w:tcPr>
          <w:p w14:paraId="6982EB33" w14:textId="77777777" w:rsidR="00ED063B" w:rsidRPr="00A462DA" w:rsidRDefault="00ED063B" w:rsidP="00DA4159">
            <w:pPr>
              <w:spacing w:after="0" w:line="240" w:lineRule="auto"/>
              <w:jc w:val="right"/>
              <w:rPr>
                <w:sz w:val="20"/>
                <w:szCs w:val="20"/>
              </w:rPr>
            </w:pPr>
            <w:r w:rsidRPr="00A462DA">
              <w:rPr>
                <w:sz w:val="20"/>
                <w:szCs w:val="20"/>
              </w:rPr>
              <w:t>--</w:t>
            </w:r>
          </w:p>
        </w:tc>
        <w:tc>
          <w:tcPr>
            <w:tcW w:w="724" w:type="dxa"/>
            <w:tcBorders>
              <w:top w:val="nil"/>
              <w:left w:val="single" w:sz="4" w:space="0" w:color="auto"/>
              <w:bottom w:val="nil"/>
              <w:right w:val="double" w:sz="4" w:space="0" w:color="auto"/>
            </w:tcBorders>
            <w:shd w:val="clear" w:color="auto" w:fill="auto"/>
            <w:noWrap/>
            <w:vAlign w:val="center"/>
          </w:tcPr>
          <w:p w14:paraId="5E85F830" w14:textId="77777777" w:rsidR="00ED063B" w:rsidRPr="00A462DA" w:rsidRDefault="00ED063B" w:rsidP="00DA4159">
            <w:pPr>
              <w:spacing w:after="0" w:line="240" w:lineRule="auto"/>
              <w:jc w:val="right"/>
              <w:rPr>
                <w:sz w:val="20"/>
                <w:szCs w:val="20"/>
              </w:rPr>
            </w:pPr>
          </w:p>
        </w:tc>
        <w:tc>
          <w:tcPr>
            <w:tcW w:w="810" w:type="dxa"/>
            <w:tcBorders>
              <w:top w:val="nil"/>
              <w:left w:val="double" w:sz="4" w:space="0" w:color="auto"/>
              <w:bottom w:val="nil"/>
              <w:right w:val="single" w:sz="4" w:space="0" w:color="auto"/>
            </w:tcBorders>
            <w:vAlign w:val="center"/>
          </w:tcPr>
          <w:p w14:paraId="548F4285" w14:textId="77777777" w:rsidR="00ED063B" w:rsidRPr="00A462DA" w:rsidRDefault="00ED063B" w:rsidP="00DA4159">
            <w:pPr>
              <w:spacing w:after="0" w:line="240" w:lineRule="auto"/>
              <w:jc w:val="right"/>
              <w:rPr>
                <w:color w:val="000000"/>
                <w:sz w:val="20"/>
                <w:szCs w:val="20"/>
              </w:rPr>
            </w:pPr>
            <w:r w:rsidRPr="00A462DA">
              <w:rPr>
                <w:color w:val="000000"/>
                <w:sz w:val="20"/>
                <w:szCs w:val="20"/>
              </w:rPr>
              <w:t>0.363</w:t>
            </w:r>
          </w:p>
        </w:tc>
        <w:tc>
          <w:tcPr>
            <w:tcW w:w="720" w:type="dxa"/>
            <w:tcBorders>
              <w:top w:val="nil"/>
              <w:left w:val="single" w:sz="4" w:space="0" w:color="auto"/>
              <w:bottom w:val="nil"/>
              <w:right w:val="double" w:sz="4" w:space="0" w:color="auto"/>
            </w:tcBorders>
            <w:vAlign w:val="center"/>
          </w:tcPr>
          <w:p w14:paraId="16F7D68A" w14:textId="77777777" w:rsidR="00ED063B" w:rsidRPr="00A462DA" w:rsidRDefault="00ED063B" w:rsidP="00DA4159">
            <w:pPr>
              <w:spacing w:after="0" w:line="240" w:lineRule="auto"/>
              <w:jc w:val="right"/>
              <w:rPr>
                <w:color w:val="000000"/>
                <w:sz w:val="20"/>
                <w:szCs w:val="20"/>
              </w:rPr>
            </w:pPr>
            <w:r w:rsidRPr="00A462DA">
              <w:rPr>
                <w:color w:val="000000"/>
                <w:sz w:val="20"/>
                <w:szCs w:val="20"/>
              </w:rPr>
              <w:t>2.17</w:t>
            </w:r>
          </w:p>
        </w:tc>
      </w:tr>
      <w:tr w:rsidR="00ED063B" w:rsidRPr="00A462DA" w14:paraId="77A12397" w14:textId="77777777" w:rsidTr="008B31DB">
        <w:trPr>
          <w:trHeight w:val="274"/>
          <w:jc w:val="center"/>
        </w:trPr>
        <w:tc>
          <w:tcPr>
            <w:tcW w:w="5310" w:type="dxa"/>
            <w:tcBorders>
              <w:top w:val="nil"/>
              <w:left w:val="double" w:sz="4" w:space="0" w:color="auto"/>
              <w:bottom w:val="nil"/>
              <w:right w:val="double" w:sz="4" w:space="0" w:color="auto"/>
            </w:tcBorders>
            <w:shd w:val="clear" w:color="auto" w:fill="auto"/>
            <w:noWrap/>
            <w:vAlign w:val="center"/>
          </w:tcPr>
          <w:p w14:paraId="175C088B" w14:textId="77777777" w:rsidR="00ED063B" w:rsidRPr="00814E2F" w:rsidRDefault="00ED063B" w:rsidP="00DA4159">
            <w:pPr>
              <w:spacing w:after="0" w:line="240" w:lineRule="auto"/>
              <w:rPr>
                <w:rFonts w:eastAsia="Times New Roman"/>
                <w:b/>
                <w:bCs/>
                <w:sz w:val="19"/>
                <w:szCs w:val="19"/>
              </w:rPr>
            </w:pPr>
            <w:r w:rsidRPr="00814E2F">
              <w:rPr>
                <w:rFonts w:eastAsia="Times New Roman"/>
                <w:b/>
                <w:bCs/>
                <w:sz w:val="19"/>
                <w:szCs w:val="19"/>
              </w:rPr>
              <w:t>Age (18 to 30 years old)</w:t>
            </w:r>
          </w:p>
        </w:tc>
        <w:tc>
          <w:tcPr>
            <w:tcW w:w="794" w:type="dxa"/>
            <w:tcBorders>
              <w:top w:val="nil"/>
              <w:left w:val="double" w:sz="4" w:space="0" w:color="auto"/>
              <w:bottom w:val="nil"/>
              <w:right w:val="single" w:sz="4" w:space="0" w:color="auto"/>
            </w:tcBorders>
            <w:shd w:val="clear" w:color="auto" w:fill="auto"/>
            <w:noWrap/>
            <w:vAlign w:val="center"/>
          </w:tcPr>
          <w:p w14:paraId="40C07D89" w14:textId="77777777" w:rsidR="00ED063B" w:rsidRPr="00A462DA" w:rsidRDefault="00ED063B" w:rsidP="00DA4159">
            <w:pPr>
              <w:spacing w:after="0" w:line="240" w:lineRule="auto"/>
              <w:jc w:val="right"/>
              <w:rPr>
                <w:rFonts w:eastAsia="Times New Roman"/>
                <w:sz w:val="20"/>
                <w:szCs w:val="20"/>
              </w:rPr>
            </w:pPr>
          </w:p>
        </w:tc>
        <w:tc>
          <w:tcPr>
            <w:tcW w:w="720" w:type="dxa"/>
            <w:tcBorders>
              <w:top w:val="nil"/>
              <w:left w:val="single" w:sz="4" w:space="0" w:color="auto"/>
              <w:bottom w:val="nil"/>
              <w:right w:val="double" w:sz="4" w:space="0" w:color="auto"/>
            </w:tcBorders>
            <w:shd w:val="clear" w:color="auto" w:fill="auto"/>
            <w:noWrap/>
            <w:vAlign w:val="center"/>
          </w:tcPr>
          <w:p w14:paraId="339CBDB9" w14:textId="77777777" w:rsidR="00ED063B" w:rsidRPr="00A462DA" w:rsidRDefault="00ED063B" w:rsidP="00DA4159">
            <w:pPr>
              <w:spacing w:after="0" w:line="240" w:lineRule="auto"/>
              <w:jc w:val="right"/>
              <w:rPr>
                <w:rFonts w:eastAsia="Times New Roman"/>
                <w:sz w:val="20"/>
                <w:szCs w:val="20"/>
              </w:rPr>
            </w:pPr>
          </w:p>
        </w:tc>
        <w:tc>
          <w:tcPr>
            <w:tcW w:w="810" w:type="dxa"/>
            <w:tcBorders>
              <w:top w:val="nil"/>
              <w:left w:val="double" w:sz="4" w:space="0" w:color="auto"/>
              <w:bottom w:val="nil"/>
              <w:right w:val="single" w:sz="4" w:space="0" w:color="auto"/>
            </w:tcBorders>
            <w:shd w:val="clear" w:color="auto" w:fill="auto"/>
            <w:noWrap/>
            <w:vAlign w:val="center"/>
          </w:tcPr>
          <w:p w14:paraId="1F272A97" w14:textId="77777777" w:rsidR="00ED063B" w:rsidRPr="00A462DA" w:rsidRDefault="00ED063B" w:rsidP="00DA4159">
            <w:pPr>
              <w:spacing w:after="0" w:line="240" w:lineRule="auto"/>
              <w:jc w:val="right"/>
              <w:rPr>
                <w:rFonts w:eastAsia="Times New Roman"/>
                <w:sz w:val="20"/>
                <w:szCs w:val="20"/>
              </w:rPr>
            </w:pPr>
          </w:p>
        </w:tc>
        <w:tc>
          <w:tcPr>
            <w:tcW w:w="724" w:type="dxa"/>
            <w:tcBorders>
              <w:top w:val="nil"/>
              <w:left w:val="single" w:sz="4" w:space="0" w:color="auto"/>
              <w:bottom w:val="nil"/>
              <w:right w:val="double" w:sz="4" w:space="0" w:color="auto"/>
            </w:tcBorders>
            <w:shd w:val="clear" w:color="auto" w:fill="auto"/>
            <w:noWrap/>
            <w:vAlign w:val="center"/>
          </w:tcPr>
          <w:p w14:paraId="3C99A82A" w14:textId="77777777" w:rsidR="00ED063B" w:rsidRPr="00A462DA" w:rsidRDefault="00ED063B" w:rsidP="00DA4159">
            <w:pPr>
              <w:spacing w:after="0" w:line="240" w:lineRule="auto"/>
              <w:jc w:val="right"/>
              <w:rPr>
                <w:rFonts w:eastAsia="Times New Roman"/>
                <w:sz w:val="20"/>
                <w:szCs w:val="20"/>
              </w:rPr>
            </w:pPr>
          </w:p>
        </w:tc>
        <w:tc>
          <w:tcPr>
            <w:tcW w:w="810" w:type="dxa"/>
            <w:tcBorders>
              <w:top w:val="nil"/>
              <w:left w:val="double" w:sz="4" w:space="0" w:color="auto"/>
              <w:bottom w:val="nil"/>
              <w:right w:val="single" w:sz="4" w:space="0" w:color="auto"/>
            </w:tcBorders>
            <w:vAlign w:val="center"/>
          </w:tcPr>
          <w:p w14:paraId="6DD52DC5" w14:textId="77777777" w:rsidR="00ED063B" w:rsidRPr="00A462DA" w:rsidRDefault="00ED063B" w:rsidP="00DA4159">
            <w:pPr>
              <w:spacing w:after="0" w:line="240" w:lineRule="auto"/>
              <w:jc w:val="right"/>
              <w:rPr>
                <w:rFonts w:eastAsia="Times New Roman"/>
                <w:sz w:val="20"/>
                <w:szCs w:val="20"/>
              </w:rPr>
            </w:pPr>
          </w:p>
        </w:tc>
        <w:tc>
          <w:tcPr>
            <w:tcW w:w="720" w:type="dxa"/>
            <w:tcBorders>
              <w:top w:val="nil"/>
              <w:left w:val="single" w:sz="4" w:space="0" w:color="auto"/>
              <w:bottom w:val="nil"/>
              <w:right w:val="double" w:sz="4" w:space="0" w:color="auto"/>
            </w:tcBorders>
            <w:vAlign w:val="center"/>
          </w:tcPr>
          <w:p w14:paraId="2649C898" w14:textId="77777777" w:rsidR="00ED063B" w:rsidRPr="00A462DA" w:rsidRDefault="00ED063B" w:rsidP="00DA4159">
            <w:pPr>
              <w:spacing w:after="0" w:line="240" w:lineRule="auto"/>
              <w:jc w:val="right"/>
              <w:rPr>
                <w:rFonts w:eastAsia="Times New Roman"/>
                <w:sz w:val="20"/>
                <w:szCs w:val="20"/>
              </w:rPr>
            </w:pPr>
          </w:p>
        </w:tc>
      </w:tr>
      <w:tr w:rsidR="00ED063B" w:rsidRPr="00A462DA" w14:paraId="20744F3C" w14:textId="77777777" w:rsidTr="008B31DB">
        <w:trPr>
          <w:trHeight w:val="274"/>
          <w:jc w:val="center"/>
        </w:trPr>
        <w:tc>
          <w:tcPr>
            <w:tcW w:w="5310" w:type="dxa"/>
            <w:tcBorders>
              <w:top w:val="nil"/>
              <w:left w:val="double" w:sz="4" w:space="0" w:color="auto"/>
              <w:bottom w:val="nil"/>
              <w:right w:val="double" w:sz="4" w:space="0" w:color="auto"/>
            </w:tcBorders>
            <w:shd w:val="clear" w:color="auto" w:fill="auto"/>
            <w:noWrap/>
            <w:vAlign w:val="center"/>
          </w:tcPr>
          <w:p w14:paraId="7BDF56C8" w14:textId="77777777" w:rsidR="00ED063B" w:rsidRPr="00814E2F" w:rsidRDefault="00ED063B" w:rsidP="00DA4159">
            <w:pPr>
              <w:spacing w:after="0" w:line="240" w:lineRule="auto"/>
              <w:rPr>
                <w:rFonts w:eastAsia="Times New Roman"/>
                <w:bCs/>
                <w:sz w:val="19"/>
                <w:szCs w:val="19"/>
              </w:rPr>
            </w:pPr>
            <w:r w:rsidRPr="00814E2F">
              <w:rPr>
                <w:rFonts w:eastAsia="Times New Roman"/>
                <w:bCs/>
                <w:sz w:val="19"/>
                <w:szCs w:val="19"/>
              </w:rPr>
              <w:t xml:space="preserve">  30 to 64 years old</w:t>
            </w:r>
          </w:p>
        </w:tc>
        <w:tc>
          <w:tcPr>
            <w:tcW w:w="794" w:type="dxa"/>
            <w:tcBorders>
              <w:top w:val="nil"/>
              <w:left w:val="double" w:sz="4" w:space="0" w:color="auto"/>
              <w:bottom w:val="nil"/>
              <w:right w:val="single" w:sz="4" w:space="0" w:color="auto"/>
            </w:tcBorders>
            <w:shd w:val="clear" w:color="auto" w:fill="auto"/>
            <w:noWrap/>
            <w:vAlign w:val="center"/>
          </w:tcPr>
          <w:p w14:paraId="42112B78" w14:textId="77777777" w:rsidR="00ED063B" w:rsidRPr="00A462DA" w:rsidRDefault="00ED063B" w:rsidP="00DA4159">
            <w:pPr>
              <w:spacing w:after="0" w:line="240" w:lineRule="auto"/>
              <w:jc w:val="right"/>
              <w:rPr>
                <w:rFonts w:eastAsia="Times New Roman"/>
                <w:sz w:val="20"/>
                <w:szCs w:val="20"/>
              </w:rPr>
            </w:pPr>
            <w:r w:rsidRPr="00A462DA">
              <w:rPr>
                <w:rFonts w:eastAsia="Times New Roman"/>
                <w:sz w:val="20"/>
                <w:szCs w:val="20"/>
              </w:rPr>
              <w:t>--</w:t>
            </w:r>
          </w:p>
        </w:tc>
        <w:tc>
          <w:tcPr>
            <w:tcW w:w="720" w:type="dxa"/>
            <w:tcBorders>
              <w:top w:val="nil"/>
              <w:left w:val="single" w:sz="4" w:space="0" w:color="auto"/>
              <w:bottom w:val="nil"/>
              <w:right w:val="double" w:sz="4" w:space="0" w:color="auto"/>
            </w:tcBorders>
            <w:shd w:val="clear" w:color="auto" w:fill="auto"/>
            <w:noWrap/>
            <w:vAlign w:val="center"/>
          </w:tcPr>
          <w:p w14:paraId="27BD7B54" w14:textId="77777777" w:rsidR="00ED063B" w:rsidRPr="00A462DA" w:rsidRDefault="00ED063B" w:rsidP="00DA4159">
            <w:pPr>
              <w:spacing w:after="0" w:line="240" w:lineRule="auto"/>
              <w:jc w:val="right"/>
              <w:rPr>
                <w:rFonts w:eastAsia="Times New Roman"/>
                <w:sz w:val="20"/>
                <w:szCs w:val="20"/>
              </w:rPr>
            </w:pPr>
          </w:p>
        </w:tc>
        <w:tc>
          <w:tcPr>
            <w:tcW w:w="810" w:type="dxa"/>
            <w:tcBorders>
              <w:top w:val="nil"/>
              <w:left w:val="double" w:sz="4" w:space="0" w:color="auto"/>
              <w:bottom w:val="nil"/>
              <w:right w:val="single" w:sz="4" w:space="0" w:color="auto"/>
            </w:tcBorders>
            <w:shd w:val="clear" w:color="auto" w:fill="auto"/>
            <w:noWrap/>
            <w:vAlign w:val="center"/>
          </w:tcPr>
          <w:p w14:paraId="2B310C1A" w14:textId="77777777" w:rsidR="00ED063B" w:rsidRPr="00A462DA" w:rsidRDefault="00ED063B" w:rsidP="00DA4159">
            <w:pPr>
              <w:spacing w:after="0" w:line="240" w:lineRule="auto"/>
              <w:jc w:val="right"/>
              <w:rPr>
                <w:color w:val="000000"/>
                <w:sz w:val="20"/>
                <w:szCs w:val="20"/>
              </w:rPr>
            </w:pPr>
            <w:r w:rsidRPr="00A462DA">
              <w:rPr>
                <w:color w:val="000000"/>
                <w:sz w:val="20"/>
                <w:szCs w:val="20"/>
              </w:rPr>
              <w:t>0.550</w:t>
            </w:r>
          </w:p>
        </w:tc>
        <w:tc>
          <w:tcPr>
            <w:tcW w:w="724" w:type="dxa"/>
            <w:tcBorders>
              <w:top w:val="nil"/>
              <w:left w:val="single" w:sz="4" w:space="0" w:color="auto"/>
              <w:bottom w:val="nil"/>
              <w:right w:val="double" w:sz="4" w:space="0" w:color="auto"/>
            </w:tcBorders>
            <w:shd w:val="clear" w:color="auto" w:fill="auto"/>
            <w:noWrap/>
            <w:vAlign w:val="center"/>
          </w:tcPr>
          <w:p w14:paraId="13A9F8F8" w14:textId="77777777" w:rsidR="00ED063B" w:rsidRPr="00A462DA" w:rsidRDefault="00ED063B" w:rsidP="00DA4159">
            <w:pPr>
              <w:spacing w:after="0" w:line="240" w:lineRule="auto"/>
              <w:jc w:val="right"/>
              <w:rPr>
                <w:color w:val="000000"/>
                <w:sz w:val="20"/>
                <w:szCs w:val="20"/>
              </w:rPr>
            </w:pPr>
            <w:r w:rsidRPr="00A462DA">
              <w:rPr>
                <w:color w:val="000000"/>
                <w:sz w:val="20"/>
                <w:szCs w:val="20"/>
              </w:rPr>
              <w:t>2.42</w:t>
            </w:r>
          </w:p>
        </w:tc>
        <w:tc>
          <w:tcPr>
            <w:tcW w:w="810" w:type="dxa"/>
            <w:tcBorders>
              <w:top w:val="nil"/>
              <w:left w:val="double" w:sz="4" w:space="0" w:color="auto"/>
              <w:bottom w:val="nil"/>
              <w:right w:val="single" w:sz="4" w:space="0" w:color="auto"/>
            </w:tcBorders>
            <w:vAlign w:val="center"/>
          </w:tcPr>
          <w:p w14:paraId="7AC10C6B" w14:textId="77777777" w:rsidR="00ED063B" w:rsidRPr="00A462DA" w:rsidRDefault="00ED063B" w:rsidP="00DA4159">
            <w:pPr>
              <w:spacing w:after="0" w:line="240" w:lineRule="auto"/>
              <w:jc w:val="right"/>
              <w:rPr>
                <w:sz w:val="20"/>
                <w:szCs w:val="20"/>
              </w:rPr>
            </w:pPr>
            <w:r w:rsidRPr="00A462DA">
              <w:rPr>
                <w:sz w:val="20"/>
                <w:szCs w:val="20"/>
              </w:rPr>
              <w:t>--</w:t>
            </w:r>
          </w:p>
        </w:tc>
        <w:tc>
          <w:tcPr>
            <w:tcW w:w="720" w:type="dxa"/>
            <w:tcBorders>
              <w:top w:val="nil"/>
              <w:left w:val="single" w:sz="4" w:space="0" w:color="auto"/>
              <w:bottom w:val="nil"/>
              <w:right w:val="double" w:sz="4" w:space="0" w:color="auto"/>
            </w:tcBorders>
            <w:vAlign w:val="center"/>
          </w:tcPr>
          <w:p w14:paraId="5B066C44" w14:textId="77777777" w:rsidR="00ED063B" w:rsidRPr="00A462DA" w:rsidRDefault="00ED063B" w:rsidP="00DA4159">
            <w:pPr>
              <w:spacing w:after="0" w:line="240" w:lineRule="auto"/>
              <w:jc w:val="right"/>
              <w:rPr>
                <w:sz w:val="20"/>
                <w:szCs w:val="20"/>
              </w:rPr>
            </w:pPr>
          </w:p>
        </w:tc>
      </w:tr>
      <w:tr w:rsidR="00ED063B" w:rsidRPr="00A462DA" w14:paraId="5B67DA98" w14:textId="77777777" w:rsidTr="008B31DB">
        <w:trPr>
          <w:trHeight w:val="274"/>
          <w:jc w:val="center"/>
        </w:trPr>
        <w:tc>
          <w:tcPr>
            <w:tcW w:w="5310" w:type="dxa"/>
            <w:tcBorders>
              <w:top w:val="nil"/>
              <w:left w:val="double" w:sz="4" w:space="0" w:color="auto"/>
              <w:bottom w:val="nil"/>
              <w:right w:val="double" w:sz="4" w:space="0" w:color="auto"/>
            </w:tcBorders>
            <w:shd w:val="clear" w:color="auto" w:fill="auto"/>
            <w:noWrap/>
            <w:vAlign w:val="center"/>
          </w:tcPr>
          <w:p w14:paraId="2910852B" w14:textId="77777777" w:rsidR="00ED063B" w:rsidRPr="00814E2F" w:rsidRDefault="00ED063B" w:rsidP="00DA4159">
            <w:pPr>
              <w:spacing w:after="0" w:line="240" w:lineRule="auto"/>
              <w:rPr>
                <w:rFonts w:eastAsia="Times New Roman"/>
                <w:bCs/>
                <w:sz w:val="19"/>
                <w:szCs w:val="19"/>
              </w:rPr>
            </w:pPr>
            <w:r w:rsidRPr="00814E2F">
              <w:rPr>
                <w:rFonts w:eastAsia="Times New Roman"/>
                <w:bCs/>
                <w:sz w:val="19"/>
                <w:szCs w:val="19"/>
              </w:rPr>
              <w:t xml:space="preserve">  65 and older</w:t>
            </w:r>
          </w:p>
        </w:tc>
        <w:tc>
          <w:tcPr>
            <w:tcW w:w="794" w:type="dxa"/>
            <w:tcBorders>
              <w:top w:val="nil"/>
              <w:left w:val="double" w:sz="4" w:space="0" w:color="auto"/>
              <w:bottom w:val="nil"/>
              <w:right w:val="single" w:sz="4" w:space="0" w:color="auto"/>
            </w:tcBorders>
            <w:shd w:val="clear" w:color="auto" w:fill="auto"/>
            <w:noWrap/>
            <w:vAlign w:val="center"/>
          </w:tcPr>
          <w:p w14:paraId="79D18A53" w14:textId="77777777" w:rsidR="00ED063B" w:rsidRPr="00A462DA" w:rsidRDefault="00ED063B" w:rsidP="00DA4159">
            <w:pPr>
              <w:spacing w:after="0" w:line="240" w:lineRule="auto"/>
              <w:jc w:val="right"/>
              <w:rPr>
                <w:rFonts w:eastAsia="Times New Roman"/>
                <w:sz w:val="20"/>
                <w:szCs w:val="20"/>
              </w:rPr>
            </w:pPr>
            <w:r w:rsidRPr="00A462DA">
              <w:rPr>
                <w:rFonts w:eastAsia="Times New Roman"/>
                <w:sz w:val="20"/>
                <w:szCs w:val="20"/>
              </w:rPr>
              <w:t>--</w:t>
            </w:r>
          </w:p>
        </w:tc>
        <w:tc>
          <w:tcPr>
            <w:tcW w:w="720" w:type="dxa"/>
            <w:tcBorders>
              <w:top w:val="nil"/>
              <w:left w:val="single" w:sz="4" w:space="0" w:color="auto"/>
              <w:bottom w:val="nil"/>
              <w:right w:val="double" w:sz="4" w:space="0" w:color="auto"/>
            </w:tcBorders>
            <w:shd w:val="clear" w:color="auto" w:fill="auto"/>
            <w:noWrap/>
            <w:vAlign w:val="center"/>
          </w:tcPr>
          <w:p w14:paraId="76B48BD5" w14:textId="77777777" w:rsidR="00ED063B" w:rsidRPr="00A462DA" w:rsidRDefault="00ED063B" w:rsidP="00DA4159">
            <w:pPr>
              <w:spacing w:after="0" w:line="240" w:lineRule="auto"/>
              <w:jc w:val="right"/>
              <w:rPr>
                <w:rFonts w:eastAsia="Times New Roman"/>
                <w:sz w:val="20"/>
                <w:szCs w:val="20"/>
              </w:rPr>
            </w:pPr>
          </w:p>
        </w:tc>
        <w:tc>
          <w:tcPr>
            <w:tcW w:w="810" w:type="dxa"/>
            <w:tcBorders>
              <w:top w:val="nil"/>
              <w:left w:val="double" w:sz="4" w:space="0" w:color="auto"/>
              <w:bottom w:val="nil"/>
              <w:right w:val="single" w:sz="4" w:space="0" w:color="auto"/>
            </w:tcBorders>
            <w:shd w:val="clear" w:color="auto" w:fill="auto"/>
            <w:noWrap/>
            <w:vAlign w:val="center"/>
          </w:tcPr>
          <w:p w14:paraId="076569FC" w14:textId="77777777" w:rsidR="00ED063B" w:rsidRPr="00A462DA" w:rsidRDefault="00ED063B" w:rsidP="00DA4159">
            <w:pPr>
              <w:spacing w:after="0" w:line="240" w:lineRule="auto"/>
              <w:jc w:val="right"/>
              <w:rPr>
                <w:color w:val="000000"/>
                <w:sz w:val="20"/>
                <w:szCs w:val="20"/>
              </w:rPr>
            </w:pPr>
            <w:r w:rsidRPr="00A462DA">
              <w:rPr>
                <w:color w:val="000000"/>
                <w:sz w:val="20"/>
                <w:szCs w:val="20"/>
              </w:rPr>
              <w:t>0.590</w:t>
            </w:r>
          </w:p>
        </w:tc>
        <w:tc>
          <w:tcPr>
            <w:tcW w:w="724" w:type="dxa"/>
            <w:tcBorders>
              <w:top w:val="nil"/>
              <w:left w:val="single" w:sz="4" w:space="0" w:color="auto"/>
              <w:bottom w:val="nil"/>
              <w:right w:val="double" w:sz="4" w:space="0" w:color="auto"/>
            </w:tcBorders>
            <w:shd w:val="clear" w:color="auto" w:fill="auto"/>
            <w:noWrap/>
            <w:vAlign w:val="center"/>
          </w:tcPr>
          <w:p w14:paraId="589FA8E9" w14:textId="77777777" w:rsidR="00ED063B" w:rsidRPr="00A462DA" w:rsidRDefault="00ED063B" w:rsidP="00DA4159">
            <w:pPr>
              <w:spacing w:after="0" w:line="240" w:lineRule="auto"/>
              <w:jc w:val="right"/>
              <w:rPr>
                <w:color w:val="000000"/>
                <w:sz w:val="20"/>
                <w:szCs w:val="20"/>
              </w:rPr>
            </w:pPr>
            <w:r w:rsidRPr="00A462DA">
              <w:rPr>
                <w:color w:val="000000"/>
                <w:sz w:val="20"/>
                <w:szCs w:val="20"/>
              </w:rPr>
              <w:t>2.20</w:t>
            </w:r>
          </w:p>
        </w:tc>
        <w:tc>
          <w:tcPr>
            <w:tcW w:w="810" w:type="dxa"/>
            <w:tcBorders>
              <w:top w:val="nil"/>
              <w:left w:val="double" w:sz="4" w:space="0" w:color="auto"/>
              <w:bottom w:val="nil"/>
              <w:right w:val="single" w:sz="4" w:space="0" w:color="auto"/>
            </w:tcBorders>
            <w:vAlign w:val="center"/>
          </w:tcPr>
          <w:p w14:paraId="001FCD9D" w14:textId="77777777" w:rsidR="00ED063B" w:rsidRPr="00A462DA" w:rsidRDefault="00ED063B" w:rsidP="00DA4159">
            <w:pPr>
              <w:spacing w:after="0" w:line="240" w:lineRule="auto"/>
              <w:jc w:val="right"/>
              <w:rPr>
                <w:color w:val="000000"/>
                <w:sz w:val="20"/>
                <w:szCs w:val="20"/>
              </w:rPr>
            </w:pPr>
            <w:r w:rsidRPr="00A462DA">
              <w:rPr>
                <w:color w:val="000000"/>
                <w:sz w:val="20"/>
                <w:szCs w:val="20"/>
              </w:rPr>
              <w:t>-0.284</w:t>
            </w:r>
          </w:p>
        </w:tc>
        <w:tc>
          <w:tcPr>
            <w:tcW w:w="720" w:type="dxa"/>
            <w:tcBorders>
              <w:top w:val="nil"/>
              <w:left w:val="single" w:sz="4" w:space="0" w:color="auto"/>
              <w:bottom w:val="nil"/>
              <w:right w:val="double" w:sz="4" w:space="0" w:color="auto"/>
            </w:tcBorders>
            <w:vAlign w:val="center"/>
          </w:tcPr>
          <w:p w14:paraId="5F1FA0C7" w14:textId="77777777" w:rsidR="00ED063B" w:rsidRPr="00A462DA" w:rsidRDefault="00ED063B" w:rsidP="00DA4159">
            <w:pPr>
              <w:spacing w:after="0" w:line="240" w:lineRule="auto"/>
              <w:jc w:val="right"/>
              <w:rPr>
                <w:color w:val="000000"/>
                <w:sz w:val="20"/>
                <w:szCs w:val="20"/>
              </w:rPr>
            </w:pPr>
            <w:r w:rsidRPr="00A462DA">
              <w:rPr>
                <w:color w:val="000000"/>
                <w:sz w:val="20"/>
                <w:szCs w:val="20"/>
              </w:rPr>
              <w:t>-1.35</w:t>
            </w:r>
          </w:p>
        </w:tc>
      </w:tr>
      <w:tr w:rsidR="00ED063B" w:rsidRPr="00A462DA" w14:paraId="3E2BC606" w14:textId="77777777" w:rsidTr="008B31DB">
        <w:trPr>
          <w:trHeight w:val="274"/>
          <w:jc w:val="center"/>
        </w:trPr>
        <w:tc>
          <w:tcPr>
            <w:tcW w:w="5310" w:type="dxa"/>
            <w:tcBorders>
              <w:top w:val="nil"/>
              <w:left w:val="double" w:sz="4" w:space="0" w:color="auto"/>
              <w:bottom w:val="nil"/>
              <w:right w:val="double" w:sz="4" w:space="0" w:color="auto"/>
            </w:tcBorders>
            <w:shd w:val="clear" w:color="auto" w:fill="auto"/>
            <w:noWrap/>
            <w:vAlign w:val="center"/>
          </w:tcPr>
          <w:p w14:paraId="3A39DB73" w14:textId="77777777" w:rsidR="00ED063B" w:rsidRPr="00814E2F" w:rsidRDefault="00ED063B" w:rsidP="00DA4159">
            <w:pPr>
              <w:spacing w:after="0" w:line="240" w:lineRule="auto"/>
              <w:rPr>
                <w:rFonts w:eastAsia="Times New Roman"/>
                <w:sz w:val="19"/>
                <w:szCs w:val="19"/>
              </w:rPr>
            </w:pPr>
            <w:r w:rsidRPr="00814E2F">
              <w:rPr>
                <w:rFonts w:eastAsia="Times New Roman"/>
                <w:b/>
                <w:sz w:val="19"/>
                <w:szCs w:val="19"/>
              </w:rPr>
              <w:t>Household Income (&lt;$100,000)</w:t>
            </w:r>
          </w:p>
        </w:tc>
        <w:tc>
          <w:tcPr>
            <w:tcW w:w="794" w:type="dxa"/>
            <w:tcBorders>
              <w:top w:val="nil"/>
              <w:left w:val="double" w:sz="4" w:space="0" w:color="auto"/>
              <w:bottom w:val="nil"/>
              <w:right w:val="single" w:sz="4" w:space="0" w:color="auto"/>
            </w:tcBorders>
            <w:shd w:val="clear" w:color="auto" w:fill="auto"/>
            <w:noWrap/>
            <w:vAlign w:val="center"/>
          </w:tcPr>
          <w:p w14:paraId="58A4A9A3" w14:textId="77777777" w:rsidR="00ED063B" w:rsidRPr="00A462DA" w:rsidRDefault="00ED063B" w:rsidP="00DA4159">
            <w:pPr>
              <w:spacing w:after="0" w:line="240" w:lineRule="auto"/>
              <w:jc w:val="right"/>
              <w:rPr>
                <w:rFonts w:eastAsia="Times New Roman"/>
                <w:sz w:val="20"/>
                <w:szCs w:val="20"/>
              </w:rPr>
            </w:pPr>
          </w:p>
        </w:tc>
        <w:tc>
          <w:tcPr>
            <w:tcW w:w="720" w:type="dxa"/>
            <w:tcBorders>
              <w:top w:val="nil"/>
              <w:left w:val="single" w:sz="4" w:space="0" w:color="auto"/>
              <w:bottom w:val="nil"/>
              <w:right w:val="double" w:sz="4" w:space="0" w:color="auto"/>
            </w:tcBorders>
            <w:shd w:val="clear" w:color="auto" w:fill="auto"/>
            <w:noWrap/>
            <w:vAlign w:val="center"/>
          </w:tcPr>
          <w:p w14:paraId="400CAA68" w14:textId="77777777" w:rsidR="00ED063B" w:rsidRPr="00A462DA" w:rsidRDefault="00ED063B" w:rsidP="00DA4159">
            <w:pPr>
              <w:spacing w:after="0" w:line="240" w:lineRule="auto"/>
              <w:jc w:val="right"/>
              <w:rPr>
                <w:rFonts w:eastAsia="Times New Roman"/>
                <w:sz w:val="20"/>
                <w:szCs w:val="20"/>
              </w:rPr>
            </w:pPr>
          </w:p>
        </w:tc>
        <w:tc>
          <w:tcPr>
            <w:tcW w:w="810" w:type="dxa"/>
            <w:tcBorders>
              <w:top w:val="nil"/>
              <w:left w:val="double" w:sz="4" w:space="0" w:color="auto"/>
              <w:bottom w:val="nil"/>
              <w:right w:val="single" w:sz="4" w:space="0" w:color="auto"/>
            </w:tcBorders>
            <w:shd w:val="clear" w:color="auto" w:fill="auto"/>
            <w:noWrap/>
            <w:vAlign w:val="center"/>
          </w:tcPr>
          <w:p w14:paraId="40F2299A" w14:textId="77777777" w:rsidR="00ED063B" w:rsidRPr="00A462DA" w:rsidRDefault="00ED063B" w:rsidP="00DA4159">
            <w:pPr>
              <w:spacing w:after="0" w:line="240" w:lineRule="auto"/>
              <w:jc w:val="right"/>
              <w:rPr>
                <w:rFonts w:eastAsia="Times New Roman"/>
                <w:sz w:val="20"/>
                <w:szCs w:val="20"/>
              </w:rPr>
            </w:pPr>
          </w:p>
        </w:tc>
        <w:tc>
          <w:tcPr>
            <w:tcW w:w="724" w:type="dxa"/>
            <w:tcBorders>
              <w:top w:val="nil"/>
              <w:left w:val="single" w:sz="4" w:space="0" w:color="auto"/>
              <w:bottom w:val="nil"/>
              <w:right w:val="double" w:sz="4" w:space="0" w:color="auto"/>
            </w:tcBorders>
            <w:shd w:val="clear" w:color="auto" w:fill="auto"/>
            <w:noWrap/>
            <w:vAlign w:val="center"/>
          </w:tcPr>
          <w:p w14:paraId="2532E046" w14:textId="77777777" w:rsidR="00ED063B" w:rsidRPr="00A462DA" w:rsidRDefault="00ED063B" w:rsidP="00DA4159">
            <w:pPr>
              <w:spacing w:after="0" w:line="240" w:lineRule="auto"/>
              <w:jc w:val="right"/>
              <w:rPr>
                <w:rFonts w:eastAsia="Times New Roman"/>
                <w:sz w:val="20"/>
                <w:szCs w:val="20"/>
              </w:rPr>
            </w:pPr>
          </w:p>
        </w:tc>
        <w:tc>
          <w:tcPr>
            <w:tcW w:w="810" w:type="dxa"/>
            <w:tcBorders>
              <w:top w:val="nil"/>
              <w:left w:val="single" w:sz="12" w:space="0" w:color="auto"/>
              <w:bottom w:val="nil"/>
              <w:right w:val="single" w:sz="4" w:space="0" w:color="auto"/>
            </w:tcBorders>
            <w:vAlign w:val="center"/>
          </w:tcPr>
          <w:p w14:paraId="2BD2A36A" w14:textId="77777777" w:rsidR="00ED063B" w:rsidRPr="00A462DA" w:rsidRDefault="00ED063B" w:rsidP="00DA4159">
            <w:pPr>
              <w:spacing w:after="0" w:line="240" w:lineRule="auto"/>
              <w:jc w:val="right"/>
              <w:rPr>
                <w:rFonts w:eastAsia="Times New Roman"/>
                <w:sz w:val="20"/>
                <w:szCs w:val="20"/>
              </w:rPr>
            </w:pPr>
          </w:p>
        </w:tc>
        <w:tc>
          <w:tcPr>
            <w:tcW w:w="720" w:type="dxa"/>
            <w:tcBorders>
              <w:top w:val="nil"/>
              <w:left w:val="single" w:sz="4" w:space="0" w:color="auto"/>
              <w:bottom w:val="nil"/>
              <w:right w:val="double" w:sz="4" w:space="0" w:color="auto"/>
            </w:tcBorders>
            <w:vAlign w:val="center"/>
          </w:tcPr>
          <w:p w14:paraId="4AD3E602" w14:textId="77777777" w:rsidR="00ED063B" w:rsidRPr="00A462DA" w:rsidRDefault="00ED063B" w:rsidP="00DA4159">
            <w:pPr>
              <w:spacing w:after="0" w:line="240" w:lineRule="auto"/>
              <w:jc w:val="right"/>
              <w:rPr>
                <w:rFonts w:eastAsia="Times New Roman"/>
                <w:sz w:val="20"/>
                <w:szCs w:val="20"/>
              </w:rPr>
            </w:pPr>
          </w:p>
        </w:tc>
      </w:tr>
      <w:tr w:rsidR="00ED063B" w:rsidRPr="00A462DA" w14:paraId="58211C45" w14:textId="77777777" w:rsidTr="008B31DB">
        <w:trPr>
          <w:trHeight w:val="274"/>
          <w:jc w:val="center"/>
        </w:trPr>
        <w:tc>
          <w:tcPr>
            <w:tcW w:w="5310" w:type="dxa"/>
            <w:tcBorders>
              <w:top w:val="nil"/>
              <w:left w:val="double" w:sz="4" w:space="0" w:color="auto"/>
              <w:bottom w:val="nil"/>
              <w:right w:val="double" w:sz="4" w:space="0" w:color="auto"/>
            </w:tcBorders>
            <w:shd w:val="clear" w:color="auto" w:fill="auto"/>
            <w:noWrap/>
            <w:vAlign w:val="center"/>
          </w:tcPr>
          <w:p w14:paraId="3058B237" w14:textId="77777777" w:rsidR="00ED063B" w:rsidRPr="00814E2F" w:rsidRDefault="00ED063B" w:rsidP="00DA4159">
            <w:pPr>
              <w:spacing w:after="0" w:line="240" w:lineRule="auto"/>
              <w:rPr>
                <w:rFonts w:eastAsia="Times New Roman"/>
                <w:sz w:val="19"/>
                <w:szCs w:val="19"/>
              </w:rPr>
            </w:pPr>
            <w:r w:rsidRPr="00814E2F">
              <w:rPr>
                <w:rFonts w:eastAsia="Times New Roman"/>
                <w:sz w:val="19"/>
                <w:szCs w:val="19"/>
              </w:rPr>
              <w:t xml:space="preserve">  $100,000 to $249,999</w:t>
            </w:r>
          </w:p>
        </w:tc>
        <w:tc>
          <w:tcPr>
            <w:tcW w:w="794" w:type="dxa"/>
            <w:tcBorders>
              <w:top w:val="nil"/>
              <w:left w:val="double" w:sz="4" w:space="0" w:color="auto"/>
              <w:bottom w:val="nil"/>
              <w:right w:val="single" w:sz="4" w:space="0" w:color="auto"/>
            </w:tcBorders>
            <w:shd w:val="clear" w:color="auto" w:fill="auto"/>
            <w:noWrap/>
            <w:vAlign w:val="center"/>
          </w:tcPr>
          <w:p w14:paraId="55B9C03F" w14:textId="77777777" w:rsidR="00ED063B" w:rsidRPr="00A462DA" w:rsidRDefault="00ED063B" w:rsidP="00DA4159">
            <w:pPr>
              <w:spacing w:after="0" w:line="240" w:lineRule="auto"/>
              <w:jc w:val="right"/>
              <w:rPr>
                <w:rFonts w:eastAsia="Times New Roman"/>
                <w:sz w:val="20"/>
                <w:szCs w:val="20"/>
              </w:rPr>
            </w:pPr>
            <w:r w:rsidRPr="00A462DA">
              <w:rPr>
                <w:rFonts w:eastAsia="Times New Roman"/>
                <w:sz w:val="20"/>
                <w:szCs w:val="20"/>
              </w:rPr>
              <w:t>--</w:t>
            </w:r>
          </w:p>
        </w:tc>
        <w:tc>
          <w:tcPr>
            <w:tcW w:w="720" w:type="dxa"/>
            <w:tcBorders>
              <w:top w:val="nil"/>
              <w:left w:val="single" w:sz="4" w:space="0" w:color="auto"/>
              <w:bottom w:val="nil"/>
              <w:right w:val="double" w:sz="4" w:space="0" w:color="auto"/>
            </w:tcBorders>
            <w:shd w:val="clear" w:color="auto" w:fill="auto"/>
            <w:noWrap/>
            <w:vAlign w:val="center"/>
          </w:tcPr>
          <w:p w14:paraId="521109AD" w14:textId="77777777" w:rsidR="00ED063B" w:rsidRPr="00A462DA" w:rsidRDefault="00ED063B" w:rsidP="00DA4159">
            <w:pPr>
              <w:spacing w:after="0" w:line="240" w:lineRule="auto"/>
              <w:jc w:val="right"/>
              <w:rPr>
                <w:rFonts w:eastAsia="Times New Roman"/>
                <w:sz w:val="20"/>
                <w:szCs w:val="20"/>
              </w:rPr>
            </w:pPr>
          </w:p>
        </w:tc>
        <w:tc>
          <w:tcPr>
            <w:tcW w:w="810" w:type="dxa"/>
            <w:tcBorders>
              <w:top w:val="nil"/>
              <w:left w:val="nil"/>
              <w:bottom w:val="nil"/>
              <w:right w:val="single" w:sz="4" w:space="0" w:color="auto"/>
            </w:tcBorders>
            <w:shd w:val="clear" w:color="auto" w:fill="auto"/>
            <w:noWrap/>
            <w:vAlign w:val="center"/>
          </w:tcPr>
          <w:p w14:paraId="72AD150D" w14:textId="77777777" w:rsidR="00ED063B" w:rsidRPr="00A462DA" w:rsidRDefault="00ED063B" w:rsidP="00DA4159">
            <w:pPr>
              <w:spacing w:after="0" w:line="240" w:lineRule="auto"/>
              <w:jc w:val="right"/>
              <w:rPr>
                <w:color w:val="000000"/>
                <w:sz w:val="20"/>
                <w:szCs w:val="20"/>
              </w:rPr>
            </w:pPr>
            <w:r w:rsidRPr="00A462DA">
              <w:rPr>
                <w:color w:val="000000"/>
                <w:sz w:val="20"/>
                <w:szCs w:val="20"/>
              </w:rPr>
              <w:t>-0.480</w:t>
            </w:r>
          </w:p>
        </w:tc>
        <w:tc>
          <w:tcPr>
            <w:tcW w:w="724" w:type="dxa"/>
            <w:tcBorders>
              <w:top w:val="nil"/>
              <w:left w:val="nil"/>
              <w:bottom w:val="nil"/>
              <w:right w:val="nil"/>
            </w:tcBorders>
            <w:shd w:val="clear" w:color="auto" w:fill="auto"/>
            <w:noWrap/>
            <w:vAlign w:val="center"/>
          </w:tcPr>
          <w:p w14:paraId="750D8071" w14:textId="77777777" w:rsidR="00ED063B" w:rsidRPr="00A462DA" w:rsidRDefault="00ED063B" w:rsidP="00DA4159">
            <w:pPr>
              <w:spacing w:after="0" w:line="240" w:lineRule="auto"/>
              <w:jc w:val="right"/>
              <w:rPr>
                <w:color w:val="000000"/>
                <w:sz w:val="20"/>
                <w:szCs w:val="20"/>
              </w:rPr>
            </w:pPr>
            <w:r w:rsidRPr="00A462DA">
              <w:rPr>
                <w:color w:val="000000"/>
                <w:sz w:val="20"/>
                <w:szCs w:val="20"/>
              </w:rPr>
              <w:t>-4.79</w:t>
            </w:r>
          </w:p>
        </w:tc>
        <w:tc>
          <w:tcPr>
            <w:tcW w:w="810" w:type="dxa"/>
            <w:tcBorders>
              <w:top w:val="nil"/>
              <w:left w:val="double" w:sz="4" w:space="0" w:color="auto"/>
              <w:bottom w:val="nil"/>
              <w:right w:val="single" w:sz="4" w:space="0" w:color="auto"/>
            </w:tcBorders>
            <w:shd w:val="clear" w:color="auto" w:fill="auto"/>
            <w:vAlign w:val="center"/>
          </w:tcPr>
          <w:p w14:paraId="22055E79" w14:textId="77777777" w:rsidR="00ED063B" w:rsidRPr="00A462DA" w:rsidRDefault="00ED063B" w:rsidP="00DA4159">
            <w:pPr>
              <w:spacing w:after="0" w:line="240" w:lineRule="auto"/>
              <w:jc w:val="right"/>
              <w:rPr>
                <w:rFonts w:eastAsia="Times New Roman"/>
                <w:sz w:val="20"/>
                <w:szCs w:val="20"/>
              </w:rPr>
            </w:pPr>
            <w:r w:rsidRPr="00A462DA">
              <w:rPr>
                <w:rFonts w:eastAsia="Times New Roman"/>
                <w:sz w:val="20"/>
                <w:szCs w:val="20"/>
              </w:rPr>
              <w:t>--</w:t>
            </w:r>
          </w:p>
        </w:tc>
        <w:tc>
          <w:tcPr>
            <w:tcW w:w="720" w:type="dxa"/>
            <w:tcBorders>
              <w:top w:val="nil"/>
              <w:left w:val="nil"/>
              <w:bottom w:val="nil"/>
              <w:right w:val="double" w:sz="4" w:space="0" w:color="auto"/>
            </w:tcBorders>
            <w:shd w:val="clear" w:color="auto" w:fill="auto"/>
            <w:vAlign w:val="center"/>
          </w:tcPr>
          <w:p w14:paraId="4305FF54" w14:textId="77777777" w:rsidR="00ED063B" w:rsidRPr="00A462DA" w:rsidRDefault="00ED063B" w:rsidP="00DA4159">
            <w:pPr>
              <w:spacing w:after="0" w:line="240" w:lineRule="auto"/>
              <w:jc w:val="right"/>
              <w:rPr>
                <w:rFonts w:eastAsia="Times New Roman"/>
                <w:sz w:val="20"/>
                <w:szCs w:val="20"/>
              </w:rPr>
            </w:pPr>
          </w:p>
        </w:tc>
      </w:tr>
      <w:tr w:rsidR="00ED063B" w:rsidRPr="00A462DA" w14:paraId="5C9F61F7" w14:textId="77777777" w:rsidTr="008B31DB">
        <w:trPr>
          <w:trHeight w:val="274"/>
          <w:jc w:val="center"/>
        </w:trPr>
        <w:tc>
          <w:tcPr>
            <w:tcW w:w="5310" w:type="dxa"/>
            <w:tcBorders>
              <w:top w:val="nil"/>
              <w:left w:val="double" w:sz="4" w:space="0" w:color="auto"/>
              <w:bottom w:val="nil"/>
              <w:right w:val="double" w:sz="4" w:space="0" w:color="auto"/>
            </w:tcBorders>
            <w:shd w:val="clear" w:color="auto" w:fill="auto"/>
            <w:noWrap/>
            <w:vAlign w:val="center"/>
          </w:tcPr>
          <w:p w14:paraId="09466C58" w14:textId="77777777" w:rsidR="00ED063B" w:rsidRPr="00814E2F" w:rsidRDefault="00ED063B" w:rsidP="00DA4159">
            <w:pPr>
              <w:spacing w:after="0" w:line="240" w:lineRule="auto"/>
              <w:rPr>
                <w:rFonts w:eastAsia="Times New Roman"/>
                <w:sz w:val="19"/>
                <w:szCs w:val="19"/>
              </w:rPr>
            </w:pPr>
            <w:r w:rsidRPr="00814E2F">
              <w:rPr>
                <w:rFonts w:eastAsia="Times New Roman"/>
                <w:sz w:val="19"/>
                <w:szCs w:val="19"/>
              </w:rPr>
              <w:t xml:space="preserve">  ≥$250,000</w:t>
            </w:r>
          </w:p>
        </w:tc>
        <w:tc>
          <w:tcPr>
            <w:tcW w:w="794" w:type="dxa"/>
            <w:tcBorders>
              <w:top w:val="nil"/>
              <w:left w:val="double" w:sz="4" w:space="0" w:color="auto"/>
              <w:bottom w:val="nil"/>
              <w:right w:val="single" w:sz="4" w:space="0" w:color="auto"/>
            </w:tcBorders>
            <w:shd w:val="clear" w:color="auto" w:fill="auto"/>
            <w:noWrap/>
            <w:vAlign w:val="center"/>
          </w:tcPr>
          <w:p w14:paraId="6DB7274F" w14:textId="77777777" w:rsidR="00ED063B" w:rsidRPr="00A462DA" w:rsidRDefault="00ED063B" w:rsidP="00DA4159">
            <w:pPr>
              <w:spacing w:after="0" w:line="240" w:lineRule="auto"/>
              <w:jc w:val="right"/>
              <w:rPr>
                <w:rFonts w:eastAsia="Times New Roman"/>
                <w:sz w:val="20"/>
                <w:szCs w:val="20"/>
              </w:rPr>
            </w:pPr>
            <w:r w:rsidRPr="00A462DA">
              <w:rPr>
                <w:rFonts w:eastAsia="Times New Roman"/>
                <w:sz w:val="20"/>
                <w:szCs w:val="20"/>
              </w:rPr>
              <w:t>--</w:t>
            </w:r>
          </w:p>
        </w:tc>
        <w:tc>
          <w:tcPr>
            <w:tcW w:w="720" w:type="dxa"/>
            <w:tcBorders>
              <w:top w:val="nil"/>
              <w:left w:val="single" w:sz="4" w:space="0" w:color="auto"/>
              <w:bottom w:val="nil"/>
              <w:right w:val="double" w:sz="4" w:space="0" w:color="auto"/>
            </w:tcBorders>
            <w:shd w:val="clear" w:color="auto" w:fill="auto"/>
            <w:noWrap/>
            <w:vAlign w:val="center"/>
          </w:tcPr>
          <w:p w14:paraId="266BFC82" w14:textId="77777777" w:rsidR="00ED063B" w:rsidRPr="00A462DA" w:rsidRDefault="00ED063B" w:rsidP="00DA4159">
            <w:pPr>
              <w:spacing w:after="0" w:line="240" w:lineRule="auto"/>
              <w:jc w:val="right"/>
              <w:rPr>
                <w:rFonts w:eastAsia="Times New Roman"/>
                <w:sz w:val="20"/>
                <w:szCs w:val="20"/>
              </w:rPr>
            </w:pPr>
          </w:p>
        </w:tc>
        <w:tc>
          <w:tcPr>
            <w:tcW w:w="810" w:type="dxa"/>
            <w:tcBorders>
              <w:top w:val="nil"/>
              <w:left w:val="nil"/>
              <w:bottom w:val="nil"/>
              <w:right w:val="single" w:sz="4" w:space="0" w:color="auto"/>
            </w:tcBorders>
            <w:shd w:val="clear" w:color="auto" w:fill="auto"/>
            <w:noWrap/>
            <w:vAlign w:val="center"/>
          </w:tcPr>
          <w:p w14:paraId="17C2D5FB" w14:textId="77777777" w:rsidR="00ED063B" w:rsidRPr="00A462DA" w:rsidRDefault="00ED063B" w:rsidP="00DA4159">
            <w:pPr>
              <w:spacing w:after="0" w:line="240" w:lineRule="auto"/>
              <w:jc w:val="right"/>
              <w:rPr>
                <w:color w:val="000000"/>
                <w:sz w:val="20"/>
                <w:szCs w:val="20"/>
              </w:rPr>
            </w:pPr>
            <w:r w:rsidRPr="00A462DA">
              <w:rPr>
                <w:color w:val="000000"/>
                <w:sz w:val="20"/>
                <w:szCs w:val="20"/>
              </w:rPr>
              <w:t>-0.459</w:t>
            </w:r>
          </w:p>
        </w:tc>
        <w:tc>
          <w:tcPr>
            <w:tcW w:w="724" w:type="dxa"/>
            <w:tcBorders>
              <w:top w:val="nil"/>
              <w:left w:val="nil"/>
              <w:bottom w:val="nil"/>
              <w:right w:val="nil"/>
            </w:tcBorders>
            <w:shd w:val="clear" w:color="auto" w:fill="auto"/>
            <w:noWrap/>
            <w:vAlign w:val="center"/>
          </w:tcPr>
          <w:p w14:paraId="2897ADFD" w14:textId="77777777" w:rsidR="00ED063B" w:rsidRPr="00A462DA" w:rsidRDefault="00ED063B" w:rsidP="00DA4159">
            <w:pPr>
              <w:spacing w:after="0" w:line="240" w:lineRule="auto"/>
              <w:jc w:val="right"/>
              <w:rPr>
                <w:color w:val="000000"/>
                <w:sz w:val="20"/>
                <w:szCs w:val="20"/>
              </w:rPr>
            </w:pPr>
            <w:r w:rsidRPr="00A462DA">
              <w:rPr>
                <w:color w:val="000000"/>
                <w:sz w:val="20"/>
                <w:szCs w:val="20"/>
              </w:rPr>
              <w:t>-3.14</w:t>
            </w:r>
          </w:p>
        </w:tc>
        <w:tc>
          <w:tcPr>
            <w:tcW w:w="810" w:type="dxa"/>
            <w:tcBorders>
              <w:top w:val="nil"/>
              <w:left w:val="double" w:sz="4" w:space="0" w:color="auto"/>
              <w:bottom w:val="nil"/>
              <w:right w:val="single" w:sz="4" w:space="0" w:color="auto"/>
            </w:tcBorders>
            <w:shd w:val="clear" w:color="auto" w:fill="auto"/>
            <w:vAlign w:val="center"/>
          </w:tcPr>
          <w:p w14:paraId="5DFA9867" w14:textId="77777777" w:rsidR="00ED063B" w:rsidRPr="00A462DA" w:rsidRDefault="00ED063B" w:rsidP="00DA4159">
            <w:pPr>
              <w:spacing w:after="0" w:line="240" w:lineRule="auto"/>
              <w:jc w:val="right"/>
              <w:rPr>
                <w:color w:val="000000"/>
                <w:sz w:val="20"/>
                <w:szCs w:val="20"/>
              </w:rPr>
            </w:pPr>
            <w:r w:rsidRPr="00A462DA">
              <w:rPr>
                <w:color w:val="000000"/>
                <w:sz w:val="20"/>
                <w:szCs w:val="20"/>
              </w:rPr>
              <w:t>-0.455</w:t>
            </w:r>
          </w:p>
        </w:tc>
        <w:tc>
          <w:tcPr>
            <w:tcW w:w="720" w:type="dxa"/>
            <w:tcBorders>
              <w:top w:val="nil"/>
              <w:left w:val="nil"/>
              <w:bottom w:val="nil"/>
              <w:right w:val="double" w:sz="4" w:space="0" w:color="auto"/>
            </w:tcBorders>
            <w:shd w:val="clear" w:color="auto" w:fill="auto"/>
            <w:vAlign w:val="center"/>
          </w:tcPr>
          <w:p w14:paraId="71B58AEC" w14:textId="77777777" w:rsidR="00ED063B" w:rsidRPr="00A462DA" w:rsidRDefault="00ED063B" w:rsidP="00DA4159">
            <w:pPr>
              <w:spacing w:after="0" w:line="240" w:lineRule="auto"/>
              <w:jc w:val="right"/>
              <w:rPr>
                <w:color w:val="000000"/>
                <w:sz w:val="20"/>
                <w:szCs w:val="20"/>
              </w:rPr>
            </w:pPr>
            <w:r w:rsidRPr="00A462DA">
              <w:rPr>
                <w:color w:val="000000"/>
                <w:sz w:val="20"/>
                <w:szCs w:val="20"/>
              </w:rPr>
              <w:t>-2.16</w:t>
            </w:r>
          </w:p>
        </w:tc>
      </w:tr>
      <w:tr w:rsidR="00ED063B" w:rsidRPr="00A462DA" w14:paraId="06A5583B" w14:textId="77777777" w:rsidTr="008B31DB">
        <w:trPr>
          <w:trHeight w:val="274"/>
          <w:jc w:val="center"/>
        </w:trPr>
        <w:tc>
          <w:tcPr>
            <w:tcW w:w="5310" w:type="dxa"/>
            <w:tcBorders>
              <w:top w:val="nil"/>
              <w:left w:val="double" w:sz="4" w:space="0" w:color="auto"/>
              <w:bottom w:val="nil"/>
              <w:right w:val="double" w:sz="4" w:space="0" w:color="auto"/>
            </w:tcBorders>
            <w:shd w:val="clear" w:color="auto" w:fill="auto"/>
            <w:noWrap/>
            <w:vAlign w:val="center"/>
          </w:tcPr>
          <w:p w14:paraId="697E1FAA" w14:textId="77777777" w:rsidR="00ED063B" w:rsidRPr="00814E2F" w:rsidRDefault="00ED063B" w:rsidP="00DA4159">
            <w:pPr>
              <w:spacing w:after="0" w:line="240" w:lineRule="auto"/>
              <w:rPr>
                <w:rFonts w:eastAsia="Times New Roman"/>
                <w:b/>
                <w:i/>
                <w:sz w:val="19"/>
                <w:szCs w:val="19"/>
                <w:u w:val="single"/>
              </w:rPr>
            </w:pPr>
            <w:r w:rsidRPr="00814E2F">
              <w:rPr>
                <w:rFonts w:eastAsia="Times New Roman"/>
                <w:b/>
                <w:i/>
                <w:sz w:val="19"/>
                <w:szCs w:val="19"/>
                <w:u w:val="single"/>
              </w:rPr>
              <w:t>Geographic WPL Attributes</w:t>
            </w:r>
          </w:p>
        </w:tc>
        <w:tc>
          <w:tcPr>
            <w:tcW w:w="794" w:type="dxa"/>
            <w:tcBorders>
              <w:top w:val="nil"/>
              <w:left w:val="double" w:sz="4" w:space="0" w:color="auto"/>
              <w:bottom w:val="nil"/>
              <w:right w:val="single" w:sz="4" w:space="0" w:color="auto"/>
            </w:tcBorders>
            <w:shd w:val="clear" w:color="auto" w:fill="auto"/>
            <w:noWrap/>
            <w:vAlign w:val="center"/>
          </w:tcPr>
          <w:p w14:paraId="26919BEB" w14:textId="77777777" w:rsidR="00ED063B" w:rsidRPr="00A462DA" w:rsidRDefault="00ED063B" w:rsidP="00DA4159">
            <w:pPr>
              <w:spacing w:after="0" w:line="240" w:lineRule="auto"/>
              <w:jc w:val="right"/>
              <w:rPr>
                <w:rFonts w:eastAsia="Times New Roman"/>
                <w:sz w:val="20"/>
                <w:szCs w:val="20"/>
              </w:rPr>
            </w:pPr>
          </w:p>
        </w:tc>
        <w:tc>
          <w:tcPr>
            <w:tcW w:w="720" w:type="dxa"/>
            <w:tcBorders>
              <w:top w:val="nil"/>
              <w:left w:val="single" w:sz="4" w:space="0" w:color="auto"/>
              <w:bottom w:val="nil"/>
              <w:right w:val="double" w:sz="4" w:space="0" w:color="auto"/>
            </w:tcBorders>
            <w:shd w:val="clear" w:color="auto" w:fill="auto"/>
            <w:noWrap/>
            <w:vAlign w:val="center"/>
          </w:tcPr>
          <w:p w14:paraId="3B175413" w14:textId="77777777" w:rsidR="00ED063B" w:rsidRPr="00A462DA" w:rsidRDefault="00ED063B" w:rsidP="00DA4159">
            <w:pPr>
              <w:spacing w:after="0" w:line="240" w:lineRule="auto"/>
              <w:jc w:val="right"/>
              <w:rPr>
                <w:rFonts w:eastAsia="Times New Roman"/>
                <w:sz w:val="20"/>
                <w:szCs w:val="20"/>
              </w:rPr>
            </w:pPr>
          </w:p>
        </w:tc>
        <w:tc>
          <w:tcPr>
            <w:tcW w:w="810" w:type="dxa"/>
            <w:tcBorders>
              <w:top w:val="nil"/>
              <w:left w:val="nil"/>
              <w:bottom w:val="nil"/>
              <w:right w:val="single" w:sz="4" w:space="0" w:color="auto"/>
            </w:tcBorders>
            <w:shd w:val="clear" w:color="auto" w:fill="auto"/>
            <w:noWrap/>
            <w:vAlign w:val="center"/>
          </w:tcPr>
          <w:p w14:paraId="09011E3E" w14:textId="77777777" w:rsidR="00ED063B" w:rsidRPr="00A462DA" w:rsidRDefault="00ED063B" w:rsidP="00DA4159">
            <w:pPr>
              <w:spacing w:after="0" w:line="240" w:lineRule="auto"/>
              <w:jc w:val="right"/>
              <w:rPr>
                <w:sz w:val="20"/>
                <w:szCs w:val="20"/>
              </w:rPr>
            </w:pPr>
          </w:p>
        </w:tc>
        <w:tc>
          <w:tcPr>
            <w:tcW w:w="724" w:type="dxa"/>
            <w:tcBorders>
              <w:top w:val="nil"/>
              <w:left w:val="nil"/>
              <w:bottom w:val="nil"/>
              <w:right w:val="nil"/>
            </w:tcBorders>
            <w:shd w:val="clear" w:color="auto" w:fill="auto"/>
            <w:noWrap/>
            <w:vAlign w:val="center"/>
          </w:tcPr>
          <w:p w14:paraId="0AF1F2FD" w14:textId="77777777" w:rsidR="00ED063B" w:rsidRPr="00A462DA" w:rsidRDefault="00ED063B" w:rsidP="00DA4159">
            <w:pPr>
              <w:spacing w:after="0" w:line="240" w:lineRule="auto"/>
              <w:jc w:val="right"/>
              <w:rPr>
                <w:sz w:val="20"/>
                <w:szCs w:val="20"/>
              </w:rPr>
            </w:pPr>
          </w:p>
        </w:tc>
        <w:tc>
          <w:tcPr>
            <w:tcW w:w="810" w:type="dxa"/>
            <w:tcBorders>
              <w:top w:val="nil"/>
              <w:left w:val="double" w:sz="4" w:space="0" w:color="auto"/>
              <w:bottom w:val="nil"/>
              <w:right w:val="single" w:sz="4" w:space="0" w:color="auto"/>
            </w:tcBorders>
            <w:shd w:val="clear" w:color="auto" w:fill="auto"/>
            <w:vAlign w:val="center"/>
          </w:tcPr>
          <w:p w14:paraId="7F038BCE" w14:textId="77777777" w:rsidR="00ED063B" w:rsidRPr="00A462DA" w:rsidRDefault="00ED063B" w:rsidP="00DA4159">
            <w:pPr>
              <w:spacing w:after="0" w:line="240" w:lineRule="auto"/>
              <w:jc w:val="right"/>
              <w:rPr>
                <w:sz w:val="20"/>
                <w:szCs w:val="20"/>
              </w:rPr>
            </w:pPr>
          </w:p>
        </w:tc>
        <w:tc>
          <w:tcPr>
            <w:tcW w:w="720" w:type="dxa"/>
            <w:tcBorders>
              <w:top w:val="nil"/>
              <w:left w:val="nil"/>
              <w:bottom w:val="nil"/>
              <w:right w:val="double" w:sz="4" w:space="0" w:color="auto"/>
            </w:tcBorders>
            <w:shd w:val="clear" w:color="auto" w:fill="auto"/>
            <w:vAlign w:val="center"/>
          </w:tcPr>
          <w:p w14:paraId="46174B02" w14:textId="77777777" w:rsidR="00ED063B" w:rsidRPr="00A462DA" w:rsidRDefault="00ED063B" w:rsidP="00DA4159">
            <w:pPr>
              <w:spacing w:after="0" w:line="240" w:lineRule="auto"/>
              <w:jc w:val="right"/>
              <w:rPr>
                <w:sz w:val="20"/>
                <w:szCs w:val="20"/>
              </w:rPr>
            </w:pPr>
          </w:p>
        </w:tc>
      </w:tr>
      <w:tr w:rsidR="00ED063B" w:rsidRPr="00A462DA" w14:paraId="1796148D" w14:textId="77777777" w:rsidTr="008B31DB">
        <w:trPr>
          <w:trHeight w:val="274"/>
          <w:jc w:val="center"/>
        </w:trPr>
        <w:tc>
          <w:tcPr>
            <w:tcW w:w="5310" w:type="dxa"/>
            <w:tcBorders>
              <w:top w:val="nil"/>
              <w:left w:val="double" w:sz="4" w:space="0" w:color="auto"/>
              <w:bottom w:val="nil"/>
              <w:right w:val="double" w:sz="4" w:space="0" w:color="auto"/>
            </w:tcBorders>
            <w:shd w:val="clear" w:color="auto" w:fill="auto"/>
            <w:noWrap/>
            <w:vAlign w:val="center"/>
          </w:tcPr>
          <w:p w14:paraId="1036945F" w14:textId="77777777" w:rsidR="00ED063B" w:rsidRPr="00814E2F" w:rsidRDefault="00ED063B" w:rsidP="00DA4159">
            <w:pPr>
              <w:spacing w:after="0" w:line="240" w:lineRule="auto"/>
              <w:rPr>
                <w:rFonts w:eastAsia="Times New Roman"/>
                <w:b/>
                <w:sz w:val="19"/>
                <w:szCs w:val="19"/>
              </w:rPr>
            </w:pPr>
            <w:r w:rsidRPr="00814E2F">
              <w:rPr>
                <w:rFonts w:eastAsia="Times New Roman"/>
                <w:b/>
                <w:sz w:val="19"/>
                <w:szCs w:val="19"/>
              </w:rPr>
              <w:t>Commute Time</w:t>
            </w:r>
          </w:p>
        </w:tc>
        <w:tc>
          <w:tcPr>
            <w:tcW w:w="794" w:type="dxa"/>
            <w:tcBorders>
              <w:top w:val="nil"/>
              <w:left w:val="double" w:sz="4" w:space="0" w:color="auto"/>
              <w:bottom w:val="nil"/>
              <w:right w:val="single" w:sz="4" w:space="0" w:color="auto"/>
            </w:tcBorders>
            <w:shd w:val="clear" w:color="auto" w:fill="auto"/>
            <w:noWrap/>
            <w:vAlign w:val="center"/>
          </w:tcPr>
          <w:p w14:paraId="18E6B830" w14:textId="77777777" w:rsidR="00ED063B" w:rsidRPr="00A462DA" w:rsidRDefault="00ED063B" w:rsidP="00DA4159">
            <w:pPr>
              <w:spacing w:after="0" w:line="240" w:lineRule="auto"/>
              <w:jc w:val="right"/>
              <w:rPr>
                <w:rFonts w:eastAsia="Times New Roman"/>
                <w:sz w:val="20"/>
                <w:szCs w:val="20"/>
              </w:rPr>
            </w:pPr>
          </w:p>
        </w:tc>
        <w:tc>
          <w:tcPr>
            <w:tcW w:w="720" w:type="dxa"/>
            <w:tcBorders>
              <w:top w:val="nil"/>
              <w:left w:val="single" w:sz="4" w:space="0" w:color="auto"/>
              <w:bottom w:val="nil"/>
              <w:right w:val="double" w:sz="4" w:space="0" w:color="auto"/>
            </w:tcBorders>
            <w:shd w:val="clear" w:color="auto" w:fill="auto"/>
            <w:noWrap/>
            <w:vAlign w:val="center"/>
          </w:tcPr>
          <w:p w14:paraId="6634BB56" w14:textId="77777777" w:rsidR="00ED063B" w:rsidRPr="00A462DA" w:rsidRDefault="00ED063B" w:rsidP="00DA4159">
            <w:pPr>
              <w:spacing w:after="0" w:line="240" w:lineRule="auto"/>
              <w:jc w:val="right"/>
              <w:rPr>
                <w:rFonts w:eastAsia="Times New Roman"/>
                <w:sz w:val="20"/>
                <w:szCs w:val="20"/>
              </w:rPr>
            </w:pPr>
          </w:p>
        </w:tc>
        <w:tc>
          <w:tcPr>
            <w:tcW w:w="810" w:type="dxa"/>
            <w:tcBorders>
              <w:top w:val="nil"/>
              <w:left w:val="nil"/>
              <w:bottom w:val="nil"/>
              <w:right w:val="single" w:sz="4" w:space="0" w:color="auto"/>
            </w:tcBorders>
            <w:shd w:val="clear" w:color="auto" w:fill="auto"/>
            <w:noWrap/>
            <w:vAlign w:val="center"/>
          </w:tcPr>
          <w:p w14:paraId="1003D166" w14:textId="77777777" w:rsidR="00ED063B" w:rsidRPr="00A462DA" w:rsidRDefault="00ED063B" w:rsidP="00DA4159">
            <w:pPr>
              <w:spacing w:after="0" w:line="240" w:lineRule="auto"/>
              <w:jc w:val="right"/>
              <w:rPr>
                <w:sz w:val="20"/>
                <w:szCs w:val="20"/>
              </w:rPr>
            </w:pPr>
          </w:p>
        </w:tc>
        <w:tc>
          <w:tcPr>
            <w:tcW w:w="724" w:type="dxa"/>
            <w:tcBorders>
              <w:top w:val="nil"/>
              <w:left w:val="nil"/>
              <w:bottom w:val="nil"/>
              <w:right w:val="nil"/>
            </w:tcBorders>
            <w:shd w:val="clear" w:color="auto" w:fill="auto"/>
            <w:noWrap/>
            <w:vAlign w:val="center"/>
          </w:tcPr>
          <w:p w14:paraId="7D84F2E5" w14:textId="77777777" w:rsidR="00ED063B" w:rsidRPr="00A462DA" w:rsidRDefault="00ED063B" w:rsidP="00DA4159">
            <w:pPr>
              <w:spacing w:after="0" w:line="240" w:lineRule="auto"/>
              <w:jc w:val="right"/>
              <w:rPr>
                <w:sz w:val="20"/>
                <w:szCs w:val="20"/>
              </w:rPr>
            </w:pPr>
          </w:p>
        </w:tc>
        <w:tc>
          <w:tcPr>
            <w:tcW w:w="810" w:type="dxa"/>
            <w:tcBorders>
              <w:top w:val="nil"/>
              <w:left w:val="double" w:sz="4" w:space="0" w:color="auto"/>
              <w:bottom w:val="nil"/>
              <w:right w:val="single" w:sz="4" w:space="0" w:color="auto"/>
            </w:tcBorders>
            <w:shd w:val="clear" w:color="auto" w:fill="auto"/>
            <w:vAlign w:val="center"/>
          </w:tcPr>
          <w:p w14:paraId="706727E9" w14:textId="77777777" w:rsidR="00ED063B" w:rsidRPr="00A462DA" w:rsidRDefault="00ED063B" w:rsidP="00DA4159">
            <w:pPr>
              <w:spacing w:after="0" w:line="240" w:lineRule="auto"/>
              <w:jc w:val="right"/>
              <w:rPr>
                <w:sz w:val="20"/>
                <w:szCs w:val="20"/>
              </w:rPr>
            </w:pPr>
          </w:p>
        </w:tc>
        <w:tc>
          <w:tcPr>
            <w:tcW w:w="720" w:type="dxa"/>
            <w:tcBorders>
              <w:top w:val="nil"/>
              <w:left w:val="nil"/>
              <w:bottom w:val="nil"/>
              <w:right w:val="double" w:sz="4" w:space="0" w:color="auto"/>
            </w:tcBorders>
            <w:shd w:val="clear" w:color="auto" w:fill="auto"/>
            <w:vAlign w:val="center"/>
          </w:tcPr>
          <w:p w14:paraId="40730510" w14:textId="77777777" w:rsidR="00ED063B" w:rsidRPr="00A462DA" w:rsidRDefault="00ED063B" w:rsidP="00DA4159">
            <w:pPr>
              <w:spacing w:after="0" w:line="240" w:lineRule="auto"/>
              <w:jc w:val="right"/>
              <w:rPr>
                <w:sz w:val="20"/>
                <w:szCs w:val="20"/>
              </w:rPr>
            </w:pPr>
          </w:p>
        </w:tc>
      </w:tr>
      <w:tr w:rsidR="00ED063B" w:rsidRPr="00A462DA" w14:paraId="1FCC15D9" w14:textId="77777777" w:rsidTr="008B31DB">
        <w:trPr>
          <w:trHeight w:val="274"/>
          <w:jc w:val="center"/>
        </w:trPr>
        <w:tc>
          <w:tcPr>
            <w:tcW w:w="5310" w:type="dxa"/>
            <w:tcBorders>
              <w:top w:val="nil"/>
              <w:left w:val="double" w:sz="4" w:space="0" w:color="auto"/>
              <w:bottom w:val="nil"/>
              <w:right w:val="double" w:sz="4" w:space="0" w:color="auto"/>
            </w:tcBorders>
            <w:shd w:val="clear" w:color="auto" w:fill="auto"/>
            <w:noWrap/>
            <w:vAlign w:val="center"/>
          </w:tcPr>
          <w:p w14:paraId="739F219D" w14:textId="77777777" w:rsidR="00ED063B" w:rsidRPr="00814E2F" w:rsidRDefault="00ED063B" w:rsidP="00DA4159">
            <w:pPr>
              <w:spacing w:after="0" w:line="240" w:lineRule="auto"/>
              <w:rPr>
                <w:rFonts w:eastAsia="Times New Roman"/>
                <w:sz w:val="19"/>
                <w:szCs w:val="19"/>
              </w:rPr>
            </w:pPr>
            <w:r w:rsidRPr="00814E2F">
              <w:rPr>
                <w:rFonts w:eastAsia="Times New Roman"/>
                <w:sz w:val="19"/>
                <w:szCs w:val="19"/>
              </w:rPr>
              <w:t xml:space="preserve">  Commute time </w:t>
            </w:r>
          </w:p>
        </w:tc>
        <w:tc>
          <w:tcPr>
            <w:tcW w:w="794" w:type="dxa"/>
            <w:tcBorders>
              <w:top w:val="nil"/>
              <w:left w:val="double" w:sz="4" w:space="0" w:color="auto"/>
              <w:bottom w:val="nil"/>
              <w:right w:val="single" w:sz="4" w:space="0" w:color="auto"/>
            </w:tcBorders>
            <w:shd w:val="clear" w:color="auto" w:fill="auto"/>
            <w:noWrap/>
            <w:vAlign w:val="center"/>
          </w:tcPr>
          <w:p w14:paraId="3AD96D4F" w14:textId="77777777" w:rsidR="00ED063B" w:rsidRPr="00A462DA" w:rsidRDefault="00ED063B" w:rsidP="00DA4159">
            <w:pPr>
              <w:spacing w:after="0" w:line="240" w:lineRule="auto"/>
              <w:jc w:val="right"/>
              <w:rPr>
                <w:sz w:val="20"/>
                <w:szCs w:val="20"/>
              </w:rPr>
            </w:pPr>
            <w:r w:rsidRPr="00A462DA">
              <w:rPr>
                <w:sz w:val="20"/>
                <w:szCs w:val="20"/>
              </w:rPr>
              <w:t>NA</w:t>
            </w:r>
          </w:p>
        </w:tc>
        <w:tc>
          <w:tcPr>
            <w:tcW w:w="720" w:type="dxa"/>
            <w:tcBorders>
              <w:top w:val="nil"/>
              <w:left w:val="single" w:sz="4" w:space="0" w:color="auto"/>
              <w:bottom w:val="nil"/>
              <w:right w:val="double" w:sz="4" w:space="0" w:color="auto"/>
            </w:tcBorders>
            <w:shd w:val="clear" w:color="auto" w:fill="auto"/>
            <w:noWrap/>
            <w:vAlign w:val="center"/>
          </w:tcPr>
          <w:p w14:paraId="4243517B" w14:textId="77777777" w:rsidR="00ED063B" w:rsidRPr="00A462DA" w:rsidRDefault="00ED063B" w:rsidP="00DA4159">
            <w:pPr>
              <w:spacing w:after="0" w:line="240" w:lineRule="auto"/>
              <w:jc w:val="right"/>
              <w:rPr>
                <w:sz w:val="20"/>
                <w:szCs w:val="20"/>
              </w:rPr>
            </w:pPr>
          </w:p>
        </w:tc>
        <w:tc>
          <w:tcPr>
            <w:tcW w:w="810" w:type="dxa"/>
            <w:tcBorders>
              <w:top w:val="nil"/>
              <w:left w:val="nil"/>
              <w:bottom w:val="nil"/>
              <w:right w:val="single" w:sz="4" w:space="0" w:color="auto"/>
            </w:tcBorders>
            <w:shd w:val="clear" w:color="auto" w:fill="auto"/>
            <w:noWrap/>
            <w:vAlign w:val="center"/>
          </w:tcPr>
          <w:p w14:paraId="2B99B719" w14:textId="77777777" w:rsidR="00ED063B" w:rsidRPr="00A462DA" w:rsidRDefault="00ED063B" w:rsidP="00DA4159">
            <w:pPr>
              <w:spacing w:after="0" w:line="240" w:lineRule="auto"/>
              <w:jc w:val="right"/>
              <w:rPr>
                <w:color w:val="000000"/>
                <w:sz w:val="20"/>
                <w:szCs w:val="20"/>
              </w:rPr>
            </w:pPr>
            <w:r w:rsidRPr="00A462DA">
              <w:rPr>
                <w:color w:val="000000"/>
                <w:sz w:val="20"/>
                <w:szCs w:val="20"/>
              </w:rPr>
              <w:t>-0.746</w:t>
            </w:r>
          </w:p>
        </w:tc>
        <w:tc>
          <w:tcPr>
            <w:tcW w:w="724" w:type="dxa"/>
            <w:tcBorders>
              <w:top w:val="nil"/>
              <w:left w:val="nil"/>
              <w:bottom w:val="nil"/>
              <w:right w:val="nil"/>
            </w:tcBorders>
            <w:shd w:val="clear" w:color="auto" w:fill="auto"/>
            <w:noWrap/>
            <w:vAlign w:val="center"/>
          </w:tcPr>
          <w:p w14:paraId="431204A3" w14:textId="77777777" w:rsidR="00ED063B" w:rsidRPr="00A462DA" w:rsidRDefault="00ED063B" w:rsidP="00DA4159">
            <w:pPr>
              <w:spacing w:after="0" w:line="240" w:lineRule="auto"/>
              <w:jc w:val="right"/>
              <w:rPr>
                <w:color w:val="000000"/>
                <w:sz w:val="20"/>
                <w:szCs w:val="20"/>
              </w:rPr>
            </w:pPr>
            <w:r w:rsidRPr="00A462DA">
              <w:rPr>
                <w:color w:val="000000"/>
                <w:sz w:val="20"/>
                <w:szCs w:val="20"/>
              </w:rPr>
              <w:t>-2.67</w:t>
            </w:r>
          </w:p>
        </w:tc>
        <w:tc>
          <w:tcPr>
            <w:tcW w:w="810" w:type="dxa"/>
            <w:tcBorders>
              <w:top w:val="nil"/>
              <w:left w:val="double" w:sz="4" w:space="0" w:color="auto"/>
              <w:bottom w:val="nil"/>
              <w:right w:val="single" w:sz="4" w:space="0" w:color="auto"/>
            </w:tcBorders>
            <w:shd w:val="clear" w:color="auto" w:fill="auto"/>
            <w:vAlign w:val="center"/>
          </w:tcPr>
          <w:p w14:paraId="2548B0CA" w14:textId="77777777" w:rsidR="00ED063B" w:rsidRPr="00A462DA" w:rsidRDefault="00ED063B" w:rsidP="00DA4159">
            <w:pPr>
              <w:spacing w:after="0" w:line="240" w:lineRule="auto"/>
              <w:jc w:val="right"/>
              <w:rPr>
                <w:color w:val="000000"/>
                <w:sz w:val="20"/>
                <w:szCs w:val="20"/>
              </w:rPr>
            </w:pPr>
            <w:r w:rsidRPr="00A462DA">
              <w:rPr>
                <w:color w:val="000000"/>
                <w:sz w:val="20"/>
                <w:szCs w:val="20"/>
              </w:rPr>
              <w:t>-0.746</w:t>
            </w:r>
          </w:p>
        </w:tc>
        <w:tc>
          <w:tcPr>
            <w:tcW w:w="720" w:type="dxa"/>
            <w:tcBorders>
              <w:top w:val="nil"/>
              <w:left w:val="nil"/>
              <w:bottom w:val="nil"/>
              <w:right w:val="double" w:sz="4" w:space="0" w:color="auto"/>
            </w:tcBorders>
            <w:shd w:val="clear" w:color="auto" w:fill="auto"/>
            <w:vAlign w:val="center"/>
          </w:tcPr>
          <w:p w14:paraId="70B30B79" w14:textId="77777777" w:rsidR="00ED063B" w:rsidRPr="00A462DA" w:rsidRDefault="00ED063B" w:rsidP="00DA4159">
            <w:pPr>
              <w:spacing w:after="0" w:line="240" w:lineRule="auto"/>
              <w:jc w:val="right"/>
              <w:rPr>
                <w:color w:val="000000"/>
                <w:sz w:val="20"/>
                <w:szCs w:val="20"/>
              </w:rPr>
            </w:pPr>
            <w:r w:rsidRPr="00A462DA">
              <w:rPr>
                <w:color w:val="000000"/>
                <w:sz w:val="20"/>
                <w:szCs w:val="20"/>
              </w:rPr>
              <w:t>-2.67</w:t>
            </w:r>
          </w:p>
        </w:tc>
      </w:tr>
      <w:tr w:rsidR="00ED063B" w:rsidRPr="00A462DA" w14:paraId="52442093" w14:textId="77777777" w:rsidTr="008B31DB">
        <w:trPr>
          <w:trHeight w:val="274"/>
          <w:jc w:val="center"/>
        </w:trPr>
        <w:tc>
          <w:tcPr>
            <w:tcW w:w="5310" w:type="dxa"/>
            <w:tcBorders>
              <w:top w:val="nil"/>
              <w:left w:val="double" w:sz="4" w:space="0" w:color="auto"/>
              <w:bottom w:val="nil"/>
              <w:right w:val="double" w:sz="4" w:space="0" w:color="auto"/>
            </w:tcBorders>
            <w:shd w:val="clear" w:color="auto" w:fill="auto"/>
            <w:noWrap/>
            <w:vAlign w:val="center"/>
          </w:tcPr>
          <w:p w14:paraId="736EE717" w14:textId="77777777" w:rsidR="00ED063B" w:rsidRPr="00814E2F" w:rsidRDefault="00ED063B" w:rsidP="00DA4159">
            <w:pPr>
              <w:spacing w:after="0" w:line="240" w:lineRule="auto"/>
              <w:rPr>
                <w:rFonts w:eastAsia="Times New Roman"/>
                <w:sz w:val="19"/>
                <w:szCs w:val="19"/>
              </w:rPr>
            </w:pPr>
            <w:r w:rsidRPr="00814E2F">
              <w:rPr>
                <w:rFonts w:eastAsia="Times New Roman"/>
                <w:sz w:val="19"/>
                <w:szCs w:val="19"/>
              </w:rPr>
              <w:t xml:space="preserve">  Commute time * Female</w:t>
            </w:r>
          </w:p>
        </w:tc>
        <w:tc>
          <w:tcPr>
            <w:tcW w:w="794" w:type="dxa"/>
            <w:tcBorders>
              <w:top w:val="nil"/>
              <w:left w:val="double" w:sz="4" w:space="0" w:color="auto"/>
              <w:bottom w:val="nil"/>
              <w:right w:val="single" w:sz="4" w:space="0" w:color="auto"/>
            </w:tcBorders>
            <w:shd w:val="clear" w:color="auto" w:fill="auto"/>
            <w:noWrap/>
            <w:vAlign w:val="center"/>
          </w:tcPr>
          <w:p w14:paraId="00A46594" w14:textId="77777777" w:rsidR="00ED063B" w:rsidRPr="00A462DA" w:rsidRDefault="00ED063B" w:rsidP="00DA4159">
            <w:pPr>
              <w:spacing w:after="0" w:line="240" w:lineRule="auto"/>
              <w:jc w:val="right"/>
              <w:rPr>
                <w:sz w:val="20"/>
                <w:szCs w:val="20"/>
              </w:rPr>
            </w:pPr>
            <w:r w:rsidRPr="00A462DA">
              <w:rPr>
                <w:sz w:val="20"/>
                <w:szCs w:val="20"/>
              </w:rPr>
              <w:t>NA</w:t>
            </w:r>
          </w:p>
        </w:tc>
        <w:tc>
          <w:tcPr>
            <w:tcW w:w="720" w:type="dxa"/>
            <w:tcBorders>
              <w:top w:val="nil"/>
              <w:left w:val="single" w:sz="4" w:space="0" w:color="auto"/>
              <w:bottom w:val="nil"/>
              <w:right w:val="double" w:sz="4" w:space="0" w:color="auto"/>
            </w:tcBorders>
            <w:shd w:val="clear" w:color="auto" w:fill="auto"/>
            <w:noWrap/>
            <w:vAlign w:val="center"/>
          </w:tcPr>
          <w:p w14:paraId="3DD99AEF" w14:textId="77777777" w:rsidR="00ED063B" w:rsidRPr="00A462DA" w:rsidRDefault="00ED063B" w:rsidP="00DA4159">
            <w:pPr>
              <w:spacing w:after="0" w:line="240" w:lineRule="auto"/>
              <w:jc w:val="right"/>
              <w:rPr>
                <w:sz w:val="20"/>
                <w:szCs w:val="20"/>
              </w:rPr>
            </w:pPr>
          </w:p>
        </w:tc>
        <w:tc>
          <w:tcPr>
            <w:tcW w:w="810" w:type="dxa"/>
            <w:tcBorders>
              <w:top w:val="nil"/>
              <w:left w:val="nil"/>
              <w:bottom w:val="nil"/>
              <w:right w:val="single" w:sz="4" w:space="0" w:color="auto"/>
            </w:tcBorders>
            <w:shd w:val="clear" w:color="auto" w:fill="auto"/>
            <w:noWrap/>
            <w:vAlign w:val="center"/>
          </w:tcPr>
          <w:p w14:paraId="60199731" w14:textId="77777777" w:rsidR="00ED063B" w:rsidRPr="00A462DA" w:rsidRDefault="00ED063B" w:rsidP="00DA4159">
            <w:pPr>
              <w:spacing w:after="0" w:line="240" w:lineRule="auto"/>
              <w:jc w:val="right"/>
              <w:rPr>
                <w:color w:val="000000"/>
                <w:sz w:val="20"/>
                <w:szCs w:val="20"/>
              </w:rPr>
            </w:pPr>
            <w:r w:rsidRPr="00A462DA">
              <w:rPr>
                <w:color w:val="000000"/>
                <w:sz w:val="20"/>
                <w:szCs w:val="20"/>
              </w:rPr>
              <w:t>-0.591</w:t>
            </w:r>
          </w:p>
        </w:tc>
        <w:tc>
          <w:tcPr>
            <w:tcW w:w="724" w:type="dxa"/>
            <w:tcBorders>
              <w:top w:val="nil"/>
              <w:left w:val="nil"/>
              <w:bottom w:val="nil"/>
              <w:right w:val="nil"/>
            </w:tcBorders>
            <w:shd w:val="clear" w:color="auto" w:fill="auto"/>
            <w:noWrap/>
            <w:vAlign w:val="center"/>
          </w:tcPr>
          <w:p w14:paraId="50CA2C55" w14:textId="77777777" w:rsidR="00ED063B" w:rsidRPr="00A462DA" w:rsidRDefault="00ED063B" w:rsidP="00DA4159">
            <w:pPr>
              <w:spacing w:after="0" w:line="240" w:lineRule="auto"/>
              <w:jc w:val="right"/>
              <w:rPr>
                <w:color w:val="000000"/>
                <w:sz w:val="20"/>
                <w:szCs w:val="20"/>
              </w:rPr>
            </w:pPr>
            <w:r w:rsidRPr="00A462DA">
              <w:rPr>
                <w:color w:val="000000"/>
                <w:sz w:val="20"/>
                <w:szCs w:val="20"/>
              </w:rPr>
              <w:t>-1.69</w:t>
            </w:r>
          </w:p>
        </w:tc>
        <w:tc>
          <w:tcPr>
            <w:tcW w:w="810" w:type="dxa"/>
            <w:tcBorders>
              <w:top w:val="nil"/>
              <w:left w:val="double" w:sz="4" w:space="0" w:color="auto"/>
              <w:bottom w:val="nil"/>
              <w:right w:val="single" w:sz="4" w:space="0" w:color="auto"/>
            </w:tcBorders>
            <w:shd w:val="clear" w:color="auto" w:fill="auto"/>
            <w:vAlign w:val="center"/>
          </w:tcPr>
          <w:p w14:paraId="7713AA8B" w14:textId="77777777" w:rsidR="00ED063B" w:rsidRPr="00A462DA" w:rsidRDefault="00ED063B" w:rsidP="00DA4159">
            <w:pPr>
              <w:spacing w:after="0" w:line="240" w:lineRule="auto"/>
              <w:jc w:val="right"/>
              <w:rPr>
                <w:color w:val="000000"/>
                <w:sz w:val="20"/>
                <w:szCs w:val="20"/>
              </w:rPr>
            </w:pPr>
            <w:r w:rsidRPr="00A462DA">
              <w:rPr>
                <w:color w:val="000000"/>
                <w:sz w:val="20"/>
                <w:szCs w:val="20"/>
              </w:rPr>
              <w:t>-0.591</w:t>
            </w:r>
          </w:p>
        </w:tc>
        <w:tc>
          <w:tcPr>
            <w:tcW w:w="720" w:type="dxa"/>
            <w:tcBorders>
              <w:top w:val="nil"/>
              <w:left w:val="nil"/>
              <w:bottom w:val="nil"/>
              <w:right w:val="double" w:sz="4" w:space="0" w:color="auto"/>
            </w:tcBorders>
            <w:shd w:val="clear" w:color="auto" w:fill="auto"/>
            <w:vAlign w:val="center"/>
          </w:tcPr>
          <w:p w14:paraId="48828564" w14:textId="77777777" w:rsidR="00ED063B" w:rsidRPr="00A462DA" w:rsidRDefault="00ED063B" w:rsidP="00DA4159">
            <w:pPr>
              <w:spacing w:after="0" w:line="240" w:lineRule="auto"/>
              <w:jc w:val="right"/>
              <w:rPr>
                <w:color w:val="000000"/>
                <w:sz w:val="20"/>
                <w:szCs w:val="20"/>
              </w:rPr>
            </w:pPr>
            <w:r w:rsidRPr="00A462DA">
              <w:rPr>
                <w:color w:val="000000"/>
                <w:sz w:val="20"/>
                <w:szCs w:val="20"/>
              </w:rPr>
              <w:t>-1.69</w:t>
            </w:r>
          </w:p>
        </w:tc>
      </w:tr>
      <w:tr w:rsidR="00ED063B" w:rsidRPr="00A462DA" w14:paraId="7B848409" w14:textId="77777777" w:rsidTr="008B31DB">
        <w:trPr>
          <w:trHeight w:val="274"/>
          <w:jc w:val="center"/>
        </w:trPr>
        <w:tc>
          <w:tcPr>
            <w:tcW w:w="5310" w:type="dxa"/>
            <w:tcBorders>
              <w:top w:val="nil"/>
              <w:left w:val="double" w:sz="4" w:space="0" w:color="auto"/>
              <w:bottom w:val="nil"/>
              <w:right w:val="double" w:sz="4" w:space="0" w:color="auto"/>
            </w:tcBorders>
            <w:shd w:val="clear" w:color="auto" w:fill="auto"/>
            <w:noWrap/>
            <w:vAlign w:val="center"/>
          </w:tcPr>
          <w:p w14:paraId="6C23040D" w14:textId="77777777" w:rsidR="007856AB" w:rsidRPr="00814E2F" w:rsidRDefault="00ED063B" w:rsidP="00DA4159">
            <w:pPr>
              <w:spacing w:after="0" w:line="240" w:lineRule="auto"/>
              <w:rPr>
                <w:rFonts w:eastAsia="Times New Roman"/>
                <w:b/>
                <w:sz w:val="19"/>
                <w:szCs w:val="19"/>
              </w:rPr>
            </w:pPr>
            <w:r w:rsidRPr="00814E2F">
              <w:rPr>
                <w:rFonts w:eastAsia="Times New Roman"/>
                <w:b/>
                <w:sz w:val="19"/>
                <w:szCs w:val="19"/>
              </w:rPr>
              <w:t xml:space="preserve">Commute Congestion Level to the </w:t>
            </w:r>
            <w:r w:rsidR="00987A1A" w:rsidRPr="00814E2F">
              <w:rPr>
                <w:rFonts w:eastAsia="Times New Roman"/>
                <w:b/>
                <w:sz w:val="19"/>
                <w:szCs w:val="19"/>
              </w:rPr>
              <w:t>work office</w:t>
            </w:r>
            <w:r w:rsidR="007856AB" w:rsidRPr="00814E2F">
              <w:rPr>
                <w:rFonts w:eastAsia="Times New Roman"/>
                <w:b/>
                <w:sz w:val="19"/>
                <w:szCs w:val="19"/>
              </w:rPr>
              <w:t xml:space="preserve"> </w:t>
            </w:r>
            <w:r w:rsidRPr="00814E2F">
              <w:rPr>
                <w:rFonts w:eastAsia="Times New Roman"/>
                <w:b/>
                <w:sz w:val="19"/>
                <w:szCs w:val="19"/>
              </w:rPr>
              <w:t xml:space="preserve">(congestion is </w:t>
            </w:r>
          </w:p>
          <w:p w14:paraId="1AA279AD" w14:textId="705D8580" w:rsidR="00ED063B" w:rsidRPr="00814E2F" w:rsidRDefault="007856AB" w:rsidP="00DA4159">
            <w:pPr>
              <w:spacing w:after="0" w:line="240" w:lineRule="auto"/>
              <w:rPr>
                <w:rFonts w:eastAsia="Times New Roman"/>
                <w:b/>
                <w:sz w:val="19"/>
                <w:szCs w:val="19"/>
              </w:rPr>
            </w:pPr>
            <w:r w:rsidRPr="00814E2F">
              <w:rPr>
                <w:rFonts w:eastAsia="Times New Roman"/>
                <w:b/>
                <w:sz w:val="19"/>
                <w:szCs w:val="19"/>
              </w:rPr>
              <w:t xml:space="preserve">    </w:t>
            </w:r>
            <w:r w:rsidR="00ED063B" w:rsidRPr="00814E2F">
              <w:rPr>
                <w:rFonts w:eastAsia="Times New Roman"/>
                <w:b/>
                <w:sz w:val="19"/>
                <w:szCs w:val="19"/>
              </w:rPr>
              <w:t>tolerable)</w:t>
            </w:r>
          </w:p>
        </w:tc>
        <w:tc>
          <w:tcPr>
            <w:tcW w:w="794" w:type="dxa"/>
            <w:tcBorders>
              <w:top w:val="nil"/>
              <w:left w:val="double" w:sz="4" w:space="0" w:color="auto"/>
              <w:bottom w:val="nil"/>
              <w:right w:val="single" w:sz="4" w:space="0" w:color="auto"/>
            </w:tcBorders>
            <w:shd w:val="clear" w:color="auto" w:fill="auto"/>
            <w:noWrap/>
            <w:vAlign w:val="center"/>
          </w:tcPr>
          <w:p w14:paraId="6622A641" w14:textId="77777777" w:rsidR="00ED063B" w:rsidRPr="00A462DA" w:rsidRDefault="00ED063B" w:rsidP="00DA4159">
            <w:pPr>
              <w:spacing w:after="0" w:line="240" w:lineRule="auto"/>
              <w:jc w:val="right"/>
              <w:rPr>
                <w:sz w:val="20"/>
                <w:szCs w:val="20"/>
              </w:rPr>
            </w:pPr>
          </w:p>
        </w:tc>
        <w:tc>
          <w:tcPr>
            <w:tcW w:w="720" w:type="dxa"/>
            <w:tcBorders>
              <w:top w:val="nil"/>
              <w:left w:val="single" w:sz="4" w:space="0" w:color="auto"/>
              <w:bottom w:val="nil"/>
              <w:right w:val="double" w:sz="4" w:space="0" w:color="auto"/>
            </w:tcBorders>
            <w:shd w:val="clear" w:color="auto" w:fill="auto"/>
            <w:noWrap/>
            <w:vAlign w:val="center"/>
          </w:tcPr>
          <w:p w14:paraId="5A510598" w14:textId="77777777" w:rsidR="00ED063B" w:rsidRPr="00A462DA" w:rsidRDefault="00ED063B" w:rsidP="00DA4159">
            <w:pPr>
              <w:spacing w:after="0" w:line="240" w:lineRule="auto"/>
              <w:jc w:val="right"/>
              <w:rPr>
                <w:sz w:val="20"/>
                <w:szCs w:val="20"/>
              </w:rPr>
            </w:pPr>
          </w:p>
        </w:tc>
        <w:tc>
          <w:tcPr>
            <w:tcW w:w="810" w:type="dxa"/>
            <w:tcBorders>
              <w:top w:val="nil"/>
              <w:left w:val="nil"/>
              <w:bottom w:val="nil"/>
              <w:right w:val="single" w:sz="4" w:space="0" w:color="auto"/>
            </w:tcBorders>
            <w:shd w:val="clear" w:color="auto" w:fill="auto"/>
            <w:noWrap/>
            <w:vAlign w:val="center"/>
          </w:tcPr>
          <w:p w14:paraId="71508D54" w14:textId="77777777" w:rsidR="00ED063B" w:rsidRPr="00A462DA" w:rsidRDefault="00ED063B" w:rsidP="00DA4159">
            <w:pPr>
              <w:spacing w:after="0" w:line="240" w:lineRule="auto"/>
              <w:jc w:val="right"/>
              <w:rPr>
                <w:sz w:val="20"/>
                <w:szCs w:val="20"/>
              </w:rPr>
            </w:pPr>
          </w:p>
        </w:tc>
        <w:tc>
          <w:tcPr>
            <w:tcW w:w="724" w:type="dxa"/>
            <w:tcBorders>
              <w:top w:val="nil"/>
              <w:left w:val="nil"/>
              <w:bottom w:val="nil"/>
              <w:right w:val="nil"/>
            </w:tcBorders>
            <w:shd w:val="clear" w:color="auto" w:fill="auto"/>
            <w:noWrap/>
            <w:vAlign w:val="center"/>
          </w:tcPr>
          <w:p w14:paraId="3A4ACC0C" w14:textId="77777777" w:rsidR="00ED063B" w:rsidRPr="00A462DA" w:rsidRDefault="00ED063B" w:rsidP="00DA4159">
            <w:pPr>
              <w:spacing w:after="0" w:line="240" w:lineRule="auto"/>
              <w:jc w:val="right"/>
              <w:rPr>
                <w:sz w:val="20"/>
                <w:szCs w:val="20"/>
              </w:rPr>
            </w:pPr>
          </w:p>
        </w:tc>
        <w:tc>
          <w:tcPr>
            <w:tcW w:w="810" w:type="dxa"/>
            <w:tcBorders>
              <w:top w:val="nil"/>
              <w:left w:val="double" w:sz="4" w:space="0" w:color="auto"/>
              <w:bottom w:val="nil"/>
              <w:right w:val="single" w:sz="4" w:space="0" w:color="auto"/>
            </w:tcBorders>
            <w:shd w:val="clear" w:color="auto" w:fill="auto"/>
            <w:vAlign w:val="center"/>
          </w:tcPr>
          <w:p w14:paraId="6282BE00" w14:textId="77777777" w:rsidR="00ED063B" w:rsidRPr="00A462DA" w:rsidRDefault="00ED063B" w:rsidP="00DA4159">
            <w:pPr>
              <w:spacing w:after="0" w:line="240" w:lineRule="auto"/>
              <w:jc w:val="right"/>
              <w:rPr>
                <w:sz w:val="20"/>
                <w:szCs w:val="20"/>
              </w:rPr>
            </w:pPr>
          </w:p>
        </w:tc>
        <w:tc>
          <w:tcPr>
            <w:tcW w:w="720" w:type="dxa"/>
            <w:tcBorders>
              <w:top w:val="nil"/>
              <w:left w:val="nil"/>
              <w:bottom w:val="nil"/>
              <w:right w:val="double" w:sz="4" w:space="0" w:color="auto"/>
            </w:tcBorders>
            <w:shd w:val="clear" w:color="auto" w:fill="auto"/>
            <w:vAlign w:val="center"/>
          </w:tcPr>
          <w:p w14:paraId="4CBFF771" w14:textId="77777777" w:rsidR="00ED063B" w:rsidRPr="00A462DA" w:rsidRDefault="00ED063B" w:rsidP="00DA4159">
            <w:pPr>
              <w:spacing w:after="0" w:line="240" w:lineRule="auto"/>
              <w:jc w:val="right"/>
              <w:rPr>
                <w:sz w:val="20"/>
                <w:szCs w:val="20"/>
              </w:rPr>
            </w:pPr>
          </w:p>
        </w:tc>
      </w:tr>
      <w:tr w:rsidR="00ED063B" w:rsidRPr="00A462DA" w14:paraId="12A7E26A" w14:textId="77777777" w:rsidTr="008B31DB">
        <w:trPr>
          <w:trHeight w:val="274"/>
          <w:jc w:val="center"/>
        </w:trPr>
        <w:tc>
          <w:tcPr>
            <w:tcW w:w="5310" w:type="dxa"/>
            <w:tcBorders>
              <w:top w:val="nil"/>
              <w:left w:val="double" w:sz="4" w:space="0" w:color="auto"/>
              <w:bottom w:val="nil"/>
              <w:right w:val="double" w:sz="4" w:space="0" w:color="auto"/>
            </w:tcBorders>
            <w:shd w:val="clear" w:color="auto" w:fill="auto"/>
            <w:noWrap/>
            <w:vAlign w:val="center"/>
          </w:tcPr>
          <w:p w14:paraId="25CA533E" w14:textId="77777777" w:rsidR="00ED063B" w:rsidRPr="00814E2F" w:rsidRDefault="00ED063B" w:rsidP="00DA4159">
            <w:pPr>
              <w:spacing w:after="0" w:line="240" w:lineRule="auto"/>
              <w:rPr>
                <w:rFonts w:eastAsia="Times New Roman"/>
                <w:sz w:val="19"/>
                <w:szCs w:val="19"/>
              </w:rPr>
            </w:pPr>
            <w:r w:rsidRPr="00814E2F">
              <w:rPr>
                <w:rFonts w:eastAsia="Times New Roman"/>
                <w:sz w:val="19"/>
                <w:szCs w:val="19"/>
              </w:rPr>
              <w:t xml:space="preserve">  Congestion to the workplace is intolerable</w:t>
            </w:r>
          </w:p>
        </w:tc>
        <w:tc>
          <w:tcPr>
            <w:tcW w:w="794" w:type="dxa"/>
            <w:tcBorders>
              <w:top w:val="nil"/>
              <w:left w:val="double" w:sz="4" w:space="0" w:color="auto"/>
              <w:bottom w:val="nil"/>
              <w:right w:val="single" w:sz="4" w:space="0" w:color="auto"/>
            </w:tcBorders>
            <w:shd w:val="clear" w:color="auto" w:fill="auto"/>
            <w:noWrap/>
            <w:vAlign w:val="center"/>
          </w:tcPr>
          <w:p w14:paraId="5DE842AB" w14:textId="77777777" w:rsidR="00ED063B" w:rsidRPr="00A462DA" w:rsidRDefault="00ED063B" w:rsidP="00DA4159">
            <w:pPr>
              <w:spacing w:after="0" w:line="240" w:lineRule="auto"/>
              <w:jc w:val="right"/>
              <w:rPr>
                <w:sz w:val="20"/>
                <w:szCs w:val="20"/>
              </w:rPr>
            </w:pPr>
            <w:r w:rsidRPr="00A462DA">
              <w:rPr>
                <w:sz w:val="20"/>
                <w:szCs w:val="20"/>
              </w:rPr>
              <w:t>--</w:t>
            </w:r>
          </w:p>
        </w:tc>
        <w:tc>
          <w:tcPr>
            <w:tcW w:w="720" w:type="dxa"/>
            <w:tcBorders>
              <w:top w:val="nil"/>
              <w:left w:val="single" w:sz="4" w:space="0" w:color="auto"/>
              <w:bottom w:val="nil"/>
              <w:right w:val="double" w:sz="4" w:space="0" w:color="auto"/>
            </w:tcBorders>
            <w:shd w:val="clear" w:color="auto" w:fill="auto"/>
            <w:noWrap/>
            <w:vAlign w:val="center"/>
          </w:tcPr>
          <w:p w14:paraId="32528F76" w14:textId="77777777" w:rsidR="00ED063B" w:rsidRPr="00A462DA" w:rsidRDefault="00ED063B" w:rsidP="00DA4159">
            <w:pPr>
              <w:spacing w:after="0" w:line="240" w:lineRule="auto"/>
              <w:jc w:val="right"/>
              <w:rPr>
                <w:sz w:val="20"/>
                <w:szCs w:val="20"/>
              </w:rPr>
            </w:pPr>
          </w:p>
        </w:tc>
        <w:tc>
          <w:tcPr>
            <w:tcW w:w="810" w:type="dxa"/>
            <w:tcBorders>
              <w:top w:val="nil"/>
              <w:left w:val="nil"/>
              <w:bottom w:val="nil"/>
              <w:right w:val="single" w:sz="4" w:space="0" w:color="auto"/>
            </w:tcBorders>
            <w:shd w:val="clear" w:color="auto" w:fill="auto"/>
            <w:noWrap/>
            <w:vAlign w:val="center"/>
          </w:tcPr>
          <w:p w14:paraId="24566694" w14:textId="77777777" w:rsidR="00ED063B" w:rsidRPr="00A462DA" w:rsidRDefault="00ED063B" w:rsidP="00DA4159">
            <w:pPr>
              <w:spacing w:after="0" w:line="240" w:lineRule="auto"/>
              <w:jc w:val="right"/>
              <w:rPr>
                <w:color w:val="000000"/>
                <w:sz w:val="20"/>
                <w:szCs w:val="20"/>
              </w:rPr>
            </w:pPr>
            <w:r w:rsidRPr="00A462DA">
              <w:rPr>
                <w:color w:val="000000"/>
                <w:sz w:val="20"/>
                <w:szCs w:val="20"/>
              </w:rPr>
              <w:t>-0.311</w:t>
            </w:r>
          </w:p>
        </w:tc>
        <w:tc>
          <w:tcPr>
            <w:tcW w:w="724" w:type="dxa"/>
            <w:tcBorders>
              <w:top w:val="nil"/>
              <w:left w:val="nil"/>
              <w:bottom w:val="nil"/>
              <w:right w:val="nil"/>
            </w:tcBorders>
            <w:shd w:val="clear" w:color="auto" w:fill="auto"/>
            <w:noWrap/>
            <w:vAlign w:val="center"/>
          </w:tcPr>
          <w:p w14:paraId="21AA04E6" w14:textId="77777777" w:rsidR="00ED063B" w:rsidRPr="00A462DA" w:rsidRDefault="00ED063B" w:rsidP="00DA4159">
            <w:pPr>
              <w:spacing w:after="0" w:line="240" w:lineRule="auto"/>
              <w:jc w:val="right"/>
              <w:rPr>
                <w:color w:val="000000"/>
                <w:sz w:val="20"/>
                <w:szCs w:val="20"/>
              </w:rPr>
            </w:pPr>
            <w:r w:rsidRPr="00A462DA">
              <w:rPr>
                <w:color w:val="000000"/>
                <w:sz w:val="20"/>
                <w:szCs w:val="20"/>
              </w:rPr>
              <w:t>-3.91</w:t>
            </w:r>
          </w:p>
        </w:tc>
        <w:tc>
          <w:tcPr>
            <w:tcW w:w="810" w:type="dxa"/>
            <w:tcBorders>
              <w:top w:val="nil"/>
              <w:left w:val="double" w:sz="4" w:space="0" w:color="auto"/>
              <w:bottom w:val="nil"/>
              <w:right w:val="single" w:sz="4" w:space="0" w:color="auto"/>
            </w:tcBorders>
            <w:shd w:val="clear" w:color="auto" w:fill="auto"/>
            <w:vAlign w:val="center"/>
          </w:tcPr>
          <w:p w14:paraId="128AA9D3" w14:textId="77777777" w:rsidR="00ED063B" w:rsidRPr="00A462DA" w:rsidRDefault="00ED063B" w:rsidP="00DA4159">
            <w:pPr>
              <w:spacing w:after="0" w:line="240" w:lineRule="auto"/>
              <w:jc w:val="right"/>
              <w:rPr>
                <w:sz w:val="20"/>
                <w:szCs w:val="20"/>
              </w:rPr>
            </w:pPr>
            <w:r w:rsidRPr="00A462DA">
              <w:rPr>
                <w:sz w:val="20"/>
                <w:szCs w:val="20"/>
              </w:rPr>
              <w:t>--</w:t>
            </w:r>
          </w:p>
        </w:tc>
        <w:tc>
          <w:tcPr>
            <w:tcW w:w="720" w:type="dxa"/>
            <w:tcBorders>
              <w:top w:val="nil"/>
              <w:left w:val="nil"/>
              <w:bottom w:val="nil"/>
              <w:right w:val="double" w:sz="4" w:space="0" w:color="auto"/>
            </w:tcBorders>
            <w:shd w:val="clear" w:color="auto" w:fill="auto"/>
            <w:vAlign w:val="center"/>
          </w:tcPr>
          <w:p w14:paraId="6CA1B4F4" w14:textId="77777777" w:rsidR="00ED063B" w:rsidRPr="00A462DA" w:rsidRDefault="00ED063B" w:rsidP="00DA4159">
            <w:pPr>
              <w:spacing w:after="0" w:line="240" w:lineRule="auto"/>
              <w:jc w:val="right"/>
              <w:rPr>
                <w:sz w:val="20"/>
                <w:szCs w:val="20"/>
              </w:rPr>
            </w:pPr>
          </w:p>
        </w:tc>
      </w:tr>
      <w:tr w:rsidR="00ED063B" w:rsidRPr="00A462DA" w14:paraId="0924DAEE" w14:textId="77777777" w:rsidTr="008B31DB">
        <w:trPr>
          <w:trHeight w:val="274"/>
          <w:jc w:val="center"/>
        </w:trPr>
        <w:tc>
          <w:tcPr>
            <w:tcW w:w="5310" w:type="dxa"/>
            <w:tcBorders>
              <w:top w:val="nil"/>
              <w:left w:val="double" w:sz="4" w:space="0" w:color="auto"/>
              <w:bottom w:val="nil"/>
              <w:right w:val="double" w:sz="4" w:space="0" w:color="auto"/>
            </w:tcBorders>
            <w:shd w:val="clear" w:color="auto" w:fill="auto"/>
            <w:noWrap/>
            <w:vAlign w:val="center"/>
          </w:tcPr>
          <w:p w14:paraId="4DA5B407" w14:textId="5A687BE7" w:rsidR="00ED063B" w:rsidRPr="00814E2F" w:rsidRDefault="00ED063B" w:rsidP="00DA4159">
            <w:pPr>
              <w:spacing w:after="0" w:line="240" w:lineRule="auto"/>
              <w:rPr>
                <w:rFonts w:eastAsia="Times New Roman"/>
                <w:b/>
                <w:sz w:val="19"/>
                <w:szCs w:val="19"/>
              </w:rPr>
            </w:pPr>
            <w:r w:rsidRPr="00814E2F">
              <w:rPr>
                <w:rFonts w:eastAsia="Times New Roman"/>
                <w:b/>
                <w:sz w:val="19"/>
                <w:szCs w:val="19"/>
              </w:rPr>
              <w:t xml:space="preserve">Employment Density of the </w:t>
            </w:r>
            <w:r w:rsidR="00987A1A" w:rsidRPr="00814E2F">
              <w:rPr>
                <w:rFonts w:eastAsia="Times New Roman"/>
                <w:b/>
                <w:sz w:val="19"/>
                <w:szCs w:val="19"/>
              </w:rPr>
              <w:t>work office</w:t>
            </w:r>
            <w:r w:rsidRPr="00814E2F">
              <w:rPr>
                <w:rFonts w:eastAsia="Times New Roman"/>
                <w:b/>
                <w:sz w:val="19"/>
                <w:szCs w:val="19"/>
              </w:rPr>
              <w:t xml:space="preserve"> (medium-to-low)</w:t>
            </w:r>
          </w:p>
        </w:tc>
        <w:tc>
          <w:tcPr>
            <w:tcW w:w="794" w:type="dxa"/>
            <w:tcBorders>
              <w:top w:val="nil"/>
              <w:left w:val="double" w:sz="4" w:space="0" w:color="auto"/>
              <w:bottom w:val="nil"/>
              <w:right w:val="single" w:sz="4" w:space="0" w:color="auto"/>
            </w:tcBorders>
            <w:shd w:val="clear" w:color="auto" w:fill="auto"/>
            <w:noWrap/>
            <w:vAlign w:val="center"/>
          </w:tcPr>
          <w:p w14:paraId="68F8613C" w14:textId="77777777" w:rsidR="00ED063B" w:rsidRPr="00A462DA" w:rsidRDefault="00ED063B" w:rsidP="00DA4159">
            <w:pPr>
              <w:spacing w:after="0" w:line="240" w:lineRule="auto"/>
              <w:jc w:val="right"/>
              <w:rPr>
                <w:sz w:val="20"/>
                <w:szCs w:val="20"/>
              </w:rPr>
            </w:pPr>
          </w:p>
        </w:tc>
        <w:tc>
          <w:tcPr>
            <w:tcW w:w="720" w:type="dxa"/>
            <w:tcBorders>
              <w:top w:val="nil"/>
              <w:left w:val="single" w:sz="4" w:space="0" w:color="auto"/>
              <w:bottom w:val="nil"/>
              <w:right w:val="double" w:sz="4" w:space="0" w:color="auto"/>
            </w:tcBorders>
            <w:shd w:val="clear" w:color="auto" w:fill="auto"/>
            <w:noWrap/>
            <w:vAlign w:val="center"/>
          </w:tcPr>
          <w:p w14:paraId="1BB71BD5" w14:textId="77777777" w:rsidR="00ED063B" w:rsidRPr="00A462DA" w:rsidRDefault="00ED063B" w:rsidP="00DA4159">
            <w:pPr>
              <w:spacing w:after="0" w:line="240" w:lineRule="auto"/>
              <w:jc w:val="right"/>
              <w:rPr>
                <w:sz w:val="20"/>
                <w:szCs w:val="20"/>
              </w:rPr>
            </w:pPr>
          </w:p>
        </w:tc>
        <w:tc>
          <w:tcPr>
            <w:tcW w:w="810" w:type="dxa"/>
            <w:tcBorders>
              <w:top w:val="nil"/>
              <w:left w:val="nil"/>
              <w:bottom w:val="nil"/>
              <w:right w:val="single" w:sz="4" w:space="0" w:color="auto"/>
            </w:tcBorders>
            <w:shd w:val="clear" w:color="auto" w:fill="auto"/>
            <w:noWrap/>
            <w:vAlign w:val="center"/>
          </w:tcPr>
          <w:p w14:paraId="5AB37678" w14:textId="77777777" w:rsidR="00ED063B" w:rsidRPr="00A462DA" w:rsidRDefault="00ED063B" w:rsidP="00DA4159">
            <w:pPr>
              <w:spacing w:after="0" w:line="240" w:lineRule="auto"/>
              <w:jc w:val="right"/>
              <w:rPr>
                <w:sz w:val="20"/>
                <w:szCs w:val="20"/>
              </w:rPr>
            </w:pPr>
          </w:p>
        </w:tc>
        <w:tc>
          <w:tcPr>
            <w:tcW w:w="724" w:type="dxa"/>
            <w:tcBorders>
              <w:top w:val="nil"/>
              <w:left w:val="nil"/>
              <w:bottom w:val="nil"/>
              <w:right w:val="nil"/>
            </w:tcBorders>
            <w:shd w:val="clear" w:color="auto" w:fill="auto"/>
            <w:noWrap/>
            <w:vAlign w:val="center"/>
          </w:tcPr>
          <w:p w14:paraId="31D4CD5C" w14:textId="77777777" w:rsidR="00ED063B" w:rsidRPr="00A462DA" w:rsidRDefault="00ED063B" w:rsidP="00DA4159">
            <w:pPr>
              <w:spacing w:after="0" w:line="240" w:lineRule="auto"/>
              <w:jc w:val="right"/>
              <w:rPr>
                <w:sz w:val="20"/>
                <w:szCs w:val="20"/>
              </w:rPr>
            </w:pPr>
          </w:p>
        </w:tc>
        <w:tc>
          <w:tcPr>
            <w:tcW w:w="810" w:type="dxa"/>
            <w:tcBorders>
              <w:top w:val="nil"/>
              <w:left w:val="double" w:sz="4" w:space="0" w:color="auto"/>
              <w:bottom w:val="nil"/>
              <w:right w:val="single" w:sz="4" w:space="0" w:color="auto"/>
            </w:tcBorders>
            <w:shd w:val="clear" w:color="auto" w:fill="auto"/>
            <w:vAlign w:val="center"/>
          </w:tcPr>
          <w:p w14:paraId="4BD70E40" w14:textId="77777777" w:rsidR="00ED063B" w:rsidRPr="00A462DA" w:rsidRDefault="00ED063B" w:rsidP="00DA4159">
            <w:pPr>
              <w:spacing w:after="0" w:line="240" w:lineRule="auto"/>
              <w:jc w:val="right"/>
              <w:rPr>
                <w:sz w:val="20"/>
                <w:szCs w:val="20"/>
              </w:rPr>
            </w:pPr>
          </w:p>
        </w:tc>
        <w:tc>
          <w:tcPr>
            <w:tcW w:w="720" w:type="dxa"/>
            <w:tcBorders>
              <w:top w:val="nil"/>
              <w:left w:val="nil"/>
              <w:bottom w:val="nil"/>
              <w:right w:val="double" w:sz="4" w:space="0" w:color="auto"/>
            </w:tcBorders>
            <w:shd w:val="clear" w:color="auto" w:fill="auto"/>
            <w:vAlign w:val="center"/>
          </w:tcPr>
          <w:p w14:paraId="144A8033" w14:textId="77777777" w:rsidR="00ED063B" w:rsidRPr="00A462DA" w:rsidRDefault="00ED063B" w:rsidP="00DA4159">
            <w:pPr>
              <w:spacing w:after="0" w:line="240" w:lineRule="auto"/>
              <w:jc w:val="right"/>
              <w:rPr>
                <w:sz w:val="20"/>
                <w:szCs w:val="20"/>
              </w:rPr>
            </w:pPr>
          </w:p>
        </w:tc>
      </w:tr>
      <w:tr w:rsidR="00ED063B" w:rsidRPr="00A462DA" w14:paraId="31F7772B" w14:textId="77777777" w:rsidTr="008B31DB">
        <w:trPr>
          <w:trHeight w:val="274"/>
          <w:jc w:val="center"/>
        </w:trPr>
        <w:tc>
          <w:tcPr>
            <w:tcW w:w="5310" w:type="dxa"/>
            <w:tcBorders>
              <w:top w:val="nil"/>
              <w:left w:val="double" w:sz="4" w:space="0" w:color="auto"/>
              <w:bottom w:val="nil"/>
              <w:right w:val="double" w:sz="4" w:space="0" w:color="auto"/>
            </w:tcBorders>
            <w:shd w:val="clear" w:color="auto" w:fill="auto"/>
            <w:noWrap/>
            <w:vAlign w:val="center"/>
          </w:tcPr>
          <w:p w14:paraId="65EF8AFD" w14:textId="77777777" w:rsidR="00ED063B" w:rsidRPr="00814E2F" w:rsidRDefault="00ED063B" w:rsidP="00DA4159">
            <w:pPr>
              <w:spacing w:after="0" w:line="240" w:lineRule="auto"/>
              <w:rPr>
                <w:rFonts w:eastAsia="Times New Roman"/>
                <w:sz w:val="19"/>
                <w:szCs w:val="19"/>
              </w:rPr>
            </w:pPr>
            <w:r w:rsidRPr="00814E2F">
              <w:rPr>
                <w:rFonts w:eastAsia="Times New Roman"/>
                <w:sz w:val="19"/>
                <w:szCs w:val="19"/>
              </w:rPr>
              <w:t xml:space="preserve">  High</w:t>
            </w:r>
          </w:p>
        </w:tc>
        <w:tc>
          <w:tcPr>
            <w:tcW w:w="794" w:type="dxa"/>
            <w:tcBorders>
              <w:top w:val="nil"/>
              <w:left w:val="double" w:sz="4" w:space="0" w:color="auto"/>
              <w:bottom w:val="nil"/>
              <w:right w:val="single" w:sz="4" w:space="0" w:color="auto"/>
            </w:tcBorders>
            <w:shd w:val="clear" w:color="auto" w:fill="auto"/>
            <w:noWrap/>
            <w:vAlign w:val="center"/>
          </w:tcPr>
          <w:p w14:paraId="31B40465" w14:textId="77777777" w:rsidR="00ED063B" w:rsidRPr="00A462DA" w:rsidRDefault="00ED063B" w:rsidP="00DA4159">
            <w:pPr>
              <w:spacing w:after="0" w:line="240" w:lineRule="auto"/>
              <w:jc w:val="right"/>
              <w:rPr>
                <w:sz w:val="20"/>
                <w:szCs w:val="20"/>
              </w:rPr>
            </w:pPr>
            <w:r w:rsidRPr="00A462DA">
              <w:rPr>
                <w:sz w:val="20"/>
                <w:szCs w:val="20"/>
              </w:rPr>
              <w:t>--</w:t>
            </w:r>
          </w:p>
        </w:tc>
        <w:tc>
          <w:tcPr>
            <w:tcW w:w="720" w:type="dxa"/>
            <w:tcBorders>
              <w:top w:val="nil"/>
              <w:left w:val="single" w:sz="4" w:space="0" w:color="auto"/>
              <w:bottom w:val="nil"/>
              <w:right w:val="double" w:sz="4" w:space="0" w:color="auto"/>
            </w:tcBorders>
            <w:shd w:val="clear" w:color="auto" w:fill="auto"/>
            <w:noWrap/>
            <w:vAlign w:val="center"/>
          </w:tcPr>
          <w:p w14:paraId="62197387" w14:textId="77777777" w:rsidR="00ED063B" w:rsidRPr="00A462DA" w:rsidRDefault="00ED063B" w:rsidP="00DA4159">
            <w:pPr>
              <w:spacing w:after="0" w:line="240" w:lineRule="auto"/>
              <w:jc w:val="right"/>
              <w:rPr>
                <w:sz w:val="20"/>
                <w:szCs w:val="20"/>
              </w:rPr>
            </w:pPr>
          </w:p>
        </w:tc>
        <w:tc>
          <w:tcPr>
            <w:tcW w:w="810" w:type="dxa"/>
            <w:tcBorders>
              <w:top w:val="nil"/>
              <w:left w:val="nil"/>
              <w:bottom w:val="nil"/>
              <w:right w:val="single" w:sz="4" w:space="0" w:color="auto"/>
            </w:tcBorders>
            <w:shd w:val="clear" w:color="auto" w:fill="auto"/>
            <w:noWrap/>
            <w:vAlign w:val="center"/>
          </w:tcPr>
          <w:p w14:paraId="0571DDE9" w14:textId="77777777" w:rsidR="00ED063B" w:rsidRPr="00A462DA" w:rsidRDefault="00ED063B" w:rsidP="00DA4159">
            <w:pPr>
              <w:spacing w:after="0" w:line="240" w:lineRule="auto"/>
              <w:jc w:val="right"/>
              <w:rPr>
                <w:color w:val="000000"/>
                <w:sz w:val="20"/>
                <w:szCs w:val="20"/>
              </w:rPr>
            </w:pPr>
            <w:r w:rsidRPr="00A462DA">
              <w:rPr>
                <w:color w:val="000000"/>
                <w:sz w:val="20"/>
                <w:szCs w:val="20"/>
              </w:rPr>
              <w:t>-0.396</w:t>
            </w:r>
          </w:p>
        </w:tc>
        <w:tc>
          <w:tcPr>
            <w:tcW w:w="724" w:type="dxa"/>
            <w:tcBorders>
              <w:top w:val="nil"/>
              <w:left w:val="nil"/>
              <w:bottom w:val="nil"/>
              <w:right w:val="nil"/>
            </w:tcBorders>
            <w:shd w:val="clear" w:color="auto" w:fill="auto"/>
            <w:noWrap/>
            <w:vAlign w:val="center"/>
          </w:tcPr>
          <w:p w14:paraId="7C5ADB47" w14:textId="77777777" w:rsidR="00ED063B" w:rsidRPr="00A462DA" w:rsidRDefault="00ED063B" w:rsidP="00DA4159">
            <w:pPr>
              <w:spacing w:after="0" w:line="240" w:lineRule="auto"/>
              <w:jc w:val="right"/>
              <w:rPr>
                <w:color w:val="000000"/>
                <w:sz w:val="20"/>
                <w:szCs w:val="20"/>
              </w:rPr>
            </w:pPr>
            <w:r w:rsidRPr="00A462DA">
              <w:rPr>
                <w:color w:val="000000"/>
                <w:sz w:val="20"/>
                <w:szCs w:val="20"/>
              </w:rPr>
              <w:t>-4.11</w:t>
            </w:r>
          </w:p>
        </w:tc>
        <w:tc>
          <w:tcPr>
            <w:tcW w:w="810" w:type="dxa"/>
            <w:tcBorders>
              <w:top w:val="nil"/>
              <w:left w:val="double" w:sz="4" w:space="0" w:color="auto"/>
              <w:bottom w:val="nil"/>
              <w:right w:val="single" w:sz="4" w:space="0" w:color="auto"/>
            </w:tcBorders>
            <w:shd w:val="clear" w:color="auto" w:fill="auto"/>
            <w:vAlign w:val="center"/>
          </w:tcPr>
          <w:p w14:paraId="449B365E" w14:textId="77777777" w:rsidR="00ED063B" w:rsidRPr="00A462DA" w:rsidRDefault="00ED063B" w:rsidP="00DA4159">
            <w:pPr>
              <w:spacing w:after="0" w:line="240" w:lineRule="auto"/>
              <w:jc w:val="right"/>
              <w:rPr>
                <w:sz w:val="20"/>
                <w:szCs w:val="20"/>
              </w:rPr>
            </w:pPr>
            <w:r w:rsidRPr="00A462DA">
              <w:rPr>
                <w:sz w:val="20"/>
                <w:szCs w:val="20"/>
              </w:rPr>
              <w:t>--</w:t>
            </w:r>
          </w:p>
        </w:tc>
        <w:tc>
          <w:tcPr>
            <w:tcW w:w="720" w:type="dxa"/>
            <w:tcBorders>
              <w:top w:val="nil"/>
              <w:left w:val="nil"/>
              <w:bottom w:val="nil"/>
              <w:right w:val="double" w:sz="4" w:space="0" w:color="auto"/>
            </w:tcBorders>
            <w:shd w:val="clear" w:color="auto" w:fill="auto"/>
            <w:vAlign w:val="center"/>
          </w:tcPr>
          <w:p w14:paraId="11818C7E" w14:textId="77777777" w:rsidR="00ED063B" w:rsidRPr="00A462DA" w:rsidRDefault="00ED063B" w:rsidP="00DA4159">
            <w:pPr>
              <w:spacing w:after="0" w:line="240" w:lineRule="auto"/>
              <w:jc w:val="right"/>
              <w:rPr>
                <w:sz w:val="20"/>
                <w:szCs w:val="20"/>
              </w:rPr>
            </w:pPr>
          </w:p>
        </w:tc>
      </w:tr>
      <w:tr w:rsidR="00ED063B" w:rsidRPr="00A462DA" w14:paraId="4CBA881C" w14:textId="77777777" w:rsidTr="008B31DB">
        <w:trPr>
          <w:trHeight w:val="274"/>
          <w:jc w:val="center"/>
        </w:trPr>
        <w:tc>
          <w:tcPr>
            <w:tcW w:w="5310" w:type="dxa"/>
            <w:tcBorders>
              <w:top w:val="nil"/>
              <w:left w:val="double" w:sz="4" w:space="0" w:color="auto"/>
              <w:bottom w:val="nil"/>
              <w:right w:val="double" w:sz="4" w:space="0" w:color="auto"/>
            </w:tcBorders>
            <w:shd w:val="clear" w:color="auto" w:fill="auto"/>
            <w:noWrap/>
            <w:vAlign w:val="center"/>
          </w:tcPr>
          <w:p w14:paraId="7DA38BB4" w14:textId="77777777" w:rsidR="00ED063B" w:rsidRPr="00814E2F" w:rsidRDefault="00ED063B" w:rsidP="00DA4159">
            <w:pPr>
              <w:spacing w:after="0" w:line="240" w:lineRule="auto"/>
              <w:rPr>
                <w:rFonts w:eastAsia="Times New Roman"/>
                <w:b/>
                <w:sz w:val="19"/>
                <w:szCs w:val="19"/>
              </w:rPr>
            </w:pPr>
            <w:r w:rsidRPr="00814E2F">
              <w:rPr>
                <w:rFonts w:eastAsia="Times New Roman"/>
                <w:b/>
                <w:sz w:val="19"/>
                <w:szCs w:val="19"/>
              </w:rPr>
              <w:t>Population Density of the residence (rural)</w:t>
            </w:r>
          </w:p>
        </w:tc>
        <w:tc>
          <w:tcPr>
            <w:tcW w:w="794" w:type="dxa"/>
            <w:tcBorders>
              <w:top w:val="nil"/>
              <w:left w:val="double" w:sz="4" w:space="0" w:color="auto"/>
              <w:bottom w:val="nil"/>
              <w:right w:val="single" w:sz="4" w:space="0" w:color="auto"/>
            </w:tcBorders>
            <w:shd w:val="clear" w:color="auto" w:fill="auto"/>
            <w:noWrap/>
            <w:vAlign w:val="center"/>
          </w:tcPr>
          <w:p w14:paraId="0633657D" w14:textId="77777777" w:rsidR="00ED063B" w:rsidRPr="00A462DA" w:rsidRDefault="00ED063B" w:rsidP="00DA4159">
            <w:pPr>
              <w:spacing w:after="0" w:line="240" w:lineRule="auto"/>
              <w:jc w:val="right"/>
              <w:rPr>
                <w:rFonts w:eastAsia="Times New Roman"/>
                <w:sz w:val="20"/>
                <w:szCs w:val="20"/>
              </w:rPr>
            </w:pPr>
          </w:p>
        </w:tc>
        <w:tc>
          <w:tcPr>
            <w:tcW w:w="720" w:type="dxa"/>
            <w:tcBorders>
              <w:top w:val="nil"/>
              <w:left w:val="single" w:sz="4" w:space="0" w:color="auto"/>
              <w:bottom w:val="nil"/>
              <w:right w:val="double" w:sz="4" w:space="0" w:color="auto"/>
            </w:tcBorders>
            <w:shd w:val="clear" w:color="auto" w:fill="auto"/>
            <w:noWrap/>
            <w:vAlign w:val="center"/>
          </w:tcPr>
          <w:p w14:paraId="7CC931DE" w14:textId="77777777" w:rsidR="00ED063B" w:rsidRPr="00A462DA" w:rsidRDefault="00ED063B" w:rsidP="00DA4159">
            <w:pPr>
              <w:spacing w:after="0" w:line="240" w:lineRule="auto"/>
              <w:jc w:val="right"/>
              <w:rPr>
                <w:rFonts w:eastAsia="Times New Roman"/>
                <w:sz w:val="20"/>
                <w:szCs w:val="20"/>
              </w:rPr>
            </w:pPr>
          </w:p>
        </w:tc>
        <w:tc>
          <w:tcPr>
            <w:tcW w:w="810" w:type="dxa"/>
            <w:tcBorders>
              <w:top w:val="nil"/>
              <w:left w:val="nil"/>
              <w:bottom w:val="nil"/>
              <w:right w:val="single" w:sz="4" w:space="0" w:color="auto"/>
            </w:tcBorders>
            <w:shd w:val="clear" w:color="auto" w:fill="auto"/>
            <w:noWrap/>
            <w:vAlign w:val="center"/>
          </w:tcPr>
          <w:p w14:paraId="4D8AFA19" w14:textId="77777777" w:rsidR="00ED063B" w:rsidRPr="00A462DA" w:rsidRDefault="00ED063B" w:rsidP="00DA4159">
            <w:pPr>
              <w:spacing w:after="0" w:line="240" w:lineRule="auto"/>
              <w:jc w:val="right"/>
              <w:rPr>
                <w:sz w:val="20"/>
                <w:szCs w:val="20"/>
              </w:rPr>
            </w:pPr>
          </w:p>
        </w:tc>
        <w:tc>
          <w:tcPr>
            <w:tcW w:w="724" w:type="dxa"/>
            <w:tcBorders>
              <w:top w:val="nil"/>
              <w:left w:val="nil"/>
              <w:bottom w:val="nil"/>
              <w:right w:val="nil"/>
            </w:tcBorders>
            <w:shd w:val="clear" w:color="auto" w:fill="auto"/>
            <w:noWrap/>
            <w:vAlign w:val="center"/>
          </w:tcPr>
          <w:p w14:paraId="67A97303" w14:textId="77777777" w:rsidR="00ED063B" w:rsidRPr="00A462DA" w:rsidRDefault="00ED063B" w:rsidP="00DA4159">
            <w:pPr>
              <w:spacing w:after="0" w:line="240" w:lineRule="auto"/>
              <w:jc w:val="right"/>
              <w:rPr>
                <w:sz w:val="20"/>
                <w:szCs w:val="20"/>
              </w:rPr>
            </w:pPr>
          </w:p>
        </w:tc>
        <w:tc>
          <w:tcPr>
            <w:tcW w:w="810" w:type="dxa"/>
            <w:tcBorders>
              <w:top w:val="nil"/>
              <w:left w:val="double" w:sz="4" w:space="0" w:color="auto"/>
              <w:bottom w:val="nil"/>
              <w:right w:val="single" w:sz="4" w:space="0" w:color="auto"/>
            </w:tcBorders>
            <w:shd w:val="clear" w:color="auto" w:fill="auto"/>
            <w:vAlign w:val="center"/>
          </w:tcPr>
          <w:p w14:paraId="6AAE2370" w14:textId="77777777" w:rsidR="00ED063B" w:rsidRPr="00A462DA" w:rsidRDefault="00ED063B" w:rsidP="00DA4159">
            <w:pPr>
              <w:spacing w:after="0" w:line="240" w:lineRule="auto"/>
              <w:jc w:val="right"/>
              <w:rPr>
                <w:sz w:val="20"/>
                <w:szCs w:val="20"/>
              </w:rPr>
            </w:pPr>
          </w:p>
        </w:tc>
        <w:tc>
          <w:tcPr>
            <w:tcW w:w="720" w:type="dxa"/>
            <w:tcBorders>
              <w:top w:val="nil"/>
              <w:left w:val="nil"/>
              <w:bottom w:val="nil"/>
              <w:right w:val="double" w:sz="4" w:space="0" w:color="auto"/>
            </w:tcBorders>
            <w:shd w:val="clear" w:color="auto" w:fill="auto"/>
            <w:vAlign w:val="center"/>
          </w:tcPr>
          <w:p w14:paraId="3592685D" w14:textId="77777777" w:rsidR="00ED063B" w:rsidRPr="00A462DA" w:rsidRDefault="00ED063B" w:rsidP="00DA4159">
            <w:pPr>
              <w:spacing w:after="0" w:line="240" w:lineRule="auto"/>
              <w:jc w:val="right"/>
              <w:rPr>
                <w:sz w:val="20"/>
                <w:szCs w:val="20"/>
              </w:rPr>
            </w:pPr>
          </w:p>
        </w:tc>
      </w:tr>
      <w:tr w:rsidR="00ED063B" w:rsidRPr="00A462DA" w14:paraId="04C959BB" w14:textId="77777777" w:rsidTr="008B31DB">
        <w:trPr>
          <w:trHeight w:val="274"/>
          <w:jc w:val="center"/>
        </w:trPr>
        <w:tc>
          <w:tcPr>
            <w:tcW w:w="5310" w:type="dxa"/>
            <w:tcBorders>
              <w:top w:val="nil"/>
              <w:left w:val="double" w:sz="4" w:space="0" w:color="auto"/>
              <w:bottom w:val="nil"/>
              <w:right w:val="double" w:sz="4" w:space="0" w:color="auto"/>
            </w:tcBorders>
            <w:shd w:val="clear" w:color="auto" w:fill="auto"/>
            <w:noWrap/>
            <w:vAlign w:val="center"/>
          </w:tcPr>
          <w:p w14:paraId="2B046939" w14:textId="77777777" w:rsidR="00ED063B" w:rsidRPr="00814E2F" w:rsidRDefault="00ED063B" w:rsidP="00DA4159">
            <w:pPr>
              <w:spacing w:after="0" w:line="240" w:lineRule="auto"/>
              <w:rPr>
                <w:rFonts w:eastAsia="Times New Roman"/>
                <w:sz w:val="19"/>
                <w:szCs w:val="19"/>
              </w:rPr>
            </w:pPr>
            <w:r w:rsidRPr="00814E2F">
              <w:rPr>
                <w:rFonts w:eastAsia="Times New Roman"/>
                <w:sz w:val="19"/>
                <w:szCs w:val="19"/>
              </w:rPr>
              <w:t xml:space="preserve">  Suburban</w:t>
            </w:r>
          </w:p>
        </w:tc>
        <w:tc>
          <w:tcPr>
            <w:tcW w:w="794" w:type="dxa"/>
            <w:tcBorders>
              <w:top w:val="nil"/>
              <w:left w:val="double" w:sz="4" w:space="0" w:color="auto"/>
              <w:bottom w:val="nil"/>
              <w:right w:val="single" w:sz="4" w:space="0" w:color="auto"/>
            </w:tcBorders>
            <w:shd w:val="clear" w:color="auto" w:fill="auto"/>
            <w:noWrap/>
            <w:vAlign w:val="center"/>
          </w:tcPr>
          <w:p w14:paraId="63457B62" w14:textId="77777777" w:rsidR="00ED063B" w:rsidRPr="00A462DA" w:rsidRDefault="00ED063B" w:rsidP="00DA4159">
            <w:pPr>
              <w:spacing w:after="0" w:line="240" w:lineRule="auto"/>
              <w:jc w:val="right"/>
              <w:rPr>
                <w:rFonts w:eastAsia="Times New Roman"/>
                <w:sz w:val="20"/>
                <w:szCs w:val="20"/>
              </w:rPr>
            </w:pPr>
            <w:r w:rsidRPr="00A462DA">
              <w:rPr>
                <w:rFonts w:eastAsia="Times New Roman"/>
                <w:sz w:val="20"/>
                <w:szCs w:val="20"/>
              </w:rPr>
              <w:t>--</w:t>
            </w:r>
          </w:p>
        </w:tc>
        <w:tc>
          <w:tcPr>
            <w:tcW w:w="720" w:type="dxa"/>
            <w:tcBorders>
              <w:top w:val="nil"/>
              <w:left w:val="single" w:sz="4" w:space="0" w:color="auto"/>
              <w:bottom w:val="nil"/>
              <w:right w:val="double" w:sz="4" w:space="0" w:color="auto"/>
            </w:tcBorders>
            <w:shd w:val="clear" w:color="auto" w:fill="auto"/>
            <w:noWrap/>
            <w:vAlign w:val="center"/>
          </w:tcPr>
          <w:p w14:paraId="7B9B49F8" w14:textId="77777777" w:rsidR="00ED063B" w:rsidRPr="00A462DA" w:rsidRDefault="00ED063B" w:rsidP="00DA4159">
            <w:pPr>
              <w:spacing w:after="0" w:line="240" w:lineRule="auto"/>
              <w:jc w:val="right"/>
              <w:rPr>
                <w:rFonts w:eastAsia="Times New Roman"/>
                <w:sz w:val="20"/>
                <w:szCs w:val="20"/>
              </w:rPr>
            </w:pPr>
          </w:p>
        </w:tc>
        <w:tc>
          <w:tcPr>
            <w:tcW w:w="810" w:type="dxa"/>
            <w:tcBorders>
              <w:top w:val="nil"/>
              <w:left w:val="nil"/>
              <w:bottom w:val="nil"/>
              <w:right w:val="single" w:sz="4" w:space="0" w:color="auto"/>
            </w:tcBorders>
            <w:shd w:val="clear" w:color="auto" w:fill="auto"/>
            <w:noWrap/>
            <w:vAlign w:val="center"/>
          </w:tcPr>
          <w:p w14:paraId="0F71BA77" w14:textId="77777777" w:rsidR="00ED063B" w:rsidRPr="00A462DA" w:rsidRDefault="00ED063B" w:rsidP="00DA4159">
            <w:pPr>
              <w:spacing w:after="0" w:line="240" w:lineRule="auto"/>
              <w:jc w:val="right"/>
              <w:rPr>
                <w:color w:val="000000"/>
                <w:sz w:val="20"/>
                <w:szCs w:val="20"/>
              </w:rPr>
            </w:pPr>
            <w:r w:rsidRPr="00A462DA">
              <w:rPr>
                <w:color w:val="000000"/>
                <w:sz w:val="20"/>
                <w:szCs w:val="20"/>
              </w:rPr>
              <w:t>-0.659</w:t>
            </w:r>
          </w:p>
        </w:tc>
        <w:tc>
          <w:tcPr>
            <w:tcW w:w="724" w:type="dxa"/>
            <w:tcBorders>
              <w:top w:val="nil"/>
              <w:left w:val="nil"/>
              <w:bottom w:val="nil"/>
              <w:right w:val="nil"/>
            </w:tcBorders>
            <w:shd w:val="clear" w:color="auto" w:fill="auto"/>
            <w:noWrap/>
            <w:vAlign w:val="center"/>
          </w:tcPr>
          <w:p w14:paraId="190B1504" w14:textId="77777777" w:rsidR="00ED063B" w:rsidRPr="00A462DA" w:rsidRDefault="00ED063B" w:rsidP="00DA4159">
            <w:pPr>
              <w:spacing w:after="0" w:line="240" w:lineRule="auto"/>
              <w:jc w:val="right"/>
              <w:rPr>
                <w:color w:val="000000"/>
                <w:sz w:val="20"/>
                <w:szCs w:val="20"/>
              </w:rPr>
            </w:pPr>
            <w:r w:rsidRPr="00A462DA">
              <w:rPr>
                <w:color w:val="000000"/>
                <w:sz w:val="20"/>
                <w:szCs w:val="20"/>
              </w:rPr>
              <w:t>-6.00</w:t>
            </w:r>
          </w:p>
        </w:tc>
        <w:tc>
          <w:tcPr>
            <w:tcW w:w="810" w:type="dxa"/>
            <w:tcBorders>
              <w:top w:val="nil"/>
              <w:left w:val="double" w:sz="4" w:space="0" w:color="auto"/>
              <w:bottom w:val="nil"/>
              <w:right w:val="single" w:sz="4" w:space="0" w:color="auto"/>
            </w:tcBorders>
            <w:shd w:val="clear" w:color="auto" w:fill="auto"/>
            <w:vAlign w:val="center"/>
          </w:tcPr>
          <w:p w14:paraId="5931ED41" w14:textId="77777777" w:rsidR="00ED063B" w:rsidRPr="00A462DA" w:rsidRDefault="00ED063B" w:rsidP="00DA4159">
            <w:pPr>
              <w:spacing w:after="0" w:line="240" w:lineRule="auto"/>
              <w:jc w:val="right"/>
              <w:rPr>
                <w:color w:val="000000"/>
                <w:sz w:val="20"/>
                <w:szCs w:val="20"/>
              </w:rPr>
            </w:pPr>
            <w:r w:rsidRPr="00A462DA">
              <w:rPr>
                <w:color w:val="000000"/>
                <w:sz w:val="20"/>
                <w:szCs w:val="20"/>
              </w:rPr>
              <w:t>-0.469</w:t>
            </w:r>
          </w:p>
        </w:tc>
        <w:tc>
          <w:tcPr>
            <w:tcW w:w="720" w:type="dxa"/>
            <w:tcBorders>
              <w:top w:val="nil"/>
              <w:left w:val="nil"/>
              <w:bottom w:val="nil"/>
              <w:right w:val="double" w:sz="4" w:space="0" w:color="auto"/>
            </w:tcBorders>
            <w:shd w:val="clear" w:color="auto" w:fill="auto"/>
            <w:vAlign w:val="center"/>
          </w:tcPr>
          <w:p w14:paraId="6B67B64B" w14:textId="77777777" w:rsidR="00ED063B" w:rsidRPr="00A462DA" w:rsidRDefault="00ED063B" w:rsidP="00DA4159">
            <w:pPr>
              <w:spacing w:after="0" w:line="240" w:lineRule="auto"/>
              <w:jc w:val="right"/>
              <w:rPr>
                <w:color w:val="000000"/>
                <w:sz w:val="20"/>
                <w:szCs w:val="20"/>
              </w:rPr>
            </w:pPr>
            <w:r w:rsidRPr="00A462DA">
              <w:rPr>
                <w:color w:val="000000"/>
                <w:sz w:val="20"/>
                <w:szCs w:val="20"/>
              </w:rPr>
              <w:t>-2.87</w:t>
            </w:r>
          </w:p>
        </w:tc>
      </w:tr>
      <w:tr w:rsidR="00ED063B" w:rsidRPr="00A462DA" w14:paraId="5D78AA66" w14:textId="77777777" w:rsidTr="008B31DB">
        <w:trPr>
          <w:trHeight w:val="274"/>
          <w:jc w:val="center"/>
        </w:trPr>
        <w:tc>
          <w:tcPr>
            <w:tcW w:w="5310" w:type="dxa"/>
            <w:tcBorders>
              <w:top w:val="nil"/>
              <w:left w:val="double" w:sz="4" w:space="0" w:color="auto"/>
              <w:bottom w:val="nil"/>
              <w:right w:val="double" w:sz="4" w:space="0" w:color="auto"/>
            </w:tcBorders>
            <w:shd w:val="clear" w:color="auto" w:fill="auto"/>
            <w:noWrap/>
            <w:vAlign w:val="center"/>
          </w:tcPr>
          <w:p w14:paraId="3B83FF6D" w14:textId="77777777" w:rsidR="00ED063B" w:rsidRPr="00814E2F" w:rsidRDefault="00ED063B" w:rsidP="00DA4159">
            <w:pPr>
              <w:spacing w:after="0" w:line="240" w:lineRule="auto"/>
              <w:rPr>
                <w:rFonts w:eastAsia="Times New Roman"/>
                <w:sz w:val="19"/>
                <w:szCs w:val="19"/>
              </w:rPr>
            </w:pPr>
            <w:r w:rsidRPr="00814E2F">
              <w:rPr>
                <w:rFonts w:eastAsia="Times New Roman"/>
                <w:sz w:val="19"/>
                <w:szCs w:val="19"/>
              </w:rPr>
              <w:t xml:space="preserve">  Urban</w:t>
            </w:r>
          </w:p>
        </w:tc>
        <w:tc>
          <w:tcPr>
            <w:tcW w:w="794" w:type="dxa"/>
            <w:tcBorders>
              <w:top w:val="nil"/>
              <w:left w:val="double" w:sz="4" w:space="0" w:color="auto"/>
              <w:bottom w:val="nil"/>
              <w:right w:val="single" w:sz="4" w:space="0" w:color="auto"/>
            </w:tcBorders>
            <w:shd w:val="clear" w:color="auto" w:fill="auto"/>
            <w:noWrap/>
            <w:vAlign w:val="center"/>
          </w:tcPr>
          <w:p w14:paraId="51EABDAE" w14:textId="77777777" w:rsidR="00ED063B" w:rsidRPr="00A462DA" w:rsidRDefault="00ED063B" w:rsidP="00DA4159">
            <w:pPr>
              <w:spacing w:after="0" w:line="240" w:lineRule="auto"/>
              <w:jc w:val="right"/>
              <w:rPr>
                <w:rFonts w:eastAsia="Times New Roman"/>
                <w:sz w:val="20"/>
                <w:szCs w:val="20"/>
              </w:rPr>
            </w:pPr>
            <w:r w:rsidRPr="00A462DA">
              <w:rPr>
                <w:rFonts w:eastAsia="Times New Roman"/>
                <w:sz w:val="20"/>
                <w:szCs w:val="20"/>
              </w:rPr>
              <w:t>--</w:t>
            </w:r>
          </w:p>
        </w:tc>
        <w:tc>
          <w:tcPr>
            <w:tcW w:w="720" w:type="dxa"/>
            <w:tcBorders>
              <w:top w:val="nil"/>
              <w:left w:val="single" w:sz="4" w:space="0" w:color="auto"/>
              <w:bottom w:val="nil"/>
              <w:right w:val="double" w:sz="4" w:space="0" w:color="auto"/>
            </w:tcBorders>
            <w:shd w:val="clear" w:color="auto" w:fill="auto"/>
            <w:noWrap/>
            <w:vAlign w:val="center"/>
          </w:tcPr>
          <w:p w14:paraId="357BA82F" w14:textId="77777777" w:rsidR="00ED063B" w:rsidRPr="00A462DA" w:rsidRDefault="00ED063B" w:rsidP="00DA4159">
            <w:pPr>
              <w:spacing w:after="0" w:line="240" w:lineRule="auto"/>
              <w:jc w:val="right"/>
              <w:rPr>
                <w:rFonts w:eastAsia="Times New Roman"/>
                <w:sz w:val="20"/>
                <w:szCs w:val="20"/>
              </w:rPr>
            </w:pPr>
          </w:p>
        </w:tc>
        <w:tc>
          <w:tcPr>
            <w:tcW w:w="810" w:type="dxa"/>
            <w:tcBorders>
              <w:top w:val="nil"/>
              <w:left w:val="nil"/>
              <w:bottom w:val="nil"/>
              <w:right w:val="single" w:sz="4" w:space="0" w:color="auto"/>
            </w:tcBorders>
            <w:shd w:val="clear" w:color="auto" w:fill="auto"/>
            <w:noWrap/>
            <w:vAlign w:val="center"/>
          </w:tcPr>
          <w:p w14:paraId="63EFE319" w14:textId="77777777" w:rsidR="00ED063B" w:rsidRPr="00A462DA" w:rsidRDefault="00ED063B" w:rsidP="00DA4159">
            <w:pPr>
              <w:spacing w:after="0" w:line="240" w:lineRule="auto"/>
              <w:jc w:val="right"/>
              <w:rPr>
                <w:color w:val="000000"/>
                <w:sz w:val="20"/>
                <w:szCs w:val="20"/>
              </w:rPr>
            </w:pPr>
            <w:r w:rsidRPr="00A462DA">
              <w:rPr>
                <w:color w:val="000000"/>
                <w:sz w:val="20"/>
                <w:szCs w:val="20"/>
              </w:rPr>
              <w:t>-0.969</w:t>
            </w:r>
          </w:p>
        </w:tc>
        <w:tc>
          <w:tcPr>
            <w:tcW w:w="724" w:type="dxa"/>
            <w:tcBorders>
              <w:top w:val="nil"/>
              <w:left w:val="nil"/>
              <w:bottom w:val="nil"/>
              <w:right w:val="nil"/>
            </w:tcBorders>
            <w:shd w:val="clear" w:color="auto" w:fill="auto"/>
            <w:noWrap/>
            <w:vAlign w:val="center"/>
          </w:tcPr>
          <w:p w14:paraId="04E80FA0" w14:textId="77777777" w:rsidR="00ED063B" w:rsidRPr="00A462DA" w:rsidRDefault="00ED063B" w:rsidP="00DA4159">
            <w:pPr>
              <w:spacing w:after="0" w:line="240" w:lineRule="auto"/>
              <w:jc w:val="right"/>
              <w:rPr>
                <w:color w:val="000000"/>
                <w:sz w:val="20"/>
                <w:szCs w:val="20"/>
              </w:rPr>
            </w:pPr>
            <w:r w:rsidRPr="00A462DA">
              <w:rPr>
                <w:color w:val="000000"/>
                <w:sz w:val="20"/>
                <w:szCs w:val="20"/>
              </w:rPr>
              <w:t>-7.57</w:t>
            </w:r>
          </w:p>
        </w:tc>
        <w:tc>
          <w:tcPr>
            <w:tcW w:w="810" w:type="dxa"/>
            <w:tcBorders>
              <w:top w:val="nil"/>
              <w:left w:val="double" w:sz="4" w:space="0" w:color="auto"/>
              <w:bottom w:val="nil"/>
              <w:right w:val="single" w:sz="4" w:space="0" w:color="auto"/>
            </w:tcBorders>
            <w:shd w:val="clear" w:color="auto" w:fill="auto"/>
            <w:vAlign w:val="center"/>
          </w:tcPr>
          <w:p w14:paraId="55AC22EC" w14:textId="77777777" w:rsidR="00ED063B" w:rsidRPr="00A462DA" w:rsidRDefault="00ED063B" w:rsidP="00DA4159">
            <w:pPr>
              <w:spacing w:after="0" w:line="240" w:lineRule="auto"/>
              <w:jc w:val="right"/>
              <w:rPr>
                <w:color w:val="000000"/>
                <w:sz w:val="20"/>
                <w:szCs w:val="20"/>
              </w:rPr>
            </w:pPr>
            <w:r w:rsidRPr="00A462DA">
              <w:rPr>
                <w:color w:val="000000"/>
                <w:sz w:val="20"/>
                <w:szCs w:val="20"/>
              </w:rPr>
              <w:t>-0.469</w:t>
            </w:r>
          </w:p>
        </w:tc>
        <w:tc>
          <w:tcPr>
            <w:tcW w:w="720" w:type="dxa"/>
            <w:tcBorders>
              <w:top w:val="nil"/>
              <w:left w:val="nil"/>
              <w:bottom w:val="nil"/>
              <w:right w:val="double" w:sz="4" w:space="0" w:color="auto"/>
            </w:tcBorders>
            <w:shd w:val="clear" w:color="auto" w:fill="auto"/>
            <w:vAlign w:val="center"/>
          </w:tcPr>
          <w:p w14:paraId="47C4A19C" w14:textId="77777777" w:rsidR="00ED063B" w:rsidRPr="00A462DA" w:rsidRDefault="00ED063B" w:rsidP="00DA4159">
            <w:pPr>
              <w:spacing w:after="0" w:line="240" w:lineRule="auto"/>
              <w:jc w:val="right"/>
              <w:rPr>
                <w:color w:val="000000"/>
                <w:sz w:val="20"/>
                <w:szCs w:val="20"/>
              </w:rPr>
            </w:pPr>
            <w:r w:rsidRPr="00A462DA">
              <w:rPr>
                <w:color w:val="000000"/>
                <w:sz w:val="20"/>
                <w:szCs w:val="20"/>
              </w:rPr>
              <w:t>-2.87</w:t>
            </w:r>
          </w:p>
        </w:tc>
      </w:tr>
      <w:tr w:rsidR="00ED063B" w:rsidRPr="00A462DA" w14:paraId="07D0D04F" w14:textId="77777777" w:rsidTr="008B31DB">
        <w:trPr>
          <w:trHeight w:val="274"/>
          <w:jc w:val="center"/>
        </w:trPr>
        <w:tc>
          <w:tcPr>
            <w:tcW w:w="5310" w:type="dxa"/>
            <w:tcBorders>
              <w:top w:val="nil"/>
              <w:left w:val="double" w:sz="4" w:space="0" w:color="auto"/>
              <w:bottom w:val="nil"/>
              <w:right w:val="double" w:sz="4" w:space="0" w:color="auto"/>
            </w:tcBorders>
            <w:shd w:val="clear" w:color="auto" w:fill="auto"/>
            <w:noWrap/>
            <w:vAlign w:val="center"/>
          </w:tcPr>
          <w:p w14:paraId="792DE4E4" w14:textId="77777777" w:rsidR="00ED063B" w:rsidRPr="00814E2F" w:rsidRDefault="00ED063B" w:rsidP="00DA4159">
            <w:pPr>
              <w:spacing w:after="0" w:line="240" w:lineRule="auto"/>
              <w:rPr>
                <w:rFonts w:eastAsia="Times New Roman"/>
                <w:sz w:val="19"/>
                <w:szCs w:val="19"/>
                <w:u w:val="single"/>
              </w:rPr>
            </w:pPr>
            <w:r w:rsidRPr="00814E2F">
              <w:rPr>
                <w:rFonts w:eastAsia="Times New Roman"/>
                <w:b/>
                <w:i/>
                <w:sz w:val="19"/>
                <w:szCs w:val="19"/>
                <w:u w:val="single"/>
              </w:rPr>
              <w:t>Environment WPL Attributes</w:t>
            </w:r>
          </w:p>
        </w:tc>
        <w:tc>
          <w:tcPr>
            <w:tcW w:w="794" w:type="dxa"/>
            <w:tcBorders>
              <w:top w:val="nil"/>
              <w:left w:val="double" w:sz="4" w:space="0" w:color="auto"/>
              <w:bottom w:val="nil"/>
              <w:right w:val="single" w:sz="4" w:space="0" w:color="auto"/>
            </w:tcBorders>
            <w:shd w:val="clear" w:color="auto" w:fill="auto"/>
            <w:noWrap/>
            <w:vAlign w:val="center"/>
          </w:tcPr>
          <w:p w14:paraId="70B2F6DC" w14:textId="77777777" w:rsidR="00ED063B" w:rsidRPr="00A462DA" w:rsidRDefault="00ED063B" w:rsidP="00DA4159">
            <w:pPr>
              <w:spacing w:after="0" w:line="240" w:lineRule="auto"/>
              <w:jc w:val="right"/>
              <w:rPr>
                <w:sz w:val="20"/>
                <w:szCs w:val="20"/>
              </w:rPr>
            </w:pPr>
          </w:p>
        </w:tc>
        <w:tc>
          <w:tcPr>
            <w:tcW w:w="720" w:type="dxa"/>
            <w:tcBorders>
              <w:top w:val="nil"/>
              <w:left w:val="single" w:sz="4" w:space="0" w:color="auto"/>
              <w:bottom w:val="nil"/>
              <w:right w:val="double" w:sz="4" w:space="0" w:color="auto"/>
            </w:tcBorders>
            <w:shd w:val="clear" w:color="auto" w:fill="auto"/>
            <w:noWrap/>
            <w:vAlign w:val="center"/>
          </w:tcPr>
          <w:p w14:paraId="1CB555D4" w14:textId="77777777" w:rsidR="00ED063B" w:rsidRPr="00A462DA" w:rsidRDefault="00ED063B" w:rsidP="00DA4159">
            <w:pPr>
              <w:spacing w:after="0" w:line="240" w:lineRule="auto"/>
              <w:jc w:val="right"/>
              <w:rPr>
                <w:sz w:val="20"/>
                <w:szCs w:val="20"/>
              </w:rPr>
            </w:pPr>
          </w:p>
        </w:tc>
        <w:tc>
          <w:tcPr>
            <w:tcW w:w="810" w:type="dxa"/>
            <w:tcBorders>
              <w:top w:val="nil"/>
              <w:left w:val="nil"/>
              <w:bottom w:val="nil"/>
              <w:right w:val="single" w:sz="4" w:space="0" w:color="auto"/>
            </w:tcBorders>
            <w:shd w:val="clear" w:color="auto" w:fill="auto"/>
            <w:noWrap/>
            <w:vAlign w:val="center"/>
          </w:tcPr>
          <w:p w14:paraId="73AA5BE3" w14:textId="77777777" w:rsidR="00ED063B" w:rsidRPr="00A462DA" w:rsidRDefault="00ED063B" w:rsidP="00DA4159">
            <w:pPr>
              <w:spacing w:after="0" w:line="240" w:lineRule="auto"/>
              <w:jc w:val="right"/>
              <w:rPr>
                <w:sz w:val="20"/>
                <w:szCs w:val="20"/>
              </w:rPr>
            </w:pPr>
          </w:p>
        </w:tc>
        <w:tc>
          <w:tcPr>
            <w:tcW w:w="724" w:type="dxa"/>
            <w:tcBorders>
              <w:top w:val="nil"/>
              <w:left w:val="nil"/>
              <w:bottom w:val="nil"/>
              <w:right w:val="nil"/>
            </w:tcBorders>
            <w:shd w:val="clear" w:color="auto" w:fill="auto"/>
            <w:noWrap/>
            <w:vAlign w:val="center"/>
          </w:tcPr>
          <w:p w14:paraId="6994044E" w14:textId="77777777" w:rsidR="00ED063B" w:rsidRPr="00A462DA" w:rsidRDefault="00ED063B" w:rsidP="00DA4159">
            <w:pPr>
              <w:spacing w:after="0" w:line="240" w:lineRule="auto"/>
              <w:jc w:val="right"/>
              <w:rPr>
                <w:sz w:val="20"/>
                <w:szCs w:val="20"/>
              </w:rPr>
            </w:pPr>
          </w:p>
        </w:tc>
        <w:tc>
          <w:tcPr>
            <w:tcW w:w="810" w:type="dxa"/>
            <w:tcBorders>
              <w:top w:val="nil"/>
              <w:left w:val="double" w:sz="4" w:space="0" w:color="auto"/>
              <w:bottom w:val="nil"/>
              <w:right w:val="single" w:sz="4" w:space="0" w:color="auto"/>
            </w:tcBorders>
            <w:shd w:val="clear" w:color="auto" w:fill="auto"/>
            <w:vAlign w:val="center"/>
          </w:tcPr>
          <w:p w14:paraId="6E761374" w14:textId="77777777" w:rsidR="00ED063B" w:rsidRPr="00A462DA" w:rsidRDefault="00ED063B" w:rsidP="00DA4159">
            <w:pPr>
              <w:spacing w:after="0" w:line="240" w:lineRule="auto"/>
              <w:jc w:val="right"/>
              <w:rPr>
                <w:sz w:val="20"/>
                <w:szCs w:val="20"/>
              </w:rPr>
            </w:pPr>
          </w:p>
        </w:tc>
        <w:tc>
          <w:tcPr>
            <w:tcW w:w="720" w:type="dxa"/>
            <w:tcBorders>
              <w:top w:val="nil"/>
              <w:left w:val="nil"/>
              <w:bottom w:val="nil"/>
              <w:right w:val="double" w:sz="4" w:space="0" w:color="auto"/>
            </w:tcBorders>
            <w:shd w:val="clear" w:color="auto" w:fill="auto"/>
            <w:vAlign w:val="center"/>
          </w:tcPr>
          <w:p w14:paraId="42D5314B" w14:textId="77777777" w:rsidR="00ED063B" w:rsidRPr="00A462DA" w:rsidRDefault="00ED063B" w:rsidP="00DA4159">
            <w:pPr>
              <w:spacing w:after="0" w:line="240" w:lineRule="auto"/>
              <w:jc w:val="right"/>
              <w:rPr>
                <w:sz w:val="20"/>
                <w:szCs w:val="20"/>
              </w:rPr>
            </w:pPr>
          </w:p>
        </w:tc>
      </w:tr>
      <w:tr w:rsidR="00ED063B" w:rsidRPr="00A462DA" w14:paraId="371C0E8A" w14:textId="77777777" w:rsidTr="008B31DB">
        <w:trPr>
          <w:trHeight w:val="274"/>
          <w:jc w:val="center"/>
        </w:trPr>
        <w:tc>
          <w:tcPr>
            <w:tcW w:w="5310" w:type="dxa"/>
            <w:tcBorders>
              <w:top w:val="nil"/>
              <w:left w:val="double" w:sz="4" w:space="0" w:color="auto"/>
              <w:bottom w:val="nil"/>
              <w:right w:val="double" w:sz="4" w:space="0" w:color="auto"/>
            </w:tcBorders>
            <w:shd w:val="clear" w:color="auto" w:fill="auto"/>
            <w:noWrap/>
            <w:vAlign w:val="center"/>
          </w:tcPr>
          <w:p w14:paraId="70D413CE" w14:textId="77777777" w:rsidR="00ED063B" w:rsidRPr="00814E2F" w:rsidRDefault="00ED063B" w:rsidP="00DA4159">
            <w:pPr>
              <w:spacing w:after="0" w:line="240" w:lineRule="auto"/>
              <w:rPr>
                <w:rFonts w:eastAsia="Times New Roman"/>
                <w:b/>
                <w:sz w:val="19"/>
                <w:szCs w:val="19"/>
              </w:rPr>
            </w:pPr>
            <w:r w:rsidRPr="00814E2F">
              <w:rPr>
                <w:rFonts w:eastAsia="Times New Roman"/>
                <w:b/>
                <w:sz w:val="19"/>
                <w:szCs w:val="19"/>
              </w:rPr>
              <w:t>Distraction Level (low)</w:t>
            </w:r>
          </w:p>
        </w:tc>
        <w:tc>
          <w:tcPr>
            <w:tcW w:w="794" w:type="dxa"/>
            <w:tcBorders>
              <w:top w:val="nil"/>
              <w:left w:val="double" w:sz="4" w:space="0" w:color="auto"/>
              <w:bottom w:val="nil"/>
              <w:right w:val="single" w:sz="4" w:space="0" w:color="auto"/>
            </w:tcBorders>
            <w:shd w:val="clear" w:color="auto" w:fill="auto"/>
            <w:noWrap/>
            <w:vAlign w:val="center"/>
          </w:tcPr>
          <w:p w14:paraId="1308AD04" w14:textId="77777777" w:rsidR="00ED063B" w:rsidRPr="00A462DA" w:rsidRDefault="00ED063B" w:rsidP="00DA4159">
            <w:pPr>
              <w:spacing w:after="0" w:line="240" w:lineRule="auto"/>
              <w:jc w:val="right"/>
              <w:rPr>
                <w:sz w:val="20"/>
                <w:szCs w:val="20"/>
              </w:rPr>
            </w:pPr>
          </w:p>
        </w:tc>
        <w:tc>
          <w:tcPr>
            <w:tcW w:w="720" w:type="dxa"/>
            <w:tcBorders>
              <w:top w:val="nil"/>
              <w:left w:val="single" w:sz="4" w:space="0" w:color="auto"/>
              <w:bottom w:val="nil"/>
              <w:right w:val="double" w:sz="4" w:space="0" w:color="auto"/>
            </w:tcBorders>
            <w:shd w:val="clear" w:color="auto" w:fill="auto"/>
            <w:noWrap/>
            <w:vAlign w:val="center"/>
          </w:tcPr>
          <w:p w14:paraId="4EE22A93" w14:textId="77777777" w:rsidR="00ED063B" w:rsidRPr="00A462DA" w:rsidRDefault="00ED063B" w:rsidP="00DA4159">
            <w:pPr>
              <w:spacing w:after="0" w:line="240" w:lineRule="auto"/>
              <w:jc w:val="right"/>
              <w:rPr>
                <w:sz w:val="20"/>
                <w:szCs w:val="20"/>
              </w:rPr>
            </w:pPr>
          </w:p>
        </w:tc>
        <w:tc>
          <w:tcPr>
            <w:tcW w:w="810" w:type="dxa"/>
            <w:tcBorders>
              <w:top w:val="nil"/>
              <w:left w:val="nil"/>
              <w:bottom w:val="nil"/>
              <w:right w:val="single" w:sz="4" w:space="0" w:color="auto"/>
            </w:tcBorders>
            <w:shd w:val="clear" w:color="auto" w:fill="auto"/>
            <w:noWrap/>
            <w:vAlign w:val="center"/>
          </w:tcPr>
          <w:p w14:paraId="5588251D" w14:textId="77777777" w:rsidR="00ED063B" w:rsidRPr="00A462DA" w:rsidRDefault="00ED063B" w:rsidP="00DA4159">
            <w:pPr>
              <w:spacing w:after="0" w:line="240" w:lineRule="auto"/>
              <w:jc w:val="right"/>
              <w:rPr>
                <w:sz w:val="20"/>
                <w:szCs w:val="20"/>
              </w:rPr>
            </w:pPr>
          </w:p>
        </w:tc>
        <w:tc>
          <w:tcPr>
            <w:tcW w:w="724" w:type="dxa"/>
            <w:tcBorders>
              <w:top w:val="nil"/>
              <w:left w:val="nil"/>
              <w:bottom w:val="nil"/>
              <w:right w:val="nil"/>
            </w:tcBorders>
            <w:shd w:val="clear" w:color="auto" w:fill="auto"/>
            <w:noWrap/>
            <w:vAlign w:val="center"/>
          </w:tcPr>
          <w:p w14:paraId="6304AFF6" w14:textId="77777777" w:rsidR="00ED063B" w:rsidRPr="00A462DA" w:rsidRDefault="00ED063B" w:rsidP="00DA4159">
            <w:pPr>
              <w:spacing w:after="0" w:line="240" w:lineRule="auto"/>
              <w:jc w:val="right"/>
              <w:rPr>
                <w:sz w:val="20"/>
                <w:szCs w:val="20"/>
              </w:rPr>
            </w:pPr>
          </w:p>
        </w:tc>
        <w:tc>
          <w:tcPr>
            <w:tcW w:w="810" w:type="dxa"/>
            <w:tcBorders>
              <w:top w:val="nil"/>
              <w:left w:val="double" w:sz="4" w:space="0" w:color="auto"/>
              <w:bottom w:val="nil"/>
              <w:right w:val="single" w:sz="4" w:space="0" w:color="auto"/>
            </w:tcBorders>
            <w:shd w:val="clear" w:color="auto" w:fill="auto"/>
            <w:vAlign w:val="center"/>
          </w:tcPr>
          <w:p w14:paraId="45DF55D2" w14:textId="77777777" w:rsidR="00ED063B" w:rsidRPr="00A462DA" w:rsidRDefault="00ED063B" w:rsidP="00DA4159">
            <w:pPr>
              <w:spacing w:after="0" w:line="240" w:lineRule="auto"/>
              <w:jc w:val="right"/>
              <w:rPr>
                <w:sz w:val="20"/>
                <w:szCs w:val="20"/>
              </w:rPr>
            </w:pPr>
          </w:p>
        </w:tc>
        <w:tc>
          <w:tcPr>
            <w:tcW w:w="720" w:type="dxa"/>
            <w:tcBorders>
              <w:top w:val="nil"/>
              <w:left w:val="nil"/>
              <w:bottom w:val="nil"/>
              <w:right w:val="double" w:sz="4" w:space="0" w:color="auto"/>
            </w:tcBorders>
            <w:shd w:val="clear" w:color="auto" w:fill="auto"/>
            <w:vAlign w:val="center"/>
          </w:tcPr>
          <w:p w14:paraId="23EC30E2" w14:textId="77777777" w:rsidR="00ED063B" w:rsidRPr="00A462DA" w:rsidRDefault="00ED063B" w:rsidP="00DA4159">
            <w:pPr>
              <w:spacing w:after="0" w:line="240" w:lineRule="auto"/>
              <w:jc w:val="right"/>
              <w:rPr>
                <w:sz w:val="20"/>
                <w:szCs w:val="20"/>
              </w:rPr>
            </w:pPr>
          </w:p>
        </w:tc>
      </w:tr>
      <w:tr w:rsidR="00ED063B" w:rsidRPr="00A462DA" w14:paraId="2737ED87" w14:textId="77777777" w:rsidTr="008B31DB">
        <w:trPr>
          <w:trHeight w:val="274"/>
          <w:jc w:val="center"/>
        </w:trPr>
        <w:tc>
          <w:tcPr>
            <w:tcW w:w="5310" w:type="dxa"/>
            <w:tcBorders>
              <w:top w:val="nil"/>
              <w:left w:val="double" w:sz="4" w:space="0" w:color="auto"/>
              <w:bottom w:val="nil"/>
              <w:right w:val="double" w:sz="4" w:space="0" w:color="auto"/>
            </w:tcBorders>
            <w:shd w:val="clear" w:color="auto" w:fill="auto"/>
            <w:noWrap/>
            <w:vAlign w:val="center"/>
          </w:tcPr>
          <w:p w14:paraId="4A66A610" w14:textId="77777777" w:rsidR="00ED063B" w:rsidRPr="00814E2F" w:rsidRDefault="00ED063B" w:rsidP="00DA4159">
            <w:pPr>
              <w:spacing w:after="0" w:line="240" w:lineRule="auto"/>
              <w:rPr>
                <w:rFonts w:eastAsia="Times New Roman"/>
                <w:sz w:val="19"/>
                <w:szCs w:val="19"/>
              </w:rPr>
            </w:pPr>
            <w:r w:rsidRPr="00814E2F">
              <w:rPr>
                <w:rFonts w:eastAsia="Times New Roman"/>
                <w:sz w:val="19"/>
                <w:szCs w:val="19"/>
              </w:rPr>
              <w:t xml:space="preserve">  Medium</w:t>
            </w:r>
          </w:p>
        </w:tc>
        <w:tc>
          <w:tcPr>
            <w:tcW w:w="794" w:type="dxa"/>
            <w:tcBorders>
              <w:top w:val="nil"/>
              <w:left w:val="double" w:sz="4" w:space="0" w:color="auto"/>
              <w:bottom w:val="nil"/>
              <w:right w:val="single" w:sz="4" w:space="0" w:color="auto"/>
            </w:tcBorders>
            <w:shd w:val="clear" w:color="auto" w:fill="auto"/>
            <w:noWrap/>
            <w:vAlign w:val="center"/>
          </w:tcPr>
          <w:p w14:paraId="5EFD9D29" w14:textId="77777777" w:rsidR="00ED063B" w:rsidRPr="00A462DA" w:rsidRDefault="00ED063B" w:rsidP="00DA4159">
            <w:pPr>
              <w:spacing w:after="0" w:line="240" w:lineRule="auto"/>
              <w:jc w:val="right"/>
              <w:rPr>
                <w:color w:val="000000"/>
                <w:sz w:val="20"/>
                <w:szCs w:val="20"/>
              </w:rPr>
            </w:pPr>
            <w:r w:rsidRPr="00A462DA">
              <w:rPr>
                <w:color w:val="000000"/>
                <w:sz w:val="20"/>
                <w:szCs w:val="20"/>
              </w:rPr>
              <w:t>-0.137</w:t>
            </w:r>
          </w:p>
        </w:tc>
        <w:tc>
          <w:tcPr>
            <w:tcW w:w="720" w:type="dxa"/>
            <w:tcBorders>
              <w:top w:val="nil"/>
              <w:left w:val="single" w:sz="4" w:space="0" w:color="auto"/>
              <w:bottom w:val="nil"/>
              <w:right w:val="double" w:sz="4" w:space="0" w:color="auto"/>
            </w:tcBorders>
            <w:shd w:val="clear" w:color="auto" w:fill="auto"/>
            <w:noWrap/>
            <w:vAlign w:val="center"/>
          </w:tcPr>
          <w:p w14:paraId="42831692" w14:textId="77777777" w:rsidR="00ED063B" w:rsidRPr="00A462DA" w:rsidRDefault="00ED063B" w:rsidP="00DA4159">
            <w:pPr>
              <w:spacing w:after="0" w:line="240" w:lineRule="auto"/>
              <w:jc w:val="right"/>
              <w:rPr>
                <w:color w:val="000000"/>
                <w:sz w:val="20"/>
                <w:szCs w:val="20"/>
              </w:rPr>
            </w:pPr>
            <w:r w:rsidRPr="00A462DA">
              <w:rPr>
                <w:color w:val="000000"/>
                <w:sz w:val="20"/>
                <w:szCs w:val="20"/>
              </w:rPr>
              <w:t>-1.46</w:t>
            </w:r>
          </w:p>
        </w:tc>
        <w:tc>
          <w:tcPr>
            <w:tcW w:w="810" w:type="dxa"/>
            <w:tcBorders>
              <w:top w:val="nil"/>
              <w:left w:val="nil"/>
              <w:bottom w:val="nil"/>
              <w:right w:val="single" w:sz="4" w:space="0" w:color="auto"/>
            </w:tcBorders>
            <w:shd w:val="clear" w:color="auto" w:fill="auto"/>
            <w:noWrap/>
            <w:vAlign w:val="center"/>
          </w:tcPr>
          <w:p w14:paraId="3A05AF5D" w14:textId="77777777" w:rsidR="00ED063B" w:rsidRPr="00A462DA" w:rsidRDefault="00ED063B" w:rsidP="00DA4159">
            <w:pPr>
              <w:spacing w:after="0" w:line="240" w:lineRule="auto"/>
              <w:jc w:val="right"/>
              <w:rPr>
                <w:sz w:val="20"/>
                <w:szCs w:val="20"/>
              </w:rPr>
            </w:pPr>
            <w:r w:rsidRPr="00A462DA">
              <w:rPr>
                <w:sz w:val="20"/>
                <w:szCs w:val="20"/>
              </w:rPr>
              <w:t>--</w:t>
            </w:r>
          </w:p>
        </w:tc>
        <w:tc>
          <w:tcPr>
            <w:tcW w:w="724" w:type="dxa"/>
            <w:tcBorders>
              <w:top w:val="nil"/>
              <w:left w:val="nil"/>
              <w:bottom w:val="nil"/>
              <w:right w:val="nil"/>
            </w:tcBorders>
            <w:shd w:val="clear" w:color="auto" w:fill="auto"/>
            <w:noWrap/>
            <w:vAlign w:val="center"/>
          </w:tcPr>
          <w:p w14:paraId="072551D7" w14:textId="77777777" w:rsidR="00ED063B" w:rsidRPr="00A462DA" w:rsidRDefault="00ED063B" w:rsidP="00DA4159">
            <w:pPr>
              <w:spacing w:after="0" w:line="240" w:lineRule="auto"/>
              <w:jc w:val="right"/>
              <w:rPr>
                <w:sz w:val="20"/>
                <w:szCs w:val="20"/>
              </w:rPr>
            </w:pPr>
            <w:r w:rsidRPr="00A462DA">
              <w:rPr>
                <w:sz w:val="20"/>
                <w:szCs w:val="20"/>
              </w:rPr>
              <w:t>--</w:t>
            </w:r>
          </w:p>
        </w:tc>
        <w:tc>
          <w:tcPr>
            <w:tcW w:w="810" w:type="dxa"/>
            <w:tcBorders>
              <w:top w:val="nil"/>
              <w:left w:val="double" w:sz="4" w:space="0" w:color="auto"/>
              <w:bottom w:val="nil"/>
              <w:right w:val="single" w:sz="4" w:space="0" w:color="auto"/>
            </w:tcBorders>
            <w:shd w:val="clear" w:color="auto" w:fill="auto"/>
            <w:vAlign w:val="center"/>
          </w:tcPr>
          <w:p w14:paraId="3DC14A6C" w14:textId="77777777" w:rsidR="00ED063B" w:rsidRPr="00A462DA" w:rsidRDefault="00ED063B" w:rsidP="00DA4159">
            <w:pPr>
              <w:spacing w:after="0" w:line="240" w:lineRule="auto"/>
              <w:jc w:val="right"/>
              <w:rPr>
                <w:color w:val="000000"/>
                <w:sz w:val="20"/>
                <w:szCs w:val="20"/>
              </w:rPr>
            </w:pPr>
            <w:r w:rsidRPr="00A462DA">
              <w:rPr>
                <w:color w:val="000000"/>
                <w:sz w:val="20"/>
                <w:szCs w:val="20"/>
              </w:rPr>
              <w:t>-0.581</w:t>
            </w:r>
          </w:p>
        </w:tc>
        <w:tc>
          <w:tcPr>
            <w:tcW w:w="720" w:type="dxa"/>
            <w:tcBorders>
              <w:top w:val="nil"/>
              <w:left w:val="nil"/>
              <w:bottom w:val="nil"/>
              <w:right w:val="double" w:sz="4" w:space="0" w:color="auto"/>
            </w:tcBorders>
            <w:shd w:val="clear" w:color="auto" w:fill="auto"/>
            <w:vAlign w:val="center"/>
          </w:tcPr>
          <w:p w14:paraId="3B50D63E" w14:textId="77777777" w:rsidR="00ED063B" w:rsidRPr="00A462DA" w:rsidRDefault="00ED063B" w:rsidP="00DA4159">
            <w:pPr>
              <w:spacing w:after="0" w:line="240" w:lineRule="auto"/>
              <w:jc w:val="right"/>
              <w:rPr>
                <w:color w:val="000000"/>
                <w:sz w:val="20"/>
                <w:szCs w:val="20"/>
              </w:rPr>
            </w:pPr>
            <w:r w:rsidRPr="00A462DA">
              <w:rPr>
                <w:color w:val="000000"/>
                <w:sz w:val="20"/>
                <w:szCs w:val="20"/>
              </w:rPr>
              <w:t>-3.81</w:t>
            </w:r>
          </w:p>
        </w:tc>
      </w:tr>
      <w:tr w:rsidR="00ED063B" w:rsidRPr="00A462DA" w14:paraId="629558CA" w14:textId="77777777" w:rsidTr="008B31DB">
        <w:trPr>
          <w:trHeight w:val="274"/>
          <w:jc w:val="center"/>
        </w:trPr>
        <w:tc>
          <w:tcPr>
            <w:tcW w:w="5310" w:type="dxa"/>
            <w:tcBorders>
              <w:top w:val="nil"/>
              <w:left w:val="double" w:sz="4" w:space="0" w:color="auto"/>
              <w:bottom w:val="nil"/>
              <w:right w:val="double" w:sz="4" w:space="0" w:color="auto"/>
            </w:tcBorders>
            <w:shd w:val="clear" w:color="auto" w:fill="auto"/>
            <w:noWrap/>
            <w:vAlign w:val="center"/>
          </w:tcPr>
          <w:p w14:paraId="27A02830" w14:textId="77777777" w:rsidR="00ED063B" w:rsidRPr="00814E2F" w:rsidRDefault="00ED063B" w:rsidP="00DA4159">
            <w:pPr>
              <w:spacing w:after="0" w:line="240" w:lineRule="auto"/>
              <w:rPr>
                <w:rFonts w:eastAsia="Times New Roman"/>
                <w:sz w:val="19"/>
                <w:szCs w:val="19"/>
              </w:rPr>
            </w:pPr>
            <w:r w:rsidRPr="00814E2F">
              <w:rPr>
                <w:rFonts w:eastAsia="Times New Roman"/>
                <w:sz w:val="19"/>
                <w:szCs w:val="19"/>
              </w:rPr>
              <w:t xml:space="preserve">  High</w:t>
            </w:r>
          </w:p>
        </w:tc>
        <w:tc>
          <w:tcPr>
            <w:tcW w:w="794" w:type="dxa"/>
            <w:tcBorders>
              <w:top w:val="nil"/>
              <w:left w:val="double" w:sz="4" w:space="0" w:color="auto"/>
              <w:bottom w:val="nil"/>
              <w:right w:val="single" w:sz="4" w:space="0" w:color="auto"/>
            </w:tcBorders>
            <w:shd w:val="clear" w:color="auto" w:fill="auto"/>
            <w:noWrap/>
            <w:vAlign w:val="center"/>
          </w:tcPr>
          <w:p w14:paraId="4632929A" w14:textId="77777777" w:rsidR="00ED063B" w:rsidRPr="00A462DA" w:rsidRDefault="00ED063B" w:rsidP="00DA4159">
            <w:pPr>
              <w:spacing w:after="0" w:line="240" w:lineRule="auto"/>
              <w:jc w:val="right"/>
              <w:rPr>
                <w:color w:val="000000"/>
                <w:sz w:val="20"/>
                <w:szCs w:val="20"/>
              </w:rPr>
            </w:pPr>
            <w:r w:rsidRPr="00A462DA">
              <w:rPr>
                <w:color w:val="000000"/>
                <w:sz w:val="20"/>
                <w:szCs w:val="20"/>
              </w:rPr>
              <w:t>-0.702</w:t>
            </w:r>
          </w:p>
        </w:tc>
        <w:tc>
          <w:tcPr>
            <w:tcW w:w="720" w:type="dxa"/>
            <w:tcBorders>
              <w:top w:val="nil"/>
              <w:left w:val="single" w:sz="4" w:space="0" w:color="auto"/>
              <w:bottom w:val="nil"/>
              <w:right w:val="double" w:sz="4" w:space="0" w:color="auto"/>
            </w:tcBorders>
            <w:shd w:val="clear" w:color="auto" w:fill="auto"/>
            <w:noWrap/>
            <w:vAlign w:val="center"/>
          </w:tcPr>
          <w:p w14:paraId="1D2EFDA2" w14:textId="77777777" w:rsidR="00ED063B" w:rsidRPr="00A462DA" w:rsidRDefault="00ED063B" w:rsidP="00DA4159">
            <w:pPr>
              <w:spacing w:after="0" w:line="240" w:lineRule="auto"/>
              <w:jc w:val="right"/>
              <w:rPr>
                <w:color w:val="000000"/>
                <w:sz w:val="20"/>
                <w:szCs w:val="20"/>
              </w:rPr>
            </w:pPr>
            <w:r w:rsidRPr="00A462DA">
              <w:rPr>
                <w:color w:val="000000"/>
                <w:sz w:val="20"/>
                <w:szCs w:val="20"/>
              </w:rPr>
              <w:t>-2.26</w:t>
            </w:r>
          </w:p>
        </w:tc>
        <w:tc>
          <w:tcPr>
            <w:tcW w:w="810" w:type="dxa"/>
            <w:tcBorders>
              <w:top w:val="nil"/>
              <w:left w:val="nil"/>
              <w:bottom w:val="nil"/>
              <w:right w:val="single" w:sz="4" w:space="0" w:color="auto"/>
            </w:tcBorders>
            <w:shd w:val="clear" w:color="auto" w:fill="auto"/>
            <w:noWrap/>
            <w:vAlign w:val="center"/>
          </w:tcPr>
          <w:p w14:paraId="2EC4E19B" w14:textId="77777777" w:rsidR="00ED063B" w:rsidRPr="00A462DA" w:rsidRDefault="00ED063B" w:rsidP="00DA4159">
            <w:pPr>
              <w:spacing w:after="0" w:line="240" w:lineRule="auto"/>
              <w:jc w:val="right"/>
              <w:rPr>
                <w:sz w:val="20"/>
                <w:szCs w:val="20"/>
              </w:rPr>
            </w:pPr>
            <w:r w:rsidRPr="00A462DA">
              <w:rPr>
                <w:sz w:val="20"/>
                <w:szCs w:val="20"/>
              </w:rPr>
              <w:t>--</w:t>
            </w:r>
          </w:p>
        </w:tc>
        <w:tc>
          <w:tcPr>
            <w:tcW w:w="724" w:type="dxa"/>
            <w:tcBorders>
              <w:top w:val="nil"/>
              <w:left w:val="nil"/>
              <w:bottom w:val="nil"/>
              <w:right w:val="nil"/>
            </w:tcBorders>
            <w:shd w:val="clear" w:color="auto" w:fill="auto"/>
            <w:noWrap/>
            <w:vAlign w:val="center"/>
          </w:tcPr>
          <w:p w14:paraId="520FC229" w14:textId="77777777" w:rsidR="00ED063B" w:rsidRPr="00A462DA" w:rsidRDefault="00ED063B" w:rsidP="00DA4159">
            <w:pPr>
              <w:spacing w:after="0" w:line="240" w:lineRule="auto"/>
              <w:jc w:val="right"/>
              <w:rPr>
                <w:sz w:val="20"/>
                <w:szCs w:val="20"/>
              </w:rPr>
            </w:pPr>
            <w:r w:rsidRPr="00A462DA">
              <w:rPr>
                <w:sz w:val="20"/>
                <w:szCs w:val="20"/>
              </w:rPr>
              <w:t>--</w:t>
            </w:r>
          </w:p>
        </w:tc>
        <w:tc>
          <w:tcPr>
            <w:tcW w:w="810" w:type="dxa"/>
            <w:tcBorders>
              <w:top w:val="nil"/>
              <w:left w:val="double" w:sz="4" w:space="0" w:color="auto"/>
              <w:bottom w:val="nil"/>
              <w:right w:val="single" w:sz="4" w:space="0" w:color="auto"/>
            </w:tcBorders>
            <w:shd w:val="clear" w:color="auto" w:fill="auto"/>
            <w:vAlign w:val="center"/>
          </w:tcPr>
          <w:p w14:paraId="41988A58" w14:textId="77777777" w:rsidR="00ED063B" w:rsidRPr="00A462DA" w:rsidRDefault="00ED063B" w:rsidP="00DA4159">
            <w:pPr>
              <w:spacing w:after="0" w:line="240" w:lineRule="auto"/>
              <w:jc w:val="right"/>
              <w:rPr>
                <w:color w:val="000000"/>
                <w:sz w:val="20"/>
                <w:szCs w:val="20"/>
              </w:rPr>
            </w:pPr>
            <w:r w:rsidRPr="00A462DA">
              <w:rPr>
                <w:color w:val="000000"/>
                <w:sz w:val="20"/>
                <w:szCs w:val="20"/>
              </w:rPr>
              <w:t>-0.753</w:t>
            </w:r>
          </w:p>
        </w:tc>
        <w:tc>
          <w:tcPr>
            <w:tcW w:w="720" w:type="dxa"/>
            <w:tcBorders>
              <w:top w:val="nil"/>
              <w:left w:val="nil"/>
              <w:bottom w:val="nil"/>
              <w:right w:val="double" w:sz="4" w:space="0" w:color="auto"/>
            </w:tcBorders>
            <w:shd w:val="clear" w:color="auto" w:fill="auto"/>
            <w:vAlign w:val="center"/>
          </w:tcPr>
          <w:p w14:paraId="14001795" w14:textId="77777777" w:rsidR="00ED063B" w:rsidRPr="00A462DA" w:rsidRDefault="00ED063B" w:rsidP="00DA4159">
            <w:pPr>
              <w:spacing w:after="0" w:line="240" w:lineRule="auto"/>
              <w:jc w:val="right"/>
              <w:rPr>
                <w:color w:val="000000"/>
                <w:sz w:val="20"/>
                <w:szCs w:val="20"/>
              </w:rPr>
            </w:pPr>
            <w:r w:rsidRPr="00A462DA">
              <w:rPr>
                <w:color w:val="000000"/>
                <w:sz w:val="20"/>
                <w:szCs w:val="20"/>
              </w:rPr>
              <w:t>-4.79</w:t>
            </w:r>
          </w:p>
        </w:tc>
      </w:tr>
      <w:tr w:rsidR="00ED063B" w:rsidRPr="00A462DA" w14:paraId="7CD0626D" w14:textId="77777777" w:rsidTr="008B31DB">
        <w:trPr>
          <w:trHeight w:val="274"/>
          <w:jc w:val="center"/>
        </w:trPr>
        <w:tc>
          <w:tcPr>
            <w:tcW w:w="5310" w:type="dxa"/>
            <w:tcBorders>
              <w:top w:val="nil"/>
              <w:left w:val="double" w:sz="4" w:space="0" w:color="auto"/>
              <w:bottom w:val="nil"/>
              <w:right w:val="double" w:sz="4" w:space="0" w:color="auto"/>
            </w:tcBorders>
            <w:shd w:val="clear" w:color="auto" w:fill="auto"/>
            <w:noWrap/>
            <w:vAlign w:val="center"/>
          </w:tcPr>
          <w:p w14:paraId="167C16ED" w14:textId="77777777" w:rsidR="00ED063B" w:rsidRPr="00814E2F" w:rsidRDefault="00ED063B" w:rsidP="00DA4159">
            <w:pPr>
              <w:spacing w:after="0" w:line="240" w:lineRule="auto"/>
              <w:rPr>
                <w:rFonts w:eastAsia="Times New Roman"/>
                <w:sz w:val="19"/>
                <w:szCs w:val="19"/>
              </w:rPr>
            </w:pPr>
            <w:r w:rsidRPr="00814E2F">
              <w:rPr>
                <w:rFonts w:eastAsia="Times New Roman"/>
                <w:sz w:val="19"/>
                <w:szCs w:val="19"/>
              </w:rPr>
              <w:t xml:space="preserve">  High * 30 years or older</w:t>
            </w:r>
          </w:p>
        </w:tc>
        <w:tc>
          <w:tcPr>
            <w:tcW w:w="794" w:type="dxa"/>
            <w:tcBorders>
              <w:top w:val="nil"/>
              <w:left w:val="double" w:sz="4" w:space="0" w:color="auto"/>
              <w:bottom w:val="nil"/>
              <w:right w:val="single" w:sz="4" w:space="0" w:color="auto"/>
            </w:tcBorders>
            <w:shd w:val="clear" w:color="auto" w:fill="auto"/>
            <w:noWrap/>
            <w:vAlign w:val="center"/>
          </w:tcPr>
          <w:p w14:paraId="318837E6" w14:textId="77777777" w:rsidR="00ED063B" w:rsidRPr="00A462DA" w:rsidRDefault="00ED063B" w:rsidP="00DA4159">
            <w:pPr>
              <w:spacing w:after="0" w:line="240" w:lineRule="auto"/>
              <w:jc w:val="right"/>
              <w:rPr>
                <w:color w:val="000000"/>
                <w:sz w:val="20"/>
                <w:szCs w:val="20"/>
              </w:rPr>
            </w:pPr>
            <w:r w:rsidRPr="00A462DA">
              <w:rPr>
                <w:color w:val="000000"/>
                <w:sz w:val="20"/>
                <w:szCs w:val="20"/>
              </w:rPr>
              <w:t>0.337</w:t>
            </w:r>
          </w:p>
        </w:tc>
        <w:tc>
          <w:tcPr>
            <w:tcW w:w="720" w:type="dxa"/>
            <w:tcBorders>
              <w:top w:val="nil"/>
              <w:left w:val="single" w:sz="4" w:space="0" w:color="auto"/>
              <w:bottom w:val="nil"/>
              <w:right w:val="double" w:sz="4" w:space="0" w:color="auto"/>
            </w:tcBorders>
            <w:shd w:val="clear" w:color="auto" w:fill="auto"/>
            <w:noWrap/>
            <w:vAlign w:val="center"/>
          </w:tcPr>
          <w:p w14:paraId="51D53610" w14:textId="77777777" w:rsidR="00ED063B" w:rsidRPr="00A462DA" w:rsidRDefault="00ED063B" w:rsidP="00DA4159">
            <w:pPr>
              <w:spacing w:after="0" w:line="240" w:lineRule="auto"/>
              <w:jc w:val="right"/>
              <w:rPr>
                <w:color w:val="000000"/>
                <w:sz w:val="20"/>
                <w:szCs w:val="20"/>
              </w:rPr>
            </w:pPr>
            <w:r w:rsidRPr="00A462DA">
              <w:rPr>
                <w:color w:val="000000"/>
                <w:sz w:val="20"/>
                <w:szCs w:val="20"/>
              </w:rPr>
              <w:t>1.07</w:t>
            </w:r>
          </w:p>
        </w:tc>
        <w:tc>
          <w:tcPr>
            <w:tcW w:w="810" w:type="dxa"/>
            <w:tcBorders>
              <w:top w:val="nil"/>
              <w:left w:val="nil"/>
              <w:bottom w:val="nil"/>
              <w:right w:val="single" w:sz="4" w:space="0" w:color="auto"/>
            </w:tcBorders>
            <w:shd w:val="clear" w:color="auto" w:fill="auto"/>
            <w:noWrap/>
            <w:vAlign w:val="center"/>
          </w:tcPr>
          <w:p w14:paraId="7B87F6E6" w14:textId="77777777" w:rsidR="00ED063B" w:rsidRPr="00A462DA" w:rsidRDefault="00ED063B" w:rsidP="00DA4159">
            <w:pPr>
              <w:spacing w:after="0" w:line="240" w:lineRule="auto"/>
              <w:jc w:val="right"/>
              <w:rPr>
                <w:sz w:val="20"/>
                <w:szCs w:val="20"/>
              </w:rPr>
            </w:pPr>
            <w:r w:rsidRPr="00A462DA">
              <w:rPr>
                <w:sz w:val="20"/>
                <w:szCs w:val="20"/>
              </w:rPr>
              <w:t>--</w:t>
            </w:r>
          </w:p>
        </w:tc>
        <w:tc>
          <w:tcPr>
            <w:tcW w:w="724" w:type="dxa"/>
            <w:tcBorders>
              <w:top w:val="nil"/>
              <w:left w:val="nil"/>
              <w:bottom w:val="nil"/>
              <w:right w:val="nil"/>
            </w:tcBorders>
            <w:shd w:val="clear" w:color="auto" w:fill="auto"/>
            <w:noWrap/>
            <w:vAlign w:val="center"/>
          </w:tcPr>
          <w:p w14:paraId="2A17D5C2" w14:textId="77777777" w:rsidR="00ED063B" w:rsidRPr="00A462DA" w:rsidRDefault="00ED063B" w:rsidP="00DA4159">
            <w:pPr>
              <w:spacing w:after="0" w:line="240" w:lineRule="auto"/>
              <w:jc w:val="right"/>
              <w:rPr>
                <w:sz w:val="20"/>
                <w:szCs w:val="20"/>
              </w:rPr>
            </w:pPr>
            <w:r w:rsidRPr="00A462DA">
              <w:rPr>
                <w:sz w:val="20"/>
                <w:szCs w:val="20"/>
              </w:rPr>
              <w:t>--</w:t>
            </w:r>
          </w:p>
        </w:tc>
        <w:tc>
          <w:tcPr>
            <w:tcW w:w="810" w:type="dxa"/>
            <w:tcBorders>
              <w:top w:val="nil"/>
              <w:left w:val="double" w:sz="4" w:space="0" w:color="auto"/>
              <w:bottom w:val="nil"/>
              <w:right w:val="single" w:sz="4" w:space="0" w:color="auto"/>
            </w:tcBorders>
            <w:shd w:val="clear" w:color="auto" w:fill="auto"/>
            <w:vAlign w:val="center"/>
          </w:tcPr>
          <w:p w14:paraId="6F704539" w14:textId="77777777" w:rsidR="00ED063B" w:rsidRPr="00A462DA" w:rsidRDefault="00ED063B" w:rsidP="00DA4159">
            <w:pPr>
              <w:spacing w:after="0" w:line="240" w:lineRule="auto"/>
              <w:jc w:val="right"/>
              <w:rPr>
                <w:sz w:val="20"/>
                <w:szCs w:val="20"/>
              </w:rPr>
            </w:pPr>
            <w:r w:rsidRPr="00A462DA">
              <w:rPr>
                <w:sz w:val="20"/>
                <w:szCs w:val="20"/>
              </w:rPr>
              <w:t>--</w:t>
            </w:r>
          </w:p>
        </w:tc>
        <w:tc>
          <w:tcPr>
            <w:tcW w:w="720" w:type="dxa"/>
            <w:tcBorders>
              <w:top w:val="nil"/>
              <w:left w:val="nil"/>
              <w:bottom w:val="nil"/>
              <w:right w:val="double" w:sz="4" w:space="0" w:color="auto"/>
            </w:tcBorders>
            <w:shd w:val="clear" w:color="auto" w:fill="auto"/>
            <w:vAlign w:val="center"/>
          </w:tcPr>
          <w:p w14:paraId="411C7C11" w14:textId="77777777" w:rsidR="00ED063B" w:rsidRPr="00A462DA" w:rsidRDefault="00ED063B" w:rsidP="00DA4159">
            <w:pPr>
              <w:spacing w:after="0" w:line="240" w:lineRule="auto"/>
              <w:jc w:val="right"/>
              <w:rPr>
                <w:sz w:val="20"/>
                <w:szCs w:val="20"/>
              </w:rPr>
            </w:pPr>
            <w:r w:rsidRPr="00A462DA">
              <w:rPr>
                <w:sz w:val="20"/>
                <w:szCs w:val="20"/>
              </w:rPr>
              <w:t>--</w:t>
            </w:r>
          </w:p>
        </w:tc>
      </w:tr>
      <w:tr w:rsidR="00ED063B" w:rsidRPr="00A462DA" w14:paraId="1921DF74" w14:textId="77777777" w:rsidTr="008B31DB">
        <w:trPr>
          <w:trHeight w:val="274"/>
          <w:jc w:val="center"/>
        </w:trPr>
        <w:tc>
          <w:tcPr>
            <w:tcW w:w="5310" w:type="dxa"/>
            <w:tcBorders>
              <w:top w:val="nil"/>
              <w:left w:val="double" w:sz="4" w:space="0" w:color="auto"/>
              <w:bottom w:val="nil"/>
              <w:right w:val="double" w:sz="4" w:space="0" w:color="auto"/>
            </w:tcBorders>
            <w:shd w:val="clear" w:color="auto" w:fill="auto"/>
            <w:noWrap/>
            <w:vAlign w:val="center"/>
          </w:tcPr>
          <w:p w14:paraId="615CF006" w14:textId="77777777" w:rsidR="00ED063B" w:rsidRPr="00814E2F" w:rsidRDefault="00ED063B" w:rsidP="00DA4159">
            <w:pPr>
              <w:spacing w:after="0" w:line="240" w:lineRule="auto"/>
              <w:rPr>
                <w:rFonts w:eastAsia="Times New Roman"/>
                <w:sz w:val="19"/>
                <w:szCs w:val="19"/>
              </w:rPr>
            </w:pPr>
            <w:r w:rsidRPr="00814E2F">
              <w:rPr>
                <w:rFonts w:eastAsia="Times New Roman"/>
                <w:sz w:val="19"/>
                <w:szCs w:val="19"/>
              </w:rPr>
              <w:t xml:space="preserve">  Medium * Younger than 30 years * Male</w:t>
            </w:r>
          </w:p>
        </w:tc>
        <w:tc>
          <w:tcPr>
            <w:tcW w:w="794" w:type="dxa"/>
            <w:tcBorders>
              <w:top w:val="nil"/>
              <w:left w:val="double" w:sz="4" w:space="0" w:color="auto"/>
              <w:bottom w:val="nil"/>
              <w:right w:val="single" w:sz="4" w:space="0" w:color="auto"/>
            </w:tcBorders>
            <w:shd w:val="clear" w:color="auto" w:fill="auto"/>
            <w:noWrap/>
            <w:vAlign w:val="center"/>
          </w:tcPr>
          <w:p w14:paraId="4570FCE8" w14:textId="77777777" w:rsidR="00ED063B" w:rsidRPr="00A462DA" w:rsidRDefault="00ED063B" w:rsidP="00DA4159">
            <w:pPr>
              <w:spacing w:after="0" w:line="240" w:lineRule="auto"/>
              <w:jc w:val="right"/>
              <w:rPr>
                <w:sz w:val="20"/>
                <w:szCs w:val="20"/>
              </w:rPr>
            </w:pPr>
            <w:r w:rsidRPr="00A462DA">
              <w:rPr>
                <w:sz w:val="20"/>
                <w:szCs w:val="20"/>
              </w:rPr>
              <w:t>--</w:t>
            </w:r>
          </w:p>
        </w:tc>
        <w:tc>
          <w:tcPr>
            <w:tcW w:w="720" w:type="dxa"/>
            <w:tcBorders>
              <w:top w:val="nil"/>
              <w:left w:val="single" w:sz="4" w:space="0" w:color="auto"/>
              <w:bottom w:val="nil"/>
              <w:right w:val="double" w:sz="4" w:space="0" w:color="auto"/>
            </w:tcBorders>
            <w:shd w:val="clear" w:color="auto" w:fill="auto"/>
            <w:noWrap/>
            <w:vAlign w:val="center"/>
          </w:tcPr>
          <w:p w14:paraId="1AA32B3F" w14:textId="77777777" w:rsidR="00ED063B" w:rsidRPr="00A462DA" w:rsidRDefault="00ED063B" w:rsidP="00DA4159">
            <w:pPr>
              <w:spacing w:after="0" w:line="240" w:lineRule="auto"/>
              <w:jc w:val="right"/>
              <w:rPr>
                <w:sz w:val="20"/>
                <w:szCs w:val="20"/>
              </w:rPr>
            </w:pPr>
            <w:r w:rsidRPr="00A462DA">
              <w:rPr>
                <w:sz w:val="20"/>
                <w:szCs w:val="20"/>
              </w:rPr>
              <w:t>--</w:t>
            </w:r>
          </w:p>
        </w:tc>
        <w:tc>
          <w:tcPr>
            <w:tcW w:w="810" w:type="dxa"/>
            <w:tcBorders>
              <w:top w:val="nil"/>
              <w:left w:val="nil"/>
              <w:bottom w:val="nil"/>
              <w:right w:val="single" w:sz="4" w:space="0" w:color="auto"/>
            </w:tcBorders>
            <w:shd w:val="clear" w:color="auto" w:fill="auto"/>
            <w:noWrap/>
            <w:vAlign w:val="center"/>
          </w:tcPr>
          <w:p w14:paraId="00BED6FF" w14:textId="77777777" w:rsidR="00ED063B" w:rsidRPr="00A462DA" w:rsidRDefault="00ED063B" w:rsidP="00DA4159">
            <w:pPr>
              <w:spacing w:after="0" w:line="240" w:lineRule="auto"/>
              <w:jc w:val="right"/>
              <w:rPr>
                <w:color w:val="000000"/>
                <w:sz w:val="20"/>
                <w:szCs w:val="20"/>
              </w:rPr>
            </w:pPr>
            <w:r w:rsidRPr="00A462DA">
              <w:rPr>
                <w:color w:val="000000"/>
                <w:sz w:val="20"/>
                <w:szCs w:val="20"/>
              </w:rPr>
              <w:t>-0.314</w:t>
            </w:r>
          </w:p>
        </w:tc>
        <w:tc>
          <w:tcPr>
            <w:tcW w:w="724" w:type="dxa"/>
            <w:tcBorders>
              <w:top w:val="nil"/>
              <w:left w:val="nil"/>
              <w:bottom w:val="nil"/>
              <w:right w:val="nil"/>
            </w:tcBorders>
            <w:shd w:val="clear" w:color="auto" w:fill="auto"/>
            <w:noWrap/>
            <w:vAlign w:val="center"/>
          </w:tcPr>
          <w:p w14:paraId="344AB693" w14:textId="77777777" w:rsidR="00ED063B" w:rsidRPr="00A462DA" w:rsidRDefault="00ED063B" w:rsidP="00DA4159">
            <w:pPr>
              <w:spacing w:after="0" w:line="240" w:lineRule="auto"/>
              <w:jc w:val="right"/>
              <w:rPr>
                <w:color w:val="000000"/>
                <w:sz w:val="20"/>
                <w:szCs w:val="20"/>
              </w:rPr>
            </w:pPr>
            <w:r w:rsidRPr="00A462DA">
              <w:rPr>
                <w:color w:val="000000"/>
                <w:sz w:val="20"/>
                <w:szCs w:val="20"/>
              </w:rPr>
              <w:t>-2.30</w:t>
            </w:r>
          </w:p>
        </w:tc>
        <w:tc>
          <w:tcPr>
            <w:tcW w:w="810" w:type="dxa"/>
            <w:tcBorders>
              <w:top w:val="nil"/>
              <w:left w:val="double" w:sz="4" w:space="0" w:color="auto"/>
              <w:bottom w:val="nil"/>
              <w:right w:val="single" w:sz="4" w:space="0" w:color="auto"/>
            </w:tcBorders>
            <w:shd w:val="clear" w:color="auto" w:fill="auto"/>
            <w:vAlign w:val="center"/>
          </w:tcPr>
          <w:p w14:paraId="314AF940" w14:textId="77777777" w:rsidR="00ED063B" w:rsidRPr="00A462DA" w:rsidRDefault="00ED063B" w:rsidP="00DA4159">
            <w:pPr>
              <w:spacing w:after="0" w:line="240" w:lineRule="auto"/>
              <w:jc w:val="right"/>
              <w:rPr>
                <w:sz w:val="20"/>
                <w:szCs w:val="20"/>
              </w:rPr>
            </w:pPr>
            <w:r w:rsidRPr="00A462DA">
              <w:rPr>
                <w:sz w:val="20"/>
                <w:szCs w:val="20"/>
              </w:rPr>
              <w:t>--</w:t>
            </w:r>
          </w:p>
        </w:tc>
        <w:tc>
          <w:tcPr>
            <w:tcW w:w="720" w:type="dxa"/>
            <w:tcBorders>
              <w:top w:val="nil"/>
              <w:left w:val="nil"/>
              <w:bottom w:val="nil"/>
              <w:right w:val="double" w:sz="4" w:space="0" w:color="auto"/>
            </w:tcBorders>
            <w:shd w:val="clear" w:color="auto" w:fill="auto"/>
            <w:vAlign w:val="center"/>
          </w:tcPr>
          <w:p w14:paraId="2448D50B" w14:textId="77777777" w:rsidR="00ED063B" w:rsidRPr="00A462DA" w:rsidRDefault="00ED063B" w:rsidP="00DA4159">
            <w:pPr>
              <w:spacing w:after="0" w:line="240" w:lineRule="auto"/>
              <w:jc w:val="right"/>
              <w:rPr>
                <w:sz w:val="20"/>
                <w:szCs w:val="20"/>
              </w:rPr>
            </w:pPr>
            <w:r w:rsidRPr="00A462DA">
              <w:rPr>
                <w:sz w:val="20"/>
                <w:szCs w:val="20"/>
              </w:rPr>
              <w:t>--</w:t>
            </w:r>
          </w:p>
        </w:tc>
      </w:tr>
      <w:tr w:rsidR="00ED063B" w:rsidRPr="00A462DA" w14:paraId="47F04134" w14:textId="77777777" w:rsidTr="008B31DB">
        <w:trPr>
          <w:trHeight w:val="274"/>
          <w:jc w:val="center"/>
        </w:trPr>
        <w:tc>
          <w:tcPr>
            <w:tcW w:w="5310" w:type="dxa"/>
            <w:tcBorders>
              <w:top w:val="nil"/>
              <w:left w:val="double" w:sz="4" w:space="0" w:color="auto"/>
              <w:bottom w:val="nil"/>
              <w:right w:val="double" w:sz="4" w:space="0" w:color="auto"/>
            </w:tcBorders>
            <w:shd w:val="clear" w:color="auto" w:fill="auto"/>
            <w:noWrap/>
            <w:vAlign w:val="center"/>
          </w:tcPr>
          <w:p w14:paraId="438615CF" w14:textId="77777777" w:rsidR="00ED063B" w:rsidRPr="00814E2F" w:rsidRDefault="00ED063B" w:rsidP="00DA4159">
            <w:pPr>
              <w:spacing w:after="0" w:line="240" w:lineRule="auto"/>
              <w:rPr>
                <w:rFonts w:eastAsia="Times New Roman"/>
                <w:sz w:val="19"/>
                <w:szCs w:val="19"/>
              </w:rPr>
            </w:pPr>
            <w:r w:rsidRPr="00814E2F">
              <w:rPr>
                <w:rFonts w:eastAsia="Times New Roman"/>
                <w:sz w:val="19"/>
                <w:szCs w:val="19"/>
              </w:rPr>
              <w:t xml:space="preserve">  High * Male</w:t>
            </w:r>
          </w:p>
        </w:tc>
        <w:tc>
          <w:tcPr>
            <w:tcW w:w="794" w:type="dxa"/>
            <w:tcBorders>
              <w:top w:val="nil"/>
              <w:left w:val="double" w:sz="4" w:space="0" w:color="auto"/>
              <w:bottom w:val="nil"/>
              <w:right w:val="single" w:sz="4" w:space="0" w:color="auto"/>
            </w:tcBorders>
            <w:shd w:val="clear" w:color="auto" w:fill="auto"/>
            <w:noWrap/>
            <w:vAlign w:val="center"/>
          </w:tcPr>
          <w:p w14:paraId="09FF6BEC" w14:textId="77777777" w:rsidR="00ED063B" w:rsidRPr="00A462DA" w:rsidRDefault="00ED063B" w:rsidP="00DA4159">
            <w:pPr>
              <w:spacing w:after="0" w:line="240" w:lineRule="auto"/>
              <w:jc w:val="right"/>
              <w:rPr>
                <w:sz w:val="20"/>
                <w:szCs w:val="20"/>
              </w:rPr>
            </w:pPr>
            <w:r w:rsidRPr="00A462DA">
              <w:rPr>
                <w:sz w:val="20"/>
                <w:szCs w:val="20"/>
              </w:rPr>
              <w:t>--</w:t>
            </w:r>
          </w:p>
        </w:tc>
        <w:tc>
          <w:tcPr>
            <w:tcW w:w="720" w:type="dxa"/>
            <w:tcBorders>
              <w:top w:val="nil"/>
              <w:left w:val="single" w:sz="4" w:space="0" w:color="auto"/>
              <w:bottom w:val="nil"/>
              <w:right w:val="double" w:sz="4" w:space="0" w:color="auto"/>
            </w:tcBorders>
            <w:shd w:val="clear" w:color="auto" w:fill="auto"/>
            <w:noWrap/>
            <w:vAlign w:val="center"/>
          </w:tcPr>
          <w:p w14:paraId="26DC0411" w14:textId="77777777" w:rsidR="00ED063B" w:rsidRPr="00A462DA" w:rsidRDefault="00ED063B" w:rsidP="00DA4159">
            <w:pPr>
              <w:spacing w:after="0" w:line="240" w:lineRule="auto"/>
              <w:jc w:val="right"/>
              <w:rPr>
                <w:sz w:val="20"/>
                <w:szCs w:val="20"/>
              </w:rPr>
            </w:pPr>
            <w:r w:rsidRPr="00A462DA">
              <w:rPr>
                <w:sz w:val="20"/>
                <w:szCs w:val="20"/>
              </w:rPr>
              <w:t>--</w:t>
            </w:r>
          </w:p>
        </w:tc>
        <w:tc>
          <w:tcPr>
            <w:tcW w:w="810" w:type="dxa"/>
            <w:tcBorders>
              <w:top w:val="nil"/>
              <w:left w:val="nil"/>
              <w:bottom w:val="nil"/>
              <w:right w:val="single" w:sz="4" w:space="0" w:color="auto"/>
            </w:tcBorders>
            <w:shd w:val="clear" w:color="auto" w:fill="auto"/>
            <w:noWrap/>
            <w:vAlign w:val="center"/>
          </w:tcPr>
          <w:p w14:paraId="6194D704" w14:textId="77777777" w:rsidR="00ED063B" w:rsidRPr="00A462DA" w:rsidRDefault="00ED063B" w:rsidP="00DA4159">
            <w:pPr>
              <w:spacing w:after="0" w:line="240" w:lineRule="auto"/>
              <w:jc w:val="right"/>
              <w:rPr>
                <w:color w:val="000000"/>
                <w:sz w:val="20"/>
                <w:szCs w:val="20"/>
              </w:rPr>
            </w:pPr>
            <w:r w:rsidRPr="00A462DA">
              <w:rPr>
                <w:color w:val="000000"/>
                <w:sz w:val="20"/>
                <w:szCs w:val="20"/>
              </w:rPr>
              <w:t>-0.314</w:t>
            </w:r>
          </w:p>
        </w:tc>
        <w:tc>
          <w:tcPr>
            <w:tcW w:w="724" w:type="dxa"/>
            <w:tcBorders>
              <w:top w:val="nil"/>
              <w:left w:val="nil"/>
              <w:bottom w:val="nil"/>
              <w:right w:val="nil"/>
            </w:tcBorders>
            <w:shd w:val="clear" w:color="auto" w:fill="auto"/>
            <w:noWrap/>
            <w:vAlign w:val="center"/>
          </w:tcPr>
          <w:p w14:paraId="2609A24D" w14:textId="77777777" w:rsidR="00ED063B" w:rsidRPr="00A462DA" w:rsidRDefault="00ED063B" w:rsidP="00DA4159">
            <w:pPr>
              <w:spacing w:after="0" w:line="240" w:lineRule="auto"/>
              <w:jc w:val="right"/>
              <w:rPr>
                <w:color w:val="000000"/>
                <w:sz w:val="20"/>
                <w:szCs w:val="20"/>
              </w:rPr>
            </w:pPr>
            <w:r w:rsidRPr="00A462DA">
              <w:rPr>
                <w:color w:val="000000"/>
                <w:sz w:val="20"/>
                <w:szCs w:val="20"/>
              </w:rPr>
              <w:t>-2.30</w:t>
            </w:r>
          </w:p>
        </w:tc>
        <w:tc>
          <w:tcPr>
            <w:tcW w:w="810" w:type="dxa"/>
            <w:tcBorders>
              <w:top w:val="nil"/>
              <w:left w:val="double" w:sz="4" w:space="0" w:color="auto"/>
              <w:bottom w:val="nil"/>
              <w:right w:val="single" w:sz="4" w:space="0" w:color="auto"/>
            </w:tcBorders>
            <w:shd w:val="clear" w:color="auto" w:fill="auto"/>
            <w:vAlign w:val="center"/>
          </w:tcPr>
          <w:p w14:paraId="5AA42263" w14:textId="77777777" w:rsidR="00ED063B" w:rsidRPr="00A462DA" w:rsidRDefault="00ED063B" w:rsidP="00DA4159">
            <w:pPr>
              <w:spacing w:after="0" w:line="240" w:lineRule="auto"/>
              <w:jc w:val="right"/>
              <w:rPr>
                <w:sz w:val="20"/>
                <w:szCs w:val="20"/>
              </w:rPr>
            </w:pPr>
            <w:r w:rsidRPr="00A462DA">
              <w:rPr>
                <w:sz w:val="20"/>
                <w:szCs w:val="20"/>
              </w:rPr>
              <w:t>--</w:t>
            </w:r>
          </w:p>
        </w:tc>
        <w:tc>
          <w:tcPr>
            <w:tcW w:w="720" w:type="dxa"/>
            <w:tcBorders>
              <w:top w:val="nil"/>
              <w:left w:val="nil"/>
              <w:bottom w:val="nil"/>
              <w:right w:val="double" w:sz="4" w:space="0" w:color="auto"/>
            </w:tcBorders>
            <w:shd w:val="clear" w:color="auto" w:fill="auto"/>
            <w:vAlign w:val="center"/>
          </w:tcPr>
          <w:p w14:paraId="65C81591" w14:textId="77777777" w:rsidR="00ED063B" w:rsidRPr="00A462DA" w:rsidRDefault="00ED063B" w:rsidP="00DA4159">
            <w:pPr>
              <w:spacing w:after="0" w:line="240" w:lineRule="auto"/>
              <w:jc w:val="right"/>
              <w:rPr>
                <w:sz w:val="20"/>
                <w:szCs w:val="20"/>
              </w:rPr>
            </w:pPr>
            <w:r w:rsidRPr="00A462DA">
              <w:rPr>
                <w:sz w:val="20"/>
                <w:szCs w:val="20"/>
              </w:rPr>
              <w:t>--</w:t>
            </w:r>
          </w:p>
        </w:tc>
      </w:tr>
      <w:tr w:rsidR="00ED063B" w:rsidRPr="00A462DA" w14:paraId="48C3D4E7" w14:textId="77777777" w:rsidTr="008B31DB">
        <w:trPr>
          <w:trHeight w:val="274"/>
          <w:jc w:val="center"/>
        </w:trPr>
        <w:tc>
          <w:tcPr>
            <w:tcW w:w="5310" w:type="dxa"/>
            <w:tcBorders>
              <w:top w:val="nil"/>
              <w:left w:val="double" w:sz="4" w:space="0" w:color="auto"/>
              <w:bottom w:val="nil"/>
              <w:right w:val="double" w:sz="4" w:space="0" w:color="auto"/>
            </w:tcBorders>
            <w:shd w:val="clear" w:color="auto" w:fill="auto"/>
            <w:noWrap/>
            <w:vAlign w:val="center"/>
          </w:tcPr>
          <w:p w14:paraId="67024673" w14:textId="77777777" w:rsidR="00ED063B" w:rsidRPr="00814E2F" w:rsidRDefault="00ED063B" w:rsidP="00DA4159">
            <w:pPr>
              <w:spacing w:after="0" w:line="240" w:lineRule="auto"/>
              <w:ind w:left="72"/>
              <w:rPr>
                <w:rFonts w:eastAsia="Times New Roman"/>
                <w:sz w:val="19"/>
                <w:szCs w:val="19"/>
              </w:rPr>
            </w:pPr>
            <w:r w:rsidRPr="00814E2F">
              <w:rPr>
                <w:rFonts w:eastAsia="Times New Roman"/>
                <w:sz w:val="19"/>
                <w:szCs w:val="19"/>
              </w:rPr>
              <w:t>(Medium/High) * Female</w:t>
            </w:r>
          </w:p>
        </w:tc>
        <w:tc>
          <w:tcPr>
            <w:tcW w:w="794" w:type="dxa"/>
            <w:tcBorders>
              <w:top w:val="nil"/>
              <w:left w:val="double" w:sz="4" w:space="0" w:color="auto"/>
              <w:bottom w:val="nil"/>
              <w:right w:val="single" w:sz="4" w:space="0" w:color="auto"/>
            </w:tcBorders>
            <w:shd w:val="clear" w:color="auto" w:fill="auto"/>
            <w:noWrap/>
            <w:vAlign w:val="center"/>
          </w:tcPr>
          <w:p w14:paraId="5D558C75" w14:textId="77777777" w:rsidR="00ED063B" w:rsidRPr="00A462DA" w:rsidRDefault="00ED063B" w:rsidP="00DA4159">
            <w:pPr>
              <w:spacing w:after="0" w:line="240" w:lineRule="auto"/>
              <w:jc w:val="right"/>
              <w:rPr>
                <w:sz w:val="20"/>
                <w:szCs w:val="20"/>
              </w:rPr>
            </w:pPr>
            <w:r w:rsidRPr="00A462DA">
              <w:rPr>
                <w:sz w:val="20"/>
                <w:szCs w:val="20"/>
              </w:rPr>
              <w:t>--</w:t>
            </w:r>
          </w:p>
        </w:tc>
        <w:tc>
          <w:tcPr>
            <w:tcW w:w="720" w:type="dxa"/>
            <w:tcBorders>
              <w:top w:val="nil"/>
              <w:left w:val="single" w:sz="4" w:space="0" w:color="auto"/>
              <w:bottom w:val="nil"/>
              <w:right w:val="double" w:sz="4" w:space="0" w:color="auto"/>
            </w:tcBorders>
            <w:shd w:val="clear" w:color="auto" w:fill="auto"/>
            <w:noWrap/>
            <w:vAlign w:val="center"/>
          </w:tcPr>
          <w:p w14:paraId="35FA46D0" w14:textId="77777777" w:rsidR="00ED063B" w:rsidRPr="00A462DA" w:rsidRDefault="00ED063B" w:rsidP="00DA4159">
            <w:pPr>
              <w:spacing w:after="0" w:line="240" w:lineRule="auto"/>
              <w:jc w:val="right"/>
              <w:rPr>
                <w:sz w:val="20"/>
                <w:szCs w:val="20"/>
              </w:rPr>
            </w:pPr>
            <w:r w:rsidRPr="00A462DA">
              <w:rPr>
                <w:sz w:val="20"/>
                <w:szCs w:val="20"/>
              </w:rPr>
              <w:t>--</w:t>
            </w:r>
          </w:p>
        </w:tc>
        <w:tc>
          <w:tcPr>
            <w:tcW w:w="810" w:type="dxa"/>
            <w:tcBorders>
              <w:top w:val="nil"/>
              <w:left w:val="nil"/>
              <w:bottom w:val="nil"/>
              <w:right w:val="single" w:sz="4" w:space="0" w:color="auto"/>
            </w:tcBorders>
            <w:shd w:val="clear" w:color="auto" w:fill="auto"/>
            <w:noWrap/>
            <w:vAlign w:val="center"/>
          </w:tcPr>
          <w:p w14:paraId="5D7B5906" w14:textId="77777777" w:rsidR="00ED063B" w:rsidRPr="00A462DA" w:rsidRDefault="00ED063B" w:rsidP="00DA4159">
            <w:pPr>
              <w:spacing w:after="0" w:line="240" w:lineRule="auto"/>
              <w:jc w:val="right"/>
              <w:rPr>
                <w:color w:val="000000"/>
                <w:sz w:val="20"/>
                <w:szCs w:val="20"/>
              </w:rPr>
            </w:pPr>
            <w:r w:rsidRPr="00A462DA">
              <w:rPr>
                <w:color w:val="000000"/>
                <w:sz w:val="20"/>
                <w:szCs w:val="20"/>
              </w:rPr>
              <w:t>-0.398</w:t>
            </w:r>
          </w:p>
        </w:tc>
        <w:tc>
          <w:tcPr>
            <w:tcW w:w="724" w:type="dxa"/>
            <w:tcBorders>
              <w:top w:val="nil"/>
              <w:left w:val="nil"/>
              <w:bottom w:val="nil"/>
              <w:right w:val="nil"/>
            </w:tcBorders>
            <w:shd w:val="clear" w:color="auto" w:fill="auto"/>
            <w:noWrap/>
            <w:vAlign w:val="center"/>
          </w:tcPr>
          <w:p w14:paraId="6013359C" w14:textId="77777777" w:rsidR="00ED063B" w:rsidRPr="00A462DA" w:rsidRDefault="00ED063B" w:rsidP="00DA4159">
            <w:pPr>
              <w:spacing w:after="0" w:line="240" w:lineRule="auto"/>
              <w:jc w:val="right"/>
              <w:rPr>
                <w:color w:val="000000"/>
                <w:sz w:val="20"/>
                <w:szCs w:val="20"/>
              </w:rPr>
            </w:pPr>
            <w:r w:rsidRPr="00A462DA">
              <w:rPr>
                <w:color w:val="000000"/>
                <w:sz w:val="20"/>
                <w:szCs w:val="20"/>
              </w:rPr>
              <w:t>-3.93</w:t>
            </w:r>
          </w:p>
        </w:tc>
        <w:tc>
          <w:tcPr>
            <w:tcW w:w="810" w:type="dxa"/>
            <w:tcBorders>
              <w:top w:val="nil"/>
              <w:left w:val="double" w:sz="4" w:space="0" w:color="auto"/>
              <w:bottom w:val="nil"/>
              <w:right w:val="single" w:sz="4" w:space="0" w:color="auto"/>
            </w:tcBorders>
            <w:shd w:val="clear" w:color="auto" w:fill="auto"/>
            <w:vAlign w:val="center"/>
          </w:tcPr>
          <w:p w14:paraId="5BFC9A3B" w14:textId="77777777" w:rsidR="00ED063B" w:rsidRPr="00A462DA" w:rsidRDefault="00ED063B" w:rsidP="00DA4159">
            <w:pPr>
              <w:spacing w:after="0" w:line="240" w:lineRule="auto"/>
              <w:jc w:val="right"/>
              <w:rPr>
                <w:sz w:val="20"/>
                <w:szCs w:val="20"/>
              </w:rPr>
            </w:pPr>
            <w:r w:rsidRPr="00A462DA">
              <w:rPr>
                <w:sz w:val="20"/>
                <w:szCs w:val="20"/>
              </w:rPr>
              <w:t>--</w:t>
            </w:r>
          </w:p>
        </w:tc>
        <w:tc>
          <w:tcPr>
            <w:tcW w:w="720" w:type="dxa"/>
            <w:tcBorders>
              <w:top w:val="nil"/>
              <w:left w:val="nil"/>
              <w:bottom w:val="nil"/>
              <w:right w:val="double" w:sz="4" w:space="0" w:color="auto"/>
            </w:tcBorders>
            <w:shd w:val="clear" w:color="auto" w:fill="auto"/>
            <w:vAlign w:val="center"/>
          </w:tcPr>
          <w:p w14:paraId="04B5AD3E" w14:textId="77777777" w:rsidR="00ED063B" w:rsidRPr="00A462DA" w:rsidRDefault="00ED063B" w:rsidP="00DA4159">
            <w:pPr>
              <w:spacing w:after="0" w:line="240" w:lineRule="auto"/>
              <w:jc w:val="right"/>
              <w:rPr>
                <w:sz w:val="20"/>
                <w:szCs w:val="20"/>
              </w:rPr>
            </w:pPr>
            <w:r w:rsidRPr="00A462DA">
              <w:rPr>
                <w:sz w:val="20"/>
                <w:szCs w:val="20"/>
              </w:rPr>
              <w:t>--</w:t>
            </w:r>
          </w:p>
        </w:tc>
      </w:tr>
      <w:tr w:rsidR="00ED063B" w:rsidRPr="00A462DA" w14:paraId="6000ACDD" w14:textId="77777777" w:rsidTr="008B31DB">
        <w:trPr>
          <w:trHeight w:val="274"/>
          <w:jc w:val="center"/>
        </w:trPr>
        <w:tc>
          <w:tcPr>
            <w:tcW w:w="5310" w:type="dxa"/>
            <w:tcBorders>
              <w:top w:val="nil"/>
              <w:left w:val="double" w:sz="4" w:space="0" w:color="auto"/>
              <w:bottom w:val="nil"/>
              <w:right w:val="double" w:sz="4" w:space="0" w:color="auto"/>
            </w:tcBorders>
            <w:shd w:val="clear" w:color="auto" w:fill="auto"/>
            <w:noWrap/>
            <w:vAlign w:val="center"/>
          </w:tcPr>
          <w:p w14:paraId="1BCB704C" w14:textId="77777777" w:rsidR="00ED063B" w:rsidRPr="00814E2F" w:rsidRDefault="00ED063B" w:rsidP="00DA4159">
            <w:pPr>
              <w:spacing w:after="0" w:line="240" w:lineRule="auto"/>
              <w:rPr>
                <w:rFonts w:eastAsia="Times New Roman"/>
                <w:b/>
                <w:sz w:val="19"/>
                <w:szCs w:val="19"/>
              </w:rPr>
            </w:pPr>
            <w:r w:rsidRPr="00814E2F">
              <w:rPr>
                <w:rFonts w:eastAsia="Times New Roman"/>
                <w:b/>
                <w:sz w:val="19"/>
                <w:szCs w:val="19"/>
              </w:rPr>
              <w:t>Home Ownership Status (rent)</w:t>
            </w:r>
          </w:p>
        </w:tc>
        <w:tc>
          <w:tcPr>
            <w:tcW w:w="794" w:type="dxa"/>
            <w:tcBorders>
              <w:top w:val="nil"/>
              <w:left w:val="double" w:sz="4" w:space="0" w:color="auto"/>
              <w:bottom w:val="nil"/>
              <w:right w:val="single" w:sz="4" w:space="0" w:color="auto"/>
            </w:tcBorders>
            <w:shd w:val="clear" w:color="auto" w:fill="auto"/>
            <w:noWrap/>
            <w:vAlign w:val="center"/>
          </w:tcPr>
          <w:p w14:paraId="669FC6EF" w14:textId="77777777" w:rsidR="00ED063B" w:rsidRPr="00A462DA" w:rsidRDefault="00ED063B" w:rsidP="00DA4159">
            <w:pPr>
              <w:spacing w:after="0" w:line="240" w:lineRule="auto"/>
              <w:jc w:val="right"/>
              <w:rPr>
                <w:rFonts w:eastAsia="Times New Roman"/>
                <w:sz w:val="20"/>
                <w:szCs w:val="20"/>
              </w:rPr>
            </w:pPr>
          </w:p>
        </w:tc>
        <w:tc>
          <w:tcPr>
            <w:tcW w:w="720" w:type="dxa"/>
            <w:tcBorders>
              <w:top w:val="nil"/>
              <w:left w:val="single" w:sz="4" w:space="0" w:color="auto"/>
              <w:bottom w:val="nil"/>
              <w:right w:val="double" w:sz="4" w:space="0" w:color="auto"/>
            </w:tcBorders>
            <w:shd w:val="clear" w:color="auto" w:fill="auto"/>
            <w:noWrap/>
            <w:vAlign w:val="center"/>
          </w:tcPr>
          <w:p w14:paraId="1A9FA8ED" w14:textId="77777777" w:rsidR="00ED063B" w:rsidRPr="00A462DA" w:rsidRDefault="00ED063B" w:rsidP="00DA4159">
            <w:pPr>
              <w:spacing w:after="0" w:line="240" w:lineRule="auto"/>
              <w:jc w:val="right"/>
              <w:rPr>
                <w:rFonts w:eastAsia="Times New Roman"/>
                <w:sz w:val="20"/>
                <w:szCs w:val="20"/>
              </w:rPr>
            </w:pPr>
          </w:p>
        </w:tc>
        <w:tc>
          <w:tcPr>
            <w:tcW w:w="810" w:type="dxa"/>
            <w:tcBorders>
              <w:top w:val="nil"/>
              <w:left w:val="nil"/>
              <w:bottom w:val="nil"/>
              <w:right w:val="single" w:sz="4" w:space="0" w:color="auto"/>
            </w:tcBorders>
            <w:shd w:val="clear" w:color="auto" w:fill="auto"/>
            <w:noWrap/>
            <w:vAlign w:val="center"/>
          </w:tcPr>
          <w:p w14:paraId="7A20475D" w14:textId="77777777" w:rsidR="00ED063B" w:rsidRPr="00A462DA" w:rsidRDefault="00ED063B" w:rsidP="00DA4159">
            <w:pPr>
              <w:spacing w:after="0" w:line="240" w:lineRule="auto"/>
              <w:jc w:val="right"/>
              <w:rPr>
                <w:sz w:val="20"/>
                <w:szCs w:val="20"/>
              </w:rPr>
            </w:pPr>
          </w:p>
        </w:tc>
        <w:tc>
          <w:tcPr>
            <w:tcW w:w="724" w:type="dxa"/>
            <w:tcBorders>
              <w:top w:val="nil"/>
              <w:left w:val="nil"/>
              <w:bottom w:val="nil"/>
              <w:right w:val="nil"/>
            </w:tcBorders>
            <w:shd w:val="clear" w:color="auto" w:fill="auto"/>
            <w:noWrap/>
            <w:vAlign w:val="center"/>
          </w:tcPr>
          <w:p w14:paraId="435EAEA0" w14:textId="77777777" w:rsidR="00ED063B" w:rsidRPr="00A462DA" w:rsidRDefault="00ED063B" w:rsidP="00DA4159">
            <w:pPr>
              <w:spacing w:after="0" w:line="240" w:lineRule="auto"/>
              <w:jc w:val="right"/>
              <w:rPr>
                <w:sz w:val="20"/>
                <w:szCs w:val="20"/>
              </w:rPr>
            </w:pPr>
          </w:p>
        </w:tc>
        <w:tc>
          <w:tcPr>
            <w:tcW w:w="810" w:type="dxa"/>
            <w:tcBorders>
              <w:top w:val="nil"/>
              <w:left w:val="double" w:sz="4" w:space="0" w:color="auto"/>
              <w:bottom w:val="nil"/>
              <w:right w:val="single" w:sz="4" w:space="0" w:color="auto"/>
            </w:tcBorders>
            <w:shd w:val="clear" w:color="auto" w:fill="auto"/>
            <w:vAlign w:val="center"/>
          </w:tcPr>
          <w:p w14:paraId="225E0313" w14:textId="77777777" w:rsidR="00ED063B" w:rsidRPr="00A462DA" w:rsidRDefault="00ED063B" w:rsidP="00DA4159">
            <w:pPr>
              <w:spacing w:after="0" w:line="240" w:lineRule="auto"/>
              <w:jc w:val="right"/>
              <w:rPr>
                <w:sz w:val="20"/>
                <w:szCs w:val="20"/>
              </w:rPr>
            </w:pPr>
          </w:p>
        </w:tc>
        <w:tc>
          <w:tcPr>
            <w:tcW w:w="720" w:type="dxa"/>
            <w:tcBorders>
              <w:top w:val="nil"/>
              <w:left w:val="nil"/>
              <w:bottom w:val="nil"/>
              <w:right w:val="double" w:sz="4" w:space="0" w:color="auto"/>
            </w:tcBorders>
            <w:shd w:val="clear" w:color="auto" w:fill="auto"/>
            <w:vAlign w:val="center"/>
          </w:tcPr>
          <w:p w14:paraId="0BA8A64E" w14:textId="77777777" w:rsidR="00ED063B" w:rsidRPr="00A462DA" w:rsidRDefault="00ED063B" w:rsidP="00DA4159">
            <w:pPr>
              <w:spacing w:after="0" w:line="240" w:lineRule="auto"/>
              <w:jc w:val="right"/>
              <w:rPr>
                <w:sz w:val="20"/>
                <w:szCs w:val="20"/>
              </w:rPr>
            </w:pPr>
          </w:p>
        </w:tc>
      </w:tr>
      <w:tr w:rsidR="00ED063B" w:rsidRPr="00A462DA" w14:paraId="1DDED996" w14:textId="77777777" w:rsidTr="008B31DB">
        <w:trPr>
          <w:trHeight w:val="274"/>
          <w:jc w:val="center"/>
        </w:trPr>
        <w:tc>
          <w:tcPr>
            <w:tcW w:w="5310" w:type="dxa"/>
            <w:tcBorders>
              <w:top w:val="nil"/>
              <w:left w:val="double" w:sz="4" w:space="0" w:color="auto"/>
              <w:bottom w:val="nil"/>
              <w:right w:val="double" w:sz="4" w:space="0" w:color="auto"/>
            </w:tcBorders>
            <w:shd w:val="clear" w:color="auto" w:fill="auto"/>
            <w:noWrap/>
            <w:vAlign w:val="center"/>
          </w:tcPr>
          <w:p w14:paraId="14F492C6" w14:textId="77777777" w:rsidR="00ED063B" w:rsidRPr="00814E2F" w:rsidRDefault="00ED063B" w:rsidP="00DA4159">
            <w:pPr>
              <w:spacing w:after="0" w:line="240" w:lineRule="auto"/>
              <w:rPr>
                <w:rFonts w:eastAsia="Times New Roman"/>
                <w:sz w:val="19"/>
                <w:szCs w:val="19"/>
              </w:rPr>
            </w:pPr>
            <w:r w:rsidRPr="00814E2F">
              <w:rPr>
                <w:rFonts w:eastAsia="Times New Roman"/>
                <w:sz w:val="19"/>
                <w:szCs w:val="19"/>
              </w:rPr>
              <w:t xml:space="preserve">  Own their home</w:t>
            </w:r>
          </w:p>
        </w:tc>
        <w:tc>
          <w:tcPr>
            <w:tcW w:w="794" w:type="dxa"/>
            <w:tcBorders>
              <w:top w:val="nil"/>
              <w:left w:val="double" w:sz="4" w:space="0" w:color="auto"/>
              <w:bottom w:val="nil"/>
              <w:right w:val="single" w:sz="4" w:space="0" w:color="auto"/>
            </w:tcBorders>
            <w:shd w:val="clear" w:color="auto" w:fill="auto"/>
            <w:noWrap/>
            <w:vAlign w:val="center"/>
          </w:tcPr>
          <w:p w14:paraId="05AF6C68" w14:textId="77777777" w:rsidR="00ED063B" w:rsidRPr="00A462DA" w:rsidRDefault="00ED063B" w:rsidP="00DA4159">
            <w:pPr>
              <w:spacing w:after="0" w:line="240" w:lineRule="auto"/>
              <w:jc w:val="right"/>
              <w:rPr>
                <w:rFonts w:eastAsia="Times New Roman"/>
                <w:sz w:val="20"/>
                <w:szCs w:val="20"/>
              </w:rPr>
            </w:pPr>
            <w:r w:rsidRPr="00A462DA">
              <w:rPr>
                <w:rFonts w:eastAsia="Times New Roman"/>
                <w:sz w:val="20"/>
                <w:szCs w:val="20"/>
              </w:rPr>
              <w:t>--</w:t>
            </w:r>
          </w:p>
        </w:tc>
        <w:tc>
          <w:tcPr>
            <w:tcW w:w="720" w:type="dxa"/>
            <w:tcBorders>
              <w:top w:val="nil"/>
              <w:left w:val="single" w:sz="4" w:space="0" w:color="auto"/>
              <w:bottom w:val="nil"/>
              <w:right w:val="double" w:sz="4" w:space="0" w:color="auto"/>
            </w:tcBorders>
            <w:shd w:val="clear" w:color="auto" w:fill="auto"/>
            <w:noWrap/>
            <w:vAlign w:val="center"/>
          </w:tcPr>
          <w:p w14:paraId="35DE8748" w14:textId="77777777" w:rsidR="00ED063B" w:rsidRPr="00A462DA" w:rsidRDefault="00ED063B" w:rsidP="00DA4159">
            <w:pPr>
              <w:spacing w:after="0" w:line="240" w:lineRule="auto"/>
              <w:jc w:val="right"/>
              <w:rPr>
                <w:rFonts w:eastAsia="Times New Roman"/>
                <w:sz w:val="20"/>
                <w:szCs w:val="20"/>
              </w:rPr>
            </w:pPr>
          </w:p>
        </w:tc>
        <w:tc>
          <w:tcPr>
            <w:tcW w:w="810" w:type="dxa"/>
            <w:tcBorders>
              <w:top w:val="nil"/>
              <w:left w:val="nil"/>
              <w:bottom w:val="nil"/>
              <w:right w:val="single" w:sz="4" w:space="0" w:color="auto"/>
            </w:tcBorders>
            <w:shd w:val="clear" w:color="auto" w:fill="auto"/>
            <w:noWrap/>
            <w:vAlign w:val="center"/>
          </w:tcPr>
          <w:p w14:paraId="34F8A328" w14:textId="77777777" w:rsidR="00ED063B" w:rsidRPr="00A462DA" w:rsidRDefault="00ED063B" w:rsidP="00DA4159">
            <w:pPr>
              <w:spacing w:after="0" w:line="240" w:lineRule="auto"/>
              <w:jc w:val="right"/>
              <w:rPr>
                <w:color w:val="000000"/>
                <w:sz w:val="20"/>
                <w:szCs w:val="20"/>
              </w:rPr>
            </w:pPr>
            <w:r w:rsidRPr="00A462DA">
              <w:rPr>
                <w:color w:val="000000"/>
                <w:sz w:val="20"/>
                <w:szCs w:val="20"/>
              </w:rPr>
              <w:t>0.189</w:t>
            </w:r>
          </w:p>
        </w:tc>
        <w:tc>
          <w:tcPr>
            <w:tcW w:w="724" w:type="dxa"/>
            <w:tcBorders>
              <w:top w:val="nil"/>
              <w:left w:val="nil"/>
              <w:bottom w:val="nil"/>
              <w:right w:val="nil"/>
            </w:tcBorders>
            <w:shd w:val="clear" w:color="auto" w:fill="auto"/>
            <w:noWrap/>
            <w:vAlign w:val="center"/>
          </w:tcPr>
          <w:p w14:paraId="419812BE" w14:textId="77777777" w:rsidR="00ED063B" w:rsidRPr="00A462DA" w:rsidRDefault="00ED063B" w:rsidP="00DA4159">
            <w:pPr>
              <w:spacing w:after="0" w:line="240" w:lineRule="auto"/>
              <w:jc w:val="right"/>
              <w:rPr>
                <w:color w:val="000000"/>
                <w:sz w:val="20"/>
                <w:szCs w:val="20"/>
              </w:rPr>
            </w:pPr>
            <w:r w:rsidRPr="00A462DA">
              <w:rPr>
                <w:color w:val="000000"/>
                <w:sz w:val="20"/>
                <w:szCs w:val="20"/>
              </w:rPr>
              <w:t>1.63</w:t>
            </w:r>
          </w:p>
        </w:tc>
        <w:tc>
          <w:tcPr>
            <w:tcW w:w="810" w:type="dxa"/>
            <w:tcBorders>
              <w:top w:val="nil"/>
              <w:left w:val="double" w:sz="4" w:space="0" w:color="auto"/>
              <w:bottom w:val="nil"/>
              <w:right w:val="single" w:sz="4" w:space="0" w:color="auto"/>
            </w:tcBorders>
            <w:shd w:val="clear" w:color="auto" w:fill="auto"/>
            <w:vAlign w:val="center"/>
          </w:tcPr>
          <w:p w14:paraId="0213DB5E" w14:textId="77777777" w:rsidR="00ED063B" w:rsidRPr="00A462DA" w:rsidRDefault="00ED063B" w:rsidP="00DA4159">
            <w:pPr>
              <w:spacing w:after="0" w:line="240" w:lineRule="auto"/>
              <w:jc w:val="right"/>
              <w:rPr>
                <w:sz w:val="20"/>
                <w:szCs w:val="20"/>
              </w:rPr>
            </w:pPr>
            <w:r w:rsidRPr="00A462DA">
              <w:rPr>
                <w:sz w:val="20"/>
                <w:szCs w:val="20"/>
              </w:rPr>
              <w:t>--</w:t>
            </w:r>
          </w:p>
        </w:tc>
        <w:tc>
          <w:tcPr>
            <w:tcW w:w="720" w:type="dxa"/>
            <w:tcBorders>
              <w:top w:val="nil"/>
              <w:left w:val="nil"/>
              <w:bottom w:val="nil"/>
              <w:right w:val="double" w:sz="4" w:space="0" w:color="auto"/>
            </w:tcBorders>
            <w:shd w:val="clear" w:color="auto" w:fill="auto"/>
            <w:vAlign w:val="center"/>
          </w:tcPr>
          <w:p w14:paraId="4ED35E8B" w14:textId="77777777" w:rsidR="00ED063B" w:rsidRPr="00A462DA" w:rsidRDefault="00ED063B" w:rsidP="00DA4159">
            <w:pPr>
              <w:spacing w:after="0" w:line="240" w:lineRule="auto"/>
              <w:jc w:val="right"/>
              <w:rPr>
                <w:sz w:val="20"/>
                <w:szCs w:val="20"/>
              </w:rPr>
            </w:pPr>
          </w:p>
        </w:tc>
      </w:tr>
      <w:tr w:rsidR="00ED063B" w:rsidRPr="00A462DA" w14:paraId="237013D4" w14:textId="77777777" w:rsidTr="008B31DB">
        <w:trPr>
          <w:trHeight w:val="274"/>
          <w:jc w:val="center"/>
        </w:trPr>
        <w:tc>
          <w:tcPr>
            <w:tcW w:w="5310" w:type="dxa"/>
            <w:tcBorders>
              <w:top w:val="nil"/>
              <w:left w:val="double" w:sz="4" w:space="0" w:color="auto"/>
              <w:bottom w:val="nil"/>
              <w:right w:val="double" w:sz="4" w:space="0" w:color="auto"/>
            </w:tcBorders>
            <w:shd w:val="clear" w:color="auto" w:fill="auto"/>
            <w:noWrap/>
            <w:vAlign w:val="center"/>
          </w:tcPr>
          <w:p w14:paraId="094E06DE" w14:textId="77777777" w:rsidR="00ED063B" w:rsidRPr="00814E2F" w:rsidRDefault="00ED063B" w:rsidP="00DA4159">
            <w:pPr>
              <w:spacing w:after="0" w:line="240" w:lineRule="auto"/>
              <w:rPr>
                <w:rFonts w:eastAsia="Times New Roman"/>
                <w:b/>
                <w:sz w:val="19"/>
                <w:szCs w:val="19"/>
              </w:rPr>
            </w:pPr>
            <w:r w:rsidRPr="00814E2F">
              <w:rPr>
                <w:rFonts w:eastAsia="Times New Roman"/>
                <w:b/>
                <w:sz w:val="19"/>
                <w:szCs w:val="19"/>
              </w:rPr>
              <w:t>Household Characteristics</w:t>
            </w:r>
          </w:p>
        </w:tc>
        <w:tc>
          <w:tcPr>
            <w:tcW w:w="794" w:type="dxa"/>
            <w:tcBorders>
              <w:top w:val="nil"/>
              <w:left w:val="double" w:sz="4" w:space="0" w:color="auto"/>
              <w:bottom w:val="nil"/>
              <w:right w:val="single" w:sz="4" w:space="0" w:color="auto"/>
            </w:tcBorders>
            <w:shd w:val="clear" w:color="auto" w:fill="auto"/>
            <w:noWrap/>
            <w:vAlign w:val="center"/>
          </w:tcPr>
          <w:p w14:paraId="116A2F0B" w14:textId="77777777" w:rsidR="00ED063B" w:rsidRPr="00A462DA" w:rsidRDefault="00ED063B" w:rsidP="00DA4159">
            <w:pPr>
              <w:spacing w:after="0" w:line="240" w:lineRule="auto"/>
              <w:jc w:val="right"/>
              <w:rPr>
                <w:rFonts w:eastAsia="Times New Roman"/>
                <w:sz w:val="20"/>
                <w:szCs w:val="20"/>
              </w:rPr>
            </w:pPr>
          </w:p>
        </w:tc>
        <w:tc>
          <w:tcPr>
            <w:tcW w:w="720" w:type="dxa"/>
            <w:tcBorders>
              <w:top w:val="nil"/>
              <w:left w:val="single" w:sz="4" w:space="0" w:color="auto"/>
              <w:bottom w:val="nil"/>
              <w:right w:val="double" w:sz="4" w:space="0" w:color="auto"/>
            </w:tcBorders>
            <w:shd w:val="clear" w:color="auto" w:fill="auto"/>
            <w:noWrap/>
            <w:vAlign w:val="center"/>
          </w:tcPr>
          <w:p w14:paraId="319B7BE9" w14:textId="77777777" w:rsidR="00ED063B" w:rsidRPr="00A462DA" w:rsidRDefault="00ED063B" w:rsidP="00DA4159">
            <w:pPr>
              <w:spacing w:after="0" w:line="240" w:lineRule="auto"/>
              <w:jc w:val="right"/>
              <w:rPr>
                <w:rFonts w:eastAsia="Times New Roman"/>
                <w:sz w:val="20"/>
                <w:szCs w:val="20"/>
              </w:rPr>
            </w:pPr>
          </w:p>
        </w:tc>
        <w:tc>
          <w:tcPr>
            <w:tcW w:w="810" w:type="dxa"/>
            <w:tcBorders>
              <w:top w:val="nil"/>
              <w:left w:val="nil"/>
              <w:bottom w:val="nil"/>
              <w:right w:val="single" w:sz="4" w:space="0" w:color="auto"/>
            </w:tcBorders>
            <w:shd w:val="clear" w:color="auto" w:fill="auto"/>
            <w:noWrap/>
            <w:vAlign w:val="center"/>
          </w:tcPr>
          <w:p w14:paraId="34ED54FD" w14:textId="77777777" w:rsidR="00ED063B" w:rsidRPr="00A462DA" w:rsidRDefault="00ED063B" w:rsidP="00DA4159">
            <w:pPr>
              <w:spacing w:after="0" w:line="240" w:lineRule="auto"/>
              <w:jc w:val="right"/>
              <w:rPr>
                <w:sz w:val="20"/>
                <w:szCs w:val="20"/>
              </w:rPr>
            </w:pPr>
          </w:p>
        </w:tc>
        <w:tc>
          <w:tcPr>
            <w:tcW w:w="724" w:type="dxa"/>
            <w:tcBorders>
              <w:top w:val="nil"/>
              <w:left w:val="nil"/>
              <w:bottom w:val="nil"/>
              <w:right w:val="nil"/>
            </w:tcBorders>
            <w:shd w:val="clear" w:color="auto" w:fill="auto"/>
            <w:noWrap/>
            <w:vAlign w:val="center"/>
          </w:tcPr>
          <w:p w14:paraId="0FE2425C" w14:textId="77777777" w:rsidR="00ED063B" w:rsidRPr="00A462DA" w:rsidRDefault="00ED063B" w:rsidP="00DA4159">
            <w:pPr>
              <w:spacing w:after="0" w:line="240" w:lineRule="auto"/>
              <w:jc w:val="right"/>
              <w:rPr>
                <w:sz w:val="20"/>
                <w:szCs w:val="20"/>
              </w:rPr>
            </w:pPr>
          </w:p>
        </w:tc>
        <w:tc>
          <w:tcPr>
            <w:tcW w:w="810" w:type="dxa"/>
            <w:tcBorders>
              <w:top w:val="nil"/>
              <w:left w:val="double" w:sz="4" w:space="0" w:color="auto"/>
              <w:bottom w:val="nil"/>
              <w:right w:val="single" w:sz="4" w:space="0" w:color="auto"/>
            </w:tcBorders>
            <w:shd w:val="clear" w:color="auto" w:fill="auto"/>
            <w:vAlign w:val="center"/>
          </w:tcPr>
          <w:p w14:paraId="76186BBB" w14:textId="77777777" w:rsidR="00ED063B" w:rsidRPr="00A462DA" w:rsidRDefault="00ED063B" w:rsidP="00DA4159">
            <w:pPr>
              <w:spacing w:after="0" w:line="240" w:lineRule="auto"/>
              <w:jc w:val="right"/>
              <w:rPr>
                <w:sz w:val="20"/>
                <w:szCs w:val="20"/>
              </w:rPr>
            </w:pPr>
          </w:p>
        </w:tc>
        <w:tc>
          <w:tcPr>
            <w:tcW w:w="720" w:type="dxa"/>
            <w:tcBorders>
              <w:top w:val="nil"/>
              <w:left w:val="nil"/>
              <w:bottom w:val="nil"/>
              <w:right w:val="double" w:sz="4" w:space="0" w:color="auto"/>
            </w:tcBorders>
            <w:shd w:val="clear" w:color="auto" w:fill="auto"/>
            <w:vAlign w:val="center"/>
          </w:tcPr>
          <w:p w14:paraId="21E9DA80" w14:textId="77777777" w:rsidR="00ED063B" w:rsidRPr="00A462DA" w:rsidRDefault="00ED063B" w:rsidP="00DA4159">
            <w:pPr>
              <w:spacing w:after="0" w:line="240" w:lineRule="auto"/>
              <w:jc w:val="right"/>
              <w:rPr>
                <w:sz w:val="20"/>
                <w:szCs w:val="20"/>
              </w:rPr>
            </w:pPr>
          </w:p>
        </w:tc>
      </w:tr>
      <w:tr w:rsidR="00ED063B" w:rsidRPr="00A462DA" w14:paraId="4F9558ED" w14:textId="77777777" w:rsidTr="008B31DB">
        <w:trPr>
          <w:trHeight w:val="274"/>
          <w:jc w:val="center"/>
        </w:trPr>
        <w:tc>
          <w:tcPr>
            <w:tcW w:w="5310" w:type="dxa"/>
            <w:tcBorders>
              <w:top w:val="nil"/>
              <w:left w:val="double" w:sz="4" w:space="0" w:color="auto"/>
              <w:bottom w:val="nil"/>
              <w:right w:val="double" w:sz="4" w:space="0" w:color="auto"/>
            </w:tcBorders>
            <w:shd w:val="clear" w:color="auto" w:fill="auto"/>
            <w:noWrap/>
            <w:vAlign w:val="center"/>
          </w:tcPr>
          <w:p w14:paraId="1DB56FC1" w14:textId="77777777" w:rsidR="00ED063B" w:rsidRPr="00814E2F" w:rsidRDefault="00ED063B" w:rsidP="00DA4159">
            <w:pPr>
              <w:spacing w:after="0" w:line="240" w:lineRule="auto"/>
              <w:rPr>
                <w:rFonts w:eastAsia="Times New Roman"/>
                <w:sz w:val="19"/>
                <w:szCs w:val="19"/>
              </w:rPr>
            </w:pPr>
            <w:r w:rsidRPr="00814E2F">
              <w:rPr>
                <w:rFonts w:eastAsia="Times New Roman"/>
                <w:sz w:val="19"/>
                <w:szCs w:val="19"/>
              </w:rPr>
              <w:t xml:space="preserve">  Private Study</w:t>
            </w:r>
          </w:p>
        </w:tc>
        <w:tc>
          <w:tcPr>
            <w:tcW w:w="794" w:type="dxa"/>
            <w:tcBorders>
              <w:top w:val="nil"/>
              <w:left w:val="double" w:sz="4" w:space="0" w:color="auto"/>
              <w:bottom w:val="nil"/>
              <w:right w:val="single" w:sz="4" w:space="0" w:color="auto"/>
            </w:tcBorders>
            <w:shd w:val="clear" w:color="auto" w:fill="auto"/>
            <w:noWrap/>
            <w:vAlign w:val="center"/>
          </w:tcPr>
          <w:p w14:paraId="548CFA61" w14:textId="77777777" w:rsidR="00ED063B" w:rsidRPr="00A462DA" w:rsidRDefault="00ED063B" w:rsidP="00DA4159">
            <w:pPr>
              <w:spacing w:after="0" w:line="240" w:lineRule="auto"/>
              <w:jc w:val="right"/>
              <w:rPr>
                <w:color w:val="000000"/>
                <w:sz w:val="20"/>
                <w:szCs w:val="20"/>
              </w:rPr>
            </w:pPr>
            <w:r w:rsidRPr="00A462DA">
              <w:rPr>
                <w:color w:val="000000"/>
                <w:sz w:val="20"/>
                <w:szCs w:val="20"/>
              </w:rPr>
              <w:t>0.529</w:t>
            </w:r>
          </w:p>
        </w:tc>
        <w:tc>
          <w:tcPr>
            <w:tcW w:w="720" w:type="dxa"/>
            <w:tcBorders>
              <w:top w:val="nil"/>
              <w:left w:val="single" w:sz="4" w:space="0" w:color="auto"/>
              <w:bottom w:val="nil"/>
              <w:right w:val="double" w:sz="4" w:space="0" w:color="auto"/>
            </w:tcBorders>
            <w:shd w:val="clear" w:color="auto" w:fill="auto"/>
            <w:noWrap/>
            <w:vAlign w:val="center"/>
          </w:tcPr>
          <w:p w14:paraId="3F6E4F14" w14:textId="77777777" w:rsidR="00ED063B" w:rsidRPr="00A462DA" w:rsidRDefault="00ED063B" w:rsidP="00DA4159">
            <w:pPr>
              <w:spacing w:after="0" w:line="240" w:lineRule="auto"/>
              <w:jc w:val="right"/>
              <w:rPr>
                <w:color w:val="000000"/>
                <w:sz w:val="20"/>
                <w:szCs w:val="20"/>
              </w:rPr>
            </w:pPr>
            <w:r w:rsidRPr="00A462DA">
              <w:rPr>
                <w:color w:val="000000"/>
                <w:sz w:val="20"/>
                <w:szCs w:val="20"/>
              </w:rPr>
              <w:t>5.81</w:t>
            </w:r>
          </w:p>
        </w:tc>
        <w:tc>
          <w:tcPr>
            <w:tcW w:w="810" w:type="dxa"/>
            <w:tcBorders>
              <w:top w:val="nil"/>
              <w:left w:val="nil"/>
              <w:bottom w:val="nil"/>
              <w:right w:val="single" w:sz="4" w:space="0" w:color="auto"/>
            </w:tcBorders>
            <w:shd w:val="clear" w:color="auto" w:fill="auto"/>
            <w:noWrap/>
            <w:vAlign w:val="center"/>
          </w:tcPr>
          <w:p w14:paraId="05DC8511" w14:textId="77777777" w:rsidR="00ED063B" w:rsidRPr="00A462DA" w:rsidRDefault="00ED063B" w:rsidP="00DA4159">
            <w:pPr>
              <w:spacing w:after="0" w:line="240" w:lineRule="auto"/>
              <w:jc w:val="right"/>
              <w:rPr>
                <w:sz w:val="20"/>
                <w:szCs w:val="20"/>
              </w:rPr>
            </w:pPr>
            <w:r w:rsidRPr="00A462DA">
              <w:rPr>
                <w:sz w:val="20"/>
                <w:szCs w:val="20"/>
              </w:rPr>
              <w:t>--</w:t>
            </w:r>
          </w:p>
        </w:tc>
        <w:tc>
          <w:tcPr>
            <w:tcW w:w="724" w:type="dxa"/>
            <w:tcBorders>
              <w:top w:val="nil"/>
              <w:left w:val="nil"/>
              <w:bottom w:val="nil"/>
              <w:right w:val="nil"/>
            </w:tcBorders>
            <w:shd w:val="clear" w:color="auto" w:fill="auto"/>
            <w:noWrap/>
            <w:vAlign w:val="center"/>
          </w:tcPr>
          <w:p w14:paraId="77E985A2" w14:textId="77777777" w:rsidR="00ED063B" w:rsidRPr="00A462DA" w:rsidRDefault="00ED063B" w:rsidP="00DA4159">
            <w:pPr>
              <w:spacing w:after="0" w:line="240" w:lineRule="auto"/>
              <w:jc w:val="right"/>
              <w:rPr>
                <w:sz w:val="20"/>
                <w:szCs w:val="20"/>
              </w:rPr>
            </w:pPr>
          </w:p>
        </w:tc>
        <w:tc>
          <w:tcPr>
            <w:tcW w:w="810" w:type="dxa"/>
            <w:tcBorders>
              <w:top w:val="nil"/>
              <w:left w:val="double" w:sz="4" w:space="0" w:color="auto"/>
              <w:bottom w:val="nil"/>
              <w:right w:val="single" w:sz="4" w:space="0" w:color="auto"/>
            </w:tcBorders>
            <w:shd w:val="clear" w:color="auto" w:fill="auto"/>
            <w:vAlign w:val="center"/>
          </w:tcPr>
          <w:p w14:paraId="54B89B5A" w14:textId="77777777" w:rsidR="00ED063B" w:rsidRPr="00A462DA" w:rsidRDefault="00ED063B" w:rsidP="00DA4159">
            <w:pPr>
              <w:spacing w:after="0" w:line="240" w:lineRule="auto"/>
              <w:jc w:val="right"/>
              <w:rPr>
                <w:sz w:val="20"/>
                <w:szCs w:val="20"/>
              </w:rPr>
            </w:pPr>
            <w:r w:rsidRPr="00A462DA">
              <w:rPr>
                <w:sz w:val="20"/>
                <w:szCs w:val="20"/>
              </w:rPr>
              <w:t>--</w:t>
            </w:r>
          </w:p>
        </w:tc>
        <w:tc>
          <w:tcPr>
            <w:tcW w:w="720" w:type="dxa"/>
            <w:tcBorders>
              <w:top w:val="nil"/>
              <w:left w:val="nil"/>
              <w:bottom w:val="nil"/>
              <w:right w:val="double" w:sz="4" w:space="0" w:color="auto"/>
            </w:tcBorders>
            <w:shd w:val="clear" w:color="auto" w:fill="auto"/>
            <w:vAlign w:val="center"/>
          </w:tcPr>
          <w:p w14:paraId="492C9D24" w14:textId="77777777" w:rsidR="00ED063B" w:rsidRPr="00A462DA" w:rsidRDefault="00ED063B" w:rsidP="00DA4159">
            <w:pPr>
              <w:spacing w:after="0" w:line="240" w:lineRule="auto"/>
              <w:jc w:val="right"/>
              <w:rPr>
                <w:sz w:val="20"/>
                <w:szCs w:val="20"/>
              </w:rPr>
            </w:pPr>
          </w:p>
        </w:tc>
      </w:tr>
      <w:tr w:rsidR="00ED063B" w:rsidRPr="00A462DA" w14:paraId="7FAE0B53" w14:textId="77777777" w:rsidTr="008B31DB">
        <w:trPr>
          <w:trHeight w:val="274"/>
          <w:jc w:val="center"/>
        </w:trPr>
        <w:tc>
          <w:tcPr>
            <w:tcW w:w="5310" w:type="dxa"/>
            <w:tcBorders>
              <w:top w:val="nil"/>
              <w:left w:val="double" w:sz="4" w:space="0" w:color="auto"/>
              <w:bottom w:val="nil"/>
              <w:right w:val="double" w:sz="4" w:space="0" w:color="auto"/>
            </w:tcBorders>
            <w:shd w:val="clear" w:color="auto" w:fill="auto"/>
            <w:noWrap/>
            <w:vAlign w:val="center"/>
          </w:tcPr>
          <w:p w14:paraId="2F8156B0" w14:textId="77777777" w:rsidR="00ED063B" w:rsidRPr="00814E2F" w:rsidRDefault="00ED063B" w:rsidP="00DA4159">
            <w:pPr>
              <w:spacing w:after="0" w:line="240" w:lineRule="auto"/>
              <w:rPr>
                <w:rFonts w:eastAsia="Times New Roman"/>
                <w:b/>
                <w:i/>
                <w:sz w:val="19"/>
                <w:szCs w:val="19"/>
                <w:u w:val="single"/>
              </w:rPr>
            </w:pPr>
            <w:r w:rsidRPr="00814E2F">
              <w:rPr>
                <w:rFonts w:eastAsia="Times New Roman"/>
                <w:b/>
                <w:i/>
                <w:sz w:val="19"/>
                <w:szCs w:val="19"/>
                <w:u w:val="single"/>
              </w:rPr>
              <w:t>Job-Related Attributes</w:t>
            </w:r>
          </w:p>
        </w:tc>
        <w:tc>
          <w:tcPr>
            <w:tcW w:w="794" w:type="dxa"/>
            <w:tcBorders>
              <w:top w:val="nil"/>
              <w:left w:val="double" w:sz="4" w:space="0" w:color="auto"/>
              <w:bottom w:val="nil"/>
              <w:right w:val="single" w:sz="4" w:space="0" w:color="auto"/>
            </w:tcBorders>
            <w:shd w:val="clear" w:color="auto" w:fill="auto"/>
            <w:noWrap/>
            <w:vAlign w:val="center"/>
          </w:tcPr>
          <w:p w14:paraId="0FE76892" w14:textId="77777777" w:rsidR="00ED063B" w:rsidRPr="00A462DA" w:rsidRDefault="00ED063B" w:rsidP="00DA4159">
            <w:pPr>
              <w:spacing w:after="0" w:line="240" w:lineRule="auto"/>
              <w:jc w:val="right"/>
              <w:rPr>
                <w:sz w:val="20"/>
                <w:szCs w:val="20"/>
              </w:rPr>
            </w:pPr>
          </w:p>
        </w:tc>
        <w:tc>
          <w:tcPr>
            <w:tcW w:w="720" w:type="dxa"/>
            <w:tcBorders>
              <w:top w:val="nil"/>
              <w:left w:val="single" w:sz="4" w:space="0" w:color="auto"/>
              <w:bottom w:val="nil"/>
              <w:right w:val="double" w:sz="4" w:space="0" w:color="auto"/>
            </w:tcBorders>
            <w:shd w:val="clear" w:color="auto" w:fill="auto"/>
            <w:noWrap/>
            <w:vAlign w:val="center"/>
          </w:tcPr>
          <w:p w14:paraId="3BA35938" w14:textId="77777777" w:rsidR="00ED063B" w:rsidRPr="00A462DA" w:rsidRDefault="00ED063B" w:rsidP="00DA4159">
            <w:pPr>
              <w:spacing w:after="0" w:line="240" w:lineRule="auto"/>
              <w:jc w:val="right"/>
              <w:rPr>
                <w:sz w:val="20"/>
                <w:szCs w:val="20"/>
              </w:rPr>
            </w:pPr>
          </w:p>
        </w:tc>
        <w:tc>
          <w:tcPr>
            <w:tcW w:w="810" w:type="dxa"/>
            <w:tcBorders>
              <w:top w:val="nil"/>
              <w:left w:val="nil"/>
              <w:bottom w:val="nil"/>
              <w:right w:val="single" w:sz="4" w:space="0" w:color="auto"/>
            </w:tcBorders>
            <w:shd w:val="clear" w:color="auto" w:fill="auto"/>
            <w:noWrap/>
            <w:vAlign w:val="center"/>
          </w:tcPr>
          <w:p w14:paraId="04A28B52" w14:textId="77777777" w:rsidR="00ED063B" w:rsidRPr="00A462DA" w:rsidRDefault="00ED063B" w:rsidP="00DA4159">
            <w:pPr>
              <w:spacing w:after="0" w:line="240" w:lineRule="auto"/>
              <w:jc w:val="right"/>
              <w:rPr>
                <w:sz w:val="20"/>
                <w:szCs w:val="20"/>
              </w:rPr>
            </w:pPr>
          </w:p>
        </w:tc>
        <w:tc>
          <w:tcPr>
            <w:tcW w:w="724" w:type="dxa"/>
            <w:tcBorders>
              <w:top w:val="nil"/>
              <w:left w:val="nil"/>
              <w:bottom w:val="nil"/>
              <w:right w:val="nil"/>
            </w:tcBorders>
            <w:shd w:val="clear" w:color="auto" w:fill="auto"/>
            <w:noWrap/>
            <w:vAlign w:val="center"/>
          </w:tcPr>
          <w:p w14:paraId="6AC77153" w14:textId="77777777" w:rsidR="00ED063B" w:rsidRPr="00A462DA" w:rsidRDefault="00ED063B" w:rsidP="00DA4159">
            <w:pPr>
              <w:spacing w:after="0" w:line="240" w:lineRule="auto"/>
              <w:jc w:val="right"/>
              <w:rPr>
                <w:sz w:val="20"/>
                <w:szCs w:val="20"/>
              </w:rPr>
            </w:pPr>
          </w:p>
        </w:tc>
        <w:tc>
          <w:tcPr>
            <w:tcW w:w="810" w:type="dxa"/>
            <w:tcBorders>
              <w:top w:val="nil"/>
              <w:left w:val="double" w:sz="4" w:space="0" w:color="auto"/>
              <w:bottom w:val="nil"/>
              <w:right w:val="single" w:sz="4" w:space="0" w:color="auto"/>
            </w:tcBorders>
            <w:shd w:val="clear" w:color="auto" w:fill="auto"/>
            <w:vAlign w:val="center"/>
          </w:tcPr>
          <w:p w14:paraId="00536143" w14:textId="77777777" w:rsidR="00ED063B" w:rsidRPr="00A462DA" w:rsidRDefault="00ED063B" w:rsidP="00DA4159">
            <w:pPr>
              <w:spacing w:after="0" w:line="240" w:lineRule="auto"/>
              <w:jc w:val="right"/>
              <w:rPr>
                <w:sz w:val="20"/>
                <w:szCs w:val="20"/>
              </w:rPr>
            </w:pPr>
          </w:p>
        </w:tc>
        <w:tc>
          <w:tcPr>
            <w:tcW w:w="720" w:type="dxa"/>
            <w:tcBorders>
              <w:top w:val="nil"/>
              <w:left w:val="nil"/>
              <w:bottom w:val="nil"/>
              <w:right w:val="double" w:sz="4" w:space="0" w:color="auto"/>
            </w:tcBorders>
            <w:shd w:val="clear" w:color="auto" w:fill="auto"/>
            <w:vAlign w:val="center"/>
          </w:tcPr>
          <w:p w14:paraId="19C6EE3B" w14:textId="77777777" w:rsidR="00ED063B" w:rsidRPr="00A462DA" w:rsidRDefault="00ED063B" w:rsidP="00DA4159">
            <w:pPr>
              <w:spacing w:after="0" w:line="240" w:lineRule="auto"/>
              <w:jc w:val="right"/>
              <w:rPr>
                <w:sz w:val="20"/>
                <w:szCs w:val="20"/>
              </w:rPr>
            </w:pPr>
          </w:p>
        </w:tc>
      </w:tr>
      <w:tr w:rsidR="00ED063B" w:rsidRPr="00A462DA" w14:paraId="5B132F7E" w14:textId="77777777" w:rsidTr="008B31DB">
        <w:trPr>
          <w:trHeight w:val="274"/>
          <w:jc w:val="center"/>
        </w:trPr>
        <w:tc>
          <w:tcPr>
            <w:tcW w:w="5310" w:type="dxa"/>
            <w:tcBorders>
              <w:top w:val="nil"/>
              <w:left w:val="double" w:sz="4" w:space="0" w:color="auto"/>
              <w:bottom w:val="nil"/>
              <w:right w:val="double" w:sz="4" w:space="0" w:color="auto"/>
            </w:tcBorders>
            <w:shd w:val="clear" w:color="auto" w:fill="auto"/>
            <w:noWrap/>
            <w:vAlign w:val="center"/>
          </w:tcPr>
          <w:p w14:paraId="2958F6D7" w14:textId="13F30278" w:rsidR="00ED063B" w:rsidRPr="00814E2F" w:rsidRDefault="00ED063B" w:rsidP="00DA4159">
            <w:pPr>
              <w:spacing w:after="0" w:line="240" w:lineRule="auto"/>
              <w:rPr>
                <w:rFonts w:eastAsia="Times New Roman"/>
                <w:b/>
                <w:bCs/>
                <w:sz w:val="19"/>
                <w:szCs w:val="19"/>
              </w:rPr>
            </w:pPr>
            <w:r w:rsidRPr="00814E2F">
              <w:rPr>
                <w:rFonts w:eastAsia="Times New Roman"/>
                <w:b/>
                <w:bCs/>
                <w:sz w:val="19"/>
                <w:szCs w:val="19"/>
              </w:rPr>
              <w:t># Days Worked per Month (25 days or more (over time))</w:t>
            </w:r>
          </w:p>
        </w:tc>
        <w:tc>
          <w:tcPr>
            <w:tcW w:w="794" w:type="dxa"/>
            <w:tcBorders>
              <w:top w:val="nil"/>
              <w:left w:val="double" w:sz="4" w:space="0" w:color="auto"/>
              <w:bottom w:val="nil"/>
              <w:right w:val="single" w:sz="4" w:space="0" w:color="auto"/>
            </w:tcBorders>
            <w:shd w:val="clear" w:color="auto" w:fill="auto"/>
            <w:noWrap/>
            <w:vAlign w:val="center"/>
          </w:tcPr>
          <w:p w14:paraId="55025CD6" w14:textId="77777777" w:rsidR="00ED063B" w:rsidRPr="00A462DA" w:rsidRDefault="00ED063B" w:rsidP="00DA4159">
            <w:pPr>
              <w:spacing w:after="0" w:line="240" w:lineRule="auto"/>
              <w:jc w:val="right"/>
              <w:rPr>
                <w:rFonts w:eastAsia="Times New Roman"/>
                <w:sz w:val="20"/>
                <w:szCs w:val="20"/>
              </w:rPr>
            </w:pPr>
          </w:p>
        </w:tc>
        <w:tc>
          <w:tcPr>
            <w:tcW w:w="720" w:type="dxa"/>
            <w:tcBorders>
              <w:top w:val="nil"/>
              <w:left w:val="single" w:sz="4" w:space="0" w:color="auto"/>
              <w:bottom w:val="nil"/>
              <w:right w:val="double" w:sz="4" w:space="0" w:color="auto"/>
            </w:tcBorders>
            <w:shd w:val="clear" w:color="auto" w:fill="auto"/>
            <w:noWrap/>
            <w:vAlign w:val="center"/>
          </w:tcPr>
          <w:p w14:paraId="56B06990" w14:textId="77777777" w:rsidR="00ED063B" w:rsidRPr="00A462DA" w:rsidRDefault="00ED063B" w:rsidP="00DA4159">
            <w:pPr>
              <w:spacing w:after="0" w:line="240" w:lineRule="auto"/>
              <w:jc w:val="right"/>
              <w:rPr>
                <w:sz w:val="20"/>
                <w:szCs w:val="20"/>
              </w:rPr>
            </w:pPr>
          </w:p>
        </w:tc>
        <w:tc>
          <w:tcPr>
            <w:tcW w:w="810" w:type="dxa"/>
            <w:tcBorders>
              <w:top w:val="nil"/>
              <w:left w:val="nil"/>
              <w:bottom w:val="nil"/>
              <w:right w:val="single" w:sz="4" w:space="0" w:color="auto"/>
            </w:tcBorders>
            <w:shd w:val="clear" w:color="auto" w:fill="auto"/>
            <w:noWrap/>
            <w:vAlign w:val="center"/>
          </w:tcPr>
          <w:p w14:paraId="48CEA1C3" w14:textId="77777777" w:rsidR="00ED063B" w:rsidRPr="00A462DA" w:rsidRDefault="00ED063B" w:rsidP="00DA4159">
            <w:pPr>
              <w:spacing w:after="0" w:line="240" w:lineRule="auto"/>
              <w:jc w:val="right"/>
              <w:rPr>
                <w:rFonts w:eastAsia="Times New Roman"/>
                <w:sz w:val="20"/>
                <w:szCs w:val="20"/>
              </w:rPr>
            </w:pPr>
          </w:p>
        </w:tc>
        <w:tc>
          <w:tcPr>
            <w:tcW w:w="724" w:type="dxa"/>
            <w:tcBorders>
              <w:top w:val="nil"/>
              <w:left w:val="nil"/>
              <w:bottom w:val="nil"/>
              <w:right w:val="nil"/>
            </w:tcBorders>
            <w:shd w:val="clear" w:color="auto" w:fill="auto"/>
            <w:noWrap/>
            <w:vAlign w:val="center"/>
          </w:tcPr>
          <w:p w14:paraId="3A20979F" w14:textId="77777777" w:rsidR="00ED063B" w:rsidRPr="00A462DA" w:rsidRDefault="00ED063B" w:rsidP="00DA4159">
            <w:pPr>
              <w:spacing w:after="0" w:line="240" w:lineRule="auto"/>
              <w:jc w:val="right"/>
              <w:rPr>
                <w:sz w:val="20"/>
                <w:szCs w:val="20"/>
              </w:rPr>
            </w:pPr>
          </w:p>
        </w:tc>
        <w:tc>
          <w:tcPr>
            <w:tcW w:w="810" w:type="dxa"/>
            <w:tcBorders>
              <w:top w:val="nil"/>
              <w:left w:val="double" w:sz="4" w:space="0" w:color="auto"/>
              <w:bottom w:val="nil"/>
              <w:right w:val="single" w:sz="4" w:space="0" w:color="auto"/>
            </w:tcBorders>
            <w:shd w:val="clear" w:color="auto" w:fill="auto"/>
            <w:vAlign w:val="center"/>
          </w:tcPr>
          <w:p w14:paraId="0F658A2D" w14:textId="77777777" w:rsidR="00ED063B" w:rsidRPr="00A462DA" w:rsidRDefault="00ED063B" w:rsidP="00DA4159">
            <w:pPr>
              <w:spacing w:after="0" w:line="240" w:lineRule="auto"/>
              <w:jc w:val="right"/>
              <w:rPr>
                <w:sz w:val="20"/>
                <w:szCs w:val="20"/>
              </w:rPr>
            </w:pPr>
          </w:p>
        </w:tc>
        <w:tc>
          <w:tcPr>
            <w:tcW w:w="720" w:type="dxa"/>
            <w:tcBorders>
              <w:top w:val="nil"/>
              <w:left w:val="nil"/>
              <w:bottom w:val="nil"/>
              <w:right w:val="double" w:sz="4" w:space="0" w:color="auto"/>
            </w:tcBorders>
            <w:shd w:val="clear" w:color="auto" w:fill="auto"/>
            <w:vAlign w:val="center"/>
          </w:tcPr>
          <w:p w14:paraId="4572AAE7" w14:textId="77777777" w:rsidR="00ED063B" w:rsidRPr="00A462DA" w:rsidRDefault="00ED063B" w:rsidP="00DA4159">
            <w:pPr>
              <w:spacing w:after="0" w:line="240" w:lineRule="auto"/>
              <w:jc w:val="right"/>
              <w:rPr>
                <w:sz w:val="20"/>
                <w:szCs w:val="20"/>
              </w:rPr>
            </w:pPr>
          </w:p>
        </w:tc>
      </w:tr>
      <w:tr w:rsidR="00ED063B" w:rsidRPr="00A462DA" w14:paraId="64DF3705" w14:textId="77777777" w:rsidTr="008B31DB">
        <w:trPr>
          <w:trHeight w:val="274"/>
          <w:jc w:val="center"/>
        </w:trPr>
        <w:tc>
          <w:tcPr>
            <w:tcW w:w="5310" w:type="dxa"/>
            <w:tcBorders>
              <w:top w:val="nil"/>
              <w:left w:val="double" w:sz="4" w:space="0" w:color="auto"/>
              <w:bottom w:val="nil"/>
              <w:right w:val="double" w:sz="4" w:space="0" w:color="auto"/>
            </w:tcBorders>
            <w:shd w:val="clear" w:color="auto" w:fill="auto"/>
            <w:noWrap/>
            <w:vAlign w:val="center"/>
          </w:tcPr>
          <w:p w14:paraId="0A11CADF" w14:textId="77777777" w:rsidR="00ED063B" w:rsidRPr="00814E2F" w:rsidRDefault="00ED063B" w:rsidP="00DA4159">
            <w:pPr>
              <w:spacing w:after="0" w:line="240" w:lineRule="auto"/>
              <w:rPr>
                <w:rFonts w:eastAsia="Times New Roman"/>
                <w:bCs/>
                <w:sz w:val="19"/>
                <w:szCs w:val="19"/>
              </w:rPr>
            </w:pPr>
            <w:r w:rsidRPr="00814E2F">
              <w:rPr>
                <w:rFonts w:eastAsia="Times New Roman"/>
                <w:bCs/>
                <w:sz w:val="19"/>
                <w:szCs w:val="19"/>
              </w:rPr>
              <w:t xml:space="preserve">  1 to 5 days</w:t>
            </w:r>
          </w:p>
        </w:tc>
        <w:tc>
          <w:tcPr>
            <w:tcW w:w="794" w:type="dxa"/>
            <w:tcBorders>
              <w:top w:val="nil"/>
              <w:left w:val="double" w:sz="4" w:space="0" w:color="auto"/>
              <w:bottom w:val="nil"/>
              <w:right w:val="single" w:sz="4" w:space="0" w:color="auto"/>
            </w:tcBorders>
            <w:shd w:val="clear" w:color="auto" w:fill="auto"/>
            <w:noWrap/>
            <w:vAlign w:val="center"/>
          </w:tcPr>
          <w:p w14:paraId="67A0752C" w14:textId="77777777" w:rsidR="00ED063B" w:rsidRPr="00A462DA" w:rsidRDefault="00ED063B" w:rsidP="00DA4159">
            <w:pPr>
              <w:spacing w:after="0" w:line="240" w:lineRule="auto"/>
              <w:jc w:val="right"/>
              <w:rPr>
                <w:rFonts w:eastAsia="Times New Roman"/>
                <w:sz w:val="20"/>
                <w:szCs w:val="20"/>
              </w:rPr>
            </w:pPr>
            <w:r w:rsidRPr="00A462DA">
              <w:rPr>
                <w:rFonts w:eastAsia="Times New Roman"/>
                <w:sz w:val="20"/>
                <w:szCs w:val="20"/>
              </w:rPr>
              <w:t>--</w:t>
            </w:r>
          </w:p>
        </w:tc>
        <w:tc>
          <w:tcPr>
            <w:tcW w:w="720" w:type="dxa"/>
            <w:tcBorders>
              <w:top w:val="nil"/>
              <w:left w:val="single" w:sz="4" w:space="0" w:color="auto"/>
              <w:bottom w:val="nil"/>
              <w:right w:val="double" w:sz="4" w:space="0" w:color="auto"/>
            </w:tcBorders>
            <w:shd w:val="clear" w:color="auto" w:fill="auto"/>
            <w:noWrap/>
            <w:vAlign w:val="center"/>
          </w:tcPr>
          <w:p w14:paraId="11BC009D" w14:textId="77777777" w:rsidR="00ED063B" w:rsidRPr="00A462DA" w:rsidRDefault="00ED063B" w:rsidP="00DA4159">
            <w:pPr>
              <w:spacing w:after="0" w:line="240" w:lineRule="auto"/>
              <w:jc w:val="right"/>
              <w:rPr>
                <w:sz w:val="20"/>
                <w:szCs w:val="20"/>
              </w:rPr>
            </w:pPr>
          </w:p>
        </w:tc>
        <w:tc>
          <w:tcPr>
            <w:tcW w:w="810" w:type="dxa"/>
            <w:tcBorders>
              <w:top w:val="nil"/>
              <w:left w:val="nil"/>
              <w:bottom w:val="nil"/>
              <w:right w:val="single" w:sz="4" w:space="0" w:color="auto"/>
            </w:tcBorders>
            <w:shd w:val="clear" w:color="auto" w:fill="auto"/>
            <w:noWrap/>
            <w:vAlign w:val="center"/>
          </w:tcPr>
          <w:p w14:paraId="74704286" w14:textId="77777777" w:rsidR="00ED063B" w:rsidRPr="00A462DA" w:rsidRDefault="00ED063B" w:rsidP="00DA4159">
            <w:pPr>
              <w:spacing w:after="0" w:line="240" w:lineRule="auto"/>
              <w:jc w:val="right"/>
              <w:rPr>
                <w:color w:val="000000"/>
                <w:sz w:val="20"/>
                <w:szCs w:val="20"/>
              </w:rPr>
            </w:pPr>
            <w:r w:rsidRPr="00A462DA">
              <w:rPr>
                <w:color w:val="000000"/>
                <w:sz w:val="20"/>
                <w:szCs w:val="20"/>
              </w:rPr>
              <w:t>-0.865</w:t>
            </w:r>
          </w:p>
        </w:tc>
        <w:tc>
          <w:tcPr>
            <w:tcW w:w="724" w:type="dxa"/>
            <w:tcBorders>
              <w:top w:val="nil"/>
              <w:left w:val="nil"/>
              <w:bottom w:val="nil"/>
              <w:right w:val="nil"/>
            </w:tcBorders>
            <w:shd w:val="clear" w:color="auto" w:fill="auto"/>
            <w:noWrap/>
            <w:vAlign w:val="center"/>
          </w:tcPr>
          <w:p w14:paraId="11B5176D" w14:textId="77777777" w:rsidR="00ED063B" w:rsidRPr="00A462DA" w:rsidRDefault="00ED063B" w:rsidP="00DA4159">
            <w:pPr>
              <w:spacing w:after="0" w:line="240" w:lineRule="auto"/>
              <w:jc w:val="right"/>
              <w:rPr>
                <w:color w:val="000000"/>
                <w:sz w:val="20"/>
                <w:szCs w:val="20"/>
              </w:rPr>
            </w:pPr>
            <w:r w:rsidRPr="00A462DA">
              <w:rPr>
                <w:color w:val="000000"/>
                <w:sz w:val="20"/>
                <w:szCs w:val="20"/>
              </w:rPr>
              <w:t>-3.42</w:t>
            </w:r>
          </w:p>
        </w:tc>
        <w:tc>
          <w:tcPr>
            <w:tcW w:w="810" w:type="dxa"/>
            <w:tcBorders>
              <w:top w:val="nil"/>
              <w:left w:val="double" w:sz="4" w:space="0" w:color="auto"/>
              <w:bottom w:val="nil"/>
              <w:right w:val="single" w:sz="4" w:space="0" w:color="auto"/>
            </w:tcBorders>
            <w:shd w:val="clear" w:color="auto" w:fill="auto"/>
            <w:vAlign w:val="center"/>
          </w:tcPr>
          <w:p w14:paraId="6B50771A" w14:textId="77777777" w:rsidR="00ED063B" w:rsidRPr="00A462DA" w:rsidRDefault="00ED063B" w:rsidP="00DA4159">
            <w:pPr>
              <w:spacing w:after="0" w:line="240" w:lineRule="auto"/>
              <w:jc w:val="right"/>
              <w:rPr>
                <w:color w:val="000000"/>
                <w:sz w:val="20"/>
                <w:szCs w:val="20"/>
              </w:rPr>
            </w:pPr>
            <w:r w:rsidRPr="00A462DA">
              <w:rPr>
                <w:color w:val="000000"/>
                <w:sz w:val="20"/>
                <w:szCs w:val="20"/>
              </w:rPr>
              <w:t>-1.060</w:t>
            </w:r>
          </w:p>
        </w:tc>
        <w:tc>
          <w:tcPr>
            <w:tcW w:w="720" w:type="dxa"/>
            <w:tcBorders>
              <w:top w:val="nil"/>
              <w:left w:val="nil"/>
              <w:bottom w:val="nil"/>
              <w:right w:val="double" w:sz="4" w:space="0" w:color="auto"/>
            </w:tcBorders>
            <w:shd w:val="clear" w:color="auto" w:fill="auto"/>
            <w:vAlign w:val="center"/>
          </w:tcPr>
          <w:p w14:paraId="08F61DBB" w14:textId="77777777" w:rsidR="00ED063B" w:rsidRPr="00A462DA" w:rsidRDefault="00ED063B" w:rsidP="00DA4159">
            <w:pPr>
              <w:spacing w:after="0" w:line="240" w:lineRule="auto"/>
              <w:jc w:val="right"/>
              <w:rPr>
                <w:color w:val="000000"/>
                <w:sz w:val="20"/>
                <w:szCs w:val="20"/>
              </w:rPr>
            </w:pPr>
            <w:r w:rsidRPr="00A462DA">
              <w:rPr>
                <w:color w:val="000000"/>
                <w:sz w:val="20"/>
                <w:szCs w:val="20"/>
              </w:rPr>
              <w:t>-1.89</w:t>
            </w:r>
          </w:p>
        </w:tc>
      </w:tr>
      <w:tr w:rsidR="00ED063B" w:rsidRPr="00A462DA" w14:paraId="1820FF65" w14:textId="77777777" w:rsidTr="008B31DB">
        <w:trPr>
          <w:trHeight w:val="274"/>
          <w:jc w:val="center"/>
        </w:trPr>
        <w:tc>
          <w:tcPr>
            <w:tcW w:w="5310" w:type="dxa"/>
            <w:tcBorders>
              <w:top w:val="nil"/>
              <w:left w:val="double" w:sz="4" w:space="0" w:color="auto"/>
              <w:bottom w:val="nil"/>
              <w:right w:val="double" w:sz="4" w:space="0" w:color="auto"/>
            </w:tcBorders>
            <w:shd w:val="clear" w:color="auto" w:fill="auto"/>
            <w:noWrap/>
            <w:vAlign w:val="center"/>
          </w:tcPr>
          <w:p w14:paraId="624E9B79" w14:textId="77777777" w:rsidR="00ED063B" w:rsidRPr="00814E2F" w:rsidRDefault="00ED063B" w:rsidP="00DA4159">
            <w:pPr>
              <w:spacing w:after="0" w:line="240" w:lineRule="auto"/>
              <w:rPr>
                <w:rFonts w:eastAsia="Times New Roman"/>
                <w:bCs/>
                <w:sz w:val="19"/>
                <w:szCs w:val="19"/>
              </w:rPr>
            </w:pPr>
            <w:r w:rsidRPr="00814E2F">
              <w:rPr>
                <w:rFonts w:eastAsia="Times New Roman"/>
                <w:bCs/>
                <w:sz w:val="19"/>
                <w:szCs w:val="19"/>
              </w:rPr>
              <w:lastRenderedPageBreak/>
              <w:t xml:space="preserve">  6 to 19 days</w:t>
            </w:r>
          </w:p>
        </w:tc>
        <w:tc>
          <w:tcPr>
            <w:tcW w:w="794" w:type="dxa"/>
            <w:tcBorders>
              <w:top w:val="nil"/>
              <w:left w:val="double" w:sz="4" w:space="0" w:color="auto"/>
              <w:bottom w:val="nil"/>
              <w:right w:val="single" w:sz="4" w:space="0" w:color="auto"/>
            </w:tcBorders>
            <w:shd w:val="clear" w:color="auto" w:fill="auto"/>
            <w:noWrap/>
            <w:vAlign w:val="center"/>
          </w:tcPr>
          <w:p w14:paraId="7CAF56EE" w14:textId="77777777" w:rsidR="00ED063B" w:rsidRPr="00A462DA" w:rsidRDefault="00ED063B" w:rsidP="00DA4159">
            <w:pPr>
              <w:spacing w:after="0" w:line="240" w:lineRule="auto"/>
              <w:jc w:val="right"/>
              <w:rPr>
                <w:rFonts w:eastAsia="Times New Roman"/>
                <w:sz w:val="20"/>
                <w:szCs w:val="20"/>
              </w:rPr>
            </w:pPr>
            <w:r w:rsidRPr="00A462DA">
              <w:rPr>
                <w:rFonts w:eastAsia="Times New Roman"/>
                <w:sz w:val="20"/>
                <w:szCs w:val="20"/>
              </w:rPr>
              <w:t>--</w:t>
            </w:r>
          </w:p>
        </w:tc>
        <w:tc>
          <w:tcPr>
            <w:tcW w:w="720" w:type="dxa"/>
            <w:tcBorders>
              <w:top w:val="nil"/>
              <w:left w:val="single" w:sz="4" w:space="0" w:color="auto"/>
              <w:bottom w:val="nil"/>
              <w:right w:val="double" w:sz="4" w:space="0" w:color="auto"/>
            </w:tcBorders>
            <w:shd w:val="clear" w:color="auto" w:fill="auto"/>
            <w:noWrap/>
            <w:vAlign w:val="center"/>
          </w:tcPr>
          <w:p w14:paraId="6DA6F0D4" w14:textId="77777777" w:rsidR="00ED063B" w:rsidRPr="00A462DA" w:rsidRDefault="00ED063B" w:rsidP="00DA4159">
            <w:pPr>
              <w:spacing w:after="0" w:line="240" w:lineRule="auto"/>
              <w:jc w:val="right"/>
              <w:rPr>
                <w:sz w:val="20"/>
                <w:szCs w:val="20"/>
              </w:rPr>
            </w:pPr>
          </w:p>
        </w:tc>
        <w:tc>
          <w:tcPr>
            <w:tcW w:w="810" w:type="dxa"/>
            <w:tcBorders>
              <w:top w:val="nil"/>
              <w:left w:val="nil"/>
              <w:bottom w:val="nil"/>
              <w:right w:val="single" w:sz="4" w:space="0" w:color="auto"/>
            </w:tcBorders>
            <w:shd w:val="clear" w:color="auto" w:fill="auto"/>
            <w:noWrap/>
            <w:vAlign w:val="center"/>
          </w:tcPr>
          <w:p w14:paraId="3871E555" w14:textId="77777777" w:rsidR="00ED063B" w:rsidRPr="00A462DA" w:rsidRDefault="00ED063B" w:rsidP="00DA4159">
            <w:pPr>
              <w:spacing w:after="0" w:line="240" w:lineRule="auto"/>
              <w:jc w:val="right"/>
              <w:rPr>
                <w:color w:val="000000"/>
                <w:sz w:val="20"/>
                <w:szCs w:val="20"/>
              </w:rPr>
            </w:pPr>
            <w:r w:rsidRPr="00A462DA">
              <w:rPr>
                <w:color w:val="000000"/>
                <w:sz w:val="20"/>
                <w:szCs w:val="20"/>
              </w:rPr>
              <w:t>-0.210</w:t>
            </w:r>
          </w:p>
        </w:tc>
        <w:tc>
          <w:tcPr>
            <w:tcW w:w="724" w:type="dxa"/>
            <w:tcBorders>
              <w:top w:val="nil"/>
              <w:left w:val="nil"/>
              <w:bottom w:val="nil"/>
              <w:right w:val="nil"/>
            </w:tcBorders>
            <w:shd w:val="clear" w:color="auto" w:fill="auto"/>
            <w:noWrap/>
            <w:vAlign w:val="center"/>
          </w:tcPr>
          <w:p w14:paraId="0477D283" w14:textId="77777777" w:rsidR="00ED063B" w:rsidRPr="00A462DA" w:rsidRDefault="00ED063B" w:rsidP="00DA4159">
            <w:pPr>
              <w:spacing w:after="0" w:line="240" w:lineRule="auto"/>
              <w:jc w:val="right"/>
              <w:rPr>
                <w:color w:val="000000"/>
                <w:sz w:val="20"/>
                <w:szCs w:val="20"/>
              </w:rPr>
            </w:pPr>
            <w:r w:rsidRPr="00A462DA">
              <w:rPr>
                <w:color w:val="000000"/>
                <w:sz w:val="20"/>
                <w:szCs w:val="20"/>
              </w:rPr>
              <w:t>-1.13</w:t>
            </w:r>
          </w:p>
        </w:tc>
        <w:tc>
          <w:tcPr>
            <w:tcW w:w="810" w:type="dxa"/>
            <w:tcBorders>
              <w:top w:val="nil"/>
              <w:left w:val="double" w:sz="4" w:space="0" w:color="auto"/>
              <w:bottom w:val="nil"/>
              <w:right w:val="single" w:sz="4" w:space="0" w:color="auto"/>
            </w:tcBorders>
            <w:shd w:val="clear" w:color="auto" w:fill="auto"/>
            <w:vAlign w:val="center"/>
          </w:tcPr>
          <w:p w14:paraId="03D39CE6" w14:textId="77777777" w:rsidR="00ED063B" w:rsidRPr="00A462DA" w:rsidRDefault="00ED063B" w:rsidP="00DA4159">
            <w:pPr>
              <w:spacing w:after="0" w:line="240" w:lineRule="auto"/>
              <w:jc w:val="right"/>
              <w:rPr>
                <w:color w:val="000000"/>
                <w:sz w:val="20"/>
                <w:szCs w:val="20"/>
              </w:rPr>
            </w:pPr>
            <w:r w:rsidRPr="00A462DA">
              <w:rPr>
                <w:color w:val="000000"/>
                <w:sz w:val="20"/>
                <w:szCs w:val="20"/>
              </w:rPr>
              <w:t>-0.491</w:t>
            </w:r>
          </w:p>
        </w:tc>
        <w:tc>
          <w:tcPr>
            <w:tcW w:w="720" w:type="dxa"/>
            <w:tcBorders>
              <w:top w:val="nil"/>
              <w:left w:val="nil"/>
              <w:bottom w:val="nil"/>
              <w:right w:val="double" w:sz="4" w:space="0" w:color="auto"/>
            </w:tcBorders>
            <w:shd w:val="clear" w:color="auto" w:fill="auto"/>
            <w:vAlign w:val="center"/>
          </w:tcPr>
          <w:p w14:paraId="6836C499" w14:textId="77777777" w:rsidR="00ED063B" w:rsidRPr="00A462DA" w:rsidRDefault="00ED063B" w:rsidP="00DA4159">
            <w:pPr>
              <w:spacing w:after="0" w:line="240" w:lineRule="auto"/>
              <w:jc w:val="right"/>
              <w:rPr>
                <w:color w:val="000000"/>
                <w:sz w:val="20"/>
                <w:szCs w:val="20"/>
              </w:rPr>
            </w:pPr>
            <w:r w:rsidRPr="00A462DA">
              <w:rPr>
                <w:color w:val="000000"/>
                <w:sz w:val="20"/>
                <w:szCs w:val="20"/>
              </w:rPr>
              <w:t>-1.72</w:t>
            </w:r>
          </w:p>
        </w:tc>
      </w:tr>
      <w:tr w:rsidR="00ED063B" w:rsidRPr="00A462DA" w14:paraId="76B396B4" w14:textId="77777777" w:rsidTr="008B31DB">
        <w:trPr>
          <w:trHeight w:val="274"/>
          <w:jc w:val="center"/>
        </w:trPr>
        <w:tc>
          <w:tcPr>
            <w:tcW w:w="5310" w:type="dxa"/>
            <w:tcBorders>
              <w:top w:val="nil"/>
              <w:left w:val="double" w:sz="4" w:space="0" w:color="auto"/>
              <w:bottom w:val="nil"/>
              <w:right w:val="double" w:sz="4" w:space="0" w:color="auto"/>
            </w:tcBorders>
            <w:shd w:val="clear" w:color="auto" w:fill="auto"/>
            <w:noWrap/>
            <w:vAlign w:val="center"/>
          </w:tcPr>
          <w:p w14:paraId="44F2890D" w14:textId="77777777" w:rsidR="00ED063B" w:rsidRPr="00814E2F" w:rsidRDefault="00ED063B" w:rsidP="00DA4159">
            <w:pPr>
              <w:spacing w:after="0" w:line="240" w:lineRule="auto"/>
              <w:rPr>
                <w:rFonts w:eastAsia="Times New Roman"/>
                <w:bCs/>
                <w:sz w:val="19"/>
                <w:szCs w:val="19"/>
              </w:rPr>
            </w:pPr>
            <w:r w:rsidRPr="00814E2F">
              <w:rPr>
                <w:rFonts w:eastAsia="Times New Roman"/>
                <w:bCs/>
                <w:sz w:val="19"/>
                <w:szCs w:val="19"/>
              </w:rPr>
              <w:t xml:space="preserve">  20 to 24 days (full time)</w:t>
            </w:r>
          </w:p>
        </w:tc>
        <w:tc>
          <w:tcPr>
            <w:tcW w:w="794" w:type="dxa"/>
            <w:tcBorders>
              <w:top w:val="nil"/>
              <w:left w:val="double" w:sz="4" w:space="0" w:color="auto"/>
              <w:bottom w:val="nil"/>
              <w:right w:val="single" w:sz="4" w:space="0" w:color="auto"/>
            </w:tcBorders>
            <w:shd w:val="clear" w:color="auto" w:fill="auto"/>
            <w:noWrap/>
            <w:vAlign w:val="center"/>
          </w:tcPr>
          <w:p w14:paraId="27809CE1" w14:textId="77777777" w:rsidR="00ED063B" w:rsidRPr="00A462DA" w:rsidRDefault="00ED063B" w:rsidP="00DA4159">
            <w:pPr>
              <w:spacing w:after="0" w:line="240" w:lineRule="auto"/>
              <w:jc w:val="right"/>
              <w:rPr>
                <w:rFonts w:eastAsia="Times New Roman"/>
                <w:sz w:val="20"/>
                <w:szCs w:val="20"/>
              </w:rPr>
            </w:pPr>
            <w:r w:rsidRPr="00A462DA">
              <w:rPr>
                <w:rFonts w:eastAsia="Times New Roman"/>
                <w:sz w:val="20"/>
                <w:szCs w:val="20"/>
              </w:rPr>
              <w:t>--</w:t>
            </w:r>
          </w:p>
        </w:tc>
        <w:tc>
          <w:tcPr>
            <w:tcW w:w="720" w:type="dxa"/>
            <w:tcBorders>
              <w:top w:val="nil"/>
              <w:left w:val="single" w:sz="4" w:space="0" w:color="auto"/>
              <w:bottom w:val="nil"/>
              <w:right w:val="double" w:sz="4" w:space="0" w:color="auto"/>
            </w:tcBorders>
            <w:shd w:val="clear" w:color="auto" w:fill="auto"/>
            <w:noWrap/>
            <w:vAlign w:val="center"/>
          </w:tcPr>
          <w:p w14:paraId="0C0F1F76" w14:textId="77777777" w:rsidR="00ED063B" w:rsidRPr="00A462DA" w:rsidRDefault="00ED063B" w:rsidP="00DA4159">
            <w:pPr>
              <w:spacing w:after="0" w:line="240" w:lineRule="auto"/>
              <w:jc w:val="right"/>
              <w:rPr>
                <w:sz w:val="20"/>
                <w:szCs w:val="20"/>
              </w:rPr>
            </w:pPr>
          </w:p>
        </w:tc>
        <w:tc>
          <w:tcPr>
            <w:tcW w:w="810" w:type="dxa"/>
            <w:tcBorders>
              <w:top w:val="nil"/>
              <w:left w:val="nil"/>
              <w:bottom w:val="nil"/>
              <w:right w:val="single" w:sz="4" w:space="0" w:color="auto"/>
            </w:tcBorders>
            <w:shd w:val="clear" w:color="auto" w:fill="auto"/>
            <w:noWrap/>
            <w:vAlign w:val="center"/>
          </w:tcPr>
          <w:p w14:paraId="3B369C6D" w14:textId="77777777" w:rsidR="00ED063B" w:rsidRPr="00A462DA" w:rsidRDefault="00ED063B" w:rsidP="00DA4159">
            <w:pPr>
              <w:spacing w:after="0" w:line="240" w:lineRule="auto"/>
              <w:jc w:val="right"/>
              <w:rPr>
                <w:color w:val="000000"/>
                <w:sz w:val="20"/>
                <w:szCs w:val="20"/>
              </w:rPr>
            </w:pPr>
            <w:r w:rsidRPr="00A462DA">
              <w:rPr>
                <w:color w:val="000000"/>
                <w:sz w:val="20"/>
                <w:szCs w:val="20"/>
              </w:rPr>
              <w:t>-0.220</w:t>
            </w:r>
          </w:p>
        </w:tc>
        <w:tc>
          <w:tcPr>
            <w:tcW w:w="724" w:type="dxa"/>
            <w:tcBorders>
              <w:top w:val="nil"/>
              <w:left w:val="nil"/>
              <w:bottom w:val="nil"/>
              <w:right w:val="nil"/>
            </w:tcBorders>
            <w:shd w:val="clear" w:color="auto" w:fill="auto"/>
            <w:noWrap/>
            <w:vAlign w:val="center"/>
          </w:tcPr>
          <w:p w14:paraId="391BE208" w14:textId="77777777" w:rsidR="00ED063B" w:rsidRPr="00A462DA" w:rsidRDefault="00ED063B" w:rsidP="00DA4159">
            <w:pPr>
              <w:spacing w:after="0" w:line="240" w:lineRule="auto"/>
              <w:jc w:val="right"/>
              <w:rPr>
                <w:color w:val="000000"/>
                <w:sz w:val="20"/>
                <w:szCs w:val="20"/>
              </w:rPr>
            </w:pPr>
            <w:r w:rsidRPr="00A462DA">
              <w:rPr>
                <w:color w:val="000000"/>
                <w:sz w:val="20"/>
                <w:szCs w:val="20"/>
              </w:rPr>
              <w:t>-1.92</w:t>
            </w:r>
          </w:p>
        </w:tc>
        <w:tc>
          <w:tcPr>
            <w:tcW w:w="810" w:type="dxa"/>
            <w:tcBorders>
              <w:top w:val="nil"/>
              <w:left w:val="double" w:sz="4" w:space="0" w:color="auto"/>
              <w:bottom w:val="nil"/>
              <w:right w:val="single" w:sz="4" w:space="0" w:color="auto"/>
            </w:tcBorders>
            <w:shd w:val="clear" w:color="auto" w:fill="auto"/>
            <w:vAlign w:val="center"/>
          </w:tcPr>
          <w:p w14:paraId="7DBB1DFA" w14:textId="77777777" w:rsidR="00ED063B" w:rsidRPr="00A462DA" w:rsidRDefault="00ED063B" w:rsidP="00DA4159">
            <w:pPr>
              <w:spacing w:after="0" w:line="240" w:lineRule="auto"/>
              <w:jc w:val="right"/>
              <w:rPr>
                <w:color w:val="000000"/>
                <w:sz w:val="20"/>
                <w:szCs w:val="20"/>
              </w:rPr>
            </w:pPr>
            <w:r w:rsidRPr="00A462DA">
              <w:rPr>
                <w:color w:val="000000"/>
                <w:sz w:val="20"/>
                <w:szCs w:val="20"/>
              </w:rPr>
              <w:t>-0.382</w:t>
            </w:r>
          </w:p>
        </w:tc>
        <w:tc>
          <w:tcPr>
            <w:tcW w:w="720" w:type="dxa"/>
            <w:tcBorders>
              <w:top w:val="nil"/>
              <w:left w:val="nil"/>
              <w:bottom w:val="nil"/>
              <w:right w:val="double" w:sz="4" w:space="0" w:color="auto"/>
            </w:tcBorders>
            <w:shd w:val="clear" w:color="auto" w:fill="auto"/>
            <w:vAlign w:val="center"/>
          </w:tcPr>
          <w:p w14:paraId="0E79EE31" w14:textId="77777777" w:rsidR="00ED063B" w:rsidRPr="00A462DA" w:rsidRDefault="00ED063B" w:rsidP="00DA4159">
            <w:pPr>
              <w:spacing w:after="0" w:line="240" w:lineRule="auto"/>
              <w:jc w:val="right"/>
              <w:rPr>
                <w:color w:val="000000"/>
                <w:sz w:val="20"/>
                <w:szCs w:val="20"/>
              </w:rPr>
            </w:pPr>
            <w:r w:rsidRPr="00A462DA">
              <w:rPr>
                <w:color w:val="000000"/>
                <w:sz w:val="20"/>
                <w:szCs w:val="20"/>
              </w:rPr>
              <w:t>-2.14</w:t>
            </w:r>
          </w:p>
        </w:tc>
      </w:tr>
      <w:tr w:rsidR="00ED063B" w:rsidRPr="00A462DA" w14:paraId="4FC70475" w14:textId="77777777" w:rsidTr="008B31DB">
        <w:trPr>
          <w:trHeight w:val="274"/>
          <w:jc w:val="center"/>
        </w:trPr>
        <w:tc>
          <w:tcPr>
            <w:tcW w:w="5310" w:type="dxa"/>
            <w:tcBorders>
              <w:top w:val="nil"/>
              <w:left w:val="double" w:sz="4" w:space="0" w:color="auto"/>
              <w:bottom w:val="nil"/>
              <w:right w:val="double" w:sz="4" w:space="0" w:color="auto"/>
            </w:tcBorders>
            <w:shd w:val="clear" w:color="auto" w:fill="auto"/>
            <w:noWrap/>
            <w:vAlign w:val="center"/>
          </w:tcPr>
          <w:p w14:paraId="62A96D7A" w14:textId="77777777" w:rsidR="00ED063B" w:rsidRPr="00814E2F" w:rsidRDefault="00ED063B" w:rsidP="00DA4159">
            <w:pPr>
              <w:spacing w:after="0" w:line="240" w:lineRule="auto"/>
              <w:rPr>
                <w:rFonts w:eastAsia="Times New Roman"/>
                <w:bCs/>
                <w:sz w:val="19"/>
                <w:szCs w:val="19"/>
              </w:rPr>
            </w:pPr>
            <w:r w:rsidRPr="00814E2F">
              <w:rPr>
                <w:rFonts w:eastAsia="Times New Roman"/>
                <w:b/>
                <w:bCs/>
                <w:sz w:val="19"/>
                <w:szCs w:val="19"/>
              </w:rPr>
              <w:t>Employment Status (employed full-time)</w:t>
            </w:r>
          </w:p>
        </w:tc>
        <w:tc>
          <w:tcPr>
            <w:tcW w:w="794" w:type="dxa"/>
            <w:tcBorders>
              <w:top w:val="nil"/>
              <w:left w:val="double" w:sz="4" w:space="0" w:color="auto"/>
              <w:bottom w:val="nil"/>
              <w:right w:val="single" w:sz="4" w:space="0" w:color="auto"/>
            </w:tcBorders>
            <w:shd w:val="clear" w:color="auto" w:fill="auto"/>
            <w:noWrap/>
            <w:vAlign w:val="center"/>
          </w:tcPr>
          <w:p w14:paraId="18D9C55A" w14:textId="77777777" w:rsidR="00ED063B" w:rsidRPr="00A462DA" w:rsidRDefault="00ED063B" w:rsidP="00DA4159">
            <w:pPr>
              <w:spacing w:after="0" w:line="240" w:lineRule="auto"/>
              <w:jc w:val="right"/>
              <w:rPr>
                <w:rFonts w:eastAsia="Times New Roman"/>
                <w:sz w:val="20"/>
                <w:szCs w:val="20"/>
              </w:rPr>
            </w:pPr>
          </w:p>
        </w:tc>
        <w:tc>
          <w:tcPr>
            <w:tcW w:w="720" w:type="dxa"/>
            <w:tcBorders>
              <w:top w:val="nil"/>
              <w:left w:val="single" w:sz="4" w:space="0" w:color="auto"/>
              <w:bottom w:val="nil"/>
              <w:right w:val="double" w:sz="4" w:space="0" w:color="auto"/>
            </w:tcBorders>
            <w:shd w:val="clear" w:color="auto" w:fill="auto"/>
            <w:noWrap/>
            <w:vAlign w:val="center"/>
          </w:tcPr>
          <w:p w14:paraId="7574D3FA" w14:textId="77777777" w:rsidR="00ED063B" w:rsidRPr="00A462DA" w:rsidRDefault="00ED063B" w:rsidP="00DA4159">
            <w:pPr>
              <w:spacing w:after="0" w:line="240" w:lineRule="auto"/>
              <w:jc w:val="right"/>
              <w:rPr>
                <w:sz w:val="20"/>
                <w:szCs w:val="20"/>
              </w:rPr>
            </w:pPr>
          </w:p>
        </w:tc>
        <w:tc>
          <w:tcPr>
            <w:tcW w:w="810" w:type="dxa"/>
            <w:tcBorders>
              <w:top w:val="nil"/>
              <w:left w:val="nil"/>
              <w:bottom w:val="nil"/>
              <w:right w:val="single" w:sz="4" w:space="0" w:color="auto"/>
            </w:tcBorders>
            <w:shd w:val="clear" w:color="auto" w:fill="auto"/>
            <w:noWrap/>
            <w:vAlign w:val="center"/>
          </w:tcPr>
          <w:p w14:paraId="1DF50633" w14:textId="77777777" w:rsidR="00ED063B" w:rsidRPr="00A462DA" w:rsidRDefault="00ED063B" w:rsidP="00DA4159">
            <w:pPr>
              <w:spacing w:after="0" w:line="240" w:lineRule="auto"/>
              <w:jc w:val="right"/>
              <w:rPr>
                <w:rFonts w:eastAsia="Times New Roman"/>
                <w:sz w:val="20"/>
                <w:szCs w:val="20"/>
              </w:rPr>
            </w:pPr>
          </w:p>
        </w:tc>
        <w:tc>
          <w:tcPr>
            <w:tcW w:w="724" w:type="dxa"/>
            <w:tcBorders>
              <w:top w:val="nil"/>
              <w:left w:val="nil"/>
              <w:bottom w:val="nil"/>
              <w:right w:val="nil"/>
            </w:tcBorders>
            <w:shd w:val="clear" w:color="auto" w:fill="auto"/>
            <w:noWrap/>
            <w:vAlign w:val="center"/>
          </w:tcPr>
          <w:p w14:paraId="5BFB870D" w14:textId="77777777" w:rsidR="00ED063B" w:rsidRPr="00A462DA" w:rsidRDefault="00ED063B" w:rsidP="00DA4159">
            <w:pPr>
              <w:spacing w:after="0" w:line="240" w:lineRule="auto"/>
              <w:jc w:val="right"/>
              <w:rPr>
                <w:sz w:val="20"/>
                <w:szCs w:val="20"/>
              </w:rPr>
            </w:pPr>
          </w:p>
        </w:tc>
        <w:tc>
          <w:tcPr>
            <w:tcW w:w="810" w:type="dxa"/>
            <w:tcBorders>
              <w:top w:val="nil"/>
              <w:left w:val="double" w:sz="4" w:space="0" w:color="auto"/>
              <w:bottom w:val="nil"/>
              <w:right w:val="single" w:sz="4" w:space="0" w:color="auto"/>
            </w:tcBorders>
            <w:shd w:val="clear" w:color="auto" w:fill="auto"/>
            <w:vAlign w:val="center"/>
          </w:tcPr>
          <w:p w14:paraId="5B78E439" w14:textId="77777777" w:rsidR="00ED063B" w:rsidRPr="00A462DA" w:rsidRDefault="00ED063B" w:rsidP="00DA4159">
            <w:pPr>
              <w:spacing w:after="0" w:line="240" w:lineRule="auto"/>
              <w:jc w:val="right"/>
              <w:rPr>
                <w:sz w:val="20"/>
                <w:szCs w:val="20"/>
              </w:rPr>
            </w:pPr>
          </w:p>
        </w:tc>
        <w:tc>
          <w:tcPr>
            <w:tcW w:w="720" w:type="dxa"/>
            <w:tcBorders>
              <w:top w:val="nil"/>
              <w:left w:val="nil"/>
              <w:bottom w:val="nil"/>
              <w:right w:val="double" w:sz="4" w:space="0" w:color="auto"/>
            </w:tcBorders>
            <w:shd w:val="clear" w:color="auto" w:fill="auto"/>
            <w:vAlign w:val="center"/>
          </w:tcPr>
          <w:p w14:paraId="47D84B21" w14:textId="77777777" w:rsidR="00ED063B" w:rsidRPr="00A462DA" w:rsidRDefault="00ED063B" w:rsidP="00DA4159">
            <w:pPr>
              <w:spacing w:after="0" w:line="240" w:lineRule="auto"/>
              <w:jc w:val="right"/>
              <w:rPr>
                <w:sz w:val="20"/>
                <w:szCs w:val="20"/>
              </w:rPr>
            </w:pPr>
          </w:p>
        </w:tc>
      </w:tr>
      <w:tr w:rsidR="00ED063B" w:rsidRPr="00A462DA" w14:paraId="643726EF" w14:textId="77777777" w:rsidTr="008B31DB">
        <w:trPr>
          <w:trHeight w:val="274"/>
          <w:jc w:val="center"/>
        </w:trPr>
        <w:tc>
          <w:tcPr>
            <w:tcW w:w="5310" w:type="dxa"/>
            <w:tcBorders>
              <w:top w:val="nil"/>
              <w:left w:val="double" w:sz="4" w:space="0" w:color="auto"/>
              <w:bottom w:val="nil"/>
              <w:right w:val="double" w:sz="4" w:space="0" w:color="auto"/>
            </w:tcBorders>
            <w:shd w:val="clear" w:color="auto" w:fill="auto"/>
            <w:noWrap/>
            <w:vAlign w:val="center"/>
          </w:tcPr>
          <w:p w14:paraId="2102E3AF" w14:textId="77777777" w:rsidR="00ED063B" w:rsidRPr="00814E2F" w:rsidRDefault="00ED063B" w:rsidP="00DA4159">
            <w:pPr>
              <w:spacing w:after="0" w:line="240" w:lineRule="auto"/>
              <w:ind w:left="72"/>
              <w:rPr>
                <w:rFonts w:eastAsia="Times New Roman"/>
                <w:b/>
                <w:bCs/>
                <w:sz w:val="19"/>
                <w:szCs w:val="19"/>
              </w:rPr>
            </w:pPr>
            <w:r w:rsidRPr="00814E2F">
              <w:rPr>
                <w:rFonts w:eastAsia="Times New Roman"/>
                <w:bCs/>
                <w:sz w:val="19"/>
                <w:szCs w:val="19"/>
              </w:rPr>
              <w:t>Employed part-time</w:t>
            </w:r>
          </w:p>
        </w:tc>
        <w:tc>
          <w:tcPr>
            <w:tcW w:w="794" w:type="dxa"/>
            <w:tcBorders>
              <w:top w:val="nil"/>
              <w:left w:val="double" w:sz="4" w:space="0" w:color="auto"/>
              <w:bottom w:val="nil"/>
              <w:right w:val="single" w:sz="4" w:space="0" w:color="auto"/>
            </w:tcBorders>
            <w:shd w:val="clear" w:color="auto" w:fill="auto"/>
            <w:noWrap/>
            <w:vAlign w:val="center"/>
          </w:tcPr>
          <w:p w14:paraId="06E568A0" w14:textId="77777777" w:rsidR="00ED063B" w:rsidRPr="00A462DA" w:rsidRDefault="00ED063B" w:rsidP="00DA4159">
            <w:pPr>
              <w:spacing w:after="0" w:line="240" w:lineRule="auto"/>
              <w:jc w:val="right"/>
              <w:rPr>
                <w:rFonts w:eastAsia="Times New Roman"/>
                <w:sz w:val="20"/>
                <w:szCs w:val="20"/>
              </w:rPr>
            </w:pPr>
            <w:r w:rsidRPr="00A462DA">
              <w:rPr>
                <w:rFonts w:eastAsia="Times New Roman"/>
                <w:sz w:val="20"/>
                <w:szCs w:val="20"/>
              </w:rPr>
              <w:t>--</w:t>
            </w:r>
          </w:p>
        </w:tc>
        <w:tc>
          <w:tcPr>
            <w:tcW w:w="720" w:type="dxa"/>
            <w:tcBorders>
              <w:top w:val="nil"/>
              <w:left w:val="single" w:sz="4" w:space="0" w:color="auto"/>
              <w:bottom w:val="nil"/>
              <w:right w:val="double" w:sz="4" w:space="0" w:color="auto"/>
            </w:tcBorders>
            <w:shd w:val="clear" w:color="auto" w:fill="auto"/>
            <w:noWrap/>
            <w:vAlign w:val="center"/>
          </w:tcPr>
          <w:p w14:paraId="29EB7082" w14:textId="77777777" w:rsidR="00ED063B" w:rsidRPr="00A462DA" w:rsidRDefault="00ED063B" w:rsidP="00DA4159">
            <w:pPr>
              <w:spacing w:after="0" w:line="240" w:lineRule="auto"/>
              <w:jc w:val="right"/>
              <w:rPr>
                <w:sz w:val="20"/>
                <w:szCs w:val="20"/>
              </w:rPr>
            </w:pPr>
          </w:p>
        </w:tc>
        <w:tc>
          <w:tcPr>
            <w:tcW w:w="810" w:type="dxa"/>
            <w:tcBorders>
              <w:top w:val="nil"/>
              <w:left w:val="nil"/>
              <w:bottom w:val="nil"/>
              <w:right w:val="single" w:sz="4" w:space="0" w:color="auto"/>
            </w:tcBorders>
            <w:shd w:val="clear" w:color="auto" w:fill="auto"/>
            <w:noWrap/>
            <w:vAlign w:val="center"/>
          </w:tcPr>
          <w:p w14:paraId="4847EF69" w14:textId="77777777" w:rsidR="00ED063B" w:rsidRPr="00A462DA" w:rsidRDefault="00ED063B" w:rsidP="00DA4159">
            <w:pPr>
              <w:spacing w:after="0" w:line="240" w:lineRule="auto"/>
              <w:jc w:val="right"/>
              <w:rPr>
                <w:rFonts w:eastAsia="Times New Roman"/>
                <w:sz w:val="20"/>
                <w:szCs w:val="20"/>
              </w:rPr>
            </w:pPr>
            <w:r w:rsidRPr="00A462DA">
              <w:rPr>
                <w:rFonts w:eastAsia="Times New Roman"/>
                <w:sz w:val="20"/>
                <w:szCs w:val="20"/>
              </w:rPr>
              <w:t>--</w:t>
            </w:r>
          </w:p>
        </w:tc>
        <w:tc>
          <w:tcPr>
            <w:tcW w:w="724" w:type="dxa"/>
            <w:tcBorders>
              <w:top w:val="nil"/>
              <w:left w:val="nil"/>
              <w:bottom w:val="nil"/>
              <w:right w:val="nil"/>
            </w:tcBorders>
            <w:shd w:val="clear" w:color="auto" w:fill="auto"/>
            <w:noWrap/>
            <w:vAlign w:val="center"/>
          </w:tcPr>
          <w:p w14:paraId="0AB8743A" w14:textId="77777777" w:rsidR="00ED063B" w:rsidRPr="00A462DA" w:rsidRDefault="00ED063B" w:rsidP="00DA4159">
            <w:pPr>
              <w:spacing w:after="0" w:line="240" w:lineRule="auto"/>
              <w:jc w:val="right"/>
              <w:rPr>
                <w:sz w:val="20"/>
                <w:szCs w:val="20"/>
              </w:rPr>
            </w:pPr>
          </w:p>
        </w:tc>
        <w:tc>
          <w:tcPr>
            <w:tcW w:w="810" w:type="dxa"/>
            <w:tcBorders>
              <w:top w:val="nil"/>
              <w:left w:val="double" w:sz="4" w:space="0" w:color="auto"/>
              <w:bottom w:val="nil"/>
              <w:right w:val="single" w:sz="4" w:space="0" w:color="auto"/>
            </w:tcBorders>
            <w:shd w:val="clear" w:color="auto" w:fill="auto"/>
            <w:vAlign w:val="center"/>
          </w:tcPr>
          <w:p w14:paraId="614F89D1" w14:textId="77777777" w:rsidR="00ED063B" w:rsidRPr="00A462DA" w:rsidRDefault="00ED063B" w:rsidP="00DA4159">
            <w:pPr>
              <w:spacing w:after="0" w:line="240" w:lineRule="auto"/>
              <w:jc w:val="right"/>
              <w:rPr>
                <w:color w:val="000000"/>
                <w:sz w:val="20"/>
                <w:szCs w:val="20"/>
              </w:rPr>
            </w:pPr>
            <w:r w:rsidRPr="00A462DA">
              <w:rPr>
                <w:color w:val="000000"/>
                <w:sz w:val="20"/>
                <w:szCs w:val="20"/>
              </w:rPr>
              <w:t>0.880</w:t>
            </w:r>
          </w:p>
        </w:tc>
        <w:tc>
          <w:tcPr>
            <w:tcW w:w="720" w:type="dxa"/>
            <w:tcBorders>
              <w:top w:val="nil"/>
              <w:left w:val="nil"/>
              <w:bottom w:val="nil"/>
              <w:right w:val="double" w:sz="4" w:space="0" w:color="auto"/>
            </w:tcBorders>
            <w:shd w:val="clear" w:color="auto" w:fill="auto"/>
            <w:vAlign w:val="center"/>
          </w:tcPr>
          <w:p w14:paraId="43671255" w14:textId="77777777" w:rsidR="00ED063B" w:rsidRPr="00A462DA" w:rsidRDefault="00ED063B" w:rsidP="00DA4159">
            <w:pPr>
              <w:spacing w:after="0" w:line="240" w:lineRule="auto"/>
              <w:jc w:val="right"/>
              <w:rPr>
                <w:color w:val="000000"/>
                <w:sz w:val="20"/>
                <w:szCs w:val="20"/>
              </w:rPr>
            </w:pPr>
            <w:r w:rsidRPr="00A462DA">
              <w:rPr>
                <w:color w:val="000000"/>
                <w:sz w:val="20"/>
                <w:szCs w:val="20"/>
              </w:rPr>
              <w:t>4.49</w:t>
            </w:r>
          </w:p>
        </w:tc>
      </w:tr>
      <w:tr w:rsidR="00ED063B" w:rsidRPr="00A462DA" w14:paraId="6995C483" w14:textId="77777777" w:rsidTr="008B31DB">
        <w:trPr>
          <w:trHeight w:val="274"/>
          <w:jc w:val="center"/>
        </w:trPr>
        <w:tc>
          <w:tcPr>
            <w:tcW w:w="5310" w:type="dxa"/>
            <w:tcBorders>
              <w:top w:val="nil"/>
              <w:left w:val="double" w:sz="4" w:space="0" w:color="auto"/>
              <w:bottom w:val="nil"/>
              <w:right w:val="double" w:sz="4" w:space="0" w:color="auto"/>
            </w:tcBorders>
            <w:shd w:val="clear" w:color="auto" w:fill="auto"/>
            <w:noWrap/>
            <w:vAlign w:val="center"/>
          </w:tcPr>
          <w:p w14:paraId="32DD99C8" w14:textId="77777777" w:rsidR="00ED063B" w:rsidRPr="00814E2F" w:rsidRDefault="00ED063B" w:rsidP="00DA4159">
            <w:pPr>
              <w:spacing w:after="0" w:line="240" w:lineRule="auto"/>
              <w:rPr>
                <w:rFonts w:eastAsia="Times New Roman"/>
                <w:b/>
                <w:bCs/>
                <w:sz w:val="19"/>
                <w:szCs w:val="19"/>
              </w:rPr>
            </w:pPr>
            <w:r w:rsidRPr="00814E2F">
              <w:rPr>
                <w:rFonts w:eastAsia="Times New Roman"/>
                <w:b/>
                <w:bCs/>
                <w:sz w:val="19"/>
                <w:szCs w:val="19"/>
              </w:rPr>
              <w:t>Employment Structure (not self-employed)</w:t>
            </w:r>
          </w:p>
        </w:tc>
        <w:tc>
          <w:tcPr>
            <w:tcW w:w="794" w:type="dxa"/>
            <w:tcBorders>
              <w:top w:val="nil"/>
              <w:left w:val="double" w:sz="4" w:space="0" w:color="auto"/>
              <w:bottom w:val="nil"/>
              <w:right w:val="single" w:sz="4" w:space="0" w:color="auto"/>
            </w:tcBorders>
            <w:shd w:val="clear" w:color="auto" w:fill="auto"/>
            <w:noWrap/>
            <w:vAlign w:val="center"/>
          </w:tcPr>
          <w:p w14:paraId="7A616A44" w14:textId="77777777" w:rsidR="00ED063B" w:rsidRPr="00A462DA" w:rsidRDefault="00ED063B" w:rsidP="00DA4159">
            <w:pPr>
              <w:spacing w:after="0" w:line="240" w:lineRule="auto"/>
              <w:jc w:val="right"/>
              <w:rPr>
                <w:rFonts w:eastAsia="Times New Roman"/>
                <w:sz w:val="20"/>
                <w:szCs w:val="20"/>
              </w:rPr>
            </w:pPr>
          </w:p>
        </w:tc>
        <w:tc>
          <w:tcPr>
            <w:tcW w:w="720" w:type="dxa"/>
            <w:tcBorders>
              <w:top w:val="nil"/>
              <w:left w:val="single" w:sz="4" w:space="0" w:color="auto"/>
              <w:bottom w:val="nil"/>
              <w:right w:val="double" w:sz="4" w:space="0" w:color="auto"/>
            </w:tcBorders>
            <w:shd w:val="clear" w:color="auto" w:fill="auto"/>
            <w:noWrap/>
            <w:vAlign w:val="center"/>
          </w:tcPr>
          <w:p w14:paraId="0636A007" w14:textId="77777777" w:rsidR="00ED063B" w:rsidRPr="00A462DA" w:rsidRDefault="00ED063B" w:rsidP="00DA4159">
            <w:pPr>
              <w:spacing w:after="0" w:line="240" w:lineRule="auto"/>
              <w:jc w:val="right"/>
              <w:rPr>
                <w:sz w:val="20"/>
                <w:szCs w:val="20"/>
              </w:rPr>
            </w:pPr>
          </w:p>
        </w:tc>
        <w:tc>
          <w:tcPr>
            <w:tcW w:w="810" w:type="dxa"/>
            <w:tcBorders>
              <w:top w:val="nil"/>
              <w:left w:val="nil"/>
              <w:bottom w:val="nil"/>
              <w:right w:val="single" w:sz="4" w:space="0" w:color="auto"/>
            </w:tcBorders>
            <w:shd w:val="clear" w:color="auto" w:fill="auto"/>
            <w:noWrap/>
            <w:vAlign w:val="center"/>
          </w:tcPr>
          <w:p w14:paraId="78A5E09D" w14:textId="77777777" w:rsidR="00ED063B" w:rsidRPr="00A462DA" w:rsidRDefault="00ED063B" w:rsidP="00DA4159">
            <w:pPr>
              <w:spacing w:after="0" w:line="240" w:lineRule="auto"/>
              <w:jc w:val="right"/>
              <w:rPr>
                <w:rFonts w:eastAsia="Times New Roman"/>
                <w:sz w:val="20"/>
                <w:szCs w:val="20"/>
              </w:rPr>
            </w:pPr>
          </w:p>
        </w:tc>
        <w:tc>
          <w:tcPr>
            <w:tcW w:w="724" w:type="dxa"/>
            <w:tcBorders>
              <w:top w:val="nil"/>
              <w:left w:val="nil"/>
              <w:bottom w:val="nil"/>
              <w:right w:val="nil"/>
            </w:tcBorders>
            <w:shd w:val="clear" w:color="auto" w:fill="auto"/>
            <w:noWrap/>
            <w:vAlign w:val="center"/>
          </w:tcPr>
          <w:p w14:paraId="0EA6F075" w14:textId="77777777" w:rsidR="00ED063B" w:rsidRPr="00A462DA" w:rsidRDefault="00ED063B" w:rsidP="00DA4159">
            <w:pPr>
              <w:spacing w:after="0" w:line="240" w:lineRule="auto"/>
              <w:jc w:val="right"/>
              <w:rPr>
                <w:sz w:val="20"/>
                <w:szCs w:val="20"/>
              </w:rPr>
            </w:pPr>
          </w:p>
        </w:tc>
        <w:tc>
          <w:tcPr>
            <w:tcW w:w="810" w:type="dxa"/>
            <w:tcBorders>
              <w:top w:val="nil"/>
              <w:left w:val="double" w:sz="4" w:space="0" w:color="auto"/>
              <w:bottom w:val="nil"/>
              <w:right w:val="single" w:sz="4" w:space="0" w:color="auto"/>
            </w:tcBorders>
            <w:shd w:val="clear" w:color="auto" w:fill="auto"/>
            <w:vAlign w:val="center"/>
          </w:tcPr>
          <w:p w14:paraId="35637113" w14:textId="77777777" w:rsidR="00ED063B" w:rsidRPr="00A462DA" w:rsidRDefault="00ED063B" w:rsidP="00DA4159">
            <w:pPr>
              <w:spacing w:after="0" w:line="240" w:lineRule="auto"/>
              <w:jc w:val="right"/>
              <w:rPr>
                <w:color w:val="000000"/>
                <w:sz w:val="20"/>
                <w:szCs w:val="20"/>
              </w:rPr>
            </w:pPr>
          </w:p>
        </w:tc>
        <w:tc>
          <w:tcPr>
            <w:tcW w:w="720" w:type="dxa"/>
            <w:tcBorders>
              <w:top w:val="nil"/>
              <w:left w:val="nil"/>
              <w:bottom w:val="nil"/>
              <w:right w:val="double" w:sz="4" w:space="0" w:color="auto"/>
            </w:tcBorders>
            <w:shd w:val="clear" w:color="auto" w:fill="auto"/>
            <w:vAlign w:val="center"/>
          </w:tcPr>
          <w:p w14:paraId="42F5C510" w14:textId="77777777" w:rsidR="00ED063B" w:rsidRPr="00A462DA" w:rsidRDefault="00ED063B" w:rsidP="00DA4159">
            <w:pPr>
              <w:spacing w:after="0" w:line="240" w:lineRule="auto"/>
              <w:jc w:val="right"/>
              <w:rPr>
                <w:color w:val="000000"/>
                <w:sz w:val="20"/>
                <w:szCs w:val="20"/>
              </w:rPr>
            </w:pPr>
          </w:p>
        </w:tc>
      </w:tr>
      <w:tr w:rsidR="00ED063B" w:rsidRPr="00A462DA" w14:paraId="7F63FCB8" w14:textId="77777777" w:rsidTr="008B31DB">
        <w:trPr>
          <w:trHeight w:val="274"/>
          <w:jc w:val="center"/>
        </w:trPr>
        <w:tc>
          <w:tcPr>
            <w:tcW w:w="5310" w:type="dxa"/>
            <w:tcBorders>
              <w:top w:val="nil"/>
              <w:left w:val="double" w:sz="4" w:space="0" w:color="auto"/>
              <w:bottom w:val="nil"/>
              <w:right w:val="double" w:sz="4" w:space="0" w:color="auto"/>
            </w:tcBorders>
            <w:shd w:val="clear" w:color="auto" w:fill="auto"/>
            <w:noWrap/>
            <w:vAlign w:val="center"/>
          </w:tcPr>
          <w:p w14:paraId="31A0BD4B" w14:textId="77777777" w:rsidR="00ED063B" w:rsidRPr="00814E2F" w:rsidRDefault="00ED063B" w:rsidP="00DA4159">
            <w:pPr>
              <w:spacing w:after="0" w:line="240" w:lineRule="auto"/>
              <w:ind w:left="72"/>
              <w:rPr>
                <w:rFonts w:eastAsia="Times New Roman"/>
                <w:bCs/>
                <w:sz w:val="19"/>
                <w:szCs w:val="19"/>
              </w:rPr>
            </w:pPr>
            <w:r w:rsidRPr="00814E2F">
              <w:rPr>
                <w:rFonts w:eastAsia="Times New Roman"/>
                <w:bCs/>
                <w:sz w:val="19"/>
                <w:szCs w:val="19"/>
              </w:rPr>
              <w:t>Self-employed</w:t>
            </w:r>
          </w:p>
        </w:tc>
        <w:tc>
          <w:tcPr>
            <w:tcW w:w="794" w:type="dxa"/>
            <w:tcBorders>
              <w:top w:val="nil"/>
              <w:left w:val="double" w:sz="4" w:space="0" w:color="auto"/>
              <w:bottom w:val="nil"/>
              <w:right w:val="single" w:sz="4" w:space="0" w:color="auto"/>
            </w:tcBorders>
            <w:shd w:val="clear" w:color="auto" w:fill="auto"/>
            <w:noWrap/>
            <w:vAlign w:val="center"/>
          </w:tcPr>
          <w:p w14:paraId="7E8AA8B4" w14:textId="77777777" w:rsidR="00ED063B" w:rsidRPr="00A462DA" w:rsidRDefault="00ED063B" w:rsidP="00DA4159">
            <w:pPr>
              <w:spacing w:after="0" w:line="240" w:lineRule="auto"/>
              <w:jc w:val="right"/>
              <w:rPr>
                <w:rFonts w:eastAsia="Times New Roman"/>
                <w:sz w:val="20"/>
                <w:szCs w:val="20"/>
              </w:rPr>
            </w:pPr>
            <w:r w:rsidRPr="00A462DA">
              <w:rPr>
                <w:rFonts w:eastAsia="Times New Roman"/>
                <w:sz w:val="20"/>
                <w:szCs w:val="20"/>
              </w:rPr>
              <w:t>--</w:t>
            </w:r>
          </w:p>
        </w:tc>
        <w:tc>
          <w:tcPr>
            <w:tcW w:w="720" w:type="dxa"/>
            <w:tcBorders>
              <w:top w:val="nil"/>
              <w:left w:val="single" w:sz="4" w:space="0" w:color="auto"/>
              <w:bottom w:val="nil"/>
              <w:right w:val="double" w:sz="4" w:space="0" w:color="auto"/>
            </w:tcBorders>
            <w:shd w:val="clear" w:color="auto" w:fill="auto"/>
            <w:noWrap/>
            <w:vAlign w:val="center"/>
          </w:tcPr>
          <w:p w14:paraId="28770604" w14:textId="77777777" w:rsidR="00ED063B" w:rsidRPr="00A462DA" w:rsidRDefault="00ED063B" w:rsidP="00DA4159">
            <w:pPr>
              <w:spacing w:after="0" w:line="240" w:lineRule="auto"/>
              <w:jc w:val="right"/>
              <w:rPr>
                <w:sz w:val="20"/>
                <w:szCs w:val="20"/>
              </w:rPr>
            </w:pPr>
          </w:p>
        </w:tc>
        <w:tc>
          <w:tcPr>
            <w:tcW w:w="810" w:type="dxa"/>
            <w:tcBorders>
              <w:top w:val="nil"/>
              <w:left w:val="nil"/>
              <w:bottom w:val="nil"/>
              <w:right w:val="single" w:sz="4" w:space="0" w:color="auto"/>
            </w:tcBorders>
            <w:shd w:val="clear" w:color="auto" w:fill="auto"/>
            <w:noWrap/>
            <w:vAlign w:val="center"/>
          </w:tcPr>
          <w:p w14:paraId="792E8E68" w14:textId="77777777" w:rsidR="00ED063B" w:rsidRPr="00A462DA" w:rsidRDefault="00ED063B" w:rsidP="00DA4159">
            <w:pPr>
              <w:spacing w:after="0" w:line="240" w:lineRule="auto"/>
              <w:jc w:val="right"/>
              <w:rPr>
                <w:color w:val="000000"/>
                <w:sz w:val="20"/>
                <w:szCs w:val="20"/>
              </w:rPr>
            </w:pPr>
            <w:r w:rsidRPr="00A462DA">
              <w:rPr>
                <w:color w:val="000000"/>
                <w:sz w:val="20"/>
                <w:szCs w:val="20"/>
              </w:rPr>
              <w:t>-0.275</w:t>
            </w:r>
          </w:p>
        </w:tc>
        <w:tc>
          <w:tcPr>
            <w:tcW w:w="724" w:type="dxa"/>
            <w:tcBorders>
              <w:top w:val="nil"/>
              <w:left w:val="nil"/>
              <w:bottom w:val="nil"/>
              <w:right w:val="nil"/>
            </w:tcBorders>
            <w:shd w:val="clear" w:color="auto" w:fill="auto"/>
            <w:noWrap/>
            <w:vAlign w:val="center"/>
          </w:tcPr>
          <w:p w14:paraId="0A1A2C83" w14:textId="77777777" w:rsidR="00ED063B" w:rsidRPr="00A462DA" w:rsidRDefault="00ED063B" w:rsidP="00DA4159">
            <w:pPr>
              <w:spacing w:after="0" w:line="240" w:lineRule="auto"/>
              <w:jc w:val="right"/>
              <w:rPr>
                <w:color w:val="000000"/>
                <w:sz w:val="20"/>
                <w:szCs w:val="20"/>
              </w:rPr>
            </w:pPr>
            <w:r w:rsidRPr="00A462DA">
              <w:rPr>
                <w:color w:val="000000"/>
                <w:sz w:val="20"/>
                <w:szCs w:val="20"/>
              </w:rPr>
              <w:t>-2.14</w:t>
            </w:r>
          </w:p>
        </w:tc>
        <w:tc>
          <w:tcPr>
            <w:tcW w:w="810" w:type="dxa"/>
            <w:tcBorders>
              <w:top w:val="nil"/>
              <w:left w:val="double" w:sz="4" w:space="0" w:color="auto"/>
              <w:bottom w:val="nil"/>
              <w:right w:val="single" w:sz="4" w:space="0" w:color="auto"/>
            </w:tcBorders>
            <w:shd w:val="clear" w:color="auto" w:fill="auto"/>
            <w:vAlign w:val="center"/>
          </w:tcPr>
          <w:p w14:paraId="292A5377" w14:textId="77777777" w:rsidR="00ED063B" w:rsidRPr="00A462DA" w:rsidRDefault="00ED063B" w:rsidP="00DA4159">
            <w:pPr>
              <w:spacing w:after="0" w:line="240" w:lineRule="auto"/>
              <w:jc w:val="right"/>
              <w:rPr>
                <w:color w:val="000000"/>
                <w:sz w:val="20"/>
                <w:szCs w:val="20"/>
              </w:rPr>
            </w:pPr>
            <w:r w:rsidRPr="00A462DA">
              <w:rPr>
                <w:color w:val="000000"/>
                <w:sz w:val="20"/>
                <w:szCs w:val="20"/>
              </w:rPr>
              <w:t>--</w:t>
            </w:r>
          </w:p>
        </w:tc>
        <w:tc>
          <w:tcPr>
            <w:tcW w:w="720" w:type="dxa"/>
            <w:tcBorders>
              <w:top w:val="nil"/>
              <w:left w:val="nil"/>
              <w:bottom w:val="nil"/>
              <w:right w:val="double" w:sz="4" w:space="0" w:color="auto"/>
            </w:tcBorders>
            <w:shd w:val="clear" w:color="auto" w:fill="auto"/>
            <w:vAlign w:val="center"/>
          </w:tcPr>
          <w:p w14:paraId="57D0C6B5" w14:textId="77777777" w:rsidR="00ED063B" w:rsidRPr="00A462DA" w:rsidRDefault="00ED063B" w:rsidP="00DA4159">
            <w:pPr>
              <w:spacing w:after="0" w:line="240" w:lineRule="auto"/>
              <w:jc w:val="right"/>
              <w:rPr>
                <w:color w:val="000000"/>
                <w:sz w:val="20"/>
                <w:szCs w:val="20"/>
              </w:rPr>
            </w:pPr>
          </w:p>
        </w:tc>
      </w:tr>
      <w:tr w:rsidR="00ED063B" w:rsidRPr="00A462DA" w14:paraId="1F565201" w14:textId="77777777" w:rsidTr="008B31DB">
        <w:trPr>
          <w:trHeight w:val="274"/>
          <w:jc w:val="center"/>
        </w:trPr>
        <w:tc>
          <w:tcPr>
            <w:tcW w:w="5310" w:type="dxa"/>
            <w:tcBorders>
              <w:top w:val="nil"/>
              <w:left w:val="double" w:sz="4" w:space="0" w:color="auto"/>
              <w:bottom w:val="nil"/>
              <w:right w:val="double" w:sz="4" w:space="0" w:color="auto"/>
            </w:tcBorders>
            <w:shd w:val="clear" w:color="auto" w:fill="auto"/>
            <w:noWrap/>
            <w:vAlign w:val="center"/>
          </w:tcPr>
          <w:p w14:paraId="59394062" w14:textId="7ED23B4F" w:rsidR="00ED063B" w:rsidRPr="00814E2F" w:rsidRDefault="00ED063B" w:rsidP="00DA4159">
            <w:pPr>
              <w:spacing w:after="0" w:line="240" w:lineRule="auto"/>
              <w:rPr>
                <w:rFonts w:eastAsia="Times New Roman"/>
                <w:b/>
                <w:bCs/>
                <w:sz w:val="19"/>
                <w:szCs w:val="19"/>
              </w:rPr>
            </w:pPr>
            <w:r w:rsidRPr="00814E2F">
              <w:rPr>
                <w:rFonts w:eastAsia="Times New Roman"/>
                <w:b/>
                <w:bCs/>
                <w:sz w:val="19"/>
                <w:szCs w:val="19"/>
              </w:rPr>
              <w:t>Occupation (professional/managerial/technical job)</w:t>
            </w:r>
          </w:p>
        </w:tc>
        <w:tc>
          <w:tcPr>
            <w:tcW w:w="794" w:type="dxa"/>
            <w:tcBorders>
              <w:top w:val="nil"/>
              <w:left w:val="double" w:sz="4" w:space="0" w:color="auto"/>
              <w:bottom w:val="nil"/>
              <w:right w:val="single" w:sz="4" w:space="0" w:color="auto"/>
            </w:tcBorders>
            <w:shd w:val="clear" w:color="auto" w:fill="auto"/>
            <w:noWrap/>
            <w:vAlign w:val="center"/>
          </w:tcPr>
          <w:p w14:paraId="0467DAC1" w14:textId="77777777" w:rsidR="00ED063B" w:rsidRPr="00A462DA" w:rsidRDefault="00ED063B" w:rsidP="00DA4159">
            <w:pPr>
              <w:spacing w:after="0" w:line="240" w:lineRule="auto"/>
              <w:jc w:val="right"/>
              <w:rPr>
                <w:rFonts w:eastAsia="Times New Roman"/>
                <w:sz w:val="20"/>
                <w:szCs w:val="20"/>
              </w:rPr>
            </w:pPr>
          </w:p>
        </w:tc>
        <w:tc>
          <w:tcPr>
            <w:tcW w:w="720" w:type="dxa"/>
            <w:tcBorders>
              <w:top w:val="nil"/>
              <w:left w:val="single" w:sz="4" w:space="0" w:color="auto"/>
              <w:bottom w:val="nil"/>
              <w:right w:val="double" w:sz="4" w:space="0" w:color="auto"/>
            </w:tcBorders>
            <w:shd w:val="clear" w:color="auto" w:fill="auto"/>
            <w:noWrap/>
            <w:vAlign w:val="center"/>
          </w:tcPr>
          <w:p w14:paraId="1F3FC7DA" w14:textId="77777777" w:rsidR="00ED063B" w:rsidRPr="00A462DA" w:rsidRDefault="00ED063B" w:rsidP="00DA4159">
            <w:pPr>
              <w:spacing w:after="0" w:line="240" w:lineRule="auto"/>
              <w:jc w:val="right"/>
              <w:rPr>
                <w:sz w:val="20"/>
                <w:szCs w:val="20"/>
              </w:rPr>
            </w:pPr>
          </w:p>
        </w:tc>
        <w:tc>
          <w:tcPr>
            <w:tcW w:w="810" w:type="dxa"/>
            <w:tcBorders>
              <w:top w:val="nil"/>
              <w:left w:val="nil"/>
              <w:bottom w:val="nil"/>
              <w:right w:val="single" w:sz="4" w:space="0" w:color="auto"/>
            </w:tcBorders>
            <w:shd w:val="clear" w:color="auto" w:fill="auto"/>
            <w:noWrap/>
            <w:vAlign w:val="center"/>
          </w:tcPr>
          <w:p w14:paraId="6CE2B056" w14:textId="77777777" w:rsidR="00ED063B" w:rsidRPr="00A462DA" w:rsidRDefault="00ED063B" w:rsidP="00DA4159">
            <w:pPr>
              <w:spacing w:after="0" w:line="240" w:lineRule="auto"/>
              <w:jc w:val="right"/>
              <w:rPr>
                <w:rFonts w:eastAsia="Times New Roman"/>
                <w:sz w:val="20"/>
                <w:szCs w:val="20"/>
              </w:rPr>
            </w:pPr>
          </w:p>
        </w:tc>
        <w:tc>
          <w:tcPr>
            <w:tcW w:w="724" w:type="dxa"/>
            <w:tcBorders>
              <w:top w:val="nil"/>
              <w:left w:val="nil"/>
              <w:bottom w:val="nil"/>
              <w:right w:val="nil"/>
            </w:tcBorders>
            <w:shd w:val="clear" w:color="auto" w:fill="auto"/>
            <w:noWrap/>
            <w:vAlign w:val="center"/>
          </w:tcPr>
          <w:p w14:paraId="4F93D1A5" w14:textId="77777777" w:rsidR="00ED063B" w:rsidRPr="00A462DA" w:rsidRDefault="00ED063B" w:rsidP="00DA4159">
            <w:pPr>
              <w:spacing w:after="0" w:line="240" w:lineRule="auto"/>
              <w:jc w:val="right"/>
              <w:rPr>
                <w:sz w:val="20"/>
                <w:szCs w:val="20"/>
              </w:rPr>
            </w:pPr>
          </w:p>
        </w:tc>
        <w:tc>
          <w:tcPr>
            <w:tcW w:w="810" w:type="dxa"/>
            <w:tcBorders>
              <w:top w:val="nil"/>
              <w:left w:val="double" w:sz="4" w:space="0" w:color="auto"/>
              <w:bottom w:val="nil"/>
              <w:right w:val="single" w:sz="4" w:space="0" w:color="auto"/>
            </w:tcBorders>
            <w:shd w:val="clear" w:color="auto" w:fill="auto"/>
            <w:vAlign w:val="center"/>
          </w:tcPr>
          <w:p w14:paraId="74DE9143" w14:textId="77777777" w:rsidR="00ED063B" w:rsidRPr="00A462DA" w:rsidRDefault="00ED063B" w:rsidP="00DA4159">
            <w:pPr>
              <w:spacing w:after="0" w:line="240" w:lineRule="auto"/>
              <w:jc w:val="right"/>
              <w:rPr>
                <w:sz w:val="20"/>
                <w:szCs w:val="20"/>
              </w:rPr>
            </w:pPr>
          </w:p>
        </w:tc>
        <w:tc>
          <w:tcPr>
            <w:tcW w:w="720" w:type="dxa"/>
            <w:tcBorders>
              <w:top w:val="nil"/>
              <w:left w:val="nil"/>
              <w:bottom w:val="nil"/>
              <w:right w:val="double" w:sz="4" w:space="0" w:color="auto"/>
            </w:tcBorders>
            <w:shd w:val="clear" w:color="auto" w:fill="auto"/>
            <w:vAlign w:val="center"/>
          </w:tcPr>
          <w:p w14:paraId="1977ADE1" w14:textId="77777777" w:rsidR="00ED063B" w:rsidRPr="00A462DA" w:rsidRDefault="00ED063B" w:rsidP="00DA4159">
            <w:pPr>
              <w:spacing w:after="0" w:line="240" w:lineRule="auto"/>
              <w:jc w:val="right"/>
              <w:rPr>
                <w:sz w:val="20"/>
                <w:szCs w:val="20"/>
              </w:rPr>
            </w:pPr>
          </w:p>
        </w:tc>
      </w:tr>
      <w:tr w:rsidR="00ED063B" w:rsidRPr="00A462DA" w14:paraId="2C4B1199" w14:textId="77777777" w:rsidTr="008B31DB">
        <w:trPr>
          <w:trHeight w:val="274"/>
          <w:jc w:val="center"/>
        </w:trPr>
        <w:tc>
          <w:tcPr>
            <w:tcW w:w="5310" w:type="dxa"/>
            <w:tcBorders>
              <w:top w:val="nil"/>
              <w:left w:val="double" w:sz="4" w:space="0" w:color="auto"/>
              <w:bottom w:val="nil"/>
              <w:right w:val="double" w:sz="4" w:space="0" w:color="auto"/>
            </w:tcBorders>
            <w:shd w:val="clear" w:color="auto" w:fill="auto"/>
            <w:noWrap/>
            <w:vAlign w:val="center"/>
          </w:tcPr>
          <w:p w14:paraId="4D94ABDB" w14:textId="77777777" w:rsidR="00ED063B" w:rsidRPr="00814E2F" w:rsidRDefault="00ED063B" w:rsidP="00DA4159">
            <w:pPr>
              <w:spacing w:after="0" w:line="240" w:lineRule="auto"/>
              <w:rPr>
                <w:rFonts w:eastAsia="Times New Roman"/>
                <w:bCs/>
                <w:sz w:val="19"/>
                <w:szCs w:val="19"/>
              </w:rPr>
            </w:pPr>
            <w:r w:rsidRPr="00814E2F">
              <w:rPr>
                <w:rFonts w:eastAsia="Times New Roman"/>
                <w:bCs/>
                <w:sz w:val="19"/>
                <w:szCs w:val="19"/>
              </w:rPr>
              <w:t xml:space="preserve">  Healthcare</w:t>
            </w:r>
          </w:p>
        </w:tc>
        <w:tc>
          <w:tcPr>
            <w:tcW w:w="794" w:type="dxa"/>
            <w:tcBorders>
              <w:top w:val="nil"/>
              <w:left w:val="double" w:sz="4" w:space="0" w:color="auto"/>
              <w:bottom w:val="nil"/>
              <w:right w:val="single" w:sz="4" w:space="0" w:color="auto"/>
            </w:tcBorders>
            <w:shd w:val="clear" w:color="auto" w:fill="auto"/>
            <w:noWrap/>
            <w:vAlign w:val="center"/>
          </w:tcPr>
          <w:p w14:paraId="5B91D2F0" w14:textId="77777777" w:rsidR="00ED063B" w:rsidRPr="00A462DA" w:rsidRDefault="00ED063B" w:rsidP="00DA4159">
            <w:pPr>
              <w:spacing w:after="0" w:line="240" w:lineRule="auto"/>
              <w:jc w:val="right"/>
              <w:rPr>
                <w:rFonts w:eastAsia="Times New Roman"/>
                <w:sz w:val="20"/>
                <w:szCs w:val="20"/>
              </w:rPr>
            </w:pPr>
            <w:r w:rsidRPr="00A462DA">
              <w:rPr>
                <w:rFonts w:eastAsia="Times New Roman"/>
                <w:sz w:val="20"/>
                <w:szCs w:val="20"/>
              </w:rPr>
              <w:t>--</w:t>
            </w:r>
          </w:p>
        </w:tc>
        <w:tc>
          <w:tcPr>
            <w:tcW w:w="720" w:type="dxa"/>
            <w:tcBorders>
              <w:top w:val="nil"/>
              <w:left w:val="single" w:sz="4" w:space="0" w:color="auto"/>
              <w:bottom w:val="nil"/>
              <w:right w:val="double" w:sz="4" w:space="0" w:color="auto"/>
            </w:tcBorders>
            <w:shd w:val="clear" w:color="auto" w:fill="auto"/>
            <w:noWrap/>
            <w:vAlign w:val="center"/>
          </w:tcPr>
          <w:p w14:paraId="04562DFD" w14:textId="77777777" w:rsidR="00ED063B" w:rsidRPr="00A462DA" w:rsidRDefault="00ED063B" w:rsidP="00DA4159">
            <w:pPr>
              <w:spacing w:after="0" w:line="240" w:lineRule="auto"/>
              <w:jc w:val="right"/>
              <w:rPr>
                <w:sz w:val="20"/>
                <w:szCs w:val="20"/>
              </w:rPr>
            </w:pPr>
          </w:p>
        </w:tc>
        <w:tc>
          <w:tcPr>
            <w:tcW w:w="810" w:type="dxa"/>
            <w:tcBorders>
              <w:top w:val="nil"/>
              <w:left w:val="nil"/>
              <w:bottom w:val="nil"/>
              <w:right w:val="single" w:sz="4" w:space="0" w:color="auto"/>
            </w:tcBorders>
            <w:shd w:val="clear" w:color="auto" w:fill="auto"/>
            <w:noWrap/>
            <w:vAlign w:val="center"/>
          </w:tcPr>
          <w:p w14:paraId="792EEC7E" w14:textId="77777777" w:rsidR="00ED063B" w:rsidRPr="00A462DA" w:rsidRDefault="00ED063B" w:rsidP="00DA4159">
            <w:pPr>
              <w:spacing w:after="0" w:line="240" w:lineRule="auto"/>
              <w:jc w:val="right"/>
              <w:rPr>
                <w:color w:val="000000"/>
                <w:sz w:val="20"/>
                <w:szCs w:val="20"/>
              </w:rPr>
            </w:pPr>
            <w:r w:rsidRPr="00A462DA">
              <w:rPr>
                <w:color w:val="000000"/>
                <w:sz w:val="20"/>
                <w:szCs w:val="20"/>
              </w:rPr>
              <w:t>0.715</w:t>
            </w:r>
          </w:p>
        </w:tc>
        <w:tc>
          <w:tcPr>
            <w:tcW w:w="724" w:type="dxa"/>
            <w:tcBorders>
              <w:top w:val="nil"/>
              <w:left w:val="nil"/>
              <w:bottom w:val="nil"/>
              <w:right w:val="nil"/>
            </w:tcBorders>
            <w:shd w:val="clear" w:color="auto" w:fill="auto"/>
            <w:noWrap/>
            <w:vAlign w:val="center"/>
          </w:tcPr>
          <w:p w14:paraId="183396B6" w14:textId="77777777" w:rsidR="00ED063B" w:rsidRPr="00A462DA" w:rsidRDefault="00ED063B" w:rsidP="00DA4159">
            <w:pPr>
              <w:spacing w:after="0" w:line="240" w:lineRule="auto"/>
              <w:jc w:val="right"/>
              <w:rPr>
                <w:color w:val="000000"/>
                <w:sz w:val="20"/>
                <w:szCs w:val="20"/>
              </w:rPr>
            </w:pPr>
            <w:r w:rsidRPr="00A462DA">
              <w:rPr>
                <w:color w:val="000000"/>
                <w:sz w:val="20"/>
                <w:szCs w:val="20"/>
              </w:rPr>
              <w:t>4.08</w:t>
            </w:r>
          </w:p>
        </w:tc>
        <w:tc>
          <w:tcPr>
            <w:tcW w:w="810" w:type="dxa"/>
            <w:tcBorders>
              <w:top w:val="nil"/>
              <w:left w:val="double" w:sz="4" w:space="0" w:color="auto"/>
              <w:bottom w:val="nil"/>
              <w:right w:val="single" w:sz="4" w:space="0" w:color="auto"/>
            </w:tcBorders>
            <w:shd w:val="clear" w:color="auto" w:fill="auto"/>
            <w:vAlign w:val="center"/>
          </w:tcPr>
          <w:p w14:paraId="0E297E31" w14:textId="77777777" w:rsidR="00ED063B" w:rsidRPr="00A462DA" w:rsidRDefault="00ED063B" w:rsidP="00DA4159">
            <w:pPr>
              <w:spacing w:after="0" w:line="240" w:lineRule="auto"/>
              <w:jc w:val="right"/>
              <w:rPr>
                <w:sz w:val="20"/>
                <w:szCs w:val="20"/>
              </w:rPr>
            </w:pPr>
            <w:r w:rsidRPr="00A462DA">
              <w:rPr>
                <w:sz w:val="20"/>
                <w:szCs w:val="20"/>
              </w:rPr>
              <w:t>--</w:t>
            </w:r>
          </w:p>
        </w:tc>
        <w:tc>
          <w:tcPr>
            <w:tcW w:w="720" w:type="dxa"/>
            <w:tcBorders>
              <w:top w:val="nil"/>
              <w:left w:val="nil"/>
              <w:bottom w:val="nil"/>
              <w:right w:val="double" w:sz="4" w:space="0" w:color="auto"/>
            </w:tcBorders>
            <w:shd w:val="clear" w:color="auto" w:fill="auto"/>
            <w:vAlign w:val="center"/>
          </w:tcPr>
          <w:p w14:paraId="68DAC882" w14:textId="77777777" w:rsidR="00ED063B" w:rsidRPr="00A462DA" w:rsidRDefault="00ED063B" w:rsidP="00DA4159">
            <w:pPr>
              <w:spacing w:after="0" w:line="240" w:lineRule="auto"/>
              <w:jc w:val="right"/>
              <w:rPr>
                <w:sz w:val="20"/>
                <w:szCs w:val="20"/>
              </w:rPr>
            </w:pPr>
          </w:p>
        </w:tc>
      </w:tr>
      <w:tr w:rsidR="00ED063B" w:rsidRPr="00A462DA" w14:paraId="2C1138B9" w14:textId="77777777" w:rsidTr="008B31DB">
        <w:trPr>
          <w:trHeight w:val="274"/>
          <w:jc w:val="center"/>
        </w:trPr>
        <w:tc>
          <w:tcPr>
            <w:tcW w:w="5310" w:type="dxa"/>
            <w:tcBorders>
              <w:top w:val="nil"/>
              <w:left w:val="double" w:sz="4" w:space="0" w:color="auto"/>
              <w:bottom w:val="nil"/>
              <w:right w:val="double" w:sz="4" w:space="0" w:color="auto"/>
            </w:tcBorders>
            <w:shd w:val="clear" w:color="auto" w:fill="auto"/>
            <w:noWrap/>
            <w:vAlign w:val="center"/>
          </w:tcPr>
          <w:p w14:paraId="56EEE369" w14:textId="77777777" w:rsidR="00ED063B" w:rsidRPr="00814E2F" w:rsidRDefault="00ED063B" w:rsidP="00DA4159">
            <w:pPr>
              <w:spacing w:after="0" w:line="240" w:lineRule="auto"/>
              <w:rPr>
                <w:rFonts w:eastAsia="Times New Roman"/>
                <w:bCs/>
                <w:sz w:val="19"/>
                <w:szCs w:val="19"/>
              </w:rPr>
            </w:pPr>
            <w:r w:rsidRPr="00814E2F">
              <w:rPr>
                <w:rFonts w:eastAsia="Times New Roman"/>
                <w:bCs/>
                <w:sz w:val="19"/>
                <w:szCs w:val="19"/>
              </w:rPr>
              <w:t xml:space="preserve">  Retail sales/Food services</w:t>
            </w:r>
          </w:p>
        </w:tc>
        <w:tc>
          <w:tcPr>
            <w:tcW w:w="794" w:type="dxa"/>
            <w:tcBorders>
              <w:top w:val="nil"/>
              <w:left w:val="double" w:sz="4" w:space="0" w:color="auto"/>
              <w:bottom w:val="nil"/>
              <w:right w:val="single" w:sz="4" w:space="0" w:color="auto"/>
            </w:tcBorders>
            <w:shd w:val="clear" w:color="auto" w:fill="auto"/>
            <w:noWrap/>
            <w:vAlign w:val="center"/>
          </w:tcPr>
          <w:p w14:paraId="25972244" w14:textId="77777777" w:rsidR="00ED063B" w:rsidRPr="00A462DA" w:rsidRDefault="00ED063B" w:rsidP="00DA4159">
            <w:pPr>
              <w:spacing w:after="0" w:line="240" w:lineRule="auto"/>
              <w:jc w:val="right"/>
              <w:rPr>
                <w:rFonts w:eastAsia="Times New Roman"/>
                <w:sz w:val="20"/>
                <w:szCs w:val="20"/>
              </w:rPr>
            </w:pPr>
            <w:r w:rsidRPr="00A462DA">
              <w:rPr>
                <w:rFonts w:eastAsia="Times New Roman"/>
                <w:sz w:val="20"/>
                <w:szCs w:val="20"/>
              </w:rPr>
              <w:t>--</w:t>
            </w:r>
          </w:p>
        </w:tc>
        <w:tc>
          <w:tcPr>
            <w:tcW w:w="720" w:type="dxa"/>
            <w:tcBorders>
              <w:top w:val="nil"/>
              <w:left w:val="single" w:sz="4" w:space="0" w:color="auto"/>
              <w:bottom w:val="nil"/>
              <w:right w:val="double" w:sz="4" w:space="0" w:color="auto"/>
            </w:tcBorders>
            <w:shd w:val="clear" w:color="auto" w:fill="auto"/>
            <w:noWrap/>
            <w:vAlign w:val="center"/>
          </w:tcPr>
          <w:p w14:paraId="320A4C7E" w14:textId="77777777" w:rsidR="00ED063B" w:rsidRPr="00A462DA" w:rsidRDefault="00ED063B" w:rsidP="00DA4159">
            <w:pPr>
              <w:spacing w:after="0" w:line="240" w:lineRule="auto"/>
              <w:jc w:val="right"/>
              <w:rPr>
                <w:sz w:val="20"/>
                <w:szCs w:val="20"/>
              </w:rPr>
            </w:pPr>
          </w:p>
        </w:tc>
        <w:tc>
          <w:tcPr>
            <w:tcW w:w="810" w:type="dxa"/>
            <w:tcBorders>
              <w:top w:val="nil"/>
              <w:left w:val="nil"/>
              <w:bottom w:val="nil"/>
              <w:right w:val="single" w:sz="4" w:space="0" w:color="auto"/>
            </w:tcBorders>
            <w:shd w:val="clear" w:color="auto" w:fill="auto"/>
            <w:noWrap/>
            <w:vAlign w:val="center"/>
          </w:tcPr>
          <w:p w14:paraId="502543AE" w14:textId="77777777" w:rsidR="00ED063B" w:rsidRPr="00A462DA" w:rsidRDefault="00ED063B" w:rsidP="00DA4159">
            <w:pPr>
              <w:spacing w:after="0" w:line="240" w:lineRule="auto"/>
              <w:jc w:val="right"/>
              <w:rPr>
                <w:color w:val="000000"/>
                <w:sz w:val="20"/>
                <w:szCs w:val="20"/>
              </w:rPr>
            </w:pPr>
            <w:r w:rsidRPr="00A462DA">
              <w:rPr>
                <w:color w:val="000000"/>
                <w:sz w:val="20"/>
                <w:szCs w:val="20"/>
              </w:rPr>
              <w:t>0.740</w:t>
            </w:r>
          </w:p>
        </w:tc>
        <w:tc>
          <w:tcPr>
            <w:tcW w:w="724" w:type="dxa"/>
            <w:tcBorders>
              <w:top w:val="nil"/>
              <w:left w:val="nil"/>
              <w:bottom w:val="nil"/>
              <w:right w:val="nil"/>
            </w:tcBorders>
            <w:shd w:val="clear" w:color="auto" w:fill="auto"/>
            <w:noWrap/>
            <w:vAlign w:val="center"/>
          </w:tcPr>
          <w:p w14:paraId="40A2561C" w14:textId="77777777" w:rsidR="00ED063B" w:rsidRPr="00A462DA" w:rsidRDefault="00ED063B" w:rsidP="00DA4159">
            <w:pPr>
              <w:spacing w:after="0" w:line="240" w:lineRule="auto"/>
              <w:jc w:val="right"/>
              <w:rPr>
                <w:color w:val="000000"/>
                <w:sz w:val="20"/>
                <w:szCs w:val="20"/>
              </w:rPr>
            </w:pPr>
            <w:r w:rsidRPr="00A462DA">
              <w:rPr>
                <w:color w:val="000000"/>
                <w:sz w:val="20"/>
                <w:szCs w:val="20"/>
              </w:rPr>
              <w:t>1.96</w:t>
            </w:r>
          </w:p>
        </w:tc>
        <w:tc>
          <w:tcPr>
            <w:tcW w:w="810" w:type="dxa"/>
            <w:tcBorders>
              <w:top w:val="nil"/>
              <w:left w:val="double" w:sz="4" w:space="0" w:color="auto"/>
              <w:bottom w:val="nil"/>
              <w:right w:val="single" w:sz="4" w:space="0" w:color="auto"/>
            </w:tcBorders>
            <w:shd w:val="clear" w:color="auto" w:fill="auto"/>
            <w:vAlign w:val="center"/>
          </w:tcPr>
          <w:p w14:paraId="2ECE393A" w14:textId="77777777" w:rsidR="00ED063B" w:rsidRPr="00A462DA" w:rsidRDefault="00ED063B" w:rsidP="00DA4159">
            <w:pPr>
              <w:spacing w:after="0" w:line="240" w:lineRule="auto"/>
              <w:jc w:val="right"/>
              <w:rPr>
                <w:sz w:val="20"/>
                <w:szCs w:val="20"/>
              </w:rPr>
            </w:pPr>
            <w:r w:rsidRPr="00A462DA">
              <w:rPr>
                <w:sz w:val="20"/>
                <w:szCs w:val="20"/>
              </w:rPr>
              <w:t>--</w:t>
            </w:r>
          </w:p>
        </w:tc>
        <w:tc>
          <w:tcPr>
            <w:tcW w:w="720" w:type="dxa"/>
            <w:tcBorders>
              <w:top w:val="nil"/>
              <w:left w:val="nil"/>
              <w:bottom w:val="nil"/>
              <w:right w:val="double" w:sz="4" w:space="0" w:color="auto"/>
            </w:tcBorders>
            <w:shd w:val="clear" w:color="auto" w:fill="auto"/>
            <w:vAlign w:val="center"/>
          </w:tcPr>
          <w:p w14:paraId="387643BB" w14:textId="77777777" w:rsidR="00ED063B" w:rsidRPr="00A462DA" w:rsidRDefault="00ED063B" w:rsidP="00DA4159">
            <w:pPr>
              <w:spacing w:after="0" w:line="240" w:lineRule="auto"/>
              <w:jc w:val="right"/>
              <w:rPr>
                <w:sz w:val="20"/>
                <w:szCs w:val="20"/>
              </w:rPr>
            </w:pPr>
          </w:p>
        </w:tc>
      </w:tr>
      <w:tr w:rsidR="00ED063B" w:rsidRPr="00A462DA" w14:paraId="295A9DB1" w14:textId="77777777" w:rsidTr="008B31DB">
        <w:trPr>
          <w:trHeight w:val="274"/>
          <w:jc w:val="center"/>
        </w:trPr>
        <w:tc>
          <w:tcPr>
            <w:tcW w:w="5310" w:type="dxa"/>
            <w:tcBorders>
              <w:top w:val="nil"/>
              <w:left w:val="double" w:sz="4" w:space="0" w:color="auto"/>
              <w:bottom w:val="nil"/>
              <w:right w:val="double" w:sz="4" w:space="0" w:color="auto"/>
            </w:tcBorders>
            <w:shd w:val="clear" w:color="auto" w:fill="auto"/>
            <w:noWrap/>
            <w:vAlign w:val="center"/>
          </w:tcPr>
          <w:p w14:paraId="2BB9D83E" w14:textId="77777777" w:rsidR="00ED063B" w:rsidRPr="00814E2F" w:rsidRDefault="00ED063B" w:rsidP="00DA4159">
            <w:pPr>
              <w:spacing w:after="0" w:line="240" w:lineRule="auto"/>
              <w:rPr>
                <w:rFonts w:eastAsia="Times New Roman"/>
                <w:bCs/>
                <w:sz w:val="19"/>
                <w:szCs w:val="19"/>
              </w:rPr>
            </w:pPr>
            <w:r w:rsidRPr="00814E2F">
              <w:rPr>
                <w:rFonts w:eastAsia="Times New Roman"/>
                <w:bCs/>
                <w:sz w:val="19"/>
                <w:szCs w:val="19"/>
              </w:rPr>
              <w:t xml:space="preserve">  Education/Social service</w:t>
            </w:r>
          </w:p>
        </w:tc>
        <w:tc>
          <w:tcPr>
            <w:tcW w:w="794" w:type="dxa"/>
            <w:tcBorders>
              <w:top w:val="nil"/>
              <w:left w:val="double" w:sz="4" w:space="0" w:color="auto"/>
              <w:bottom w:val="nil"/>
              <w:right w:val="single" w:sz="4" w:space="0" w:color="auto"/>
            </w:tcBorders>
            <w:shd w:val="clear" w:color="auto" w:fill="auto"/>
            <w:noWrap/>
            <w:vAlign w:val="center"/>
          </w:tcPr>
          <w:p w14:paraId="13A97D7F" w14:textId="77777777" w:rsidR="00ED063B" w:rsidRPr="00A462DA" w:rsidRDefault="00ED063B" w:rsidP="00DA4159">
            <w:pPr>
              <w:spacing w:after="0" w:line="240" w:lineRule="auto"/>
              <w:jc w:val="right"/>
              <w:rPr>
                <w:color w:val="000000"/>
                <w:sz w:val="20"/>
                <w:szCs w:val="20"/>
              </w:rPr>
            </w:pPr>
            <w:r w:rsidRPr="00A462DA">
              <w:rPr>
                <w:color w:val="000000"/>
                <w:sz w:val="20"/>
                <w:szCs w:val="20"/>
              </w:rPr>
              <w:t>-0.492</w:t>
            </w:r>
          </w:p>
        </w:tc>
        <w:tc>
          <w:tcPr>
            <w:tcW w:w="720" w:type="dxa"/>
            <w:tcBorders>
              <w:top w:val="nil"/>
              <w:left w:val="single" w:sz="4" w:space="0" w:color="auto"/>
              <w:bottom w:val="nil"/>
              <w:right w:val="double" w:sz="4" w:space="0" w:color="auto"/>
            </w:tcBorders>
            <w:shd w:val="clear" w:color="auto" w:fill="auto"/>
            <w:noWrap/>
            <w:vAlign w:val="center"/>
          </w:tcPr>
          <w:p w14:paraId="684022BD" w14:textId="77777777" w:rsidR="00ED063B" w:rsidRPr="00A462DA" w:rsidRDefault="00ED063B" w:rsidP="00DA4159">
            <w:pPr>
              <w:spacing w:after="0" w:line="240" w:lineRule="auto"/>
              <w:jc w:val="right"/>
              <w:rPr>
                <w:color w:val="000000"/>
                <w:sz w:val="20"/>
                <w:szCs w:val="20"/>
              </w:rPr>
            </w:pPr>
            <w:r w:rsidRPr="00A462DA">
              <w:rPr>
                <w:color w:val="000000"/>
                <w:sz w:val="20"/>
                <w:szCs w:val="20"/>
              </w:rPr>
              <w:t>-4.94</w:t>
            </w:r>
          </w:p>
        </w:tc>
        <w:tc>
          <w:tcPr>
            <w:tcW w:w="810" w:type="dxa"/>
            <w:tcBorders>
              <w:top w:val="nil"/>
              <w:left w:val="nil"/>
              <w:bottom w:val="nil"/>
              <w:right w:val="single" w:sz="4" w:space="0" w:color="auto"/>
            </w:tcBorders>
            <w:shd w:val="clear" w:color="auto" w:fill="auto"/>
            <w:noWrap/>
            <w:vAlign w:val="center"/>
          </w:tcPr>
          <w:p w14:paraId="7F818FF0" w14:textId="77777777" w:rsidR="00ED063B" w:rsidRPr="00A462DA" w:rsidRDefault="00ED063B" w:rsidP="00DA4159">
            <w:pPr>
              <w:spacing w:after="0" w:line="240" w:lineRule="auto"/>
              <w:jc w:val="right"/>
              <w:rPr>
                <w:rFonts w:eastAsia="Times New Roman"/>
                <w:sz w:val="20"/>
                <w:szCs w:val="20"/>
              </w:rPr>
            </w:pPr>
            <w:r w:rsidRPr="00A462DA">
              <w:rPr>
                <w:rFonts w:eastAsia="Times New Roman"/>
                <w:sz w:val="20"/>
                <w:szCs w:val="20"/>
              </w:rPr>
              <w:t>--</w:t>
            </w:r>
          </w:p>
        </w:tc>
        <w:tc>
          <w:tcPr>
            <w:tcW w:w="724" w:type="dxa"/>
            <w:tcBorders>
              <w:top w:val="nil"/>
              <w:left w:val="nil"/>
              <w:bottom w:val="nil"/>
              <w:right w:val="nil"/>
            </w:tcBorders>
            <w:shd w:val="clear" w:color="auto" w:fill="auto"/>
            <w:noWrap/>
            <w:vAlign w:val="center"/>
          </w:tcPr>
          <w:p w14:paraId="287BDDE1" w14:textId="77777777" w:rsidR="00ED063B" w:rsidRPr="00A462DA" w:rsidRDefault="00ED063B" w:rsidP="00DA4159">
            <w:pPr>
              <w:spacing w:after="0" w:line="240" w:lineRule="auto"/>
              <w:jc w:val="right"/>
              <w:rPr>
                <w:sz w:val="20"/>
                <w:szCs w:val="20"/>
              </w:rPr>
            </w:pPr>
          </w:p>
        </w:tc>
        <w:tc>
          <w:tcPr>
            <w:tcW w:w="810" w:type="dxa"/>
            <w:tcBorders>
              <w:top w:val="nil"/>
              <w:left w:val="double" w:sz="4" w:space="0" w:color="auto"/>
              <w:bottom w:val="nil"/>
              <w:right w:val="single" w:sz="4" w:space="0" w:color="auto"/>
            </w:tcBorders>
            <w:shd w:val="clear" w:color="auto" w:fill="auto"/>
            <w:vAlign w:val="center"/>
          </w:tcPr>
          <w:p w14:paraId="32FBC599" w14:textId="77777777" w:rsidR="00ED063B" w:rsidRPr="00A462DA" w:rsidRDefault="00ED063B" w:rsidP="00DA4159">
            <w:pPr>
              <w:spacing w:after="0" w:line="240" w:lineRule="auto"/>
              <w:jc w:val="right"/>
              <w:rPr>
                <w:color w:val="000000"/>
                <w:sz w:val="20"/>
                <w:szCs w:val="20"/>
              </w:rPr>
            </w:pPr>
            <w:r w:rsidRPr="00A462DA">
              <w:rPr>
                <w:color w:val="000000"/>
                <w:sz w:val="20"/>
                <w:szCs w:val="20"/>
              </w:rPr>
              <w:t>-0.692</w:t>
            </w:r>
          </w:p>
        </w:tc>
        <w:tc>
          <w:tcPr>
            <w:tcW w:w="720" w:type="dxa"/>
            <w:tcBorders>
              <w:top w:val="nil"/>
              <w:left w:val="nil"/>
              <w:bottom w:val="nil"/>
              <w:right w:val="double" w:sz="4" w:space="0" w:color="auto"/>
            </w:tcBorders>
            <w:shd w:val="clear" w:color="auto" w:fill="auto"/>
            <w:vAlign w:val="center"/>
          </w:tcPr>
          <w:p w14:paraId="7FD855A5" w14:textId="77777777" w:rsidR="00ED063B" w:rsidRPr="00A462DA" w:rsidRDefault="00ED063B" w:rsidP="00DA4159">
            <w:pPr>
              <w:spacing w:after="0" w:line="240" w:lineRule="auto"/>
              <w:jc w:val="right"/>
              <w:rPr>
                <w:color w:val="000000"/>
                <w:sz w:val="20"/>
                <w:szCs w:val="20"/>
              </w:rPr>
            </w:pPr>
            <w:r w:rsidRPr="00A462DA">
              <w:rPr>
                <w:color w:val="000000"/>
                <w:sz w:val="20"/>
                <w:szCs w:val="20"/>
              </w:rPr>
              <w:t>-4.61</w:t>
            </w:r>
          </w:p>
        </w:tc>
      </w:tr>
      <w:tr w:rsidR="00ED063B" w:rsidRPr="00A462DA" w14:paraId="5530C0BE" w14:textId="77777777" w:rsidTr="008B31DB">
        <w:trPr>
          <w:trHeight w:val="274"/>
          <w:jc w:val="center"/>
        </w:trPr>
        <w:tc>
          <w:tcPr>
            <w:tcW w:w="5310" w:type="dxa"/>
            <w:tcBorders>
              <w:top w:val="nil"/>
              <w:left w:val="double" w:sz="4" w:space="0" w:color="auto"/>
              <w:bottom w:val="nil"/>
              <w:right w:val="double" w:sz="4" w:space="0" w:color="auto"/>
            </w:tcBorders>
            <w:shd w:val="clear" w:color="auto" w:fill="auto"/>
            <w:noWrap/>
            <w:vAlign w:val="center"/>
          </w:tcPr>
          <w:p w14:paraId="146067CB" w14:textId="77777777" w:rsidR="00ED063B" w:rsidRPr="00814E2F" w:rsidRDefault="00ED063B" w:rsidP="00DA4159">
            <w:pPr>
              <w:spacing w:after="0" w:line="240" w:lineRule="auto"/>
              <w:rPr>
                <w:rFonts w:eastAsia="Times New Roman"/>
                <w:bCs/>
                <w:sz w:val="19"/>
                <w:szCs w:val="19"/>
              </w:rPr>
            </w:pPr>
            <w:r w:rsidRPr="00814E2F">
              <w:rPr>
                <w:rFonts w:eastAsia="Times New Roman"/>
                <w:bCs/>
                <w:sz w:val="19"/>
                <w:szCs w:val="19"/>
              </w:rPr>
              <w:t xml:space="preserve">  Public Administration</w:t>
            </w:r>
          </w:p>
        </w:tc>
        <w:tc>
          <w:tcPr>
            <w:tcW w:w="794" w:type="dxa"/>
            <w:tcBorders>
              <w:top w:val="nil"/>
              <w:left w:val="double" w:sz="4" w:space="0" w:color="auto"/>
              <w:bottom w:val="nil"/>
              <w:right w:val="single" w:sz="4" w:space="0" w:color="auto"/>
            </w:tcBorders>
            <w:shd w:val="clear" w:color="auto" w:fill="auto"/>
            <w:noWrap/>
            <w:vAlign w:val="center"/>
          </w:tcPr>
          <w:p w14:paraId="517A9E14" w14:textId="77777777" w:rsidR="00ED063B" w:rsidRPr="00A462DA" w:rsidRDefault="00ED063B" w:rsidP="00DA4159">
            <w:pPr>
              <w:spacing w:after="0" w:line="240" w:lineRule="auto"/>
              <w:jc w:val="right"/>
              <w:rPr>
                <w:rFonts w:eastAsia="Times New Roman"/>
                <w:sz w:val="20"/>
                <w:szCs w:val="20"/>
              </w:rPr>
            </w:pPr>
            <w:r w:rsidRPr="00A462DA">
              <w:rPr>
                <w:rFonts w:eastAsia="Times New Roman"/>
                <w:sz w:val="20"/>
                <w:szCs w:val="20"/>
              </w:rPr>
              <w:t>--</w:t>
            </w:r>
          </w:p>
        </w:tc>
        <w:tc>
          <w:tcPr>
            <w:tcW w:w="720" w:type="dxa"/>
            <w:tcBorders>
              <w:top w:val="nil"/>
              <w:left w:val="single" w:sz="4" w:space="0" w:color="auto"/>
              <w:bottom w:val="nil"/>
              <w:right w:val="double" w:sz="4" w:space="0" w:color="auto"/>
            </w:tcBorders>
            <w:shd w:val="clear" w:color="auto" w:fill="auto"/>
            <w:noWrap/>
            <w:vAlign w:val="center"/>
          </w:tcPr>
          <w:p w14:paraId="680F3C1B" w14:textId="77777777" w:rsidR="00ED063B" w:rsidRPr="00A462DA" w:rsidRDefault="00ED063B" w:rsidP="00DA4159">
            <w:pPr>
              <w:spacing w:after="0" w:line="240" w:lineRule="auto"/>
              <w:jc w:val="right"/>
              <w:rPr>
                <w:sz w:val="20"/>
                <w:szCs w:val="20"/>
              </w:rPr>
            </w:pPr>
          </w:p>
        </w:tc>
        <w:tc>
          <w:tcPr>
            <w:tcW w:w="810" w:type="dxa"/>
            <w:tcBorders>
              <w:top w:val="nil"/>
              <w:left w:val="nil"/>
              <w:bottom w:val="nil"/>
              <w:right w:val="single" w:sz="4" w:space="0" w:color="auto"/>
            </w:tcBorders>
            <w:shd w:val="clear" w:color="auto" w:fill="auto"/>
            <w:noWrap/>
            <w:vAlign w:val="center"/>
          </w:tcPr>
          <w:p w14:paraId="2B81C5A8" w14:textId="77777777" w:rsidR="00ED063B" w:rsidRPr="00A462DA" w:rsidRDefault="00ED063B" w:rsidP="00DA4159">
            <w:pPr>
              <w:spacing w:after="0" w:line="240" w:lineRule="auto"/>
              <w:jc w:val="right"/>
              <w:rPr>
                <w:color w:val="000000"/>
                <w:sz w:val="20"/>
                <w:szCs w:val="20"/>
              </w:rPr>
            </w:pPr>
            <w:r w:rsidRPr="00A462DA">
              <w:rPr>
                <w:color w:val="000000"/>
                <w:sz w:val="20"/>
                <w:szCs w:val="20"/>
              </w:rPr>
              <w:t>-0.499</w:t>
            </w:r>
          </w:p>
        </w:tc>
        <w:tc>
          <w:tcPr>
            <w:tcW w:w="724" w:type="dxa"/>
            <w:tcBorders>
              <w:top w:val="nil"/>
              <w:left w:val="nil"/>
              <w:bottom w:val="nil"/>
              <w:right w:val="nil"/>
            </w:tcBorders>
            <w:shd w:val="clear" w:color="auto" w:fill="auto"/>
            <w:noWrap/>
            <w:vAlign w:val="center"/>
          </w:tcPr>
          <w:p w14:paraId="2C887C73" w14:textId="77777777" w:rsidR="00ED063B" w:rsidRPr="00A462DA" w:rsidRDefault="00ED063B" w:rsidP="00DA4159">
            <w:pPr>
              <w:spacing w:after="0" w:line="240" w:lineRule="auto"/>
              <w:jc w:val="right"/>
              <w:rPr>
                <w:color w:val="000000"/>
                <w:sz w:val="20"/>
                <w:szCs w:val="20"/>
              </w:rPr>
            </w:pPr>
            <w:r w:rsidRPr="00A462DA">
              <w:rPr>
                <w:color w:val="000000"/>
                <w:sz w:val="20"/>
                <w:szCs w:val="20"/>
              </w:rPr>
              <w:t>-3.11</w:t>
            </w:r>
          </w:p>
        </w:tc>
        <w:tc>
          <w:tcPr>
            <w:tcW w:w="810" w:type="dxa"/>
            <w:tcBorders>
              <w:top w:val="nil"/>
              <w:left w:val="double" w:sz="4" w:space="0" w:color="auto"/>
              <w:bottom w:val="nil"/>
              <w:right w:val="single" w:sz="4" w:space="0" w:color="auto"/>
            </w:tcBorders>
            <w:shd w:val="clear" w:color="auto" w:fill="auto"/>
            <w:vAlign w:val="center"/>
          </w:tcPr>
          <w:p w14:paraId="0B1B0705" w14:textId="77777777" w:rsidR="00ED063B" w:rsidRPr="00A462DA" w:rsidRDefault="00ED063B" w:rsidP="00DA4159">
            <w:pPr>
              <w:spacing w:after="0" w:line="240" w:lineRule="auto"/>
              <w:jc w:val="right"/>
              <w:rPr>
                <w:sz w:val="20"/>
                <w:szCs w:val="20"/>
              </w:rPr>
            </w:pPr>
            <w:r w:rsidRPr="00A462DA">
              <w:rPr>
                <w:sz w:val="20"/>
                <w:szCs w:val="20"/>
              </w:rPr>
              <w:t>--</w:t>
            </w:r>
          </w:p>
        </w:tc>
        <w:tc>
          <w:tcPr>
            <w:tcW w:w="720" w:type="dxa"/>
            <w:tcBorders>
              <w:top w:val="nil"/>
              <w:left w:val="nil"/>
              <w:bottom w:val="nil"/>
              <w:right w:val="double" w:sz="4" w:space="0" w:color="auto"/>
            </w:tcBorders>
            <w:shd w:val="clear" w:color="auto" w:fill="auto"/>
            <w:vAlign w:val="center"/>
          </w:tcPr>
          <w:p w14:paraId="26E909FC" w14:textId="77777777" w:rsidR="00ED063B" w:rsidRPr="00A462DA" w:rsidRDefault="00ED063B" w:rsidP="00DA4159">
            <w:pPr>
              <w:spacing w:after="0" w:line="240" w:lineRule="auto"/>
              <w:jc w:val="right"/>
              <w:rPr>
                <w:sz w:val="20"/>
                <w:szCs w:val="20"/>
              </w:rPr>
            </w:pPr>
          </w:p>
        </w:tc>
      </w:tr>
      <w:tr w:rsidR="00ED063B" w:rsidRPr="00A462DA" w14:paraId="258F0B5B" w14:textId="77777777" w:rsidTr="008B31DB">
        <w:trPr>
          <w:trHeight w:val="274"/>
          <w:jc w:val="center"/>
        </w:trPr>
        <w:tc>
          <w:tcPr>
            <w:tcW w:w="5310" w:type="dxa"/>
            <w:tcBorders>
              <w:top w:val="nil"/>
              <w:left w:val="double" w:sz="4" w:space="0" w:color="auto"/>
              <w:bottom w:val="nil"/>
              <w:right w:val="double" w:sz="4" w:space="0" w:color="auto"/>
            </w:tcBorders>
            <w:shd w:val="clear" w:color="auto" w:fill="auto"/>
            <w:noWrap/>
            <w:vAlign w:val="center"/>
          </w:tcPr>
          <w:p w14:paraId="4A5F1BB4" w14:textId="77777777" w:rsidR="00ED063B" w:rsidRPr="00814E2F" w:rsidRDefault="00ED063B" w:rsidP="00DA4159">
            <w:pPr>
              <w:spacing w:after="0" w:line="240" w:lineRule="auto"/>
              <w:rPr>
                <w:rFonts w:eastAsia="Times New Roman"/>
                <w:bCs/>
                <w:sz w:val="19"/>
                <w:szCs w:val="19"/>
              </w:rPr>
            </w:pPr>
            <w:r w:rsidRPr="00814E2F">
              <w:rPr>
                <w:rFonts w:eastAsia="Times New Roman"/>
                <w:bCs/>
                <w:sz w:val="19"/>
                <w:szCs w:val="19"/>
              </w:rPr>
              <w:t xml:space="preserve">  Information/Finance</w:t>
            </w:r>
          </w:p>
        </w:tc>
        <w:tc>
          <w:tcPr>
            <w:tcW w:w="794" w:type="dxa"/>
            <w:tcBorders>
              <w:top w:val="nil"/>
              <w:left w:val="double" w:sz="4" w:space="0" w:color="auto"/>
              <w:bottom w:val="nil"/>
              <w:right w:val="single" w:sz="4" w:space="0" w:color="auto"/>
            </w:tcBorders>
            <w:shd w:val="clear" w:color="auto" w:fill="auto"/>
            <w:noWrap/>
            <w:vAlign w:val="center"/>
          </w:tcPr>
          <w:p w14:paraId="3DB6AAB2" w14:textId="77777777" w:rsidR="00ED063B" w:rsidRPr="00A462DA" w:rsidRDefault="00ED063B" w:rsidP="00DA4159">
            <w:pPr>
              <w:spacing w:after="0" w:line="240" w:lineRule="auto"/>
              <w:jc w:val="right"/>
              <w:rPr>
                <w:color w:val="000000"/>
                <w:sz w:val="20"/>
                <w:szCs w:val="20"/>
              </w:rPr>
            </w:pPr>
            <w:r w:rsidRPr="00A462DA">
              <w:rPr>
                <w:color w:val="000000"/>
                <w:sz w:val="20"/>
                <w:szCs w:val="20"/>
              </w:rPr>
              <w:t>1.063</w:t>
            </w:r>
          </w:p>
        </w:tc>
        <w:tc>
          <w:tcPr>
            <w:tcW w:w="720" w:type="dxa"/>
            <w:tcBorders>
              <w:top w:val="nil"/>
              <w:left w:val="single" w:sz="4" w:space="0" w:color="auto"/>
              <w:bottom w:val="nil"/>
              <w:right w:val="double" w:sz="4" w:space="0" w:color="auto"/>
            </w:tcBorders>
            <w:shd w:val="clear" w:color="auto" w:fill="auto"/>
            <w:noWrap/>
            <w:vAlign w:val="center"/>
          </w:tcPr>
          <w:p w14:paraId="23BF547E" w14:textId="77777777" w:rsidR="00ED063B" w:rsidRPr="00A462DA" w:rsidRDefault="00ED063B" w:rsidP="00DA4159">
            <w:pPr>
              <w:spacing w:after="0" w:line="240" w:lineRule="auto"/>
              <w:jc w:val="right"/>
              <w:rPr>
                <w:color w:val="000000"/>
                <w:sz w:val="20"/>
                <w:szCs w:val="20"/>
              </w:rPr>
            </w:pPr>
            <w:r w:rsidRPr="00A462DA">
              <w:rPr>
                <w:color w:val="000000"/>
                <w:sz w:val="20"/>
                <w:szCs w:val="20"/>
              </w:rPr>
              <w:t>6.89</w:t>
            </w:r>
          </w:p>
        </w:tc>
        <w:tc>
          <w:tcPr>
            <w:tcW w:w="810" w:type="dxa"/>
            <w:tcBorders>
              <w:top w:val="nil"/>
              <w:left w:val="nil"/>
              <w:bottom w:val="nil"/>
              <w:right w:val="single" w:sz="4" w:space="0" w:color="auto"/>
            </w:tcBorders>
            <w:shd w:val="clear" w:color="auto" w:fill="auto"/>
            <w:noWrap/>
            <w:vAlign w:val="center"/>
          </w:tcPr>
          <w:p w14:paraId="7E1939D7" w14:textId="77777777" w:rsidR="00ED063B" w:rsidRPr="00A462DA" w:rsidRDefault="00ED063B" w:rsidP="00DA4159">
            <w:pPr>
              <w:spacing w:after="0" w:line="240" w:lineRule="auto"/>
              <w:jc w:val="right"/>
              <w:rPr>
                <w:rFonts w:eastAsia="Times New Roman"/>
                <w:sz w:val="20"/>
                <w:szCs w:val="20"/>
              </w:rPr>
            </w:pPr>
            <w:r w:rsidRPr="00A462DA">
              <w:rPr>
                <w:rFonts w:eastAsia="Times New Roman"/>
                <w:sz w:val="20"/>
                <w:szCs w:val="20"/>
              </w:rPr>
              <w:t>--</w:t>
            </w:r>
          </w:p>
        </w:tc>
        <w:tc>
          <w:tcPr>
            <w:tcW w:w="724" w:type="dxa"/>
            <w:tcBorders>
              <w:top w:val="nil"/>
              <w:left w:val="nil"/>
              <w:bottom w:val="nil"/>
              <w:right w:val="nil"/>
            </w:tcBorders>
            <w:shd w:val="clear" w:color="auto" w:fill="auto"/>
            <w:noWrap/>
            <w:vAlign w:val="center"/>
          </w:tcPr>
          <w:p w14:paraId="28CCE5AB" w14:textId="77777777" w:rsidR="00ED063B" w:rsidRPr="00A462DA" w:rsidRDefault="00ED063B" w:rsidP="00DA4159">
            <w:pPr>
              <w:spacing w:after="0" w:line="240" w:lineRule="auto"/>
              <w:jc w:val="right"/>
              <w:rPr>
                <w:sz w:val="20"/>
                <w:szCs w:val="20"/>
              </w:rPr>
            </w:pPr>
          </w:p>
        </w:tc>
        <w:tc>
          <w:tcPr>
            <w:tcW w:w="810" w:type="dxa"/>
            <w:tcBorders>
              <w:top w:val="nil"/>
              <w:left w:val="double" w:sz="4" w:space="0" w:color="auto"/>
              <w:bottom w:val="nil"/>
              <w:right w:val="single" w:sz="4" w:space="0" w:color="auto"/>
            </w:tcBorders>
            <w:shd w:val="clear" w:color="auto" w:fill="auto"/>
            <w:vAlign w:val="center"/>
          </w:tcPr>
          <w:p w14:paraId="57938EA3" w14:textId="77777777" w:rsidR="00ED063B" w:rsidRPr="00A462DA" w:rsidRDefault="00ED063B" w:rsidP="00DA4159">
            <w:pPr>
              <w:spacing w:after="0" w:line="240" w:lineRule="auto"/>
              <w:jc w:val="right"/>
              <w:rPr>
                <w:color w:val="000000"/>
                <w:sz w:val="20"/>
                <w:szCs w:val="20"/>
              </w:rPr>
            </w:pPr>
            <w:r w:rsidRPr="00A462DA">
              <w:rPr>
                <w:color w:val="000000"/>
                <w:sz w:val="20"/>
                <w:szCs w:val="20"/>
              </w:rPr>
              <w:t>0.726</w:t>
            </w:r>
          </w:p>
        </w:tc>
        <w:tc>
          <w:tcPr>
            <w:tcW w:w="720" w:type="dxa"/>
            <w:tcBorders>
              <w:top w:val="nil"/>
              <w:left w:val="nil"/>
              <w:bottom w:val="nil"/>
              <w:right w:val="double" w:sz="4" w:space="0" w:color="auto"/>
            </w:tcBorders>
            <w:shd w:val="clear" w:color="auto" w:fill="auto"/>
            <w:vAlign w:val="center"/>
          </w:tcPr>
          <w:p w14:paraId="52D3E1EC" w14:textId="77777777" w:rsidR="00ED063B" w:rsidRPr="00A462DA" w:rsidRDefault="00ED063B" w:rsidP="00DA4159">
            <w:pPr>
              <w:spacing w:after="0" w:line="240" w:lineRule="auto"/>
              <w:jc w:val="right"/>
              <w:rPr>
                <w:color w:val="000000"/>
                <w:sz w:val="20"/>
                <w:szCs w:val="20"/>
              </w:rPr>
            </w:pPr>
            <w:r w:rsidRPr="00A462DA">
              <w:rPr>
                <w:color w:val="000000"/>
                <w:sz w:val="20"/>
                <w:szCs w:val="20"/>
              </w:rPr>
              <w:t>3.16</w:t>
            </w:r>
          </w:p>
        </w:tc>
      </w:tr>
      <w:tr w:rsidR="00ED063B" w:rsidRPr="00A462DA" w14:paraId="3620C252" w14:textId="77777777" w:rsidTr="008B31DB">
        <w:trPr>
          <w:trHeight w:val="274"/>
          <w:jc w:val="center"/>
        </w:trPr>
        <w:tc>
          <w:tcPr>
            <w:tcW w:w="5310" w:type="dxa"/>
            <w:tcBorders>
              <w:top w:val="nil"/>
              <w:left w:val="double" w:sz="4" w:space="0" w:color="auto"/>
              <w:bottom w:val="nil"/>
              <w:right w:val="double" w:sz="4" w:space="0" w:color="auto"/>
            </w:tcBorders>
            <w:shd w:val="clear" w:color="auto" w:fill="auto"/>
            <w:noWrap/>
            <w:vAlign w:val="center"/>
          </w:tcPr>
          <w:p w14:paraId="7BB355C1" w14:textId="77777777" w:rsidR="00ED063B" w:rsidRPr="00814E2F" w:rsidRDefault="00ED063B" w:rsidP="00DA4159">
            <w:pPr>
              <w:spacing w:after="0" w:line="240" w:lineRule="auto"/>
              <w:rPr>
                <w:rFonts w:eastAsia="Times New Roman"/>
                <w:b/>
                <w:sz w:val="19"/>
                <w:szCs w:val="19"/>
              </w:rPr>
            </w:pPr>
            <w:r w:rsidRPr="00814E2F">
              <w:rPr>
                <w:rFonts w:eastAsia="Times New Roman"/>
                <w:b/>
                <w:sz w:val="19"/>
                <w:szCs w:val="19"/>
              </w:rPr>
              <w:t>Shifting Work Hours (not allowed)</w:t>
            </w:r>
          </w:p>
        </w:tc>
        <w:tc>
          <w:tcPr>
            <w:tcW w:w="794" w:type="dxa"/>
            <w:tcBorders>
              <w:top w:val="nil"/>
              <w:left w:val="double" w:sz="4" w:space="0" w:color="auto"/>
              <w:bottom w:val="nil"/>
              <w:right w:val="single" w:sz="4" w:space="0" w:color="auto"/>
            </w:tcBorders>
            <w:shd w:val="clear" w:color="auto" w:fill="auto"/>
            <w:noWrap/>
            <w:vAlign w:val="center"/>
          </w:tcPr>
          <w:p w14:paraId="29EDDA0E" w14:textId="77777777" w:rsidR="00ED063B" w:rsidRPr="00A462DA" w:rsidRDefault="00ED063B" w:rsidP="00DA4159">
            <w:pPr>
              <w:spacing w:after="0" w:line="240" w:lineRule="auto"/>
              <w:jc w:val="right"/>
              <w:rPr>
                <w:sz w:val="20"/>
                <w:szCs w:val="20"/>
              </w:rPr>
            </w:pPr>
          </w:p>
        </w:tc>
        <w:tc>
          <w:tcPr>
            <w:tcW w:w="720" w:type="dxa"/>
            <w:tcBorders>
              <w:top w:val="nil"/>
              <w:left w:val="single" w:sz="4" w:space="0" w:color="auto"/>
              <w:bottom w:val="nil"/>
              <w:right w:val="double" w:sz="4" w:space="0" w:color="auto"/>
            </w:tcBorders>
            <w:shd w:val="clear" w:color="auto" w:fill="auto"/>
            <w:noWrap/>
            <w:vAlign w:val="center"/>
          </w:tcPr>
          <w:p w14:paraId="24D31830" w14:textId="77777777" w:rsidR="00ED063B" w:rsidRPr="00A462DA" w:rsidRDefault="00ED063B" w:rsidP="00DA4159">
            <w:pPr>
              <w:spacing w:after="0" w:line="240" w:lineRule="auto"/>
              <w:jc w:val="right"/>
              <w:rPr>
                <w:sz w:val="20"/>
                <w:szCs w:val="20"/>
              </w:rPr>
            </w:pPr>
          </w:p>
        </w:tc>
        <w:tc>
          <w:tcPr>
            <w:tcW w:w="810" w:type="dxa"/>
            <w:tcBorders>
              <w:top w:val="nil"/>
              <w:left w:val="nil"/>
              <w:bottom w:val="nil"/>
              <w:right w:val="single" w:sz="4" w:space="0" w:color="auto"/>
            </w:tcBorders>
            <w:shd w:val="clear" w:color="auto" w:fill="auto"/>
            <w:noWrap/>
            <w:vAlign w:val="center"/>
          </w:tcPr>
          <w:p w14:paraId="5153BFC1" w14:textId="77777777" w:rsidR="00ED063B" w:rsidRPr="00A462DA" w:rsidRDefault="00ED063B" w:rsidP="00DA4159">
            <w:pPr>
              <w:spacing w:after="0" w:line="240" w:lineRule="auto"/>
              <w:jc w:val="right"/>
              <w:rPr>
                <w:sz w:val="20"/>
                <w:szCs w:val="20"/>
              </w:rPr>
            </w:pPr>
          </w:p>
        </w:tc>
        <w:tc>
          <w:tcPr>
            <w:tcW w:w="724" w:type="dxa"/>
            <w:tcBorders>
              <w:top w:val="nil"/>
              <w:left w:val="nil"/>
              <w:bottom w:val="nil"/>
              <w:right w:val="nil"/>
            </w:tcBorders>
            <w:shd w:val="clear" w:color="auto" w:fill="auto"/>
            <w:noWrap/>
            <w:vAlign w:val="center"/>
          </w:tcPr>
          <w:p w14:paraId="14F0328C" w14:textId="77777777" w:rsidR="00ED063B" w:rsidRPr="00A462DA" w:rsidRDefault="00ED063B" w:rsidP="00DA4159">
            <w:pPr>
              <w:spacing w:after="0" w:line="240" w:lineRule="auto"/>
              <w:jc w:val="right"/>
              <w:rPr>
                <w:sz w:val="20"/>
                <w:szCs w:val="20"/>
              </w:rPr>
            </w:pPr>
          </w:p>
        </w:tc>
        <w:tc>
          <w:tcPr>
            <w:tcW w:w="810" w:type="dxa"/>
            <w:tcBorders>
              <w:top w:val="nil"/>
              <w:left w:val="double" w:sz="4" w:space="0" w:color="auto"/>
              <w:bottom w:val="nil"/>
              <w:right w:val="single" w:sz="4" w:space="0" w:color="auto"/>
            </w:tcBorders>
            <w:shd w:val="clear" w:color="auto" w:fill="auto"/>
            <w:vAlign w:val="center"/>
          </w:tcPr>
          <w:p w14:paraId="5DCFD9C2" w14:textId="77777777" w:rsidR="00ED063B" w:rsidRPr="00A462DA" w:rsidRDefault="00ED063B" w:rsidP="00DA4159">
            <w:pPr>
              <w:spacing w:after="0" w:line="240" w:lineRule="auto"/>
              <w:jc w:val="right"/>
              <w:rPr>
                <w:sz w:val="20"/>
                <w:szCs w:val="20"/>
              </w:rPr>
            </w:pPr>
          </w:p>
        </w:tc>
        <w:tc>
          <w:tcPr>
            <w:tcW w:w="720" w:type="dxa"/>
            <w:tcBorders>
              <w:top w:val="nil"/>
              <w:left w:val="nil"/>
              <w:bottom w:val="nil"/>
              <w:right w:val="double" w:sz="4" w:space="0" w:color="auto"/>
            </w:tcBorders>
            <w:shd w:val="clear" w:color="auto" w:fill="auto"/>
            <w:vAlign w:val="center"/>
          </w:tcPr>
          <w:p w14:paraId="09E1CA76" w14:textId="77777777" w:rsidR="00ED063B" w:rsidRPr="00A462DA" w:rsidRDefault="00ED063B" w:rsidP="00DA4159">
            <w:pPr>
              <w:spacing w:after="0" w:line="240" w:lineRule="auto"/>
              <w:jc w:val="right"/>
              <w:rPr>
                <w:sz w:val="20"/>
                <w:szCs w:val="20"/>
              </w:rPr>
            </w:pPr>
          </w:p>
        </w:tc>
      </w:tr>
      <w:tr w:rsidR="00ED063B" w:rsidRPr="00A462DA" w14:paraId="771C4339" w14:textId="77777777" w:rsidTr="008B31DB">
        <w:trPr>
          <w:trHeight w:val="274"/>
          <w:jc w:val="center"/>
        </w:trPr>
        <w:tc>
          <w:tcPr>
            <w:tcW w:w="5310" w:type="dxa"/>
            <w:tcBorders>
              <w:top w:val="nil"/>
              <w:left w:val="double" w:sz="4" w:space="0" w:color="auto"/>
              <w:bottom w:val="nil"/>
              <w:right w:val="double" w:sz="4" w:space="0" w:color="auto"/>
            </w:tcBorders>
            <w:shd w:val="clear" w:color="auto" w:fill="auto"/>
            <w:noWrap/>
            <w:vAlign w:val="center"/>
          </w:tcPr>
          <w:p w14:paraId="21CB9922" w14:textId="77777777" w:rsidR="00ED063B" w:rsidRPr="00814E2F" w:rsidRDefault="00ED063B" w:rsidP="00DA4159">
            <w:pPr>
              <w:spacing w:after="0" w:line="240" w:lineRule="auto"/>
              <w:rPr>
                <w:rFonts w:eastAsia="Times New Roman"/>
                <w:sz w:val="19"/>
                <w:szCs w:val="19"/>
              </w:rPr>
            </w:pPr>
            <w:r w:rsidRPr="00814E2F">
              <w:rPr>
                <w:rFonts w:eastAsia="Times New Roman"/>
                <w:sz w:val="19"/>
                <w:szCs w:val="19"/>
              </w:rPr>
              <w:t xml:space="preserve">  Allowed * Female</w:t>
            </w:r>
          </w:p>
        </w:tc>
        <w:tc>
          <w:tcPr>
            <w:tcW w:w="794" w:type="dxa"/>
            <w:tcBorders>
              <w:top w:val="nil"/>
              <w:left w:val="double" w:sz="4" w:space="0" w:color="auto"/>
              <w:bottom w:val="nil"/>
              <w:right w:val="single" w:sz="4" w:space="0" w:color="auto"/>
            </w:tcBorders>
            <w:shd w:val="clear" w:color="auto" w:fill="auto"/>
            <w:noWrap/>
            <w:vAlign w:val="center"/>
          </w:tcPr>
          <w:p w14:paraId="1ABE82EC" w14:textId="77777777" w:rsidR="00ED063B" w:rsidRPr="00A462DA" w:rsidRDefault="00ED063B" w:rsidP="00DA4159">
            <w:pPr>
              <w:spacing w:after="0" w:line="240" w:lineRule="auto"/>
              <w:jc w:val="right"/>
              <w:rPr>
                <w:sz w:val="20"/>
                <w:szCs w:val="20"/>
              </w:rPr>
            </w:pPr>
            <w:r w:rsidRPr="00A462DA">
              <w:rPr>
                <w:sz w:val="20"/>
                <w:szCs w:val="20"/>
              </w:rPr>
              <w:t>--</w:t>
            </w:r>
          </w:p>
        </w:tc>
        <w:tc>
          <w:tcPr>
            <w:tcW w:w="720" w:type="dxa"/>
            <w:tcBorders>
              <w:top w:val="nil"/>
              <w:left w:val="single" w:sz="4" w:space="0" w:color="auto"/>
              <w:bottom w:val="nil"/>
              <w:right w:val="double" w:sz="4" w:space="0" w:color="auto"/>
            </w:tcBorders>
            <w:shd w:val="clear" w:color="auto" w:fill="auto"/>
            <w:noWrap/>
            <w:vAlign w:val="center"/>
          </w:tcPr>
          <w:p w14:paraId="19B15BD9" w14:textId="77777777" w:rsidR="00ED063B" w:rsidRPr="00A462DA" w:rsidRDefault="00ED063B" w:rsidP="00DA4159">
            <w:pPr>
              <w:spacing w:after="0" w:line="240" w:lineRule="auto"/>
              <w:jc w:val="right"/>
              <w:rPr>
                <w:sz w:val="20"/>
                <w:szCs w:val="20"/>
              </w:rPr>
            </w:pPr>
          </w:p>
        </w:tc>
        <w:tc>
          <w:tcPr>
            <w:tcW w:w="810" w:type="dxa"/>
            <w:tcBorders>
              <w:top w:val="nil"/>
              <w:left w:val="nil"/>
              <w:bottom w:val="nil"/>
              <w:right w:val="single" w:sz="4" w:space="0" w:color="auto"/>
            </w:tcBorders>
            <w:shd w:val="clear" w:color="auto" w:fill="auto"/>
            <w:noWrap/>
            <w:vAlign w:val="center"/>
          </w:tcPr>
          <w:p w14:paraId="441D4B94" w14:textId="77777777" w:rsidR="00ED063B" w:rsidRPr="00A462DA" w:rsidRDefault="00ED063B" w:rsidP="00DA4159">
            <w:pPr>
              <w:spacing w:after="0" w:line="240" w:lineRule="auto"/>
              <w:jc w:val="right"/>
              <w:rPr>
                <w:sz w:val="20"/>
                <w:szCs w:val="20"/>
              </w:rPr>
            </w:pPr>
            <w:r w:rsidRPr="00A462DA">
              <w:rPr>
                <w:sz w:val="20"/>
                <w:szCs w:val="20"/>
              </w:rPr>
              <w:t>--</w:t>
            </w:r>
          </w:p>
        </w:tc>
        <w:tc>
          <w:tcPr>
            <w:tcW w:w="724" w:type="dxa"/>
            <w:tcBorders>
              <w:top w:val="nil"/>
              <w:left w:val="nil"/>
              <w:bottom w:val="nil"/>
              <w:right w:val="nil"/>
            </w:tcBorders>
            <w:shd w:val="clear" w:color="auto" w:fill="auto"/>
            <w:noWrap/>
            <w:vAlign w:val="center"/>
          </w:tcPr>
          <w:p w14:paraId="32E94C00" w14:textId="77777777" w:rsidR="00ED063B" w:rsidRPr="00A462DA" w:rsidRDefault="00ED063B" w:rsidP="00DA4159">
            <w:pPr>
              <w:spacing w:after="0" w:line="240" w:lineRule="auto"/>
              <w:jc w:val="right"/>
              <w:rPr>
                <w:sz w:val="20"/>
                <w:szCs w:val="20"/>
              </w:rPr>
            </w:pPr>
          </w:p>
        </w:tc>
        <w:tc>
          <w:tcPr>
            <w:tcW w:w="810" w:type="dxa"/>
            <w:tcBorders>
              <w:top w:val="nil"/>
              <w:left w:val="double" w:sz="4" w:space="0" w:color="auto"/>
              <w:bottom w:val="nil"/>
              <w:right w:val="single" w:sz="4" w:space="0" w:color="auto"/>
            </w:tcBorders>
            <w:shd w:val="clear" w:color="auto" w:fill="auto"/>
            <w:vAlign w:val="center"/>
          </w:tcPr>
          <w:p w14:paraId="3B1570AB" w14:textId="77777777" w:rsidR="00ED063B" w:rsidRPr="00A462DA" w:rsidRDefault="00ED063B" w:rsidP="00DA4159">
            <w:pPr>
              <w:spacing w:after="0" w:line="240" w:lineRule="auto"/>
              <w:jc w:val="right"/>
              <w:rPr>
                <w:color w:val="000000"/>
                <w:sz w:val="20"/>
                <w:szCs w:val="20"/>
              </w:rPr>
            </w:pPr>
            <w:r w:rsidRPr="00A462DA">
              <w:rPr>
                <w:color w:val="000000"/>
                <w:sz w:val="20"/>
                <w:szCs w:val="20"/>
              </w:rPr>
              <w:t>0.280</w:t>
            </w:r>
          </w:p>
        </w:tc>
        <w:tc>
          <w:tcPr>
            <w:tcW w:w="720" w:type="dxa"/>
            <w:tcBorders>
              <w:top w:val="nil"/>
              <w:left w:val="nil"/>
              <w:bottom w:val="nil"/>
              <w:right w:val="double" w:sz="4" w:space="0" w:color="auto"/>
            </w:tcBorders>
            <w:shd w:val="clear" w:color="auto" w:fill="auto"/>
            <w:vAlign w:val="center"/>
          </w:tcPr>
          <w:p w14:paraId="409033B3" w14:textId="77777777" w:rsidR="00ED063B" w:rsidRPr="00A462DA" w:rsidRDefault="00ED063B" w:rsidP="00DA4159">
            <w:pPr>
              <w:spacing w:after="0" w:line="240" w:lineRule="auto"/>
              <w:jc w:val="right"/>
              <w:rPr>
                <w:color w:val="000000"/>
                <w:sz w:val="20"/>
                <w:szCs w:val="20"/>
              </w:rPr>
            </w:pPr>
            <w:r w:rsidRPr="00A462DA">
              <w:rPr>
                <w:color w:val="000000"/>
                <w:sz w:val="20"/>
                <w:szCs w:val="20"/>
              </w:rPr>
              <w:t>2.16</w:t>
            </w:r>
          </w:p>
        </w:tc>
      </w:tr>
      <w:tr w:rsidR="00ED063B" w:rsidRPr="00A462DA" w14:paraId="0D7DC7F5" w14:textId="77777777" w:rsidTr="008B31DB">
        <w:trPr>
          <w:trHeight w:val="274"/>
          <w:jc w:val="center"/>
        </w:trPr>
        <w:tc>
          <w:tcPr>
            <w:tcW w:w="5310" w:type="dxa"/>
            <w:tcBorders>
              <w:top w:val="nil"/>
              <w:left w:val="double" w:sz="4" w:space="0" w:color="auto"/>
              <w:bottom w:val="nil"/>
              <w:right w:val="double" w:sz="4" w:space="0" w:color="auto"/>
            </w:tcBorders>
            <w:shd w:val="clear" w:color="auto" w:fill="auto"/>
            <w:noWrap/>
            <w:vAlign w:val="center"/>
          </w:tcPr>
          <w:p w14:paraId="124BE2D0" w14:textId="22F692E6" w:rsidR="00ED063B" w:rsidRPr="00814E2F" w:rsidRDefault="00ED063B" w:rsidP="00DA4159">
            <w:pPr>
              <w:spacing w:after="0" w:line="240" w:lineRule="auto"/>
              <w:rPr>
                <w:rFonts w:eastAsia="Times New Roman"/>
                <w:sz w:val="19"/>
                <w:szCs w:val="19"/>
              </w:rPr>
            </w:pPr>
            <w:r w:rsidRPr="00814E2F">
              <w:rPr>
                <w:rFonts w:eastAsia="Times New Roman"/>
                <w:sz w:val="19"/>
                <w:szCs w:val="19"/>
              </w:rPr>
              <w:t xml:space="preserve">  Allowed * </w:t>
            </w:r>
            <w:r w:rsidR="001F6327" w:rsidRPr="00814E2F">
              <w:rPr>
                <w:rFonts w:eastAsia="Times New Roman"/>
                <w:sz w:val="19"/>
                <w:szCs w:val="19"/>
              </w:rPr>
              <w:t>Children</w:t>
            </w:r>
            <w:r w:rsidRPr="00814E2F">
              <w:rPr>
                <w:rFonts w:eastAsia="Times New Roman"/>
                <w:sz w:val="19"/>
                <w:szCs w:val="19"/>
              </w:rPr>
              <w:t xml:space="preserve"> present in household</w:t>
            </w:r>
          </w:p>
        </w:tc>
        <w:tc>
          <w:tcPr>
            <w:tcW w:w="794" w:type="dxa"/>
            <w:tcBorders>
              <w:top w:val="nil"/>
              <w:left w:val="double" w:sz="4" w:space="0" w:color="auto"/>
              <w:bottom w:val="nil"/>
              <w:right w:val="single" w:sz="4" w:space="0" w:color="auto"/>
            </w:tcBorders>
            <w:shd w:val="clear" w:color="auto" w:fill="auto"/>
            <w:noWrap/>
            <w:vAlign w:val="center"/>
          </w:tcPr>
          <w:p w14:paraId="0448F7D8" w14:textId="77777777" w:rsidR="00ED063B" w:rsidRPr="00A462DA" w:rsidRDefault="00ED063B" w:rsidP="00DA4159">
            <w:pPr>
              <w:spacing w:after="0" w:line="240" w:lineRule="auto"/>
              <w:jc w:val="right"/>
              <w:rPr>
                <w:color w:val="000000"/>
                <w:sz w:val="20"/>
                <w:szCs w:val="20"/>
              </w:rPr>
            </w:pPr>
            <w:r w:rsidRPr="00A462DA">
              <w:rPr>
                <w:color w:val="000000"/>
                <w:sz w:val="20"/>
                <w:szCs w:val="20"/>
              </w:rPr>
              <w:t>-0.225</w:t>
            </w:r>
          </w:p>
        </w:tc>
        <w:tc>
          <w:tcPr>
            <w:tcW w:w="720" w:type="dxa"/>
            <w:tcBorders>
              <w:top w:val="nil"/>
              <w:left w:val="single" w:sz="4" w:space="0" w:color="auto"/>
              <w:bottom w:val="nil"/>
              <w:right w:val="double" w:sz="4" w:space="0" w:color="auto"/>
            </w:tcBorders>
            <w:shd w:val="clear" w:color="auto" w:fill="auto"/>
            <w:noWrap/>
            <w:vAlign w:val="center"/>
          </w:tcPr>
          <w:p w14:paraId="7E58C85F" w14:textId="77777777" w:rsidR="00ED063B" w:rsidRPr="00A462DA" w:rsidRDefault="00ED063B" w:rsidP="00DA4159">
            <w:pPr>
              <w:spacing w:after="0" w:line="240" w:lineRule="auto"/>
              <w:jc w:val="right"/>
              <w:rPr>
                <w:color w:val="000000"/>
                <w:sz w:val="20"/>
                <w:szCs w:val="20"/>
              </w:rPr>
            </w:pPr>
            <w:r w:rsidRPr="00A462DA">
              <w:rPr>
                <w:color w:val="000000"/>
                <w:sz w:val="20"/>
                <w:szCs w:val="20"/>
              </w:rPr>
              <w:t>-2.05</w:t>
            </w:r>
          </w:p>
        </w:tc>
        <w:tc>
          <w:tcPr>
            <w:tcW w:w="810" w:type="dxa"/>
            <w:tcBorders>
              <w:top w:val="nil"/>
              <w:left w:val="nil"/>
              <w:bottom w:val="nil"/>
              <w:right w:val="single" w:sz="4" w:space="0" w:color="auto"/>
            </w:tcBorders>
            <w:shd w:val="clear" w:color="auto" w:fill="auto"/>
            <w:noWrap/>
            <w:vAlign w:val="center"/>
          </w:tcPr>
          <w:p w14:paraId="2F0BD97A" w14:textId="77777777" w:rsidR="00ED063B" w:rsidRPr="00A462DA" w:rsidRDefault="00ED063B" w:rsidP="00DA4159">
            <w:pPr>
              <w:spacing w:after="0" w:line="240" w:lineRule="auto"/>
              <w:jc w:val="right"/>
              <w:rPr>
                <w:sz w:val="20"/>
                <w:szCs w:val="20"/>
              </w:rPr>
            </w:pPr>
            <w:r w:rsidRPr="00A462DA">
              <w:rPr>
                <w:sz w:val="20"/>
                <w:szCs w:val="20"/>
              </w:rPr>
              <w:t>--</w:t>
            </w:r>
          </w:p>
        </w:tc>
        <w:tc>
          <w:tcPr>
            <w:tcW w:w="724" w:type="dxa"/>
            <w:tcBorders>
              <w:top w:val="nil"/>
              <w:left w:val="nil"/>
              <w:bottom w:val="nil"/>
              <w:right w:val="nil"/>
            </w:tcBorders>
            <w:shd w:val="clear" w:color="auto" w:fill="auto"/>
            <w:noWrap/>
            <w:vAlign w:val="center"/>
          </w:tcPr>
          <w:p w14:paraId="74A2E5A0" w14:textId="77777777" w:rsidR="00ED063B" w:rsidRPr="00A462DA" w:rsidRDefault="00ED063B" w:rsidP="00DA4159">
            <w:pPr>
              <w:spacing w:after="0" w:line="240" w:lineRule="auto"/>
              <w:jc w:val="right"/>
              <w:rPr>
                <w:sz w:val="20"/>
                <w:szCs w:val="20"/>
              </w:rPr>
            </w:pPr>
          </w:p>
        </w:tc>
        <w:tc>
          <w:tcPr>
            <w:tcW w:w="810" w:type="dxa"/>
            <w:tcBorders>
              <w:top w:val="nil"/>
              <w:left w:val="double" w:sz="4" w:space="0" w:color="auto"/>
              <w:bottom w:val="nil"/>
              <w:right w:val="single" w:sz="4" w:space="0" w:color="auto"/>
            </w:tcBorders>
            <w:shd w:val="clear" w:color="auto" w:fill="auto"/>
            <w:vAlign w:val="center"/>
          </w:tcPr>
          <w:p w14:paraId="28500FD5" w14:textId="77777777" w:rsidR="00ED063B" w:rsidRPr="00A462DA" w:rsidRDefault="00ED063B" w:rsidP="00DA4159">
            <w:pPr>
              <w:spacing w:after="0" w:line="240" w:lineRule="auto"/>
              <w:jc w:val="right"/>
              <w:rPr>
                <w:sz w:val="20"/>
                <w:szCs w:val="20"/>
              </w:rPr>
            </w:pPr>
            <w:r w:rsidRPr="00A462DA">
              <w:rPr>
                <w:sz w:val="20"/>
                <w:szCs w:val="20"/>
              </w:rPr>
              <w:t>--</w:t>
            </w:r>
          </w:p>
        </w:tc>
        <w:tc>
          <w:tcPr>
            <w:tcW w:w="720" w:type="dxa"/>
            <w:tcBorders>
              <w:top w:val="nil"/>
              <w:left w:val="nil"/>
              <w:bottom w:val="nil"/>
              <w:right w:val="double" w:sz="4" w:space="0" w:color="auto"/>
            </w:tcBorders>
            <w:shd w:val="clear" w:color="auto" w:fill="auto"/>
            <w:vAlign w:val="center"/>
          </w:tcPr>
          <w:p w14:paraId="227C16A7" w14:textId="77777777" w:rsidR="00ED063B" w:rsidRPr="00A462DA" w:rsidRDefault="00ED063B" w:rsidP="00DA4159">
            <w:pPr>
              <w:spacing w:after="0" w:line="240" w:lineRule="auto"/>
              <w:jc w:val="right"/>
              <w:rPr>
                <w:sz w:val="20"/>
                <w:szCs w:val="20"/>
              </w:rPr>
            </w:pPr>
          </w:p>
        </w:tc>
      </w:tr>
      <w:tr w:rsidR="00ED063B" w:rsidRPr="00A462DA" w14:paraId="11E9330A" w14:textId="77777777" w:rsidTr="008B31DB">
        <w:trPr>
          <w:trHeight w:val="274"/>
          <w:jc w:val="center"/>
        </w:trPr>
        <w:tc>
          <w:tcPr>
            <w:tcW w:w="5310" w:type="dxa"/>
            <w:tcBorders>
              <w:top w:val="nil"/>
              <w:left w:val="double" w:sz="4" w:space="0" w:color="auto"/>
              <w:bottom w:val="nil"/>
              <w:right w:val="double" w:sz="4" w:space="0" w:color="auto"/>
            </w:tcBorders>
            <w:shd w:val="clear" w:color="auto" w:fill="auto"/>
            <w:noWrap/>
            <w:vAlign w:val="center"/>
          </w:tcPr>
          <w:p w14:paraId="2D6CB9D4" w14:textId="77777777" w:rsidR="00ED063B" w:rsidRPr="00814E2F" w:rsidRDefault="00ED063B" w:rsidP="00DA4159">
            <w:pPr>
              <w:spacing w:after="0" w:line="240" w:lineRule="auto"/>
              <w:rPr>
                <w:rFonts w:eastAsia="Times New Roman"/>
                <w:b/>
                <w:i/>
                <w:sz w:val="19"/>
                <w:szCs w:val="19"/>
                <w:u w:val="single"/>
              </w:rPr>
            </w:pPr>
            <w:r w:rsidRPr="00814E2F">
              <w:rPr>
                <w:rFonts w:eastAsia="Times New Roman"/>
                <w:b/>
                <w:i/>
                <w:sz w:val="19"/>
                <w:szCs w:val="19"/>
                <w:u w:val="single"/>
              </w:rPr>
              <w:t>COVID-19 Threat</w:t>
            </w:r>
          </w:p>
        </w:tc>
        <w:tc>
          <w:tcPr>
            <w:tcW w:w="794" w:type="dxa"/>
            <w:tcBorders>
              <w:top w:val="nil"/>
              <w:left w:val="double" w:sz="4" w:space="0" w:color="auto"/>
              <w:bottom w:val="nil"/>
              <w:right w:val="single" w:sz="4" w:space="0" w:color="auto"/>
            </w:tcBorders>
            <w:shd w:val="clear" w:color="auto" w:fill="auto"/>
            <w:noWrap/>
            <w:vAlign w:val="center"/>
          </w:tcPr>
          <w:p w14:paraId="3F21B9DB" w14:textId="77777777" w:rsidR="00ED063B" w:rsidRPr="00A462DA" w:rsidRDefault="00ED063B" w:rsidP="00DA4159">
            <w:pPr>
              <w:spacing w:after="0" w:line="240" w:lineRule="auto"/>
              <w:jc w:val="right"/>
              <w:rPr>
                <w:sz w:val="20"/>
                <w:szCs w:val="20"/>
              </w:rPr>
            </w:pPr>
          </w:p>
        </w:tc>
        <w:tc>
          <w:tcPr>
            <w:tcW w:w="720" w:type="dxa"/>
            <w:tcBorders>
              <w:top w:val="nil"/>
              <w:left w:val="single" w:sz="4" w:space="0" w:color="auto"/>
              <w:bottom w:val="nil"/>
              <w:right w:val="double" w:sz="4" w:space="0" w:color="auto"/>
            </w:tcBorders>
            <w:shd w:val="clear" w:color="auto" w:fill="auto"/>
            <w:noWrap/>
            <w:vAlign w:val="center"/>
          </w:tcPr>
          <w:p w14:paraId="0BE3D71C" w14:textId="77777777" w:rsidR="00ED063B" w:rsidRPr="00A462DA" w:rsidRDefault="00ED063B" w:rsidP="00DA4159">
            <w:pPr>
              <w:spacing w:after="0" w:line="240" w:lineRule="auto"/>
              <w:jc w:val="right"/>
              <w:rPr>
                <w:sz w:val="20"/>
                <w:szCs w:val="20"/>
              </w:rPr>
            </w:pPr>
          </w:p>
        </w:tc>
        <w:tc>
          <w:tcPr>
            <w:tcW w:w="810" w:type="dxa"/>
            <w:tcBorders>
              <w:top w:val="nil"/>
              <w:left w:val="nil"/>
              <w:bottom w:val="nil"/>
              <w:right w:val="single" w:sz="4" w:space="0" w:color="auto"/>
            </w:tcBorders>
            <w:shd w:val="clear" w:color="auto" w:fill="auto"/>
            <w:noWrap/>
            <w:vAlign w:val="center"/>
          </w:tcPr>
          <w:p w14:paraId="3EC00AC3" w14:textId="77777777" w:rsidR="00ED063B" w:rsidRPr="00A462DA" w:rsidRDefault="00ED063B" w:rsidP="00DA4159">
            <w:pPr>
              <w:spacing w:after="0" w:line="240" w:lineRule="auto"/>
              <w:jc w:val="right"/>
              <w:rPr>
                <w:sz w:val="20"/>
                <w:szCs w:val="20"/>
              </w:rPr>
            </w:pPr>
          </w:p>
        </w:tc>
        <w:tc>
          <w:tcPr>
            <w:tcW w:w="724" w:type="dxa"/>
            <w:tcBorders>
              <w:top w:val="nil"/>
              <w:left w:val="nil"/>
              <w:bottom w:val="nil"/>
              <w:right w:val="nil"/>
            </w:tcBorders>
            <w:shd w:val="clear" w:color="auto" w:fill="auto"/>
            <w:noWrap/>
            <w:vAlign w:val="center"/>
          </w:tcPr>
          <w:p w14:paraId="6869C084" w14:textId="77777777" w:rsidR="00ED063B" w:rsidRPr="00A462DA" w:rsidRDefault="00ED063B" w:rsidP="00DA4159">
            <w:pPr>
              <w:spacing w:after="0" w:line="240" w:lineRule="auto"/>
              <w:jc w:val="right"/>
              <w:rPr>
                <w:sz w:val="20"/>
                <w:szCs w:val="20"/>
              </w:rPr>
            </w:pPr>
          </w:p>
        </w:tc>
        <w:tc>
          <w:tcPr>
            <w:tcW w:w="810" w:type="dxa"/>
            <w:tcBorders>
              <w:top w:val="nil"/>
              <w:left w:val="double" w:sz="4" w:space="0" w:color="auto"/>
              <w:bottom w:val="nil"/>
              <w:right w:val="single" w:sz="4" w:space="0" w:color="auto"/>
            </w:tcBorders>
            <w:shd w:val="clear" w:color="auto" w:fill="auto"/>
            <w:vAlign w:val="center"/>
          </w:tcPr>
          <w:p w14:paraId="3C0B7473" w14:textId="77777777" w:rsidR="00ED063B" w:rsidRPr="00A462DA" w:rsidRDefault="00ED063B" w:rsidP="00DA4159">
            <w:pPr>
              <w:spacing w:after="0" w:line="240" w:lineRule="auto"/>
              <w:jc w:val="right"/>
              <w:rPr>
                <w:sz w:val="20"/>
                <w:szCs w:val="20"/>
              </w:rPr>
            </w:pPr>
          </w:p>
        </w:tc>
        <w:tc>
          <w:tcPr>
            <w:tcW w:w="720" w:type="dxa"/>
            <w:tcBorders>
              <w:top w:val="nil"/>
              <w:left w:val="nil"/>
              <w:bottom w:val="nil"/>
              <w:right w:val="double" w:sz="4" w:space="0" w:color="auto"/>
            </w:tcBorders>
            <w:shd w:val="clear" w:color="auto" w:fill="auto"/>
            <w:vAlign w:val="center"/>
          </w:tcPr>
          <w:p w14:paraId="1E7F3A38" w14:textId="77777777" w:rsidR="00ED063B" w:rsidRPr="00A462DA" w:rsidRDefault="00ED063B" w:rsidP="00DA4159">
            <w:pPr>
              <w:spacing w:after="0" w:line="240" w:lineRule="auto"/>
              <w:jc w:val="right"/>
              <w:rPr>
                <w:sz w:val="20"/>
                <w:szCs w:val="20"/>
              </w:rPr>
            </w:pPr>
          </w:p>
        </w:tc>
      </w:tr>
      <w:tr w:rsidR="00ED063B" w:rsidRPr="00A462DA" w14:paraId="03EDAEB2" w14:textId="77777777" w:rsidTr="008B31DB">
        <w:trPr>
          <w:trHeight w:val="274"/>
          <w:jc w:val="center"/>
        </w:trPr>
        <w:tc>
          <w:tcPr>
            <w:tcW w:w="5310" w:type="dxa"/>
            <w:tcBorders>
              <w:top w:val="nil"/>
              <w:left w:val="double" w:sz="4" w:space="0" w:color="auto"/>
              <w:bottom w:val="nil"/>
              <w:right w:val="double" w:sz="4" w:space="0" w:color="auto"/>
            </w:tcBorders>
            <w:shd w:val="clear" w:color="auto" w:fill="auto"/>
            <w:noWrap/>
            <w:vAlign w:val="center"/>
          </w:tcPr>
          <w:p w14:paraId="35619915" w14:textId="77777777" w:rsidR="007856AB" w:rsidRPr="00814E2F" w:rsidRDefault="00ED063B" w:rsidP="00DA4159">
            <w:pPr>
              <w:spacing w:after="0" w:line="240" w:lineRule="auto"/>
              <w:rPr>
                <w:rFonts w:eastAsia="Times New Roman"/>
                <w:b/>
                <w:sz w:val="19"/>
                <w:szCs w:val="19"/>
              </w:rPr>
            </w:pPr>
            <w:r w:rsidRPr="00814E2F">
              <w:rPr>
                <w:rFonts w:eastAsia="Times New Roman"/>
                <w:b/>
                <w:sz w:val="19"/>
                <w:szCs w:val="19"/>
              </w:rPr>
              <w:t xml:space="preserve">Immunocompromised Complications (self and others are not </w:t>
            </w:r>
          </w:p>
          <w:p w14:paraId="53494D4F" w14:textId="32B1B5AB" w:rsidR="00ED063B" w:rsidRPr="00814E2F" w:rsidRDefault="007856AB" w:rsidP="00DA4159">
            <w:pPr>
              <w:spacing w:after="0" w:line="240" w:lineRule="auto"/>
              <w:rPr>
                <w:rFonts w:eastAsia="Times New Roman"/>
                <w:b/>
                <w:sz w:val="19"/>
                <w:szCs w:val="19"/>
              </w:rPr>
            </w:pPr>
            <w:r w:rsidRPr="00814E2F">
              <w:rPr>
                <w:rFonts w:eastAsia="Times New Roman"/>
                <w:b/>
                <w:sz w:val="19"/>
                <w:szCs w:val="19"/>
              </w:rPr>
              <w:t xml:space="preserve">    </w:t>
            </w:r>
            <w:r w:rsidR="00ED063B" w:rsidRPr="00814E2F">
              <w:rPr>
                <w:rFonts w:eastAsia="Times New Roman"/>
                <w:b/>
                <w:sz w:val="19"/>
                <w:szCs w:val="19"/>
              </w:rPr>
              <w:t>immunocompromised)</w:t>
            </w:r>
          </w:p>
        </w:tc>
        <w:tc>
          <w:tcPr>
            <w:tcW w:w="794" w:type="dxa"/>
            <w:tcBorders>
              <w:top w:val="nil"/>
              <w:left w:val="double" w:sz="4" w:space="0" w:color="auto"/>
              <w:bottom w:val="nil"/>
              <w:right w:val="single" w:sz="4" w:space="0" w:color="auto"/>
            </w:tcBorders>
            <w:shd w:val="clear" w:color="auto" w:fill="auto"/>
            <w:noWrap/>
            <w:vAlign w:val="center"/>
          </w:tcPr>
          <w:p w14:paraId="3E27A5A4" w14:textId="77777777" w:rsidR="00ED063B" w:rsidRPr="00A462DA" w:rsidRDefault="00ED063B" w:rsidP="00DA4159">
            <w:pPr>
              <w:spacing w:after="0" w:line="240" w:lineRule="auto"/>
              <w:jc w:val="right"/>
              <w:rPr>
                <w:sz w:val="20"/>
                <w:szCs w:val="20"/>
              </w:rPr>
            </w:pPr>
          </w:p>
        </w:tc>
        <w:tc>
          <w:tcPr>
            <w:tcW w:w="720" w:type="dxa"/>
            <w:tcBorders>
              <w:top w:val="nil"/>
              <w:left w:val="single" w:sz="4" w:space="0" w:color="auto"/>
              <w:bottom w:val="nil"/>
              <w:right w:val="double" w:sz="4" w:space="0" w:color="auto"/>
            </w:tcBorders>
            <w:shd w:val="clear" w:color="auto" w:fill="auto"/>
            <w:noWrap/>
            <w:vAlign w:val="center"/>
          </w:tcPr>
          <w:p w14:paraId="120A6B88" w14:textId="77777777" w:rsidR="00ED063B" w:rsidRPr="00A462DA" w:rsidRDefault="00ED063B" w:rsidP="00DA4159">
            <w:pPr>
              <w:spacing w:after="0" w:line="240" w:lineRule="auto"/>
              <w:jc w:val="right"/>
              <w:rPr>
                <w:sz w:val="20"/>
                <w:szCs w:val="20"/>
              </w:rPr>
            </w:pPr>
          </w:p>
        </w:tc>
        <w:tc>
          <w:tcPr>
            <w:tcW w:w="810" w:type="dxa"/>
            <w:tcBorders>
              <w:top w:val="nil"/>
              <w:left w:val="nil"/>
              <w:bottom w:val="nil"/>
              <w:right w:val="single" w:sz="4" w:space="0" w:color="auto"/>
            </w:tcBorders>
            <w:shd w:val="clear" w:color="auto" w:fill="auto"/>
            <w:noWrap/>
            <w:vAlign w:val="center"/>
          </w:tcPr>
          <w:p w14:paraId="34CC09E9" w14:textId="77777777" w:rsidR="00ED063B" w:rsidRPr="00A462DA" w:rsidRDefault="00ED063B" w:rsidP="00DA4159">
            <w:pPr>
              <w:spacing w:after="0" w:line="240" w:lineRule="auto"/>
              <w:jc w:val="right"/>
              <w:rPr>
                <w:sz w:val="20"/>
                <w:szCs w:val="20"/>
              </w:rPr>
            </w:pPr>
          </w:p>
        </w:tc>
        <w:tc>
          <w:tcPr>
            <w:tcW w:w="724" w:type="dxa"/>
            <w:tcBorders>
              <w:top w:val="nil"/>
              <w:left w:val="nil"/>
              <w:bottom w:val="nil"/>
              <w:right w:val="nil"/>
            </w:tcBorders>
            <w:shd w:val="clear" w:color="auto" w:fill="auto"/>
            <w:noWrap/>
            <w:vAlign w:val="center"/>
          </w:tcPr>
          <w:p w14:paraId="12A510C1" w14:textId="77777777" w:rsidR="00ED063B" w:rsidRPr="00A462DA" w:rsidRDefault="00ED063B" w:rsidP="00DA4159">
            <w:pPr>
              <w:spacing w:after="0" w:line="240" w:lineRule="auto"/>
              <w:jc w:val="right"/>
              <w:rPr>
                <w:sz w:val="20"/>
                <w:szCs w:val="20"/>
              </w:rPr>
            </w:pPr>
          </w:p>
        </w:tc>
        <w:tc>
          <w:tcPr>
            <w:tcW w:w="810" w:type="dxa"/>
            <w:tcBorders>
              <w:top w:val="nil"/>
              <w:left w:val="double" w:sz="4" w:space="0" w:color="auto"/>
              <w:bottom w:val="nil"/>
              <w:right w:val="single" w:sz="4" w:space="0" w:color="auto"/>
            </w:tcBorders>
            <w:shd w:val="clear" w:color="auto" w:fill="auto"/>
            <w:vAlign w:val="center"/>
          </w:tcPr>
          <w:p w14:paraId="61807F2C" w14:textId="77777777" w:rsidR="00ED063B" w:rsidRPr="00A462DA" w:rsidRDefault="00ED063B" w:rsidP="00DA4159">
            <w:pPr>
              <w:spacing w:after="0" w:line="240" w:lineRule="auto"/>
              <w:jc w:val="right"/>
              <w:rPr>
                <w:sz w:val="20"/>
                <w:szCs w:val="20"/>
              </w:rPr>
            </w:pPr>
          </w:p>
        </w:tc>
        <w:tc>
          <w:tcPr>
            <w:tcW w:w="720" w:type="dxa"/>
            <w:tcBorders>
              <w:top w:val="nil"/>
              <w:left w:val="nil"/>
              <w:bottom w:val="nil"/>
              <w:right w:val="double" w:sz="4" w:space="0" w:color="auto"/>
            </w:tcBorders>
            <w:shd w:val="clear" w:color="auto" w:fill="auto"/>
            <w:vAlign w:val="center"/>
          </w:tcPr>
          <w:p w14:paraId="199BAAA1" w14:textId="77777777" w:rsidR="00ED063B" w:rsidRPr="00A462DA" w:rsidRDefault="00ED063B" w:rsidP="00DA4159">
            <w:pPr>
              <w:spacing w:after="0" w:line="240" w:lineRule="auto"/>
              <w:jc w:val="right"/>
              <w:rPr>
                <w:sz w:val="20"/>
                <w:szCs w:val="20"/>
              </w:rPr>
            </w:pPr>
          </w:p>
        </w:tc>
      </w:tr>
      <w:tr w:rsidR="00ED063B" w:rsidRPr="00A462DA" w14:paraId="53EA0653" w14:textId="77777777" w:rsidTr="008B31DB">
        <w:trPr>
          <w:trHeight w:val="274"/>
          <w:jc w:val="center"/>
        </w:trPr>
        <w:tc>
          <w:tcPr>
            <w:tcW w:w="5310" w:type="dxa"/>
            <w:tcBorders>
              <w:top w:val="nil"/>
              <w:left w:val="double" w:sz="4" w:space="0" w:color="auto"/>
              <w:bottom w:val="nil"/>
              <w:right w:val="double" w:sz="4" w:space="0" w:color="auto"/>
            </w:tcBorders>
            <w:shd w:val="clear" w:color="auto" w:fill="auto"/>
            <w:noWrap/>
            <w:vAlign w:val="center"/>
          </w:tcPr>
          <w:p w14:paraId="50538BB9" w14:textId="77777777" w:rsidR="00ED063B" w:rsidRPr="00814E2F" w:rsidRDefault="00ED063B" w:rsidP="00DA4159">
            <w:pPr>
              <w:spacing w:after="0" w:line="240" w:lineRule="auto"/>
              <w:rPr>
                <w:rFonts w:eastAsia="Times New Roman"/>
                <w:sz w:val="19"/>
                <w:szCs w:val="19"/>
              </w:rPr>
            </w:pPr>
            <w:r w:rsidRPr="00814E2F">
              <w:rPr>
                <w:rFonts w:eastAsia="Times New Roman"/>
                <w:sz w:val="19"/>
                <w:szCs w:val="19"/>
              </w:rPr>
              <w:t xml:space="preserve">  Individual is immunocompromised</w:t>
            </w:r>
          </w:p>
        </w:tc>
        <w:tc>
          <w:tcPr>
            <w:tcW w:w="794" w:type="dxa"/>
            <w:tcBorders>
              <w:top w:val="nil"/>
              <w:left w:val="double" w:sz="4" w:space="0" w:color="auto"/>
              <w:bottom w:val="nil"/>
              <w:right w:val="single" w:sz="4" w:space="0" w:color="auto"/>
            </w:tcBorders>
            <w:shd w:val="clear" w:color="auto" w:fill="auto"/>
            <w:noWrap/>
            <w:vAlign w:val="center"/>
          </w:tcPr>
          <w:p w14:paraId="302426BA" w14:textId="77777777" w:rsidR="00ED063B" w:rsidRPr="00A462DA" w:rsidRDefault="00ED063B" w:rsidP="00DA4159">
            <w:pPr>
              <w:spacing w:after="0" w:line="240" w:lineRule="auto"/>
              <w:jc w:val="right"/>
              <w:rPr>
                <w:sz w:val="20"/>
                <w:szCs w:val="20"/>
              </w:rPr>
            </w:pPr>
            <w:r w:rsidRPr="00A462DA">
              <w:rPr>
                <w:sz w:val="20"/>
                <w:szCs w:val="20"/>
              </w:rPr>
              <w:t>--</w:t>
            </w:r>
          </w:p>
        </w:tc>
        <w:tc>
          <w:tcPr>
            <w:tcW w:w="720" w:type="dxa"/>
            <w:tcBorders>
              <w:top w:val="nil"/>
              <w:left w:val="single" w:sz="4" w:space="0" w:color="auto"/>
              <w:bottom w:val="nil"/>
              <w:right w:val="double" w:sz="4" w:space="0" w:color="auto"/>
            </w:tcBorders>
            <w:shd w:val="clear" w:color="auto" w:fill="auto"/>
            <w:noWrap/>
            <w:vAlign w:val="center"/>
          </w:tcPr>
          <w:p w14:paraId="75EE8456" w14:textId="77777777" w:rsidR="00ED063B" w:rsidRPr="00A462DA" w:rsidRDefault="00ED063B" w:rsidP="00DA4159">
            <w:pPr>
              <w:spacing w:after="0" w:line="240" w:lineRule="auto"/>
              <w:jc w:val="right"/>
              <w:rPr>
                <w:sz w:val="20"/>
                <w:szCs w:val="20"/>
              </w:rPr>
            </w:pPr>
          </w:p>
        </w:tc>
        <w:tc>
          <w:tcPr>
            <w:tcW w:w="810" w:type="dxa"/>
            <w:tcBorders>
              <w:top w:val="nil"/>
              <w:left w:val="nil"/>
              <w:bottom w:val="nil"/>
              <w:right w:val="single" w:sz="4" w:space="0" w:color="auto"/>
            </w:tcBorders>
            <w:shd w:val="clear" w:color="auto" w:fill="auto"/>
            <w:noWrap/>
            <w:vAlign w:val="center"/>
          </w:tcPr>
          <w:p w14:paraId="5A57BE1E" w14:textId="77777777" w:rsidR="00ED063B" w:rsidRPr="00A462DA" w:rsidRDefault="00ED063B" w:rsidP="00DA4159">
            <w:pPr>
              <w:spacing w:after="0" w:line="240" w:lineRule="auto"/>
              <w:jc w:val="right"/>
              <w:rPr>
                <w:color w:val="000000"/>
                <w:sz w:val="20"/>
                <w:szCs w:val="20"/>
              </w:rPr>
            </w:pPr>
            <w:r w:rsidRPr="00A462DA">
              <w:rPr>
                <w:color w:val="000000"/>
                <w:sz w:val="20"/>
                <w:szCs w:val="20"/>
              </w:rPr>
              <w:t>-0.416</w:t>
            </w:r>
          </w:p>
        </w:tc>
        <w:tc>
          <w:tcPr>
            <w:tcW w:w="724" w:type="dxa"/>
            <w:tcBorders>
              <w:top w:val="nil"/>
              <w:left w:val="nil"/>
              <w:bottom w:val="nil"/>
              <w:right w:val="nil"/>
            </w:tcBorders>
            <w:shd w:val="clear" w:color="auto" w:fill="auto"/>
            <w:noWrap/>
            <w:vAlign w:val="center"/>
          </w:tcPr>
          <w:p w14:paraId="73256DDF" w14:textId="77777777" w:rsidR="00ED063B" w:rsidRPr="00A462DA" w:rsidRDefault="00ED063B" w:rsidP="00DA4159">
            <w:pPr>
              <w:spacing w:after="0" w:line="240" w:lineRule="auto"/>
              <w:jc w:val="right"/>
              <w:rPr>
                <w:color w:val="000000"/>
                <w:sz w:val="20"/>
                <w:szCs w:val="20"/>
              </w:rPr>
            </w:pPr>
            <w:r w:rsidRPr="00A462DA">
              <w:rPr>
                <w:color w:val="000000"/>
                <w:sz w:val="20"/>
                <w:szCs w:val="20"/>
              </w:rPr>
              <w:t>-3.85</w:t>
            </w:r>
          </w:p>
        </w:tc>
        <w:tc>
          <w:tcPr>
            <w:tcW w:w="810" w:type="dxa"/>
            <w:tcBorders>
              <w:top w:val="nil"/>
              <w:left w:val="double" w:sz="4" w:space="0" w:color="auto"/>
              <w:bottom w:val="nil"/>
              <w:right w:val="single" w:sz="4" w:space="0" w:color="auto"/>
            </w:tcBorders>
            <w:shd w:val="clear" w:color="auto" w:fill="auto"/>
            <w:vAlign w:val="center"/>
          </w:tcPr>
          <w:p w14:paraId="7DF4F034" w14:textId="77777777" w:rsidR="00ED063B" w:rsidRPr="00A462DA" w:rsidRDefault="00ED063B" w:rsidP="00DA4159">
            <w:pPr>
              <w:spacing w:after="0" w:line="240" w:lineRule="auto"/>
              <w:jc w:val="right"/>
              <w:rPr>
                <w:sz w:val="20"/>
                <w:szCs w:val="20"/>
              </w:rPr>
            </w:pPr>
            <w:r w:rsidRPr="00A462DA">
              <w:rPr>
                <w:sz w:val="20"/>
                <w:szCs w:val="20"/>
              </w:rPr>
              <w:t>--</w:t>
            </w:r>
          </w:p>
        </w:tc>
        <w:tc>
          <w:tcPr>
            <w:tcW w:w="720" w:type="dxa"/>
            <w:tcBorders>
              <w:top w:val="nil"/>
              <w:left w:val="nil"/>
              <w:bottom w:val="nil"/>
              <w:right w:val="double" w:sz="4" w:space="0" w:color="auto"/>
            </w:tcBorders>
            <w:shd w:val="clear" w:color="auto" w:fill="auto"/>
            <w:vAlign w:val="center"/>
          </w:tcPr>
          <w:p w14:paraId="38B0062F" w14:textId="77777777" w:rsidR="00ED063B" w:rsidRPr="00A462DA" w:rsidRDefault="00ED063B" w:rsidP="00DA4159">
            <w:pPr>
              <w:spacing w:after="0" w:line="240" w:lineRule="auto"/>
              <w:jc w:val="right"/>
              <w:rPr>
                <w:sz w:val="20"/>
                <w:szCs w:val="20"/>
              </w:rPr>
            </w:pPr>
          </w:p>
        </w:tc>
      </w:tr>
      <w:tr w:rsidR="00ED063B" w:rsidRPr="00A462DA" w14:paraId="33F45111" w14:textId="77777777" w:rsidTr="008B31DB">
        <w:trPr>
          <w:trHeight w:val="274"/>
          <w:jc w:val="center"/>
        </w:trPr>
        <w:tc>
          <w:tcPr>
            <w:tcW w:w="5310" w:type="dxa"/>
            <w:tcBorders>
              <w:top w:val="nil"/>
              <w:left w:val="double" w:sz="4" w:space="0" w:color="auto"/>
              <w:bottom w:val="nil"/>
              <w:right w:val="double" w:sz="4" w:space="0" w:color="auto"/>
            </w:tcBorders>
            <w:shd w:val="clear" w:color="auto" w:fill="auto"/>
            <w:noWrap/>
            <w:vAlign w:val="center"/>
          </w:tcPr>
          <w:p w14:paraId="58F4AAF8" w14:textId="2193CD00" w:rsidR="00ED063B" w:rsidRPr="00814E2F" w:rsidRDefault="00ED063B" w:rsidP="00DA4159">
            <w:pPr>
              <w:spacing w:after="0" w:line="240" w:lineRule="auto"/>
              <w:rPr>
                <w:rFonts w:eastAsia="Times New Roman"/>
                <w:sz w:val="19"/>
                <w:szCs w:val="19"/>
              </w:rPr>
            </w:pPr>
            <w:r w:rsidRPr="00814E2F">
              <w:rPr>
                <w:rFonts w:eastAsia="Times New Roman"/>
                <w:sz w:val="19"/>
                <w:szCs w:val="19"/>
              </w:rPr>
              <w:t xml:space="preserve">  Someone frequently seen is immunocompromised</w:t>
            </w:r>
          </w:p>
        </w:tc>
        <w:tc>
          <w:tcPr>
            <w:tcW w:w="794" w:type="dxa"/>
            <w:tcBorders>
              <w:top w:val="nil"/>
              <w:left w:val="double" w:sz="4" w:space="0" w:color="auto"/>
              <w:bottom w:val="nil"/>
              <w:right w:val="single" w:sz="4" w:space="0" w:color="auto"/>
            </w:tcBorders>
            <w:shd w:val="clear" w:color="auto" w:fill="auto"/>
            <w:noWrap/>
            <w:vAlign w:val="center"/>
          </w:tcPr>
          <w:p w14:paraId="3D4FC81B" w14:textId="77777777" w:rsidR="00ED063B" w:rsidRPr="00A462DA" w:rsidRDefault="00ED063B" w:rsidP="00DA4159">
            <w:pPr>
              <w:spacing w:after="0" w:line="240" w:lineRule="auto"/>
              <w:jc w:val="right"/>
              <w:rPr>
                <w:sz w:val="20"/>
                <w:szCs w:val="20"/>
              </w:rPr>
            </w:pPr>
            <w:r w:rsidRPr="00A462DA">
              <w:rPr>
                <w:sz w:val="20"/>
                <w:szCs w:val="20"/>
              </w:rPr>
              <w:t>--</w:t>
            </w:r>
          </w:p>
        </w:tc>
        <w:tc>
          <w:tcPr>
            <w:tcW w:w="720" w:type="dxa"/>
            <w:tcBorders>
              <w:top w:val="nil"/>
              <w:left w:val="single" w:sz="4" w:space="0" w:color="auto"/>
              <w:bottom w:val="nil"/>
              <w:right w:val="double" w:sz="4" w:space="0" w:color="auto"/>
            </w:tcBorders>
            <w:shd w:val="clear" w:color="auto" w:fill="auto"/>
            <w:noWrap/>
            <w:vAlign w:val="center"/>
          </w:tcPr>
          <w:p w14:paraId="38BC8FBF" w14:textId="77777777" w:rsidR="00ED063B" w:rsidRPr="00A462DA" w:rsidRDefault="00ED063B" w:rsidP="00DA4159">
            <w:pPr>
              <w:spacing w:after="0" w:line="240" w:lineRule="auto"/>
              <w:jc w:val="right"/>
              <w:rPr>
                <w:sz w:val="20"/>
                <w:szCs w:val="20"/>
              </w:rPr>
            </w:pPr>
          </w:p>
        </w:tc>
        <w:tc>
          <w:tcPr>
            <w:tcW w:w="810" w:type="dxa"/>
            <w:tcBorders>
              <w:top w:val="nil"/>
              <w:left w:val="nil"/>
              <w:bottom w:val="nil"/>
              <w:right w:val="single" w:sz="4" w:space="0" w:color="auto"/>
            </w:tcBorders>
            <w:shd w:val="clear" w:color="auto" w:fill="auto"/>
            <w:noWrap/>
            <w:vAlign w:val="center"/>
          </w:tcPr>
          <w:p w14:paraId="34E3675B" w14:textId="77777777" w:rsidR="00ED063B" w:rsidRPr="00A462DA" w:rsidRDefault="00ED063B" w:rsidP="00DA4159">
            <w:pPr>
              <w:spacing w:after="0" w:line="240" w:lineRule="auto"/>
              <w:jc w:val="right"/>
              <w:rPr>
                <w:color w:val="000000"/>
                <w:sz w:val="20"/>
                <w:szCs w:val="20"/>
              </w:rPr>
            </w:pPr>
            <w:r w:rsidRPr="00A462DA">
              <w:rPr>
                <w:color w:val="000000"/>
                <w:sz w:val="20"/>
                <w:szCs w:val="20"/>
              </w:rPr>
              <w:t>-0.180</w:t>
            </w:r>
          </w:p>
        </w:tc>
        <w:tc>
          <w:tcPr>
            <w:tcW w:w="724" w:type="dxa"/>
            <w:tcBorders>
              <w:top w:val="nil"/>
              <w:left w:val="nil"/>
              <w:bottom w:val="nil"/>
              <w:right w:val="nil"/>
            </w:tcBorders>
            <w:shd w:val="clear" w:color="auto" w:fill="auto"/>
            <w:noWrap/>
            <w:vAlign w:val="center"/>
          </w:tcPr>
          <w:p w14:paraId="1300E727" w14:textId="77777777" w:rsidR="00ED063B" w:rsidRPr="00A462DA" w:rsidRDefault="00ED063B" w:rsidP="00DA4159">
            <w:pPr>
              <w:spacing w:after="0" w:line="240" w:lineRule="auto"/>
              <w:jc w:val="right"/>
              <w:rPr>
                <w:color w:val="000000"/>
                <w:sz w:val="20"/>
                <w:szCs w:val="20"/>
              </w:rPr>
            </w:pPr>
            <w:r w:rsidRPr="00A462DA">
              <w:rPr>
                <w:color w:val="000000"/>
                <w:sz w:val="20"/>
                <w:szCs w:val="20"/>
              </w:rPr>
              <w:t>-1.76</w:t>
            </w:r>
          </w:p>
        </w:tc>
        <w:tc>
          <w:tcPr>
            <w:tcW w:w="810" w:type="dxa"/>
            <w:tcBorders>
              <w:top w:val="nil"/>
              <w:left w:val="double" w:sz="4" w:space="0" w:color="auto"/>
              <w:bottom w:val="nil"/>
              <w:right w:val="single" w:sz="4" w:space="0" w:color="auto"/>
            </w:tcBorders>
            <w:shd w:val="clear" w:color="auto" w:fill="auto"/>
            <w:vAlign w:val="center"/>
          </w:tcPr>
          <w:p w14:paraId="24B07586" w14:textId="77777777" w:rsidR="00ED063B" w:rsidRPr="00A462DA" w:rsidRDefault="00ED063B" w:rsidP="00DA4159">
            <w:pPr>
              <w:spacing w:after="0" w:line="240" w:lineRule="auto"/>
              <w:jc w:val="right"/>
              <w:rPr>
                <w:sz w:val="20"/>
                <w:szCs w:val="20"/>
              </w:rPr>
            </w:pPr>
            <w:r w:rsidRPr="00A462DA">
              <w:rPr>
                <w:sz w:val="20"/>
                <w:szCs w:val="20"/>
              </w:rPr>
              <w:t>--</w:t>
            </w:r>
          </w:p>
        </w:tc>
        <w:tc>
          <w:tcPr>
            <w:tcW w:w="720" w:type="dxa"/>
            <w:tcBorders>
              <w:top w:val="nil"/>
              <w:left w:val="nil"/>
              <w:bottom w:val="nil"/>
              <w:right w:val="double" w:sz="4" w:space="0" w:color="auto"/>
            </w:tcBorders>
            <w:shd w:val="clear" w:color="auto" w:fill="auto"/>
            <w:vAlign w:val="center"/>
          </w:tcPr>
          <w:p w14:paraId="20994B8E" w14:textId="77777777" w:rsidR="00ED063B" w:rsidRPr="00A462DA" w:rsidRDefault="00ED063B" w:rsidP="00DA4159">
            <w:pPr>
              <w:spacing w:after="0" w:line="240" w:lineRule="auto"/>
              <w:jc w:val="right"/>
              <w:rPr>
                <w:sz w:val="20"/>
                <w:szCs w:val="20"/>
              </w:rPr>
            </w:pPr>
          </w:p>
        </w:tc>
      </w:tr>
      <w:tr w:rsidR="00ED063B" w:rsidRPr="00A462DA" w14:paraId="2A1E6471" w14:textId="77777777" w:rsidTr="008B31DB">
        <w:trPr>
          <w:trHeight w:val="274"/>
          <w:jc w:val="center"/>
        </w:trPr>
        <w:tc>
          <w:tcPr>
            <w:tcW w:w="5310" w:type="dxa"/>
            <w:tcBorders>
              <w:top w:val="nil"/>
              <w:left w:val="double" w:sz="4" w:space="0" w:color="auto"/>
              <w:bottom w:val="nil"/>
              <w:right w:val="double" w:sz="4" w:space="0" w:color="auto"/>
            </w:tcBorders>
            <w:shd w:val="clear" w:color="auto" w:fill="auto"/>
            <w:noWrap/>
            <w:vAlign w:val="center"/>
          </w:tcPr>
          <w:p w14:paraId="4FD4EFDF" w14:textId="0676F22C" w:rsidR="00ED063B" w:rsidRPr="00814E2F" w:rsidRDefault="00ED063B" w:rsidP="00DA4159">
            <w:pPr>
              <w:spacing w:after="0" w:line="240" w:lineRule="auto"/>
              <w:rPr>
                <w:rFonts w:eastAsia="Times New Roman"/>
                <w:b/>
                <w:sz w:val="19"/>
                <w:szCs w:val="19"/>
              </w:rPr>
            </w:pPr>
            <w:r w:rsidRPr="00814E2F">
              <w:rPr>
                <w:rFonts w:eastAsia="Times New Roman"/>
                <w:b/>
                <w:sz w:val="19"/>
                <w:szCs w:val="19"/>
              </w:rPr>
              <w:t>COVID-19 Risk Level (risk is extremely low or low)</w:t>
            </w:r>
          </w:p>
        </w:tc>
        <w:tc>
          <w:tcPr>
            <w:tcW w:w="794" w:type="dxa"/>
            <w:tcBorders>
              <w:top w:val="nil"/>
              <w:left w:val="double" w:sz="4" w:space="0" w:color="auto"/>
              <w:bottom w:val="nil"/>
              <w:right w:val="single" w:sz="4" w:space="0" w:color="auto"/>
            </w:tcBorders>
            <w:shd w:val="clear" w:color="auto" w:fill="auto"/>
            <w:noWrap/>
            <w:vAlign w:val="center"/>
          </w:tcPr>
          <w:p w14:paraId="37030C2A" w14:textId="77777777" w:rsidR="00ED063B" w:rsidRPr="00A462DA" w:rsidRDefault="00ED063B" w:rsidP="00DA4159">
            <w:pPr>
              <w:spacing w:after="0" w:line="240" w:lineRule="auto"/>
              <w:jc w:val="right"/>
              <w:rPr>
                <w:sz w:val="20"/>
                <w:szCs w:val="20"/>
              </w:rPr>
            </w:pPr>
          </w:p>
        </w:tc>
        <w:tc>
          <w:tcPr>
            <w:tcW w:w="720" w:type="dxa"/>
            <w:tcBorders>
              <w:top w:val="nil"/>
              <w:left w:val="single" w:sz="4" w:space="0" w:color="auto"/>
              <w:bottom w:val="nil"/>
              <w:right w:val="double" w:sz="4" w:space="0" w:color="auto"/>
            </w:tcBorders>
            <w:shd w:val="clear" w:color="auto" w:fill="auto"/>
            <w:noWrap/>
            <w:vAlign w:val="center"/>
          </w:tcPr>
          <w:p w14:paraId="0AF66C0C" w14:textId="77777777" w:rsidR="00ED063B" w:rsidRPr="00A462DA" w:rsidRDefault="00ED063B" w:rsidP="00DA4159">
            <w:pPr>
              <w:spacing w:after="0" w:line="240" w:lineRule="auto"/>
              <w:jc w:val="right"/>
              <w:rPr>
                <w:sz w:val="20"/>
                <w:szCs w:val="20"/>
              </w:rPr>
            </w:pPr>
          </w:p>
        </w:tc>
        <w:tc>
          <w:tcPr>
            <w:tcW w:w="810" w:type="dxa"/>
            <w:tcBorders>
              <w:top w:val="nil"/>
              <w:left w:val="nil"/>
              <w:bottom w:val="nil"/>
              <w:right w:val="single" w:sz="4" w:space="0" w:color="auto"/>
            </w:tcBorders>
            <w:shd w:val="clear" w:color="auto" w:fill="auto"/>
            <w:noWrap/>
            <w:vAlign w:val="center"/>
          </w:tcPr>
          <w:p w14:paraId="2A9BB219" w14:textId="77777777" w:rsidR="00ED063B" w:rsidRPr="00A462DA" w:rsidRDefault="00ED063B" w:rsidP="00DA4159">
            <w:pPr>
              <w:spacing w:after="0" w:line="240" w:lineRule="auto"/>
              <w:jc w:val="right"/>
              <w:rPr>
                <w:sz w:val="20"/>
                <w:szCs w:val="20"/>
              </w:rPr>
            </w:pPr>
          </w:p>
        </w:tc>
        <w:tc>
          <w:tcPr>
            <w:tcW w:w="724" w:type="dxa"/>
            <w:tcBorders>
              <w:top w:val="nil"/>
              <w:left w:val="nil"/>
              <w:bottom w:val="nil"/>
              <w:right w:val="nil"/>
            </w:tcBorders>
            <w:shd w:val="clear" w:color="auto" w:fill="auto"/>
            <w:noWrap/>
            <w:vAlign w:val="center"/>
          </w:tcPr>
          <w:p w14:paraId="320C233A" w14:textId="77777777" w:rsidR="00ED063B" w:rsidRPr="00A462DA" w:rsidRDefault="00ED063B" w:rsidP="00DA4159">
            <w:pPr>
              <w:spacing w:after="0" w:line="240" w:lineRule="auto"/>
              <w:jc w:val="right"/>
              <w:rPr>
                <w:sz w:val="20"/>
                <w:szCs w:val="20"/>
              </w:rPr>
            </w:pPr>
          </w:p>
        </w:tc>
        <w:tc>
          <w:tcPr>
            <w:tcW w:w="810" w:type="dxa"/>
            <w:tcBorders>
              <w:top w:val="nil"/>
              <w:left w:val="double" w:sz="4" w:space="0" w:color="auto"/>
              <w:bottom w:val="nil"/>
              <w:right w:val="single" w:sz="4" w:space="0" w:color="auto"/>
            </w:tcBorders>
            <w:shd w:val="clear" w:color="auto" w:fill="auto"/>
            <w:vAlign w:val="center"/>
          </w:tcPr>
          <w:p w14:paraId="16B0401D" w14:textId="77777777" w:rsidR="00ED063B" w:rsidRPr="00A462DA" w:rsidRDefault="00ED063B" w:rsidP="00DA4159">
            <w:pPr>
              <w:spacing w:after="0" w:line="240" w:lineRule="auto"/>
              <w:jc w:val="right"/>
              <w:rPr>
                <w:sz w:val="20"/>
                <w:szCs w:val="20"/>
              </w:rPr>
            </w:pPr>
          </w:p>
        </w:tc>
        <w:tc>
          <w:tcPr>
            <w:tcW w:w="720" w:type="dxa"/>
            <w:tcBorders>
              <w:top w:val="nil"/>
              <w:left w:val="nil"/>
              <w:bottom w:val="nil"/>
              <w:right w:val="double" w:sz="4" w:space="0" w:color="auto"/>
            </w:tcBorders>
            <w:shd w:val="clear" w:color="auto" w:fill="auto"/>
            <w:vAlign w:val="center"/>
          </w:tcPr>
          <w:p w14:paraId="02985C6D" w14:textId="77777777" w:rsidR="00ED063B" w:rsidRPr="00A462DA" w:rsidRDefault="00ED063B" w:rsidP="00DA4159">
            <w:pPr>
              <w:spacing w:after="0" w:line="240" w:lineRule="auto"/>
              <w:jc w:val="right"/>
              <w:rPr>
                <w:sz w:val="20"/>
                <w:szCs w:val="20"/>
              </w:rPr>
            </w:pPr>
          </w:p>
        </w:tc>
      </w:tr>
      <w:tr w:rsidR="00ED063B" w:rsidRPr="00A462DA" w14:paraId="32A2430F" w14:textId="77777777" w:rsidTr="008B31DB">
        <w:trPr>
          <w:trHeight w:val="274"/>
          <w:jc w:val="center"/>
        </w:trPr>
        <w:tc>
          <w:tcPr>
            <w:tcW w:w="5310" w:type="dxa"/>
            <w:tcBorders>
              <w:top w:val="nil"/>
              <w:left w:val="double" w:sz="4" w:space="0" w:color="auto"/>
              <w:bottom w:val="nil"/>
              <w:right w:val="double" w:sz="4" w:space="0" w:color="auto"/>
            </w:tcBorders>
            <w:shd w:val="clear" w:color="auto" w:fill="auto"/>
            <w:noWrap/>
            <w:vAlign w:val="center"/>
          </w:tcPr>
          <w:p w14:paraId="6B000849" w14:textId="77777777" w:rsidR="00ED063B" w:rsidRPr="00814E2F" w:rsidRDefault="00ED063B" w:rsidP="00DA4159">
            <w:pPr>
              <w:spacing w:after="0" w:line="240" w:lineRule="auto"/>
              <w:rPr>
                <w:rFonts w:eastAsia="Times New Roman"/>
                <w:sz w:val="19"/>
                <w:szCs w:val="19"/>
              </w:rPr>
            </w:pPr>
            <w:r w:rsidRPr="00814E2F">
              <w:rPr>
                <w:rFonts w:eastAsia="Times New Roman"/>
                <w:sz w:val="19"/>
                <w:szCs w:val="19"/>
              </w:rPr>
              <w:t xml:space="preserve">  Risk is high</w:t>
            </w:r>
          </w:p>
        </w:tc>
        <w:tc>
          <w:tcPr>
            <w:tcW w:w="794" w:type="dxa"/>
            <w:tcBorders>
              <w:top w:val="nil"/>
              <w:left w:val="double" w:sz="4" w:space="0" w:color="auto"/>
              <w:bottom w:val="nil"/>
              <w:right w:val="single" w:sz="4" w:space="0" w:color="auto"/>
            </w:tcBorders>
            <w:shd w:val="clear" w:color="auto" w:fill="auto"/>
            <w:noWrap/>
            <w:vAlign w:val="center"/>
          </w:tcPr>
          <w:p w14:paraId="7B4AC310" w14:textId="77777777" w:rsidR="00ED063B" w:rsidRPr="00A462DA" w:rsidRDefault="00ED063B" w:rsidP="00DA4159">
            <w:pPr>
              <w:spacing w:after="0" w:line="240" w:lineRule="auto"/>
              <w:jc w:val="right"/>
              <w:rPr>
                <w:color w:val="000000"/>
                <w:sz w:val="20"/>
                <w:szCs w:val="20"/>
              </w:rPr>
            </w:pPr>
            <w:r w:rsidRPr="00A462DA">
              <w:rPr>
                <w:color w:val="000000"/>
                <w:sz w:val="20"/>
                <w:szCs w:val="20"/>
              </w:rPr>
              <w:t>0.345</w:t>
            </w:r>
          </w:p>
        </w:tc>
        <w:tc>
          <w:tcPr>
            <w:tcW w:w="720" w:type="dxa"/>
            <w:tcBorders>
              <w:top w:val="nil"/>
              <w:left w:val="single" w:sz="4" w:space="0" w:color="auto"/>
              <w:bottom w:val="nil"/>
              <w:right w:val="double" w:sz="4" w:space="0" w:color="auto"/>
            </w:tcBorders>
            <w:shd w:val="clear" w:color="auto" w:fill="auto"/>
            <w:noWrap/>
            <w:vAlign w:val="center"/>
          </w:tcPr>
          <w:p w14:paraId="7E2A4867" w14:textId="77777777" w:rsidR="00ED063B" w:rsidRPr="00A462DA" w:rsidRDefault="00ED063B" w:rsidP="00DA4159">
            <w:pPr>
              <w:spacing w:after="0" w:line="240" w:lineRule="auto"/>
              <w:jc w:val="right"/>
              <w:rPr>
                <w:color w:val="000000"/>
                <w:sz w:val="20"/>
                <w:szCs w:val="20"/>
              </w:rPr>
            </w:pPr>
            <w:r w:rsidRPr="00A462DA">
              <w:rPr>
                <w:color w:val="000000"/>
                <w:sz w:val="20"/>
                <w:szCs w:val="20"/>
              </w:rPr>
              <w:t>3.02</w:t>
            </w:r>
          </w:p>
        </w:tc>
        <w:tc>
          <w:tcPr>
            <w:tcW w:w="810" w:type="dxa"/>
            <w:tcBorders>
              <w:top w:val="nil"/>
              <w:left w:val="nil"/>
              <w:bottom w:val="nil"/>
              <w:right w:val="single" w:sz="4" w:space="0" w:color="auto"/>
            </w:tcBorders>
            <w:shd w:val="clear" w:color="auto" w:fill="auto"/>
            <w:noWrap/>
            <w:vAlign w:val="center"/>
          </w:tcPr>
          <w:p w14:paraId="3728808B" w14:textId="77777777" w:rsidR="00ED063B" w:rsidRPr="00A462DA" w:rsidRDefault="00ED063B" w:rsidP="00DA4159">
            <w:pPr>
              <w:spacing w:after="0" w:line="240" w:lineRule="auto"/>
              <w:jc w:val="right"/>
              <w:rPr>
                <w:sz w:val="20"/>
                <w:szCs w:val="20"/>
              </w:rPr>
            </w:pPr>
            <w:r w:rsidRPr="00A462DA">
              <w:rPr>
                <w:sz w:val="20"/>
                <w:szCs w:val="20"/>
              </w:rPr>
              <w:t>--</w:t>
            </w:r>
          </w:p>
        </w:tc>
        <w:tc>
          <w:tcPr>
            <w:tcW w:w="724" w:type="dxa"/>
            <w:tcBorders>
              <w:top w:val="nil"/>
              <w:left w:val="nil"/>
              <w:bottom w:val="nil"/>
              <w:right w:val="nil"/>
            </w:tcBorders>
            <w:shd w:val="clear" w:color="auto" w:fill="auto"/>
            <w:noWrap/>
            <w:vAlign w:val="center"/>
          </w:tcPr>
          <w:p w14:paraId="27D82858" w14:textId="77777777" w:rsidR="00ED063B" w:rsidRPr="00A462DA" w:rsidRDefault="00ED063B" w:rsidP="00DA4159">
            <w:pPr>
              <w:spacing w:after="0" w:line="240" w:lineRule="auto"/>
              <w:jc w:val="right"/>
              <w:rPr>
                <w:sz w:val="20"/>
                <w:szCs w:val="20"/>
              </w:rPr>
            </w:pPr>
          </w:p>
        </w:tc>
        <w:tc>
          <w:tcPr>
            <w:tcW w:w="810" w:type="dxa"/>
            <w:tcBorders>
              <w:top w:val="nil"/>
              <w:left w:val="double" w:sz="4" w:space="0" w:color="auto"/>
              <w:bottom w:val="nil"/>
              <w:right w:val="single" w:sz="4" w:space="0" w:color="auto"/>
            </w:tcBorders>
            <w:shd w:val="clear" w:color="auto" w:fill="auto"/>
            <w:vAlign w:val="center"/>
          </w:tcPr>
          <w:p w14:paraId="2A907543" w14:textId="77777777" w:rsidR="00ED063B" w:rsidRPr="00A462DA" w:rsidRDefault="00ED063B" w:rsidP="00DA4159">
            <w:pPr>
              <w:spacing w:after="0" w:line="240" w:lineRule="auto"/>
              <w:jc w:val="right"/>
              <w:rPr>
                <w:sz w:val="20"/>
                <w:szCs w:val="20"/>
              </w:rPr>
            </w:pPr>
            <w:r w:rsidRPr="00A462DA">
              <w:rPr>
                <w:sz w:val="20"/>
                <w:szCs w:val="20"/>
              </w:rPr>
              <w:t>--</w:t>
            </w:r>
          </w:p>
        </w:tc>
        <w:tc>
          <w:tcPr>
            <w:tcW w:w="720" w:type="dxa"/>
            <w:tcBorders>
              <w:top w:val="nil"/>
              <w:left w:val="nil"/>
              <w:bottom w:val="nil"/>
              <w:right w:val="double" w:sz="4" w:space="0" w:color="auto"/>
            </w:tcBorders>
            <w:shd w:val="clear" w:color="auto" w:fill="auto"/>
            <w:vAlign w:val="center"/>
          </w:tcPr>
          <w:p w14:paraId="02EF5526" w14:textId="77777777" w:rsidR="00ED063B" w:rsidRPr="00A462DA" w:rsidRDefault="00ED063B" w:rsidP="00DA4159">
            <w:pPr>
              <w:spacing w:after="0" w:line="240" w:lineRule="auto"/>
              <w:jc w:val="right"/>
              <w:rPr>
                <w:sz w:val="20"/>
                <w:szCs w:val="20"/>
              </w:rPr>
            </w:pPr>
          </w:p>
        </w:tc>
      </w:tr>
      <w:tr w:rsidR="00ED063B" w:rsidRPr="00A462DA" w14:paraId="5AB58DD1" w14:textId="77777777" w:rsidTr="008B31DB">
        <w:trPr>
          <w:trHeight w:val="274"/>
          <w:jc w:val="center"/>
        </w:trPr>
        <w:tc>
          <w:tcPr>
            <w:tcW w:w="5310" w:type="dxa"/>
            <w:tcBorders>
              <w:top w:val="nil"/>
              <w:left w:val="double" w:sz="4" w:space="0" w:color="auto"/>
              <w:bottom w:val="nil"/>
              <w:right w:val="double" w:sz="4" w:space="0" w:color="auto"/>
            </w:tcBorders>
            <w:shd w:val="clear" w:color="auto" w:fill="auto"/>
            <w:noWrap/>
            <w:vAlign w:val="center"/>
          </w:tcPr>
          <w:p w14:paraId="15F36F65" w14:textId="77777777" w:rsidR="00ED063B" w:rsidRPr="00814E2F" w:rsidRDefault="00ED063B" w:rsidP="00DA4159">
            <w:pPr>
              <w:spacing w:after="0" w:line="240" w:lineRule="auto"/>
              <w:rPr>
                <w:rFonts w:eastAsia="Times New Roman"/>
                <w:sz w:val="19"/>
                <w:szCs w:val="19"/>
              </w:rPr>
            </w:pPr>
            <w:r w:rsidRPr="00814E2F">
              <w:rPr>
                <w:rFonts w:eastAsia="Times New Roman"/>
                <w:sz w:val="19"/>
                <w:szCs w:val="19"/>
              </w:rPr>
              <w:t xml:space="preserve">  Risk is unknown</w:t>
            </w:r>
          </w:p>
        </w:tc>
        <w:tc>
          <w:tcPr>
            <w:tcW w:w="794" w:type="dxa"/>
            <w:tcBorders>
              <w:top w:val="nil"/>
              <w:left w:val="double" w:sz="4" w:space="0" w:color="auto"/>
              <w:bottom w:val="nil"/>
              <w:right w:val="single" w:sz="4" w:space="0" w:color="auto"/>
            </w:tcBorders>
            <w:shd w:val="clear" w:color="auto" w:fill="auto"/>
            <w:noWrap/>
            <w:vAlign w:val="center"/>
          </w:tcPr>
          <w:p w14:paraId="3705311C" w14:textId="77777777" w:rsidR="00ED063B" w:rsidRPr="00A462DA" w:rsidRDefault="00ED063B" w:rsidP="00DA4159">
            <w:pPr>
              <w:spacing w:after="0" w:line="240" w:lineRule="auto"/>
              <w:jc w:val="right"/>
              <w:rPr>
                <w:color w:val="000000"/>
                <w:sz w:val="20"/>
                <w:szCs w:val="20"/>
              </w:rPr>
            </w:pPr>
            <w:r w:rsidRPr="00A462DA">
              <w:rPr>
                <w:color w:val="000000"/>
                <w:sz w:val="20"/>
                <w:szCs w:val="20"/>
              </w:rPr>
              <w:t>0.765</w:t>
            </w:r>
          </w:p>
        </w:tc>
        <w:tc>
          <w:tcPr>
            <w:tcW w:w="720" w:type="dxa"/>
            <w:tcBorders>
              <w:top w:val="nil"/>
              <w:left w:val="single" w:sz="4" w:space="0" w:color="auto"/>
              <w:bottom w:val="nil"/>
              <w:right w:val="double" w:sz="4" w:space="0" w:color="auto"/>
            </w:tcBorders>
            <w:shd w:val="clear" w:color="auto" w:fill="auto"/>
            <w:noWrap/>
            <w:vAlign w:val="center"/>
          </w:tcPr>
          <w:p w14:paraId="5D39DA95" w14:textId="77777777" w:rsidR="00ED063B" w:rsidRPr="00A462DA" w:rsidRDefault="00ED063B" w:rsidP="00DA4159">
            <w:pPr>
              <w:spacing w:after="0" w:line="240" w:lineRule="auto"/>
              <w:jc w:val="right"/>
              <w:rPr>
                <w:color w:val="000000"/>
                <w:sz w:val="20"/>
                <w:szCs w:val="20"/>
              </w:rPr>
            </w:pPr>
            <w:r w:rsidRPr="00A462DA">
              <w:rPr>
                <w:color w:val="000000"/>
                <w:sz w:val="20"/>
                <w:szCs w:val="20"/>
              </w:rPr>
              <w:t>4.72</w:t>
            </w:r>
          </w:p>
        </w:tc>
        <w:tc>
          <w:tcPr>
            <w:tcW w:w="810" w:type="dxa"/>
            <w:tcBorders>
              <w:top w:val="nil"/>
              <w:left w:val="nil"/>
              <w:bottom w:val="nil"/>
              <w:right w:val="single" w:sz="4" w:space="0" w:color="auto"/>
            </w:tcBorders>
            <w:shd w:val="clear" w:color="auto" w:fill="auto"/>
            <w:noWrap/>
            <w:vAlign w:val="center"/>
          </w:tcPr>
          <w:p w14:paraId="0F83770D" w14:textId="77777777" w:rsidR="00ED063B" w:rsidRPr="00A462DA" w:rsidRDefault="00ED063B" w:rsidP="00DA4159">
            <w:pPr>
              <w:spacing w:after="0" w:line="240" w:lineRule="auto"/>
              <w:jc w:val="right"/>
              <w:rPr>
                <w:color w:val="000000"/>
                <w:sz w:val="20"/>
                <w:szCs w:val="20"/>
              </w:rPr>
            </w:pPr>
            <w:r w:rsidRPr="00A462DA">
              <w:rPr>
                <w:color w:val="000000"/>
                <w:sz w:val="20"/>
                <w:szCs w:val="20"/>
              </w:rPr>
              <w:t>0.527</w:t>
            </w:r>
          </w:p>
        </w:tc>
        <w:tc>
          <w:tcPr>
            <w:tcW w:w="724" w:type="dxa"/>
            <w:tcBorders>
              <w:top w:val="nil"/>
              <w:left w:val="nil"/>
              <w:bottom w:val="nil"/>
              <w:right w:val="nil"/>
            </w:tcBorders>
            <w:shd w:val="clear" w:color="auto" w:fill="auto"/>
            <w:noWrap/>
            <w:vAlign w:val="center"/>
          </w:tcPr>
          <w:p w14:paraId="417AD6EF" w14:textId="77777777" w:rsidR="00ED063B" w:rsidRPr="00A462DA" w:rsidRDefault="00ED063B" w:rsidP="00DA4159">
            <w:pPr>
              <w:spacing w:after="0" w:line="240" w:lineRule="auto"/>
              <w:jc w:val="right"/>
              <w:rPr>
                <w:color w:val="000000"/>
                <w:sz w:val="20"/>
                <w:szCs w:val="20"/>
              </w:rPr>
            </w:pPr>
            <w:r w:rsidRPr="00A462DA">
              <w:rPr>
                <w:color w:val="000000"/>
                <w:sz w:val="20"/>
                <w:szCs w:val="20"/>
              </w:rPr>
              <w:t>3.24</w:t>
            </w:r>
          </w:p>
        </w:tc>
        <w:tc>
          <w:tcPr>
            <w:tcW w:w="810" w:type="dxa"/>
            <w:tcBorders>
              <w:top w:val="nil"/>
              <w:left w:val="double" w:sz="4" w:space="0" w:color="auto"/>
              <w:bottom w:val="nil"/>
              <w:right w:val="single" w:sz="4" w:space="0" w:color="auto"/>
            </w:tcBorders>
            <w:shd w:val="clear" w:color="auto" w:fill="auto"/>
            <w:vAlign w:val="center"/>
          </w:tcPr>
          <w:p w14:paraId="209464EB" w14:textId="77777777" w:rsidR="00ED063B" w:rsidRPr="00A462DA" w:rsidRDefault="00ED063B" w:rsidP="00DA4159">
            <w:pPr>
              <w:spacing w:after="0" w:line="240" w:lineRule="auto"/>
              <w:jc w:val="right"/>
              <w:rPr>
                <w:sz w:val="20"/>
                <w:szCs w:val="20"/>
              </w:rPr>
            </w:pPr>
            <w:r w:rsidRPr="00A462DA">
              <w:rPr>
                <w:sz w:val="20"/>
                <w:szCs w:val="20"/>
              </w:rPr>
              <w:t>--</w:t>
            </w:r>
          </w:p>
        </w:tc>
        <w:tc>
          <w:tcPr>
            <w:tcW w:w="720" w:type="dxa"/>
            <w:tcBorders>
              <w:top w:val="nil"/>
              <w:left w:val="nil"/>
              <w:bottom w:val="nil"/>
              <w:right w:val="double" w:sz="4" w:space="0" w:color="auto"/>
            </w:tcBorders>
            <w:shd w:val="clear" w:color="auto" w:fill="auto"/>
            <w:vAlign w:val="center"/>
          </w:tcPr>
          <w:p w14:paraId="77F059E5" w14:textId="77777777" w:rsidR="00ED063B" w:rsidRPr="00A462DA" w:rsidRDefault="00ED063B" w:rsidP="00DA4159">
            <w:pPr>
              <w:spacing w:after="0" w:line="240" w:lineRule="auto"/>
              <w:jc w:val="right"/>
              <w:rPr>
                <w:sz w:val="20"/>
                <w:szCs w:val="20"/>
              </w:rPr>
            </w:pPr>
          </w:p>
        </w:tc>
      </w:tr>
      <w:tr w:rsidR="00ED063B" w:rsidRPr="00A462DA" w14:paraId="59B62776" w14:textId="77777777" w:rsidTr="008B31DB">
        <w:trPr>
          <w:trHeight w:val="274"/>
          <w:jc w:val="center"/>
        </w:trPr>
        <w:tc>
          <w:tcPr>
            <w:tcW w:w="5310" w:type="dxa"/>
            <w:tcBorders>
              <w:top w:val="nil"/>
              <w:left w:val="double" w:sz="4" w:space="0" w:color="auto"/>
              <w:bottom w:val="double" w:sz="4" w:space="0" w:color="auto"/>
              <w:right w:val="double" w:sz="4" w:space="0" w:color="auto"/>
            </w:tcBorders>
            <w:shd w:val="clear" w:color="auto" w:fill="auto"/>
            <w:noWrap/>
            <w:vAlign w:val="center"/>
          </w:tcPr>
          <w:p w14:paraId="020E6CDC" w14:textId="77777777" w:rsidR="00ED063B" w:rsidRPr="00814E2F" w:rsidRDefault="00ED063B" w:rsidP="00DA4159">
            <w:pPr>
              <w:spacing w:after="0" w:line="240" w:lineRule="auto"/>
              <w:rPr>
                <w:rFonts w:eastAsia="Times New Roman"/>
                <w:b/>
                <w:bCs/>
                <w:i/>
                <w:iCs/>
                <w:sz w:val="19"/>
                <w:szCs w:val="19"/>
                <w:u w:val="single"/>
              </w:rPr>
            </w:pPr>
            <w:r w:rsidRPr="00814E2F">
              <w:rPr>
                <w:rFonts w:eastAsia="Times New Roman"/>
                <w:b/>
                <w:bCs/>
                <w:i/>
                <w:iCs/>
                <w:sz w:val="19"/>
                <w:szCs w:val="19"/>
                <w:u w:val="single"/>
              </w:rPr>
              <w:t>Baseline Preference Constant</w:t>
            </w:r>
          </w:p>
        </w:tc>
        <w:tc>
          <w:tcPr>
            <w:tcW w:w="794" w:type="dxa"/>
            <w:tcBorders>
              <w:top w:val="nil"/>
              <w:left w:val="double" w:sz="4" w:space="0" w:color="auto"/>
              <w:bottom w:val="double" w:sz="4" w:space="0" w:color="auto"/>
              <w:right w:val="single" w:sz="4" w:space="0" w:color="auto"/>
            </w:tcBorders>
            <w:shd w:val="clear" w:color="auto" w:fill="auto"/>
            <w:noWrap/>
            <w:vAlign w:val="center"/>
          </w:tcPr>
          <w:p w14:paraId="7E72F6E7" w14:textId="77777777" w:rsidR="00ED063B" w:rsidRPr="00A462DA" w:rsidRDefault="00ED063B" w:rsidP="00DA4159">
            <w:pPr>
              <w:spacing w:after="0" w:line="240" w:lineRule="auto"/>
              <w:jc w:val="right"/>
              <w:rPr>
                <w:rFonts w:eastAsia="Times New Roman"/>
                <w:sz w:val="20"/>
                <w:szCs w:val="20"/>
              </w:rPr>
            </w:pPr>
            <w:r w:rsidRPr="00A462DA">
              <w:rPr>
                <w:rFonts w:eastAsia="Times New Roman"/>
                <w:sz w:val="20"/>
                <w:szCs w:val="20"/>
              </w:rPr>
              <w:t>NA</w:t>
            </w:r>
          </w:p>
        </w:tc>
        <w:tc>
          <w:tcPr>
            <w:tcW w:w="720" w:type="dxa"/>
            <w:tcBorders>
              <w:top w:val="nil"/>
              <w:left w:val="single" w:sz="4" w:space="0" w:color="auto"/>
              <w:bottom w:val="double" w:sz="4" w:space="0" w:color="auto"/>
              <w:right w:val="double" w:sz="4" w:space="0" w:color="auto"/>
            </w:tcBorders>
            <w:shd w:val="clear" w:color="auto" w:fill="auto"/>
            <w:noWrap/>
            <w:vAlign w:val="center"/>
          </w:tcPr>
          <w:p w14:paraId="1B770AF6" w14:textId="77777777" w:rsidR="00ED063B" w:rsidRPr="00A462DA" w:rsidRDefault="00ED063B" w:rsidP="00DA4159">
            <w:pPr>
              <w:spacing w:after="0" w:line="240" w:lineRule="auto"/>
              <w:jc w:val="right"/>
              <w:rPr>
                <w:rFonts w:eastAsia="Times New Roman"/>
                <w:sz w:val="20"/>
                <w:szCs w:val="20"/>
              </w:rPr>
            </w:pPr>
          </w:p>
        </w:tc>
        <w:tc>
          <w:tcPr>
            <w:tcW w:w="810" w:type="dxa"/>
            <w:tcBorders>
              <w:top w:val="nil"/>
              <w:left w:val="double" w:sz="4" w:space="0" w:color="auto"/>
              <w:bottom w:val="double" w:sz="4" w:space="0" w:color="auto"/>
              <w:right w:val="single" w:sz="4" w:space="0" w:color="auto"/>
            </w:tcBorders>
            <w:shd w:val="clear" w:color="auto" w:fill="auto"/>
            <w:noWrap/>
            <w:vAlign w:val="center"/>
          </w:tcPr>
          <w:p w14:paraId="40EC4055" w14:textId="77777777" w:rsidR="00ED063B" w:rsidRPr="00A462DA" w:rsidRDefault="00ED063B" w:rsidP="00DA4159">
            <w:pPr>
              <w:spacing w:after="0" w:line="240" w:lineRule="auto"/>
              <w:jc w:val="right"/>
              <w:rPr>
                <w:color w:val="000000"/>
                <w:sz w:val="20"/>
                <w:szCs w:val="20"/>
              </w:rPr>
            </w:pPr>
            <w:r w:rsidRPr="00A462DA">
              <w:rPr>
                <w:color w:val="000000"/>
                <w:sz w:val="20"/>
                <w:szCs w:val="20"/>
              </w:rPr>
              <w:t>1.330</w:t>
            </w:r>
          </w:p>
        </w:tc>
        <w:tc>
          <w:tcPr>
            <w:tcW w:w="724" w:type="dxa"/>
            <w:tcBorders>
              <w:top w:val="nil"/>
              <w:left w:val="single" w:sz="4" w:space="0" w:color="auto"/>
              <w:bottom w:val="double" w:sz="4" w:space="0" w:color="auto"/>
              <w:right w:val="double" w:sz="4" w:space="0" w:color="auto"/>
            </w:tcBorders>
            <w:shd w:val="clear" w:color="auto" w:fill="auto"/>
            <w:noWrap/>
            <w:vAlign w:val="center"/>
          </w:tcPr>
          <w:p w14:paraId="426CC2DD" w14:textId="77777777" w:rsidR="00ED063B" w:rsidRPr="00A462DA" w:rsidRDefault="00ED063B" w:rsidP="00DA4159">
            <w:pPr>
              <w:spacing w:after="0" w:line="240" w:lineRule="auto"/>
              <w:jc w:val="right"/>
              <w:rPr>
                <w:color w:val="000000"/>
                <w:sz w:val="20"/>
                <w:szCs w:val="20"/>
              </w:rPr>
            </w:pPr>
            <w:r w:rsidRPr="00A462DA">
              <w:rPr>
                <w:color w:val="000000"/>
                <w:sz w:val="20"/>
                <w:szCs w:val="20"/>
              </w:rPr>
              <w:t>4.60</w:t>
            </w:r>
          </w:p>
        </w:tc>
        <w:tc>
          <w:tcPr>
            <w:tcW w:w="810" w:type="dxa"/>
            <w:tcBorders>
              <w:top w:val="nil"/>
              <w:left w:val="nil"/>
              <w:bottom w:val="double" w:sz="4" w:space="0" w:color="auto"/>
              <w:right w:val="single" w:sz="4" w:space="0" w:color="auto"/>
            </w:tcBorders>
            <w:shd w:val="clear" w:color="auto" w:fill="auto"/>
            <w:vAlign w:val="center"/>
          </w:tcPr>
          <w:p w14:paraId="617C64C9" w14:textId="77777777" w:rsidR="00ED063B" w:rsidRPr="00A462DA" w:rsidRDefault="00ED063B" w:rsidP="00DA4159">
            <w:pPr>
              <w:spacing w:after="0" w:line="240" w:lineRule="auto"/>
              <w:jc w:val="right"/>
              <w:rPr>
                <w:color w:val="000000"/>
                <w:sz w:val="20"/>
                <w:szCs w:val="20"/>
              </w:rPr>
            </w:pPr>
            <w:r w:rsidRPr="00A462DA">
              <w:rPr>
                <w:color w:val="000000"/>
                <w:sz w:val="20"/>
                <w:szCs w:val="20"/>
              </w:rPr>
              <w:t>-0.391</w:t>
            </w:r>
          </w:p>
        </w:tc>
        <w:tc>
          <w:tcPr>
            <w:tcW w:w="720" w:type="dxa"/>
            <w:tcBorders>
              <w:top w:val="nil"/>
              <w:left w:val="nil"/>
              <w:bottom w:val="double" w:sz="4" w:space="0" w:color="auto"/>
              <w:right w:val="double" w:sz="4" w:space="0" w:color="auto"/>
            </w:tcBorders>
            <w:shd w:val="clear" w:color="auto" w:fill="auto"/>
            <w:vAlign w:val="center"/>
          </w:tcPr>
          <w:p w14:paraId="7C335E50" w14:textId="77777777" w:rsidR="00ED063B" w:rsidRPr="00A462DA" w:rsidRDefault="00ED063B" w:rsidP="00DA4159">
            <w:pPr>
              <w:spacing w:after="0" w:line="240" w:lineRule="auto"/>
              <w:jc w:val="right"/>
              <w:rPr>
                <w:color w:val="000000"/>
                <w:sz w:val="20"/>
                <w:szCs w:val="20"/>
              </w:rPr>
            </w:pPr>
            <w:r w:rsidRPr="00A462DA">
              <w:rPr>
                <w:color w:val="000000"/>
                <w:sz w:val="20"/>
                <w:szCs w:val="20"/>
              </w:rPr>
              <w:t>-1.49</w:t>
            </w:r>
          </w:p>
        </w:tc>
      </w:tr>
      <w:tr w:rsidR="00ED063B" w:rsidRPr="00A462DA" w14:paraId="1DFA32D1" w14:textId="77777777" w:rsidTr="008B31DB">
        <w:trPr>
          <w:trHeight w:val="274"/>
          <w:jc w:val="center"/>
        </w:trPr>
        <w:tc>
          <w:tcPr>
            <w:tcW w:w="5310" w:type="dxa"/>
            <w:tcBorders>
              <w:top w:val="double" w:sz="4" w:space="0" w:color="auto"/>
              <w:left w:val="double" w:sz="4" w:space="0" w:color="auto"/>
              <w:right w:val="double" w:sz="4" w:space="0" w:color="auto"/>
            </w:tcBorders>
            <w:shd w:val="clear" w:color="auto" w:fill="auto"/>
            <w:noWrap/>
            <w:vAlign w:val="center"/>
          </w:tcPr>
          <w:p w14:paraId="3C14B235" w14:textId="77777777" w:rsidR="00ED063B" w:rsidRPr="00814E2F" w:rsidRDefault="00ED063B" w:rsidP="00DA4159">
            <w:pPr>
              <w:spacing w:after="0" w:line="240" w:lineRule="auto"/>
              <w:rPr>
                <w:rFonts w:eastAsia="Times New Roman"/>
                <w:b/>
                <w:bCs/>
                <w:iCs/>
                <w:sz w:val="19"/>
                <w:szCs w:val="19"/>
                <w:u w:val="single"/>
              </w:rPr>
            </w:pPr>
            <w:r w:rsidRPr="00814E2F">
              <w:rPr>
                <w:rFonts w:eastAsia="Times New Roman"/>
                <w:b/>
                <w:bCs/>
                <w:iCs/>
                <w:sz w:val="19"/>
                <w:szCs w:val="19"/>
                <w:u w:val="single"/>
              </w:rPr>
              <w:t>Satiation Parameter Estimates</w:t>
            </w:r>
          </w:p>
        </w:tc>
        <w:tc>
          <w:tcPr>
            <w:tcW w:w="794" w:type="dxa"/>
            <w:tcBorders>
              <w:top w:val="double" w:sz="4" w:space="0" w:color="auto"/>
              <w:left w:val="double" w:sz="4" w:space="0" w:color="auto"/>
              <w:right w:val="single" w:sz="4" w:space="0" w:color="auto"/>
            </w:tcBorders>
            <w:shd w:val="clear" w:color="auto" w:fill="auto"/>
            <w:noWrap/>
            <w:vAlign w:val="center"/>
          </w:tcPr>
          <w:p w14:paraId="01057B04" w14:textId="77777777" w:rsidR="00ED063B" w:rsidRPr="00A462DA" w:rsidRDefault="00ED063B" w:rsidP="00DA4159">
            <w:pPr>
              <w:spacing w:after="0" w:line="240" w:lineRule="auto"/>
              <w:jc w:val="right"/>
              <w:rPr>
                <w:rFonts w:eastAsia="Times New Roman"/>
                <w:sz w:val="20"/>
                <w:szCs w:val="20"/>
              </w:rPr>
            </w:pPr>
          </w:p>
        </w:tc>
        <w:tc>
          <w:tcPr>
            <w:tcW w:w="720" w:type="dxa"/>
            <w:tcBorders>
              <w:top w:val="double" w:sz="4" w:space="0" w:color="auto"/>
              <w:left w:val="single" w:sz="4" w:space="0" w:color="auto"/>
              <w:right w:val="double" w:sz="4" w:space="0" w:color="auto"/>
            </w:tcBorders>
            <w:shd w:val="clear" w:color="auto" w:fill="auto"/>
            <w:noWrap/>
            <w:vAlign w:val="center"/>
          </w:tcPr>
          <w:p w14:paraId="4A4D012C" w14:textId="77777777" w:rsidR="00ED063B" w:rsidRPr="00A462DA" w:rsidRDefault="00ED063B" w:rsidP="00DA4159">
            <w:pPr>
              <w:spacing w:after="0" w:line="240" w:lineRule="auto"/>
              <w:jc w:val="right"/>
              <w:rPr>
                <w:rFonts w:eastAsia="Times New Roman"/>
                <w:sz w:val="20"/>
                <w:szCs w:val="20"/>
              </w:rPr>
            </w:pPr>
          </w:p>
        </w:tc>
        <w:tc>
          <w:tcPr>
            <w:tcW w:w="810" w:type="dxa"/>
            <w:tcBorders>
              <w:top w:val="double" w:sz="4" w:space="0" w:color="auto"/>
              <w:left w:val="double" w:sz="4" w:space="0" w:color="auto"/>
              <w:right w:val="single" w:sz="4" w:space="0" w:color="auto"/>
            </w:tcBorders>
            <w:shd w:val="clear" w:color="auto" w:fill="auto"/>
            <w:noWrap/>
            <w:vAlign w:val="center"/>
          </w:tcPr>
          <w:p w14:paraId="0732E216" w14:textId="77777777" w:rsidR="00ED063B" w:rsidRPr="00A462DA" w:rsidRDefault="00ED063B" w:rsidP="00DA4159">
            <w:pPr>
              <w:spacing w:after="0" w:line="240" w:lineRule="auto"/>
              <w:jc w:val="right"/>
              <w:rPr>
                <w:sz w:val="20"/>
                <w:szCs w:val="20"/>
              </w:rPr>
            </w:pPr>
          </w:p>
        </w:tc>
        <w:tc>
          <w:tcPr>
            <w:tcW w:w="724" w:type="dxa"/>
            <w:tcBorders>
              <w:top w:val="double" w:sz="4" w:space="0" w:color="auto"/>
              <w:left w:val="single" w:sz="4" w:space="0" w:color="auto"/>
              <w:right w:val="double" w:sz="4" w:space="0" w:color="auto"/>
            </w:tcBorders>
            <w:shd w:val="clear" w:color="auto" w:fill="auto"/>
            <w:noWrap/>
            <w:vAlign w:val="center"/>
          </w:tcPr>
          <w:p w14:paraId="4618108D" w14:textId="77777777" w:rsidR="00ED063B" w:rsidRPr="00A462DA" w:rsidRDefault="00ED063B" w:rsidP="00DA4159">
            <w:pPr>
              <w:spacing w:after="0" w:line="240" w:lineRule="auto"/>
              <w:jc w:val="right"/>
              <w:rPr>
                <w:sz w:val="20"/>
                <w:szCs w:val="20"/>
              </w:rPr>
            </w:pPr>
          </w:p>
        </w:tc>
        <w:tc>
          <w:tcPr>
            <w:tcW w:w="810" w:type="dxa"/>
            <w:tcBorders>
              <w:top w:val="double" w:sz="4" w:space="0" w:color="auto"/>
              <w:left w:val="nil"/>
              <w:right w:val="single" w:sz="4" w:space="0" w:color="auto"/>
            </w:tcBorders>
            <w:shd w:val="clear" w:color="auto" w:fill="auto"/>
            <w:vAlign w:val="center"/>
          </w:tcPr>
          <w:p w14:paraId="243FD1A8" w14:textId="77777777" w:rsidR="00ED063B" w:rsidRPr="00A462DA" w:rsidRDefault="00ED063B" w:rsidP="00DA4159">
            <w:pPr>
              <w:spacing w:after="0" w:line="240" w:lineRule="auto"/>
              <w:jc w:val="right"/>
              <w:rPr>
                <w:sz w:val="20"/>
                <w:szCs w:val="20"/>
              </w:rPr>
            </w:pPr>
          </w:p>
        </w:tc>
        <w:tc>
          <w:tcPr>
            <w:tcW w:w="720" w:type="dxa"/>
            <w:tcBorders>
              <w:top w:val="double" w:sz="4" w:space="0" w:color="auto"/>
              <w:left w:val="nil"/>
              <w:right w:val="double" w:sz="4" w:space="0" w:color="auto"/>
            </w:tcBorders>
            <w:shd w:val="clear" w:color="auto" w:fill="auto"/>
            <w:vAlign w:val="center"/>
          </w:tcPr>
          <w:p w14:paraId="3F5AEB1B" w14:textId="77777777" w:rsidR="00ED063B" w:rsidRPr="00A462DA" w:rsidRDefault="00ED063B" w:rsidP="00DA4159">
            <w:pPr>
              <w:spacing w:after="0" w:line="240" w:lineRule="auto"/>
              <w:jc w:val="right"/>
              <w:rPr>
                <w:sz w:val="20"/>
                <w:szCs w:val="20"/>
              </w:rPr>
            </w:pPr>
          </w:p>
        </w:tc>
      </w:tr>
      <w:tr w:rsidR="00ED063B" w:rsidRPr="00A462DA" w14:paraId="43B45D17" w14:textId="77777777" w:rsidTr="008B31DB">
        <w:trPr>
          <w:trHeight w:val="274"/>
          <w:jc w:val="center"/>
        </w:trPr>
        <w:tc>
          <w:tcPr>
            <w:tcW w:w="5310" w:type="dxa"/>
            <w:tcBorders>
              <w:top w:val="nil"/>
              <w:left w:val="double" w:sz="4" w:space="0" w:color="auto"/>
              <w:right w:val="double" w:sz="4" w:space="0" w:color="auto"/>
            </w:tcBorders>
            <w:shd w:val="clear" w:color="auto" w:fill="auto"/>
            <w:noWrap/>
            <w:vAlign w:val="center"/>
          </w:tcPr>
          <w:p w14:paraId="227C44C2" w14:textId="77777777" w:rsidR="00ED063B" w:rsidRPr="00814E2F" w:rsidRDefault="00ED063B" w:rsidP="00DA4159">
            <w:pPr>
              <w:spacing w:after="0" w:line="240" w:lineRule="auto"/>
              <w:rPr>
                <w:rFonts w:eastAsia="Times New Roman"/>
                <w:sz w:val="19"/>
                <w:szCs w:val="19"/>
                <w:u w:val="single"/>
              </w:rPr>
            </w:pPr>
            <w:r w:rsidRPr="00814E2F">
              <w:rPr>
                <w:rFonts w:eastAsia="Times New Roman"/>
                <w:b/>
                <w:bCs/>
                <w:i/>
                <w:iCs/>
                <w:sz w:val="19"/>
                <w:szCs w:val="19"/>
                <w:u w:val="single"/>
              </w:rPr>
              <w:t>Individual-level Characteristics</w:t>
            </w:r>
          </w:p>
        </w:tc>
        <w:tc>
          <w:tcPr>
            <w:tcW w:w="794" w:type="dxa"/>
            <w:tcBorders>
              <w:top w:val="nil"/>
              <w:left w:val="double" w:sz="4" w:space="0" w:color="auto"/>
              <w:right w:val="single" w:sz="4" w:space="0" w:color="auto"/>
            </w:tcBorders>
            <w:shd w:val="clear" w:color="auto" w:fill="auto"/>
            <w:noWrap/>
            <w:vAlign w:val="center"/>
          </w:tcPr>
          <w:p w14:paraId="14668F3C" w14:textId="77777777" w:rsidR="00ED063B" w:rsidRPr="00A462DA" w:rsidRDefault="00ED063B" w:rsidP="00DA4159">
            <w:pPr>
              <w:spacing w:after="0" w:line="240" w:lineRule="auto"/>
              <w:jc w:val="right"/>
              <w:rPr>
                <w:rFonts w:eastAsia="Times New Roman"/>
                <w:sz w:val="20"/>
                <w:szCs w:val="20"/>
              </w:rPr>
            </w:pPr>
          </w:p>
        </w:tc>
        <w:tc>
          <w:tcPr>
            <w:tcW w:w="720" w:type="dxa"/>
            <w:tcBorders>
              <w:top w:val="nil"/>
              <w:left w:val="single" w:sz="4" w:space="0" w:color="auto"/>
              <w:right w:val="double" w:sz="4" w:space="0" w:color="auto"/>
            </w:tcBorders>
            <w:shd w:val="clear" w:color="auto" w:fill="auto"/>
            <w:noWrap/>
            <w:vAlign w:val="center"/>
          </w:tcPr>
          <w:p w14:paraId="3D91B296" w14:textId="77777777" w:rsidR="00ED063B" w:rsidRPr="00A462DA" w:rsidRDefault="00ED063B" w:rsidP="00DA4159">
            <w:pPr>
              <w:spacing w:after="0" w:line="240" w:lineRule="auto"/>
              <w:jc w:val="right"/>
              <w:rPr>
                <w:rFonts w:eastAsia="Times New Roman"/>
                <w:sz w:val="20"/>
                <w:szCs w:val="20"/>
              </w:rPr>
            </w:pPr>
          </w:p>
        </w:tc>
        <w:tc>
          <w:tcPr>
            <w:tcW w:w="810" w:type="dxa"/>
            <w:tcBorders>
              <w:top w:val="nil"/>
              <w:left w:val="double" w:sz="4" w:space="0" w:color="auto"/>
              <w:right w:val="single" w:sz="4" w:space="0" w:color="auto"/>
            </w:tcBorders>
            <w:shd w:val="clear" w:color="auto" w:fill="auto"/>
            <w:noWrap/>
            <w:vAlign w:val="center"/>
          </w:tcPr>
          <w:p w14:paraId="197CEA67" w14:textId="77777777" w:rsidR="00ED063B" w:rsidRPr="00A462DA" w:rsidRDefault="00ED063B" w:rsidP="00DA4159">
            <w:pPr>
              <w:spacing w:after="0" w:line="240" w:lineRule="auto"/>
              <w:jc w:val="right"/>
              <w:rPr>
                <w:rFonts w:eastAsia="Times New Roman"/>
                <w:sz w:val="20"/>
                <w:szCs w:val="20"/>
              </w:rPr>
            </w:pPr>
          </w:p>
        </w:tc>
        <w:tc>
          <w:tcPr>
            <w:tcW w:w="724" w:type="dxa"/>
            <w:tcBorders>
              <w:top w:val="nil"/>
              <w:left w:val="single" w:sz="4" w:space="0" w:color="auto"/>
              <w:right w:val="double" w:sz="4" w:space="0" w:color="auto"/>
            </w:tcBorders>
            <w:shd w:val="clear" w:color="auto" w:fill="auto"/>
            <w:noWrap/>
            <w:vAlign w:val="center"/>
          </w:tcPr>
          <w:p w14:paraId="683936F3" w14:textId="77777777" w:rsidR="00ED063B" w:rsidRPr="00A462DA" w:rsidRDefault="00ED063B" w:rsidP="00DA4159">
            <w:pPr>
              <w:spacing w:after="0" w:line="240" w:lineRule="auto"/>
              <w:jc w:val="right"/>
              <w:rPr>
                <w:rFonts w:eastAsia="Times New Roman"/>
                <w:sz w:val="20"/>
                <w:szCs w:val="20"/>
              </w:rPr>
            </w:pPr>
          </w:p>
        </w:tc>
        <w:tc>
          <w:tcPr>
            <w:tcW w:w="810" w:type="dxa"/>
            <w:tcBorders>
              <w:top w:val="nil"/>
              <w:left w:val="nil"/>
              <w:right w:val="single" w:sz="4" w:space="0" w:color="auto"/>
            </w:tcBorders>
            <w:shd w:val="clear" w:color="auto" w:fill="auto"/>
            <w:vAlign w:val="center"/>
          </w:tcPr>
          <w:p w14:paraId="75FDF7B1" w14:textId="77777777" w:rsidR="00ED063B" w:rsidRPr="00A462DA" w:rsidRDefault="00ED063B" w:rsidP="00DA4159">
            <w:pPr>
              <w:spacing w:after="0" w:line="240" w:lineRule="auto"/>
              <w:jc w:val="right"/>
              <w:rPr>
                <w:rFonts w:eastAsia="Times New Roman"/>
                <w:sz w:val="20"/>
                <w:szCs w:val="20"/>
              </w:rPr>
            </w:pPr>
          </w:p>
        </w:tc>
        <w:tc>
          <w:tcPr>
            <w:tcW w:w="720" w:type="dxa"/>
            <w:tcBorders>
              <w:top w:val="nil"/>
              <w:left w:val="nil"/>
              <w:right w:val="double" w:sz="4" w:space="0" w:color="auto"/>
            </w:tcBorders>
            <w:shd w:val="clear" w:color="auto" w:fill="auto"/>
            <w:vAlign w:val="center"/>
          </w:tcPr>
          <w:p w14:paraId="2B144553" w14:textId="77777777" w:rsidR="00ED063B" w:rsidRPr="00A462DA" w:rsidRDefault="00ED063B" w:rsidP="00DA4159">
            <w:pPr>
              <w:spacing w:after="0" w:line="240" w:lineRule="auto"/>
              <w:jc w:val="right"/>
              <w:rPr>
                <w:rFonts w:eastAsia="Times New Roman"/>
                <w:sz w:val="20"/>
                <w:szCs w:val="20"/>
              </w:rPr>
            </w:pPr>
          </w:p>
        </w:tc>
      </w:tr>
      <w:tr w:rsidR="00ED063B" w:rsidRPr="00A462DA" w14:paraId="061BB37E" w14:textId="77777777" w:rsidTr="008B31DB">
        <w:trPr>
          <w:trHeight w:val="274"/>
          <w:jc w:val="center"/>
        </w:trPr>
        <w:tc>
          <w:tcPr>
            <w:tcW w:w="5310" w:type="dxa"/>
            <w:tcBorders>
              <w:top w:val="nil"/>
              <w:left w:val="double" w:sz="4" w:space="0" w:color="auto"/>
              <w:right w:val="double" w:sz="4" w:space="0" w:color="auto"/>
            </w:tcBorders>
            <w:shd w:val="clear" w:color="auto" w:fill="auto"/>
            <w:noWrap/>
            <w:vAlign w:val="center"/>
          </w:tcPr>
          <w:p w14:paraId="79641052" w14:textId="77777777" w:rsidR="00ED063B" w:rsidRPr="00814E2F" w:rsidRDefault="00ED063B" w:rsidP="00DA4159">
            <w:pPr>
              <w:spacing w:after="0" w:line="240" w:lineRule="auto"/>
              <w:rPr>
                <w:rFonts w:eastAsia="Times New Roman"/>
                <w:b/>
                <w:bCs/>
                <w:i/>
                <w:iCs/>
                <w:sz w:val="19"/>
                <w:szCs w:val="19"/>
                <w:u w:val="single"/>
              </w:rPr>
            </w:pPr>
            <w:r w:rsidRPr="00814E2F">
              <w:rPr>
                <w:rFonts w:eastAsia="Times New Roman"/>
                <w:b/>
                <w:bCs/>
                <w:sz w:val="19"/>
                <w:szCs w:val="19"/>
              </w:rPr>
              <w:t>Gender (male)</w:t>
            </w:r>
          </w:p>
        </w:tc>
        <w:tc>
          <w:tcPr>
            <w:tcW w:w="794" w:type="dxa"/>
            <w:tcBorders>
              <w:top w:val="nil"/>
              <w:left w:val="double" w:sz="4" w:space="0" w:color="auto"/>
              <w:right w:val="single" w:sz="4" w:space="0" w:color="auto"/>
            </w:tcBorders>
            <w:shd w:val="clear" w:color="auto" w:fill="auto"/>
            <w:noWrap/>
            <w:vAlign w:val="center"/>
          </w:tcPr>
          <w:p w14:paraId="0ED3193F" w14:textId="77777777" w:rsidR="00ED063B" w:rsidRPr="00A462DA" w:rsidRDefault="00ED063B" w:rsidP="00DA4159">
            <w:pPr>
              <w:spacing w:after="0" w:line="240" w:lineRule="auto"/>
              <w:jc w:val="right"/>
              <w:rPr>
                <w:rFonts w:eastAsia="Times New Roman"/>
                <w:sz w:val="20"/>
                <w:szCs w:val="20"/>
              </w:rPr>
            </w:pPr>
          </w:p>
        </w:tc>
        <w:tc>
          <w:tcPr>
            <w:tcW w:w="720" w:type="dxa"/>
            <w:tcBorders>
              <w:top w:val="nil"/>
              <w:left w:val="single" w:sz="4" w:space="0" w:color="auto"/>
              <w:right w:val="double" w:sz="4" w:space="0" w:color="auto"/>
            </w:tcBorders>
            <w:shd w:val="clear" w:color="auto" w:fill="auto"/>
            <w:noWrap/>
            <w:vAlign w:val="center"/>
          </w:tcPr>
          <w:p w14:paraId="537C3850" w14:textId="77777777" w:rsidR="00ED063B" w:rsidRPr="00A462DA" w:rsidRDefault="00ED063B" w:rsidP="00DA4159">
            <w:pPr>
              <w:spacing w:after="0" w:line="240" w:lineRule="auto"/>
              <w:jc w:val="right"/>
              <w:rPr>
                <w:rFonts w:eastAsia="Times New Roman"/>
                <w:sz w:val="20"/>
                <w:szCs w:val="20"/>
              </w:rPr>
            </w:pPr>
          </w:p>
        </w:tc>
        <w:tc>
          <w:tcPr>
            <w:tcW w:w="810" w:type="dxa"/>
            <w:tcBorders>
              <w:top w:val="nil"/>
              <w:left w:val="double" w:sz="4" w:space="0" w:color="auto"/>
              <w:right w:val="single" w:sz="4" w:space="0" w:color="auto"/>
            </w:tcBorders>
            <w:shd w:val="clear" w:color="auto" w:fill="auto"/>
            <w:noWrap/>
            <w:vAlign w:val="center"/>
          </w:tcPr>
          <w:p w14:paraId="5F893844" w14:textId="77777777" w:rsidR="00ED063B" w:rsidRPr="00A462DA" w:rsidRDefault="00ED063B" w:rsidP="00DA4159">
            <w:pPr>
              <w:spacing w:after="0" w:line="240" w:lineRule="auto"/>
              <w:jc w:val="right"/>
              <w:rPr>
                <w:rFonts w:eastAsia="Times New Roman"/>
                <w:sz w:val="20"/>
                <w:szCs w:val="20"/>
              </w:rPr>
            </w:pPr>
          </w:p>
        </w:tc>
        <w:tc>
          <w:tcPr>
            <w:tcW w:w="724" w:type="dxa"/>
            <w:tcBorders>
              <w:top w:val="nil"/>
              <w:left w:val="single" w:sz="4" w:space="0" w:color="auto"/>
              <w:right w:val="double" w:sz="4" w:space="0" w:color="auto"/>
            </w:tcBorders>
            <w:shd w:val="clear" w:color="auto" w:fill="auto"/>
            <w:noWrap/>
            <w:vAlign w:val="center"/>
          </w:tcPr>
          <w:p w14:paraId="2E40756D" w14:textId="77777777" w:rsidR="00ED063B" w:rsidRPr="00A462DA" w:rsidRDefault="00ED063B" w:rsidP="00DA4159">
            <w:pPr>
              <w:spacing w:after="0" w:line="240" w:lineRule="auto"/>
              <w:jc w:val="right"/>
              <w:rPr>
                <w:rFonts w:eastAsia="Times New Roman"/>
                <w:sz w:val="20"/>
                <w:szCs w:val="20"/>
              </w:rPr>
            </w:pPr>
          </w:p>
        </w:tc>
        <w:tc>
          <w:tcPr>
            <w:tcW w:w="810" w:type="dxa"/>
            <w:tcBorders>
              <w:top w:val="nil"/>
              <w:left w:val="nil"/>
              <w:right w:val="single" w:sz="4" w:space="0" w:color="auto"/>
            </w:tcBorders>
            <w:shd w:val="clear" w:color="auto" w:fill="auto"/>
            <w:vAlign w:val="center"/>
          </w:tcPr>
          <w:p w14:paraId="79E59F93" w14:textId="77777777" w:rsidR="00ED063B" w:rsidRPr="00A462DA" w:rsidRDefault="00ED063B" w:rsidP="00DA4159">
            <w:pPr>
              <w:spacing w:after="0" w:line="240" w:lineRule="auto"/>
              <w:jc w:val="right"/>
              <w:rPr>
                <w:rFonts w:eastAsia="Times New Roman"/>
                <w:sz w:val="20"/>
                <w:szCs w:val="20"/>
              </w:rPr>
            </w:pPr>
          </w:p>
        </w:tc>
        <w:tc>
          <w:tcPr>
            <w:tcW w:w="720" w:type="dxa"/>
            <w:tcBorders>
              <w:top w:val="nil"/>
              <w:left w:val="nil"/>
              <w:right w:val="double" w:sz="4" w:space="0" w:color="auto"/>
            </w:tcBorders>
            <w:shd w:val="clear" w:color="auto" w:fill="auto"/>
            <w:vAlign w:val="center"/>
          </w:tcPr>
          <w:p w14:paraId="7927C774" w14:textId="77777777" w:rsidR="00ED063B" w:rsidRPr="00A462DA" w:rsidRDefault="00ED063B" w:rsidP="00DA4159">
            <w:pPr>
              <w:spacing w:after="0" w:line="240" w:lineRule="auto"/>
              <w:jc w:val="right"/>
              <w:rPr>
                <w:rFonts w:eastAsia="Times New Roman"/>
                <w:sz w:val="20"/>
                <w:szCs w:val="20"/>
              </w:rPr>
            </w:pPr>
          </w:p>
        </w:tc>
      </w:tr>
      <w:tr w:rsidR="00ED063B" w:rsidRPr="00A462DA" w14:paraId="091980BE" w14:textId="77777777" w:rsidTr="008B31DB">
        <w:trPr>
          <w:trHeight w:val="274"/>
          <w:jc w:val="center"/>
        </w:trPr>
        <w:tc>
          <w:tcPr>
            <w:tcW w:w="5310" w:type="dxa"/>
            <w:tcBorders>
              <w:top w:val="nil"/>
              <w:left w:val="double" w:sz="4" w:space="0" w:color="auto"/>
              <w:right w:val="double" w:sz="4" w:space="0" w:color="auto"/>
            </w:tcBorders>
            <w:shd w:val="clear" w:color="auto" w:fill="auto"/>
            <w:noWrap/>
            <w:vAlign w:val="center"/>
          </w:tcPr>
          <w:p w14:paraId="6FC269DF" w14:textId="0FA86F09" w:rsidR="00ED063B" w:rsidRPr="00814E2F" w:rsidRDefault="00ED063B" w:rsidP="00DA4159">
            <w:pPr>
              <w:spacing w:after="0" w:line="240" w:lineRule="auto"/>
              <w:rPr>
                <w:rFonts w:eastAsia="Times New Roman"/>
                <w:b/>
                <w:bCs/>
                <w:i/>
                <w:iCs/>
                <w:sz w:val="19"/>
                <w:szCs w:val="19"/>
                <w:u w:val="single"/>
              </w:rPr>
            </w:pPr>
            <w:r w:rsidRPr="00814E2F">
              <w:rPr>
                <w:rFonts w:eastAsia="Times New Roman"/>
                <w:bCs/>
                <w:sz w:val="19"/>
                <w:szCs w:val="19"/>
              </w:rPr>
              <w:t xml:space="preserve">  </w:t>
            </w:r>
            <w:r w:rsidRPr="00814E2F">
              <w:rPr>
                <w:sz w:val="19"/>
                <w:szCs w:val="19"/>
              </w:rPr>
              <w:t xml:space="preserve">Female * Child(ren) aged 12 years or younger </w:t>
            </w:r>
            <w:r w:rsidRPr="00814E2F">
              <w:rPr>
                <w:rFonts w:eastAsia="Times New Roman"/>
                <w:bCs/>
                <w:sz w:val="19"/>
                <w:szCs w:val="19"/>
              </w:rPr>
              <w:t>* Lives with partner</w:t>
            </w:r>
          </w:p>
        </w:tc>
        <w:tc>
          <w:tcPr>
            <w:tcW w:w="794" w:type="dxa"/>
            <w:tcBorders>
              <w:top w:val="nil"/>
              <w:left w:val="double" w:sz="4" w:space="0" w:color="auto"/>
              <w:right w:val="single" w:sz="4" w:space="0" w:color="auto"/>
            </w:tcBorders>
            <w:shd w:val="clear" w:color="auto" w:fill="auto"/>
            <w:noWrap/>
            <w:vAlign w:val="center"/>
          </w:tcPr>
          <w:p w14:paraId="106478D7" w14:textId="77777777" w:rsidR="00ED063B" w:rsidRPr="00A462DA" w:rsidRDefault="00ED063B" w:rsidP="00DA4159">
            <w:pPr>
              <w:spacing w:after="0" w:line="240" w:lineRule="auto"/>
              <w:jc w:val="right"/>
              <w:rPr>
                <w:rFonts w:eastAsia="Times New Roman"/>
                <w:sz w:val="20"/>
                <w:szCs w:val="20"/>
              </w:rPr>
            </w:pPr>
            <w:r w:rsidRPr="00A462DA">
              <w:rPr>
                <w:sz w:val="20"/>
                <w:szCs w:val="20"/>
              </w:rPr>
              <w:t>--</w:t>
            </w:r>
          </w:p>
        </w:tc>
        <w:tc>
          <w:tcPr>
            <w:tcW w:w="720" w:type="dxa"/>
            <w:tcBorders>
              <w:top w:val="nil"/>
              <w:left w:val="single" w:sz="4" w:space="0" w:color="auto"/>
              <w:right w:val="double" w:sz="4" w:space="0" w:color="auto"/>
            </w:tcBorders>
            <w:shd w:val="clear" w:color="auto" w:fill="auto"/>
            <w:noWrap/>
            <w:vAlign w:val="center"/>
          </w:tcPr>
          <w:p w14:paraId="797C8813" w14:textId="77777777" w:rsidR="00ED063B" w:rsidRPr="00A462DA" w:rsidRDefault="00ED063B" w:rsidP="00DA4159">
            <w:pPr>
              <w:spacing w:after="0" w:line="240" w:lineRule="auto"/>
              <w:jc w:val="right"/>
              <w:rPr>
                <w:rFonts w:eastAsia="Times New Roman"/>
                <w:sz w:val="20"/>
                <w:szCs w:val="20"/>
              </w:rPr>
            </w:pPr>
          </w:p>
        </w:tc>
        <w:tc>
          <w:tcPr>
            <w:tcW w:w="810" w:type="dxa"/>
            <w:tcBorders>
              <w:top w:val="nil"/>
              <w:left w:val="double" w:sz="4" w:space="0" w:color="auto"/>
              <w:right w:val="single" w:sz="4" w:space="0" w:color="auto"/>
            </w:tcBorders>
            <w:shd w:val="clear" w:color="auto" w:fill="auto"/>
            <w:noWrap/>
            <w:vAlign w:val="center"/>
          </w:tcPr>
          <w:p w14:paraId="397D350B" w14:textId="77777777" w:rsidR="00ED063B" w:rsidRPr="00A462DA" w:rsidRDefault="00ED063B" w:rsidP="00DA4159">
            <w:pPr>
              <w:spacing w:after="0" w:line="240" w:lineRule="auto"/>
              <w:jc w:val="right"/>
              <w:rPr>
                <w:rFonts w:eastAsia="Times New Roman"/>
                <w:sz w:val="20"/>
                <w:szCs w:val="20"/>
              </w:rPr>
            </w:pPr>
            <w:r w:rsidRPr="00A462DA">
              <w:rPr>
                <w:color w:val="000000"/>
                <w:sz w:val="20"/>
                <w:szCs w:val="20"/>
              </w:rPr>
              <w:t>-0.556</w:t>
            </w:r>
          </w:p>
        </w:tc>
        <w:tc>
          <w:tcPr>
            <w:tcW w:w="724" w:type="dxa"/>
            <w:tcBorders>
              <w:top w:val="nil"/>
              <w:left w:val="single" w:sz="4" w:space="0" w:color="auto"/>
              <w:right w:val="double" w:sz="4" w:space="0" w:color="auto"/>
            </w:tcBorders>
            <w:shd w:val="clear" w:color="auto" w:fill="auto"/>
            <w:noWrap/>
            <w:vAlign w:val="center"/>
          </w:tcPr>
          <w:p w14:paraId="1368AF74" w14:textId="77777777" w:rsidR="00ED063B" w:rsidRPr="00A462DA" w:rsidRDefault="00ED063B" w:rsidP="00DA4159">
            <w:pPr>
              <w:spacing w:after="0" w:line="240" w:lineRule="auto"/>
              <w:jc w:val="right"/>
              <w:rPr>
                <w:rFonts w:eastAsia="Times New Roman"/>
                <w:sz w:val="20"/>
                <w:szCs w:val="20"/>
              </w:rPr>
            </w:pPr>
            <w:r w:rsidRPr="00A462DA">
              <w:rPr>
                <w:color w:val="000000"/>
                <w:sz w:val="20"/>
                <w:szCs w:val="20"/>
              </w:rPr>
              <w:t>-2.64</w:t>
            </w:r>
          </w:p>
        </w:tc>
        <w:tc>
          <w:tcPr>
            <w:tcW w:w="810" w:type="dxa"/>
            <w:tcBorders>
              <w:top w:val="nil"/>
              <w:left w:val="nil"/>
              <w:right w:val="single" w:sz="4" w:space="0" w:color="auto"/>
            </w:tcBorders>
            <w:shd w:val="clear" w:color="auto" w:fill="auto"/>
            <w:vAlign w:val="center"/>
          </w:tcPr>
          <w:p w14:paraId="321FC16B" w14:textId="77777777" w:rsidR="00ED063B" w:rsidRPr="00A462DA" w:rsidRDefault="00ED063B" w:rsidP="00DA4159">
            <w:pPr>
              <w:spacing w:after="0" w:line="240" w:lineRule="auto"/>
              <w:jc w:val="right"/>
              <w:rPr>
                <w:rFonts w:eastAsia="Times New Roman"/>
                <w:sz w:val="20"/>
                <w:szCs w:val="20"/>
              </w:rPr>
            </w:pPr>
            <w:r w:rsidRPr="00A462DA">
              <w:rPr>
                <w:sz w:val="20"/>
                <w:szCs w:val="20"/>
              </w:rPr>
              <w:t>--</w:t>
            </w:r>
          </w:p>
        </w:tc>
        <w:tc>
          <w:tcPr>
            <w:tcW w:w="720" w:type="dxa"/>
            <w:tcBorders>
              <w:top w:val="nil"/>
              <w:left w:val="nil"/>
              <w:right w:val="double" w:sz="4" w:space="0" w:color="auto"/>
            </w:tcBorders>
            <w:shd w:val="clear" w:color="auto" w:fill="auto"/>
            <w:vAlign w:val="center"/>
          </w:tcPr>
          <w:p w14:paraId="074BFC44" w14:textId="77777777" w:rsidR="00ED063B" w:rsidRPr="00A462DA" w:rsidRDefault="00ED063B" w:rsidP="00DA4159">
            <w:pPr>
              <w:spacing w:after="0" w:line="240" w:lineRule="auto"/>
              <w:jc w:val="right"/>
              <w:rPr>
                <w:rFonts w:eastAsia="Times New Roman"/>
                <w:sz w:val="20"/>
                <w:szCs w:val="20"/>
              </w:rPr>
            </w:pPr>
          </w:p>
        </w:tc>
      </w:tr>
      <w:tr w:rsidR="00ED063B" w:rsidRPr="00A462DA" w14:paraId="64B10025" w14:textId="77777777" w:rsidTr="008B31DB">
        <w:trPr>
          <w:trHeight w:val="274"/>
          <w:jc w:val="center"/>
        </w:trPr>
        <w:tc>
          <w:tcPr>
            <w:tcW w:w="5310" w:type="dxa"/>
            <w:tcBorders>
              <w:top w:val="nil"/>
              <w:left w:val="double" w:sz="4" w:space="0" w:color="auto"/>
              <w:right w:val="double" w:sz="4" w:space="0" w:color="auto"/>
            </w:tcBorders>
            <w:shd w:val="clear" w:color="auto" w:fill="auto"/>
            <w:noWrap/>
            <w:vAlign w:val="center"/>
          </w:tcPr>
          <w:p w14:paraId="0DBB00D5" w14:textId="53B342FC" w:rsidR="00ED063B" w:rsidRPr="00814E2F" w:rsidRDefault="00ED063B" w:rsidP="00DA4159">
            <w:pPr>
              <w:spacing w:after="0" w:line="240" w:lineRule="auto"/>
              <w:rPr>
                <w:rFonts w:eastAsia="Times New Roman"/>
                <w:b/>
                <w:bCs/>
                <w:i/>
                <w:iCs/>
                <w:sz w:val="19"/>
                <w:szCs w:val="19"/>
                <w:u w:val="single"/>
              </w:rPr>
            </w:pPr>
            <w:r w:rsidRPr="00814E2F">
              <w:rPr>
                <w:rFonts w:eastAsia="Times New Roman"/>
                <w:bCs/>
                <w:sz w:val="19"/>
                <w:szCs w:val="19"/>
              </w:rPr>
              <w:t xml:space="preserve">  Female * Child(ren) aged 13 years or older * Lives with partner</w:t>
            </w:r>
          </w:p>
        </w:tc>
        <w:tc>
          <w:tcPr>
            <w:tcW w:w="794" w:type="dxa"/>
            <w:tcBorders>
              <w:top w:val="nil"/>
              <w:left w:val="double" w:sz="4" w:space="0" w:color="auto"/>
              <w:right w:val="single" w:sz="4" w:space="0" w:color="auto"/>
            </w:tcBorders>
            <w:shd w:val="clear" w:color="auto" w:fill="auto"/>
            <w:noWrap/>
            <w:vAlign w:val="center"/>
          </w:tcPr>
          <w:p w14:paraId="5A1B994F" w14:textId="77777777" w:rsidR="00ED063B" w:rsidRPr="00A462DA" w:rsidRDefault="00ED063B" w:rsidP="00DA4159">
            <w:pPr>
              <w:spacing w:after="0" w:line="240" w:lineRule="auto"/>
              <w:jc w:val="right"/>
              <w:rPr>
                <w:rFonts w:eastAsia="Times New Roman"/>
                <w:sz w:val="20"/>
                <w:szCs w:val="20"/>
              </w:rPr>
            </w:pPr>
            <w:r w:rsidRPr="00A462DA">
              <w:rPr>
                <w:sz w:val="20"/>
                <w:szCs w:val="20"/>
              </w:rPr>
              <w:t>--</w:t>
            </w:r>
          </w:p>
        </w:tc>
        <w:tc>
          <w:tcPr>
            <w:tcW w:w="720" w:type="dxa"/>
            <w:tcBorders>
              <w:top w:val="nil"/>
              <w:left w:val="single" w:sz="4" w:space="0" w:color="auto"/>
              <w:right w:val="double" w:sz="4" w:space="0" w:color="auto"/>
            </w:tcBorders>
            <w:shd w:val="clear" w:color="auto" w:fill="auto"/>
            <w:noWrap/>
            <w:vAlign w:val="center"/>
          </w:tcPr>
          <w:p w14:paraId="6FD552CC" w14:textId="77777777" w:rsidR="00ED063B" w:rsidRPr="00A462DA" w:rsidRDefault="00ED063B" w:rsidP="00DA4159">
            <w:pPr>
              <w:spacing w:after="0" w:line="240" w:lineRule="auto"/>
              <w:jc w:val="right"/>
              <w:rPr>
                <w:rFonts w:eastAsia="Times New Roman"/>
                <w:sz w:val="20"/>
                <w:szCs w:val="20"/>
              </w:rPr>
            </w:pPr>
          </w:p>
        </w:tc>
        <w:tc>
          <w:tcPr>
            <w:tcW w:w="810" w:type="dxa"/>
            <w:tcBorders>
              <w:top w:val="nil"/>
              <w:left w:val="double" w:sz="4" w:space="0" w:color="auto"/>
              <w:right w:val="single" w:sz="4" w:space="0" w:color="auto"/>
            </w:tcBorders>
            <w:shd w:val="clear" w:color="auto" w:fill="auto"/>
            <w:noWrap/>
            <w:vAlign w:val="center"/>
          </w:tcPr>
          <w:p w14:paraId="65D659E9" w14:textId="77777777" w:rsidR="00ED063B" w:rsidRPr="00A462DA" w:rsidRDefault="00ED063B" w:rsidP="00DA4159">
            <w:pPr>
              <w:spacing w:after="0" w:line="240" w:lineRule="auto"/>
              <w:jc w:val="right"/>
              <w:rPr>
                <w:rFonts w:eastAsia="Times New Roman"/>
                <w:sz w:val="20"/>
                <w:szCs w:val="20"/>
              </w:rPr>
            </w:pPr>
            <w:r w:rsidRPr="00A462DA">
              <w:rPr>
                <w:color w:val="000000"/>
                <w:sz w:val="20"/>
                <w:szCs w:val="20"/>
              </w:rPr>
              <w:t>1.294</w:t>
            </w:r>
          </w:p>
        </w:tc>
        <w:tc>
          <w:tcPr>
            <w:tcW w:w="724" w:type="dxa"/>
            <w:tcBorders>
              <w:top w:val="nil"/>
              <w:left w:val="single" w:sz="4" w:space="0" w:color="auto"/>
              <w:right w:val="double" w:sz="4" w:space="0" w:color="auto"/>
            </w:tcBorders>
            <w:shd w:val="clear" w:color="auto" w:fill="auto"/>
            <w:noWrap/>
            <w:vAlign w:val="center"/>
          </w:tcPr>
          <w:p w14:paraId="6B443EF2" w14:textId="77777777" w:rsidR="00ED063B" w:rsidRPr="00A462DA" w:rsidRDefault="00ED063B" w:rsidP="00DA4159">
            <w:pPr>
              <w:spacing w:after="0" w:line="240" w:lineRule="auto"/>
              <w:jc w:val="right"/>
              <w:rPr>
                <w:rFonts w:eastAsia="Times New Roman"/>
                <w:sz w:val="20"/>
                <w:szCs w:val="20"/>
              </w:rPr>
            </w:pPr>
            <w:r w:rsidRPr="00A462DA">
              <w:rPr>
                <w:color w:val="000000"/>
                <w:sz w:val="20"/>
                <w:szCs w:val="20"/>
              </w:rPr>
              <w:t>2.58</w:t>
            </w:r>
          </w:p>
        </w:tc>
        <w:tc>
          <w:tcPr>
            <w:tcW w:w="810" w:type="dxa"/>
            <w:tcBorders>
              <w:top w:val="nil"/>
              <w:left w:val="nil"/>
              <w:right w:val="single" w:sz="4" w:space="0" w:color="auto"/>
            </w:tcBorders>
            <w:shd w:val="clear" w:color="auto" w:fill="auto"/>
            <w:vAlign w:val="center"/>
          </w:tcPr>
          <w:p w14:paraId="342FBB0F" w14:textId="77777777" w:rsidR="00ED063B" w:rsidRPr="00A462DA" w:rsidRDefault="00ED063B" w:rsidP="00DA4159">
            <w:pPr>
              <w:spacing w:after="0" w:line="240" w:lineRule="auto"/>
              <w:jc w:val="right"/>
              <w:rPr>
                <w:rFonts w:eastAsia="Times New Roman"/>
                <w:sz w:val="20"/>
                <w:szCs w:val="20"/>
              </w:rPr>
            </w:pPr>
            <w:r w:rsidRPr="00A462DA">
              <w:rPr>
                <w:sz w:val="20"/>
                <w:szCs w:val="20"/>
              </w:rPr>
              <w:t>--</w:t>
            </w:r>
          </w:p>
        </w:tc>
        <w:tc>
          <w:tcPr>
            <w:tcW w:w="720" w:type="dxa"/>
            <w:tcBorders>
              <w:top w:val="nil"/>
              <w:left w:val="nil"/>
              <w:right w:val="double" w:sz="4" w:space="0" w:color="auto"/>
            </w:tcBorders>
            <w:shd w:val="clear" w:color="auto" w:fill="auto"/>
            <w:vAlign w:val="center"/>
          </w:tcPr>
          <w:p w14:paraId="2627ECB7" w14:textId="77777777" w:rsidR="00ED063B" w:rsidRPr="00A462DA" w:rsidRDefault="00ED063B" w:rsidP="00DA4159">
            <w:pPr>
              <w:spacing w:after="0" w:line="240" w:lineRule="auto"/>
              <w:jc w:val="right"/>
              <w:rPr>
                <w:rFonts w:eastAsia="Times New Roman"/>
                <w:sz w:val="20"/>
                <w:szCs w:val="20"/>
              </w:rPr>
            </w:pPr>
          </w:p>
        </w:tc>
      </w:tr>
      <w:tr w:rsidR="00ED063B" w:rsidRPr="00A462DA" w14:paraId="0A2D6C4F" w14:textId="77777777" w:rsidTr="008B31DB">
        <w:trPr>
          <w:trHeight w:val="274"/>
          <w:jc w:val="center"/>
        </w:trPr>
        <w:tc>
          <w:tcPr>
            <w:tcW w:w="5310" w:type="dxa"/>
            <w:tcBorders>
              <w:top w:val="nil"/>
              <w:left w:val="double" w:sz="4" w:space="0" w:color="auto"/>
              <w:right w:val="double" w:sz="4" w:space="0" w:color="auto"/>
            </w:tcBorders>
            <w:shd w:val="clear" w:color="auto" w:fill="auto"/>
            <w:noWrap/>
            <w:vAlign w:val="center"/>
          </w:tcPr>
          <w:p w14:paraId="755F7935" w14:textId="77777777" w:rsidR="00ED063B" w:rsidRPr="00814E2F" w:rsidRDefault="00ED063B" w:rsidP="00DA4159">
            <w:pPr>
              <w:spacing w:after="0" w:line="240" w:lineRule="auto"/>
              <w:rPr>
                <w:rFonts w:eastAsia="Times New Roman"/>
                <w:b/>
                <w:bCs/>
                <w:sz w:val="19"/>
                <w:szCs w:val="19"/>
              </w:rPr>
            </w:pPr>
            <w:r w:rsidRPr="00814E2F">
              <w:rPr>
                <w:rFonts w:eastAsia="Times New Roman"/>
                <w:b/>
                <w:bCs/>
                <w:sz w:val="19"/>
                <w:szCs w:val="19"/>
              </w:rPr>
              <w:t>Age (18 to 30 years old)</w:t>
            </w:r>
          </w:p>
        </w:tc>
        <w:tc>
          <w:tcPr>
            <w:tcW w:w="794" w:type="dxa"/>
            <w:tcBorders>
              <w:top w:val="nil"/>
              <w:left w:val="double" w:sz="4" w:space="0" w:color="auto"/>
              <w:right w:val="single" w:sz="4" w:space="0" w:color="auto"/>
            </w:tcBorders>
            <w:shd w:val="clear" w:color="auto" w:fill="auto"/>
            <w:noWrap/>
            <w:vAlign w:val="center"/>
          </w:tcPr>
          <w:p w14:paraId="6AB9EA6D" w14:textId="77777777" w:rsidR="00ED063B" w:rsidRPr="00A462DA" w:rsidRDefault="00ED063B" w:rsidP="00DA4159">
            <w:pPr>
              <w:spacing w:after="0" w:line="240" w:lineRule="auto"/>
              <w:jc w:val="right"/>
              <w:rPr>
                <w:rFonts w:eastAsia="Times New Roman"/>
                <w:sz w:val="20"/>
                <w:szCs w:val="20"/>
              </w:rPr>
            </w:pPr>
          </w:p>
        </w:tc>
        <w:tc>
          <w:tcPr>
            <w:tcW w:w="720" w:type="dxa"/>
            <w:tcBorders>
              <w:top w:val="nil"/>
              <w:left w:val="single" w:sz="4" w:space="0" w:color="auto"/>
              <w:right w:val="double" w:sz="4" w:space="0" w:color="auto"/>
            </w:tcBorders>
            <w:shd w:val="clear" w:color="auto" w:fill="auto"/>
            <w:noWrap/>
            <w:vAlign w:val="center"/>
          </w:tcPr>
          <w:p w14:paraId="79634151" w14:textId="77777777" w:rsidR="00ED063B" w:rsidRPr="00A462DA" w:rsidRDefault="00ED063B" w:rsidP="00DA4159">
            <w:pPr>
              <w:spacing w:after="0" w:line="240" w:lineRule="auto"/>
              <w:jc w:val="right"/>
              <w:rPr>
                <w:rFonts w:eastAsia="Times New Roman"/>
                <w:sz w:val="20"/>
                <w:szCs w:val="20"/>
              </w:rPr>
            </w:pPr>
          </w:p>
        </w:tc>
        <w:tc>
          <w:tcPr>
            <w:tcW w:w="810" w:type="dxa"/>
            <w:tcBorders>
              <w:top w:val="nil"/>
              <w:left w:val="double" w:sz="4" w:space="0" w:color="auto"/>
              <w:right w:val="single" w:sz="4" w:space="0" w:color="auto"/>
            </w:tcBorders>
            <w:shd w:val="clear" w:color="auto" w:fill="auto"/>
            <w:noWrap/>
            <w:vAlign w:val="center"/>
          </w:tcPr>
          <w:p w14:paraId="6FCDCBF1" w14:textId="77777777" w:rsidR="00ED063B" w:rsidRPr="00A462DA" w:rsidRDefault="00ED063B" w:rsidP="00DA4159">
            <w:pPr>
              <w:spacing w:after="0" w:line="240" w:lineRule="auto"/>
              <w:jc w:val="right"/>
              <w:rPr>
                <w:rFonts w:eastAsia="Times New Roman"/>
                <w:sz w:val="20"/>
                <w:szCs w:val="20"/>
              </w:rPr>
            </w:pPr>
          </w:p>
        </w:tc>
        <w:tc>
          <w:tcPr>
            <w:tcW w:w="724" w:type="dxa"/>
            <w:tcBorders>
              <w:top w:val="nil"/>
              <w:left w:val="single" w:sz="4" w:space="0" w:color="auto"/>
              <w:right w:val="double" w:sz="4" w:space="0" w:color="auto"/>
            </w:tcBorders>
            <w:shd w:val="clear" w:color="auto" w:fill="auto"/>
            <w:noWrap/>
            <w:vAlign w:val="center"/>
          </w:tcPr>
          <w:p w14:paraId="4515BEC8" w14:textId="77777777" w:rsidR="00ED063B" w:rsidRPr="00A462DA" w:rsidRDefault="00ED063B" w:rsidP="00DA4159">
            <w:pPr>
              <w:spacing w:after="0" w:line="240" w:lineRule="auto"/>
              <w:jc w:val="right"/>
              <w:rPr>
                <w:rFonts w:eastAsia="Times New Roman"/>
                <w:sz w:val="20"/>
                <w:szCs w:val="20"/>
              </w:rPr>
            </w:pPr>
          </w:p>
        </w:tc>
        <w:tc>
          <w:tcPr>
            <w:tcW w:w="810" w:type="dxa"/>
            <w:tcBorders>
              <w:top w:val="nil"/>
              <w:left w:val="nil"/>
              <w:right w:val="single" w:sz="4" w:space="0" w:color="auto"/>
            </w:tcBorders>
            <w:shd w:val="clear" w:color="auto" w:fill="auto"/>
            <w:vAlign w:val="center"/>
          </w:tcPr>
          <w:p w14:paraId="6E44DD97" w14:textId="77777777" w:rsidR="00ED063B" w:rsidRPr="00A462DA" w:rsidRDefault="00ED063B" w:rsidP="00DA4159">
            <w:pPr>
              <w:spacing w:after="0" w:line="240" w:lineRule="auto"/>
              <w:jc w:val="right"/>
              <w:rPr>
                <w:rFonts w:eastAsia="Times New Roman"/>
                <w:sz w:val="20"/>
                <w:szCs w:val="20"/>
              </w:rPr>
            </w:pPr>
          </w:p>
        </w:tc>
        <w:tc>
          <w:tcPr>
            <w:tcW w:w="720" w:type="dxa"/>
            <w:tcBorders>
              <w:top w:val="nil"/>
              <w:left w:val="nil"/>
              <w:right w:val="double" w:sz="4" w:space="0" w:color="auto"/>
            </w:tcBorders>
            <w:shd w:val="clear" w:color="auto" w:fill="auto"/>
            <w:vAlign w:val="center"/>
          </w:tcPr>
          <w:p w14:paraId="62F5C903" w14:textId="77777777" w:rsidR="00ED063B" w:rsidRPr="00A462DA" w:rsidRDefault="00ED063B" w:rsidP="00DA4159">
            <w:pPr>
              <w:spacing w:after="0" w:line="240" w:lineRule="auto"/>
              <w:jc w:val="right"/>
              <w:rPr>
                <w:rFonts w:eastAsia="Times New Roman"/>
                <w:sz w:val="20"/>
                <w:szCs w:val="20"/>
              </w:rPr>
            </w:pPr>
          </w:p>
        </w:tc>
      </w:tr>
      <w:tr w:rsidR="00ED063B" w:rsidRPr="00A462DA" w14:paraId="5F2613F0" w14:textId="77777777" w:rsidTr="008B31DB">
        <w:trPr>
          <w:trHeight w:val="274"/>
          <w:jc w:val="center"/>
        </w:trPr>
        <w:tc>
          <w:tcPr>
            <w:tcW w:w="5310" w:type="dxa"/>
            <w:tcBorders>
              <w:top w:val="nil"/>
              <w:left w:val="double" w:sz="4" w:space="0" w:color="auto"/>
              <w:right w:val="double" w:sz="4" w:space="0" w:color="auto"/>
            </w:tcBorders>
            <w:shd w:val="clear" w:color="auto" w:fill="auto"/>
            <w:noWrap/>
            <w:vAlign w:val="center"/>
          </w:tcPr>
          <w:p w14:paraId="0BA0BB9D" w14:textId="77777777" w:rsidR="00ED063B" w:rsidRPr="00814E2F" w:rsidRDefault="00ED063B" w:rsidP="00DA4159">
            <w:pPr>
              <w:spacing w:after="0" w:line="240" w:lineRule="auto"/>
              <w:rPr>
                <w:rFonts w:eastAsia="Times New Roman"/>
                <w:bCs/>
                <w:sz w:val="19"/>
                <w:szCs w:val="19"/>
              </w:rPr>
            </w:pPr>
            <w:r w:rsidRPr="00814E2F">
              <w:rPr>
                <w:rFonts w:eastAsia="Times New Roman"/>
                <w:bCs/>
                <w:sz w:val="19"/>
                <w:szCs w:val="19"/>
              </w:rPr>
              <w:t xml:space="preserve">  30 to 64 years old</w:t>
            </w:r>
          </w:p>
        </w:tc>
        <w:tc>
          <w:tcPr>
            <w:tcW w:w="794" w:type="dxa"/>
            <w:tcBorders>
              <w:top w:val="nil"/>
              <w:left w:val="double" w:sz="4" w:space="0" w:color="auto"/>
              <w:right w:val="single" w:sz="4" w:space="0" w:color="auto"/>
            </w:tcBorders>
            <w:shd w:val="clear" w:color="auto" w:fill="auto"/>
            <w:noWrap/>
            <w:vAlign w:val="center"/>
          </w:tcPr>
          <w:p w14:paraId="304A3041" w14:textId="77777777" w:rsidR="00ED063B" w:rsidRPr="00A462DA" w:rsidRDefault="00ED063B" w:rsidP="00DA4159">
            <w:pPr>
              <w:spacing w:after="0" w:line="240" w:lineRule="auto"/>
              <w:jc w:val="right"/>
              <w:rPr>
                <w:color w:val="000000"/>
                <w:sz w:val="20"/>
                <w:szCs w:val="20"/>
              </w:rPr>
            </w:pPr>
            <w:r w:rsidRPr="00A462DA">
              <w:rPr>
                <w:color w:val="000000"/>
                <w:sz w:val="20"/>
                <w:szCs w:val="20"/>
              </w:rPr>
              <w:t>0.617</w:t>
            </w:r>
          </w:p>
        </w:tc>
        <w:tc>
          <w:tcPr>
            <w:tcW w:w="720" w:type="dxa"/>
            <w:tcBorders>
              <w:top w:val="nil"/>
              <w:left w:val="single" w:sz="4" w:space="0" w:color="auto"/>
              <w:right w:val="double" w:sz="4" w:space="0" w:color="auto"/>
            </w:tcBorders>
            <w:shd w:val="clear" w:color="auto" w:fill="auto"/>
            <w:noWrap/>
            <w:vAlign w:val="center"/>
          </w:tcPr>
          <w:p w14:paraId="292A0CA0" w14:textId="77777777" w:rsidR="00ED063B" w:rsidRPr="00A462DA" w:rsidRDefault="00ED063B" w:rsidP="00DA4159">
            <w:pPr>
              <w:spacing w:after="0" w:line="240" w:lineRule="auto"/>
              <w:jc w:val="right"/>
              <w:rPr>
                <w:color w:val="000000"/>
                <w:sz w:val="20"/>
                <w:szCs w:val="20"/>
              </w:rPr>
            </w:pPr>
            <w:r w:rsidRPr="00A462DA">
              <w:rPr>
                <w:color w:val="000000"/>
                <w:sz w:val="20"/>
                <w:szCs w:val="20"/>
              </w:rPr>
              <w:t>2.60</w:t>
            </w:r>
          </w:p>
        </w:tc>
        <w:tc>
          <w:tcPr>
            <w:tcW w:w="810" w:type="dxa"/>
            <w:tcBorders>
              <w:top w:val="nil"/>
              <w:left w:val="double" w:sz="4" w:space="0" w:color="auto"/>
              <w:right w:val="single" w:sz="4" w:space="0" w:color="auto"/>
            </w:tcBorders>
            <w:shd w:val="clear" w:color="auto" w:fill="auto"/>
            <w:noWrap/>
            <w:vAlign w:val="center"/>
          </w:tcPr>
          <w:p w14:paraId="4D3315E3" w14:textId="77777777" w:rsidR="00ED063B" w:rsidRPr="00A462DA" w:rsidRDefault="00ED063B" w:rsidP="00DA4159">
            <w:pPr>
              <w:spacing w:after="0" w:line="240" w:lineRule="auto"/>
              <w:jc w:val="right"/>
              <w:rPr>
                <w:sz w:val="20"/>
                <w:szCs w:val="20"/>
              </w:rPr>
            </w:pPr>
            <w:r w:rsidRPr="00A462DA">
              <w:rPr>
                <w:sz w:val="20"/>
                <w:szCs w:val="20"/>
              </w:rPr>
              <w:t>--</w:t>
            </w:r>
          </w:p>
        </w:tc>
        <w:tc>
          <w:tcPr>
            <w:tcW w:w="724" w:type="dxa"/>
            <w:tcBorders>
              <w:top w:val="nil"/>
              <w:left w:val="single" w:sz="4" w:space="0" w:color="auto"/>
              <w:right w:val="double" w:sz="4" w:space="0" w:color="auto"/>
            </w:tcBorders>
            <w:shd w:val="clear" w:color="auto" w:fill="auto"/>
            <w:noWrap/>
            <w:vAlign w:val="center"/>
          </w:tcPr>
          <w:p w14:paraId="3BDB9569" w14:textId="77777777" w:rsidR="00ED063B" w:rsidRPr="00A462DA" w:rsidRDefault="00ED063B" w:rsidP="00DA4159">
            <w:pPr>
              <w:spacing w:after="0" w:line="240" w:lineRule="auto"/>
              <w:jc w:val="right"/>
              <w:rPr>
                <w:sz w:val="20"/>
                <w:szCs w:val="20"/>
              </w:rPr>
            </w:pPr>
          </w:p>
        </w:tc>
        <w:tc>
          <w:tcPr>
            <w:tcW w:w="810" w:type="dxa"/>
            <w:tcBorders>
              <w:top w:val="nil"/>
              <w:left w:val="nil"/>
              <w:right w:val="single" w:sz="4" w:space="0" w:color="auto"/>
            </w:tcBorders>
            <w:shd w:val="clear" w:color="auto" w:fill="auto"/>
            <w:vAlign w:val="center"/>
          </w:tcPr>
          <w:p w14:paraId="71FF9EDB" w14:textId="77777777" w:rsidR="00ED063B" w:rsidRPr="00A462DA" w:rsidRDefault="00ED063B" w:rsidP="00DA4159">
            <w:pPr>
              <w:spacing w:after="0" w:line="240" w:lineRule="auto"/>
              <w:jc w:val="right"/>
              <w:rPr>
                <w:color w:val="000000"/>
                <w:sz w:val="20"/>
                <w:szCs w:val="20"/>
              </w:rPr>
            </w:pPr>
            <w:r w:rsidRPr="00A462DA">
              <w:rPr>
                <w:color w:val="000000"/>
                <w:sz w:val="20"/>
                <w:szCs w:val="20"/>
              </w:rPr>
              <w:t>0.761</w:t>
            </w:r>
          </w:p>
        </w:tc>
        <w:tc>
          <w:tcPr>
            <w:tcW w:w="720" w:type="dxa"/>
            <w:tcBorders>
              <w:top w:val="nil"/>
              <w:left w:val="nil"/>
              <w:right w:val="double" w:sz="4" w:space="0" w:color="auto"/>
            </w:tcBorders>
            <w:shd w:val="clear" w:color="auto" w:fill="auto"/>
            <w:vAlign w:val="center"/>
          </w:tcPr>
          <w:p w14:paraId="767E1CDC" w14:textId="77777777" w:rsidR="00ED063B" w:rsidRPr="00A462DA" w:rsidRDefault="00ED063B" w:rsidP="00DA4159">
            <w:pPr>
              <w:spacing w:after="0" w:line="240" w:lineRule="auto"/>
              <w:jc w:val="right"/>
              <w:rPr>
                <w:color w:val="000000"/>
                <w:sz w:val="20"/>
                <w:szCs w:val="20"/>
              </w:rPr>
            </w:pPr>
            <w:r w:rsidRPr="00A462DA">
              <w:rPr>
                <w:color w:val="000000"/>
                <w:sz w:val="20"/>
                <w:szCs w:val="20"/>
              </w:rPr>
              <w:t>3.08</w:t>
            </w:r>
          </w:p>
        </w:tc>
      </w:tr>
      <w:tr w:rsidR="00ED063B" w:rsidRPr="00A462DA" w14:paraId="1F504525" w14:textId="77777777" w:rsidTr="008B31DB">
        <w:trPr>
          <w:trHeight w:val="274"/>
          <w:jc w:val="center"/>
        </w:trPr>
        <w:tc>
          <w:tcPr>
            <w:tcW w:w="5310" w:type="dxa"/>
            <w:tcBorders>
              <w:top w:val="nil"/>
              <w:left w:val="double" w:sz="4" w:space="0" w:color="auto"/>
              <w:right w:val="double" w:sz="4" w:space="0" w:color="auto"/>
            </w:tcBorders>
            <w:shd w:val="clear" w:color="auto" w:fill="auto"/>
            <w:noWrap/>
            <w:vAlign w:val="center"/>
          </w:tcPr>
          <w:p w14:paraId="52D7CD4E" w14:textId="77777777" w:rsidR="00ED063B" w:rsidRPr="00814E2F" w:rsidRDefault="00ED063B" w:rsidP="00DA4159">
            <w:pPr>
              <w:spacing w:after="0" w:line="240" w:lineRule="auto"/>
              <w:rPr>
                <w:rFonts w:eastAsia="Times New Roman"/>
                <w:bCs/>
                <w:sz w:val="19"/>
                <w:szCs w:val="19"/>
              </w:rPr>
            </w:pPr>
            <w:r w:rsidRPr="00814E2F">
              <w:rPr>
                <w:rFonts w:eastAsia="Times New Roman"/>
                <w:bCs/>
                <w:sz w:val="19"/>
                <w:szCs w:val="19"/>
              </w:rPr>
              <w:t xml:space="preserve">  65 and older</w:t>
            </w:r>
          </w:p>
        </w:tc>
        <w:tc>
          <w:tcPr>
            <w:tcW w:w="794" w:type="dxa"/>
            <w:tcBorders>
              <w:top w:val="nil"/>
              <w:left w:val="double" w:sz="4" w:space="0" w:color="auto"/>
              <w:right w:val="single" w:sz="4" w:space="0" w:color="auto"/>
            </w:tcBorders>
            <w:shd w:val="clear" w:color="auto" w:fill="auto"/>
            <w:noWrap/>
            <w:vAlign w:val="center"/>
          </w:tcPr>
          <w:p w14:paraId="3BEC117D" w14:textId="77777777" w:rsidR="00ED063B" w:rsidRPr="00A462DA" w:rsidRDefault="00ED063B" w:rsidP="00DA4159">
            <w:pPr>
              <w:spacing w:after="0" w:line="240" w:lineRule="auto"/>
              <w:jc w:val="right"/>
              <w:rPr>
                <w:color w:val="000000"/>
                <w:sz w:val="20"/>
                <w:szCs w:val="20"/>
              </w:rPr>
            </w:pPr>
            <w:r w:rsidRPr="00A462DA">
              <w:rPr>
                <w:color w:val="000000"/>
                <w:sz w:val="20"/>
                <w:szCs w:val="20"/>
              </w:rPr>
              <w:t>0.617</w:t>
            </w:r>
          </w:p>
        </w:tc>
        <w:tc>
          <w:tcPr>
            <w:tcW w:w="720" w:type="dxa"/>
            <w:tcBorders>
              <w:top w:val="nil"/>
              <w:left w:val="single" w:sz="4" w:space="0" w:color="auto"/>
              <w:right w:val="double" w:sz="4" w:space="0" w:color="auto"/>
            </w:tcBorders>
            <w:shd w:val="clear" w:color="auto" w:fill="auto"/>
            <w:noWrap/>
            <w:vAlign w:val="center"/>
          </w:tcPr>
          <w:p w14:paraId="6A67AE51" w14:textId="77777777" w:rsidR="00ED063B" w:rsidRPr="00A462DA" w:rsidRDefault="00ED063B" w:rsidP="00DA4159">
            <w:pPr>
              <w:spacing w:after="0" w:line="240" w:lineRule="auto"/>
              <w:jc w:val="right"/>
              <w:rPr>
                <w:color w:val="000000"/>
                <w:sz w:val="20"/>
                <w:szCs w:val="20"/>
              </w:rPr>
            </w:pPr>
            <w:r w:rsidRPr="00A462DA">
              <w:rPr>
                <w:color w:val="000000"/>
                <w:sz w:val="20"/>
                <w:szCs w:val="20"/>
              </w:rPr>
              <w:t>2.60</w:t>
            </w:r>
          </w:p>
        </w:tc>
        <w:tc>
          <w:tcPr>
            <w:tcW w:w="810" w:type="dxa"/>
            <w:tcBorders>
              <w:top w:val="nil"/>
              <w:left w:val="double" w:sz="4" w:space="0" w:color="auto"/>
              <w:right w:val="single" w:sz="4" w:space="0" w:color="auto"/>
            </w:tcBorders>
            <w:shd w:val="clear" w:color="auto" w:fill="auto"/>
            <w:noWrap/>
            <w:vAlign w:val="center"/>
          </w:tcPr>
          <w:p w14:paraId="26974553" w14:textId="77777777" w:rsidR="00ED063B" w:rsidRPr="00A462DA" w:rsidRDefault="00ED063B" w:rsidP="00DA4159">
            <w:pPr>
              <w:spacing w:after="0" w:line="240" w:lineRule="auto"/>
              <w:jc w:val="right"/>
              <w:rPr>
                <w:color w:val="000000"/>
                <w:sz w:val="20"/>
                <w:szCs w:val="20"/>
              </w:rPr>
            </w:pPr>
            <w:r w:rsidRPr="00A462DA">
              <w:rPr>
                <w:color w:val="000000"/>
                <w:sz w:val="20"/>
                <w:szCs w:val="20"/>
              </w:rPr>
              <w:t>0.550</w:t>
            </w:r>
          </w:p>
        </w:tc>
        <w:tc>
          <w:tcPr>
            <w:tcW w:w="724" w:type="dxa"/>
            <w:tcBorders>
              <w:top w:val="nil"/>
              <w:left w:val="single" w:sz="4" w:space="0" w:color="auto"/>
              <w:right w:val="double" w:sz="4" w:space="0" w:color="auto"/>
            </w:tcBorders>
            <w:shd w:val="clear" w:color="auto" w:fill="auto"/>
            <w:noWrap/>
            <w:vAlign w:val="center"/>
          </w:tcPr>
          <w:p w14:paraId="144B4A36" w14:textId="77777777" w:rsidR="00ED063B" w:rsidRPr="00A462DA" w:rsidRDefault="00ED063B" w:rsidP="00DA4159">
            <w:pPr>
              <w:spacing w:after="0" w:line="240" w:lineRule="auto"/>
              <w:jc w:val="right"/>
              <w:rPr>
                <w:color w:val="000000"/>
                <w:sz w:val="20"/>
                <w:szCs w:val="20"/>
              </w:rPr>
            </w:pPr>
            <w:r w:rsidRPr="00A462DA">
              <w:rPr>
                <w:color w:val="000000"/>
                <w:sz w:val="20"/>
                <w:szCs w:val="20"/>
              </w:rPr>
              <w:t>2.05</w:t>
            </w:r>
          </w:p>
        </w:tc>
        <w:tc>
          <w:tcPr>
            <w:tcW w:w="810" w:type="dxa"/>
            <w:tcBorders>
              <w:top w:val="nil"/>
              <w:left w:val="nil"/>
              <w:right w:val="single" w:sz="4" w:space="0" w:color="auto"/>
            </w:tcBorders>
            <w:shd w:val="clear" w:color="auto" w:fill="auto"/>
            <w:vAlign w:val="center"/>
          </w:tcPr>
          <w:p w14:paraId="276AB0EB" w14:textId="77777777" w:rsidR="00ED063B" w:rsidRPr="00A462DA" w:rsidRDefault="00ED063B" w:rsidP="00DA4159">
            <w:pPr>
              <w:spacing w:after="0" w:line="240" w:lineRule="auto"/>
              <w:jc w:val="right"/>
              <w:rPr>
                <w:color w:val="000000"/>
                <w:sz w:val="20"/>
                <w:szCs w:val="20"/>
              </w:rPr>
            </w:pPr>
            <w:r w:rsidRPr="00A462DA">
              <w:rPr>
                <w:color w:val="000000"/>
                <w:sz w:val="20"/>
                <w:szCs w:val="20"/>
              </w:rPr>
              <w:t>0.739</w:t>
            </w:r>
          </w:p>
        </w:tc>
        <w:tc>
          <w:tcPr>
            <w:tcW w:w="720" w:type="dxa"/>
            <w:tcBorders>
              <w:top w:val="nil"/>
              <w:left w:val="nil"/>
              <w:right w:val="double" w:sz="4" w:space="0" w:color="auto"/>
            </w:tcBorders>
            <w:shd w:val="clear" w:color="auto" w:fill="auto"/>
            <w:vAlign w:val="center"/>
          </w:tcPr>
          <w:p w14:paraId="4311DCCC" w14:textId="77777777" w:rsidR="00ED063B" w:rsidRPr="00A462DA" w:rsidRDefault="00ED063B" w:rsidP="00DA4159">
            <w:pPr>
              <w:spacing w:after="0" w:line="240" w:lineRule="auto"/>
              <w:jc w:val="right"/>
              <w:rPr>
                <w:color w:val="000000"/>
                <w:sz w:val="20"/>
                <w:szCs w:val="20"/>
              </w:rPr>
            </w:pPr>
            <w:r w:rsidRPr="00A462DA">
              <w:rPr>
                <w:color w:val="000000"/>
                <w:sz w:val="20"/>
                <w:szCs w:val="20"/>
              </w:rPr>
              <w:t>1.98</w:t>
            </w:r>
          </w:p>
        </w:tc>
      </w:tr>
      <w:tr w:rsidR="00ED063B" w:rsidRPr="00A462DA" w14:paraId="0DCDA45E" w14:textId="77777777" w:rsidTr="008B31DB">
        <w:trPr>
          <w:trHeight w:val="274"/>
          <w:jc w:val="center"/>
        </w:trPr>
        <w:tc>
          <w:tcPr>
            <w:tcW w:w="5310" w:type="dxa"/>
            <w:tcBorders>
              <w:top w:val="nil"/>
              <w:left w:val="double" w:sz="4" w:space="0" w:color="auto"/>
              <w:right w:val="double" w:sz="4" w:space="0" w:color="auto"/>
            </w:tcBorders>
            <w:shd w:val="clear" w:color="auto" w:fill="auto"/>
            <w:noWrap/>
            <w:vAlign w:val="center"/>
          </w:tcPr>
          <w:p w14:paraId="65795768" w14:textId="77777777" w:rsidR="00ED063B" w:rsidRPr="00814E2F" w:rsidRDefault="00ED063B" w:rsidP="00DA4159">
            <w:pPr>
              <w:spacing w:after="0" w:line="240" w:lineRule="auto"/>
              <w:rPr>
                <w:rFonts w:eastAsia="Times New Roman"/>
                <w:b/>
                <w:bCs/>
                <w:i/>
                <w:iCs/>
                <w:sz w:val="19"/>
                <w:szCs w:val="19"/>
                <w:u w:val="single"/>
              </w:rPr>
            </w:pPr>
            <w:r w:rsidRPr="00814E2F">
              <w:rPr>
                <w:rFonts w:eastAsia="Times New Roman"/>
                <w:b/>
                <w:bCs/>
                <w:i/>
                <w:iCs/>
                <w:sz w:val="19"/>
                <w:szCs w:val="19"/>
                <w:u w:val="single"/>
              </w:rPr>
              <w:t>Household-level Characteristics</w:t>
            </w:r>
          </w:p>
        </w:tc>
        <w:tc>
          <w:tcPr>
            <w:tcW w:w="794" w:type="dxa"/>
            <w:tcBorders>
              <w:top w:val="nil"/>
              <w:left w:val="double" w:sz="4" w:space="0" w:color="auto"/>
              <w:right w:val="single" w:sz="4" w:space="0" w:color="auto"/>
            </w:tcBorders>
            <w:shd w:val="clear" w:color="auto" w:fill="auto"/>
            <w:noWrap/>
            <w:vAlign w:val="center"/>
          </w:tcPr>
          <w:p w14:paraId="7B1B2F1B" w14:textId="77777777" w:rsidR="00ED063B" w:rsidRPr="00A462DA" w:rsidRDefault="00ED063B" w:rsidP="00DA4159">
            <w:pPr>
              <w:spacing w:after="0" w:line="240" w:lineRule="auto"/>
              <w:jc w:val="right"/>
              <w:rPr>
                <w:rFonts w:eastAsia="Times New Roman"/>
                <w:sz w:val="20"/>
                <w:szCs w:val="20"/>
              </w:rPr>
            </w:pPr>
          </w:p>
        </w:tc>
        <w:tc>
          <w:tcPr>
            <w:tcW w:w="720" w:type="dxa"/>
            <w:tcBorders>
              <w:top w:val="nil"/>
              <w:left w:val="single" w:sz="4" w:space="0" w:color="auto"/>
              <w:right w:val="double" w:sz="4" w:space="0" w:color="auto"/>
            </w:tcBorders>
            <w:shd w:val="clear" w:color="auto" w:fill="auto"/>
            <w:noWrap/>
            <w:vAlign w:val="center"/>
          </w:tcPr>
          <w:p w14:paraId="5CEB2873" w14:textId="77777777" w:rsidR="00ED063B" w:rsidRPr="00A462DA" w:rsidRDefault="00ED063B" w:rsidP="00DA4159">
            <w:pPr>
              <w:spacing w:after="0" w:line="240" w:lineRule="auto"/>
              <w:jc w:val="right"/>
              <w:rPr>
                <w:rFonts w:eastAsia="Times New Roman"/>
                <w:sz w:val="20"/>
                <w:szCs w:val="20"/>
              </w:rPr>
            </w:pPr>
          </w:p>
        </w:tc>
        <w:tc>
          <w:tcPr>
            <w:tcW w:w="810" w:type="dxa"/>
            <w:tcBorders>
              <w:top w:val="nil"/>
              <w:left w:val="double" w:sz="4" w:space="0" w:color="auto"/>
              <w:right w:val="single" w:sz="4" w:space="0" w:color="auto"/>
            </w:tcBorders>
            <w:shd w:val="clear" w:color="auto" w:fill="auto"/>
            <w:noWrap/>
            <w:vAlign w:val="center"/>
          </w:tcPr>
          <w:p w14:paraId="447BB78B" w14:textId="77777777" w:rsidR="00ED063B" w:rsidRPr="00A462DA" w:rsidRDefault="00ED063B" w:rsidP="00DA4159">
            <w:pPr>
              <w:spacing w:after="0" w:line="240" w:lineRule="auto"/>
              <w:jc w:val="right"/>
              <w:rPr>
                <w:rFonts w:eastAsia="Times New Roman"/>
                <w:sz w:val="20"/>
                <w:szCs w:val="20"/>
              </w:rPr>
            </w:pPr>
          </w:p>
        </w:tc>
        <w:tc>
          <w:tcPr>
            <w:tcW w:w="724" w:type="dxa"/>
            <w:tcBorders>
              <w:top w:val="nil"/>
              <w:left w:val="single" w:sz="4" w:space="0" w:color="auto"/>
              <w:right w:val="double" w:sz="4" w:space="0" w:color="auto"/>
            </w:tcBorders>
            <w:shd w:val="clear" w:color="auto" w:fill="auto"/>
            <w:noWrap/>
            <w:vAlign w:val="center"/>
          </w:tcPr>
          <w:p w14:paraId="593D1B53" w14:textId="77777777" w:rsidR="00ED063B" w:rsidRPr="00A462DA" w:rsidRDefault="00ED063B" w:rsidP="00DA4159">
            <w:pPr>
              <w:spacing w:after="0" w:line="240" w:lineRule="auto"/>
              <w:jc w:val="right"/>
              <w:rPr>
                <w:rFonts w:eastAsia="Times New Roman"/>
                <w:sz w:val="20"/>
                <w:szCs w:val="20"/>
              </w:rPr>
            </w:pPr>
          </w:p>
        </w:tc>
        <w:tc>
          <w:tcPr>
            <w:tcW w:w="810" w:type="dxa"/>
            <w:tcBorders>
              <w:top w:val="nil"/>
              <w:left w:val="nil"/>
              <w:right w:val="single" w:sz="4" w:space="0" w:color="auto"/>
            </w:tcBorders>
            <w:shd w:val="clear" w:color="auto" w:fill="auto"/>
            <w:vAlign w:val="center"/>
          </w:tcPr>
          <w:p w14:paraId="184E121A" w14:textId="77777777" w:rsidR="00ED063B" w:rsidRPr="00A462DA" w:rsidRDefault="00ED063B" w:rsidP="00DA4159">
            <w:pPr>
              <w:spacing w:after="0" w:line="240" w:lineRule="auto"/>
              <w:jc w:val="right"/>
              <w:rPr>
                <w:sz w:val="20"/>
                <w:szCs w:val="20"/>
              </w:rPr>
            </w:pPr>
          </w:p>
        </w:tc>
        <w:tc>
          <w:tcPr>
            <w:tcW w:w="720" w:type="dxa"/>
            <w:tcBorders>
              <w:top w:val="nil"/>
              <w:left w:val="nil"/>
              <w:right w:val="double" w:sz="4" w:space="0" w:color="auto"/>
            </w:tcBorders>
            <w:shd w:val="clear" w:color="auto" w:fill="auto"/>
            <w:vAlign w:val="center"/>
          </w:tcPr>
          <w:p w14:paraId="061925D9" w14:textId="77777777" w:rsidR="00ED063B" w:rsidRPr="00A462DA" w:rsidRDefault="00ED063B" w:rsidP="00DA4159">
            <w:pPr>
              <w:spacing w:after="0" w:line="240" w:lineRule="auto"/>
              <w:jc w:val="right"/>
              <w:rPr>
                <w:sz w:val="20"/>
                <w:szCs w:val="20"/>
              </w:rPr>
            </w:pPr>
          </w:p>
        </w:tc>
      </w:tr>
      <w:tr w:rsidR="00ED063B" w:rsidRPr="00A462DA" w14:paraId="56025730" w14:textId="77777777" w:rsidTr="008B31DB">
        <w:trPr>
          <w:trHeight w:val="274"/>
          <w:jc w:val="center"/>
        </w:trPr>
        <w:tc>
          <w:tcPr>
            <w:tcW w:w="5310" w:type="dxa"/>
            <w:tcBorders>
              <w:top w:val="nil"/>
              <w:left w:val="double" w:sz="4" w:space="0" w:color="auto"/>
              <w:right w:val="double" w:sz="4" w:space="0" w:color="auto"/>
            </w:tcBorders>
            <w:shd w:val="clear" w:color="auto" w:fill="auto"/>
            <w:noWrap/>
            <w:vAlign w:val="center"/>
          </w:tcPr>
          <w:p w14:paraId="252755E9" w14:textId="77777777" w:rsidR="00ED063B" w:rsidRPr="00814E2F" w:rsidRDefault="00ED063B" w:rsidP="00DA4159">
            <w:pPr>
              <w:spacing w:after="0" w:line="240" w:lineRule="auto"/>
              <w:rPr>
                <w:rFonts w:eastAsia="Times New Roman"/>
                <w:sz w:val="19"/>
                <w:szCs w:val="19"/>
              </w:rPr>
            </w:pPr>
            <w:r w:rsidRPr="00814E2F">
              <w:rPr>
                <w:rFonts w:eastAsia="Times New Roman"/>
                <w:b/>
                <w:sz w:val="19"/>
                <w:szCs w:val="19"/>
              </w:rPr>
              <w:t>Income (&lt;$100,000)</w:t>
            </w:r>
          </w:p>
        </w:tc>
        <w:tc>
          <w:tcPr>
            <w:tcW w:w="794" w:type="dxa"/>
            <w:tcBorders>
              <w:top w:val="nil"/>
              <w:left w:val="double" w:sz="4" w:space="0" w:color="auto"/>
              <w:right w:val="single" w:sz="4" w:space="0" w:color="auto"/>
            </w:tcBorders>
            <w:shd w:val="clear" w:color="auto" w:fill="auto"/>
            <w:noWrap/>
            <w:vAlign w:val="center"/>
          </w:tcPr>
          <w:p w14:paraId="7117821D" w14:textId="77777777" w:rsidR="00ED063B" w:rsidRPr="00A462DA" w:rsidRDefault="00ED063B" w:rsidP="00DA4159">
            <w:pPr>
              <w:spacing w:after="0" w:line="240" w:lineRule="auto"/>
              <w:jc w:val="right"/>
              <w:rPr>
                <w:rFonts w:eastAsia="Times New Roman"/>
                <w:sz w:val="20"/>
                <w:szCs w:val="20"/>
              </w:rPr>
            </w:pPr>
          </w:p>
        </w:tc>
        <w:tc>
          <w:tcPr>
            <w:tcW w:w="720" w:type="dxa"/>
            <w:tcBorders>
              <w:top w:val="nil"/>
              <w:left w:val="single" w:sz="4" w:space="0" w:color="auto"/>
              <w:right w:val="double" w:sz="4" w:space="0" w:color="auto"/>
            </w:tcBorders>
            <w:shd w:val="clear" w:color="auto" w:fill="auto"/>
            <w:noWrap/>
            <w:vAlign w:val="center"/>
          </w:tcPr>
          <w:p w14:paraId="2DE794C3" w14:textId="77777777" w:rsidR="00ED063B" w:rsidRPr="00A462DA" w:rsidRDefault="00ED063B" w:rsidP="00DA4159">
            <w:pPr>
              <w:spacing w:after="0" w:line="240" w:lineRule="auto"/>
              <w:jc w:val="right"/>
              <w:rPr>
                <w:rFonts w:eastAsia="Times New Roman"/>
                <w:sz w:val="20"/>
                <w:szCs w:val="20"/>
              </w:rPr>
            </w:pPr>
          </w:p>
        </w:tc>
        <w:tc>
          <w:tcPr>
            <w:tcW w:w="810" w:type="dxa"/>
            <w:tcBorders>
              <w:top w:val="nil"/>
              <w:left w:val="double" w:sz="4" w:space="0" w:color="auto"/>
              <w:right w:val="single" w:sz="4" w:space="0" w:color="auto"/>
            </w:tcBorders>
            <w:shd w:val="clear" w:color="auto" w:fill="auto"/>
            <w:noWrap/>
            <w:vAlign w:val="center"/>
          </w:tcPr>
          <w:p w14:paraId="2842CAFE" w14:textId="77777777" w:rsidR="00ED063B" w:rsidRPr="00A462DA" w:rsidRDefault="00ED063B" w:rsidP="00DA4159">
            <w:pPr>
              <w:spacing w:after="0" w:line="240" w:lineRule="auto"/>
              <w:jc w:val="right"/>
              <w:rPr>
                <w:rFonts w:eastAsia="Times New Roman"/>
                <w:sz w:val="20"/>
                <w:szCs w:val="20"/>
              </w:rPr>
            </w:pPr>
          </w:p>
        </w:tc>
        <w:tc>
          <w:tcPr>
            <w:tcW w:w="724" w:type="dxa"/>
            <w:tcBorders>
              <w:top w:val="nil"/>
              <w:left w:val="single" w:sz="4" w:space="0" w:color="auto"/>
              <w:right w:val="double" w:sz="4" w:space="0" w:color="auto"/>
            </w:tcBorders>
            <w:shd w:val="clear" w:color="auto" w:fill="auto"/>
            <w:noWrap/>
            <w:vAlign w:val="center"/>
          </w:tcPr>
          <w:p w14:paraId="2572370F" w14:textId="77777777" w:rsidR="00ED063B" w:rsidRPr="00A462DA" w:rsidRDefault="00ED063B" w:rsidP="00DA4159">
            <w:pPr>
              <w:spacing w:after="0" w:line="240" w:lineRule="auto"/>
              <w:jc w:val="right"/>
              <w:rPr>
                <w:rFonts w:eastAsia="Times New Roman"/>
                <w:sz w:val="20"/>
                <w:szCs w:val="20"/>
              </w:rPr>
            </w:pPr>
          </w:p>
        </w:tc>
        <w:tc>
          <w:tcPr>
            <w:tcW w:w="810" w:type="dxa"/>
            <w:tcBorders>
              <w:top w:val="nil"/>
              <w:left w:val="nil"/>
              <w:right w:val="single" w:sz="4" w:space="0" w:color="auto"/>
            </w:tcBorders>
            <w:shd w:val="clear" w:color="auto" w:fill="auto"/>
            <w:vAlign w:val="center"/>
          </w:tcPr>
          <w:p w14:paraId="29B70A8D" w14:textId="77777777" w:rsidR="00ED063B" w:rsidRPr="00A462DA" w:rsidRDefault="00ED063B" w:rsidP="00DA4159">
            <w:pPr>
              <w:spacing w:after="0" w:line="240" w:lineRule="auto"/>
              <w:jc w:val="right"/>
              <w:rPr>
                <w:rFonts w:eastAsia="Times New Roman"/>
                <w:sz w:val="20"/>
                <w:szCs w:val="20"/>
              </w:rPr>
            </w:pPr>
          </w:p>
        </w:tc>
        <w:tc>
          <w:tcPr>
            <w:tcW w:w="720" w:type="dxa"/>
            <w:tcBorders>
              <w:top w:val="nil"/>
              <w:left w:val="nil"/>
              <w:right w:val="double" w:sz="4" w:space="0" w:color="auto"/>
            </w:tcBorders>
            <w:shd w:val="clear" w:color="auto" w:fill="auto"/>
            <w:vAlign w:val="center"/>
          </w:tcPr>
          <w:p w14:paraId="6E1C7D5D" w14:textId="77777777" w:rsidR="00ED063B" w:rsidRPr="00A462DA" w:rsidRDefault="00ED063B" w:rsidP="00DA4159">
            <w:pPr>
              <w:spacing w:after="0" w:line="240" w:lineRule="auto"/>
              <w:jc w:val="right"/>
              <w:rPr>
                <w:rFonts w:eastAsia="Times New Roman"/>
                <w:sz w:val="20"/>
                <w:szCs w:val="20"/>
              </w:rPr>
            </w:pPr>
          </w:p>
        </w:tc>
      </w:tr>
      <w:tr w:rsidR="00ED063B" w:rsidRPr="00A462DA" w14:paraId="15E95551" w14:textId="77777777" w:rsidTr="008B31DB">
        <w:trPr>
          <w:trHeight w:val="274"/>
          <w:jc w:val="center"/>
        </w:trPr>
        <w:tc>
          <w:tcPr>
            <w:tcW w:w="5310" w:type="dxa"/>
            <w:tcBorders>
              <w:top w:val="nil"/>
              <w:left w:val="double" w:sz="4" w:space="0" w:color="auto"/>
              <w:right w:val="double" w:sz="4" w:space="0" w:color="auto"/>
            </w:tcBorders>
            <w:shd w:val="clear" w:color="auto" w:fill="auto"/>
            <w:noWrap/>
            <w:vAlign w:val="center"/>
          </w:tcPr>
          <w:p w14:paraId="32D7B6C3" w14:textId="77777777" w:rsidR="00ED063B" w:rsidRPr="00814E2F" w:rsidRDefault="00ED063B" w:rsidP="00DA4159">
            <w:pPr>
              <w:spacing w:after="0" w:line="240" w:lineRule="auto"/>
              <w:rPr>
                <w:rFonts w:eastAsia="Times New Roman"/>
                <w:sz w:val="19"/>
                <w:szCs w:val="19"/>
              </w:rPr>
            </w:pPr>
            <w:r w:rsidRPr="00814E2F">
              <w:rPr>
                <w:rFonts w:eastAsia="Times New Roman"/>
                <w:sz w:val="19"/>
                <w:szCs w:val="19"/>
              </w:rPr>
              <w:t xml:space="preserve">  ≥$100,000 </w:t>
            </w:r>
          </w:p>
        </w:tc>
        <w:tc>
          <w:tcPr>
            <w:tcW w:w="794" w:type="dxa"/>
            <w:tcBorders>
              <w:top w:val="nil"/>
              <w:left w:val="double" w:sz="4" w:space="0" w:color="auto"/>
              <w:right w:val="single" w:sz="4" w:space="0" w:color="auto"/>
            </w:tcBorders>
            <w:shd w:val="clear" w:color="auto" w:fill="auto"/>
            <w:noWrap/>
            <w:vAlign w:val="center"/>
          </w:tcPr>
          <w:p w14:paraId="188B2704" w14:textId="77777777" w:rsidR="00ED063B" w:rsidRPr="00A462DA" w:rsidRDefault="00ED063B" w:rsidP="00DA4159">
            <w:pPr>
              <w:spacing w:after="0" w:line="240" w:lineRule="auto"/>
              <w:jc w:val="right"/>
              <w:rPr>
                <w:color w:val="000000"/>
                <w:sz w:val="20"/>
                <w:szCs w:val="20"/>
              </w:rPr>
            </w:pPr>
            <w:r w:rsidRPr="00A462DA">
              <w:rPr>
                <w:color w:val="000000"/>
                <w:sz w:val="20"/>
                <w:szCs w:val="20"/>
              </w:rPr>
              <w:t>-0.324</w:t>
            </w:r>
          </w:p>
        </w:tc>
        <w:tc>
          <w:tcPr>
            <w:tcW w:w="720" w:type="dxa"/>
            <w:tcBorders>
              <w:top w:val="nil"/>
              <w:left w:val="single" w:sz="4" w:space="0" w:color="auto"/>
              <w:right w:val="double" w:sz="4" w:space="0" w:color="auto"/>
            </w:tcBorders>
            <w:shd w:val="clear" w:color="auto" w:fill="auto"/>
            <w:noWrap/>
            <w:vAlign w:val="center"/>
          </w:tcPr>
          <w:p w14:paraId="2D648591" w14:textId="77777777" w:rsidR="00ED063B" w:rsidRPr="00A462DA" w:rsidRDefault="00ED063B" w:rsidP="00DA4159">
            <w:pPr>
              <w:spacing w:after="0" w:line="240" w:lineRule="auto"/>
              <w:jc w:val="right"/>
              <w:rPr>
                <w:color w:val="000000"/>
                <w:sz w:val="20"/>
                <w:szCs w:val="20"/>
              </w:rPr>
            </w:pPr>
            <w:r w:rsidRPr="00A462DA">
              <w:rPr>
                <w:color w:val="000000"/>
                <w:sz w:val="20"/>
                <w:szCs w:val="20"/>
              </w:rPr>
              <w:t>-2.46</w:t>
            </w:r>
          </w:p>
        </w:tc>
        <w:tc>
          <w:tcPr>
            <w:tcW w:w="810" w:type="dxa"/>
            <w:tcBorders>
              <w:top w:val="nil"/>
              <w:left w:val="double" w:sz="4" w:space="0" w:color="auto"/>
              <w:right w:val="single" w:sz="4" w:space="0" w:color="auto"/>
            </w:tcBorders>
            <w:shd w:val="clear" w:color="auto" w:fill="auto"/>
            <w:noWrap/>
            <w:vAlign w:val="center"/>
          </w:tcPr>
          <w:p w14:paraId="0464DF99" w14:textId="77777777" w:rsidR="00ED063B" w:rsidRPr="00A462DA" w:rsidRDefault="00ED063B" w:rsidP="00DA4159">
            <w:pPr>
              <w:spacing w:after="0" w:line="240" w:lineRule="auto"/>
              <w:jc w:val="right"/>
              <w:rPr>
                <w:sz w:val="20"/>
                <w:szCs w:val="20"/>
              </w:rPr>
            </w:pPr>
            <w:r w:rsidRPr="00A462DA">
              <w:rPr>
                <w:sz w:val="20"/>
                <w:szCs w:val="20"/>
              </w:rPr>
              <w:t>--</w:t>
            </w:r>
          </w:p>
        </w:tc>
        <w:tc>
          <w:tcPr>
            <w:tcW w:w="724" w:type="dxa"/>
            <w:tcBorders>
              <w:top w:val="nil"/>
              <w:left w:val="single" w:sz="4" w:space="0" w:color="auto"/>
              <w:right w:val="double" w:sz="4" w:space="0" w:color="auto"/>
            </w:tcBorders>
            <w:shd w:val="clear" w:color="auto" w:fill="auto"/>
            <w:noWrap/>
            <w:vAlign w:val="center"/>
          </w:tcPr>
          <w:p w14:paraId="2CE2B4D8" w14:textId="77777777" w:rsidR="00ED063B" w:rsidRPr="00A462DA" w:rsidRDefault="00ED063B" w:rsidP="00DA4159">
            <w:pPr>
              <w:spacing w:after="0" w:line="240" w:lineRule="auto"/>
              <w:jc w:val="right"/>
              <w:rPr>
                <w:sz w:val="20"/>
                <w:szCs w:val="20"/>
              </w:rPr>
            </w:pPr>
          </w:p>
        </w:tc>
        <w:tc>
          <w:tcPr>
            <w:tcW w:w="810" w:type="dxa"/>
            <w:tcBorders>
              <w:top w:val="nil"/>
              <w:left w:val="nil"/>
              <w:right w:val="single" w:sz="4" w:space="0" w:color="auto"/>
            </w:tcBorders>
            <w:shd w:val="clear" w:color="auto" w:fill="auto"/>
            <w:vAlign w:val="center"/>
          </w:tcPr>
          <w:p w14:paraId="10408828" w14:textId="77777777" w:rsidR="00ED063B" w:rsidRPr="00A462DA" w:rsidRDefault="00ED063B" w:rsidP="00DA4159">
            <w:pPr>
              <w:spacing w:after="0" w:line="240" w:lineRule="auto"/>
              <w:jc w:val="right"/>
              <w:rPr>
                <w:color w:val="000000"/>
                <w:sz w:val="20"/>
                <w:szCs w:val="20"/>
              </w:rPr>
            </w:pPr>
            <w:r w:rsidRPr="00A462DA">
              <w:rPr>
                <w:color w:val="000000"/>
                <w:sz w:val="20"/>
                <w:szCs w:val="20"/>
              </w:rPr>
              <w:t>-0.552</w:t>
            </w:r>
          </w:p>
        </w:tc>
        <w:tc>
          <w:tcPr>
            <w:tcW w:w="720" w:type="dxa"/>
            <w:tcBorders>
              <w:top w:val="nil"/>
              <w:left w:val="nil"/>
              <w:right w:val="double" w:sz="4" w:space="0" w:color="auto"/>
            </w:tcBorders>
            <w:shd w:val="clear" w:color="auto" w:fill="auto"/>
            <w:vAlign w:val="center"/>
          </w:tcPr>
          <w:p w14:paraId="16B4172A" w14:textId="77777777" w:rsidR="00ED063B" w:rsidRPr="00A462DA" w:rsidRDefault="00ED063B" w:rsidP="00DA4159">
            <w:pPr>
              <w:spacing w:after="0" w:line="240" w:lineRule="auto"/>
              <w:jc w:val="right"/>
              <w:rPr>
                <w:color w:val="000000"/>
                <w:sz w:val="20"/>
                <w:szCs w:val="20"/>
              </w:rPr>
            </w:pPr>
            <w:r w:rsidRPr="00A462DA">
              <w:rPr>
                <w:color w:val="000000"/>
                <w:sz w:val="20"/>
                <w:szCs w:val="20"/>
              </w:rPr>
              <w:t>-2.73</w:t>
            </w:r>
          </w:p>
        </w:tc>
      </w:tr>
      <w:tr w:rsidR="00ED063B" w:rsidRPr="00A462DA" w14:paraId="7275DDA9" w14:textId="77777777" w:rsidTr="008B31DB">
        <w:trPr>
          <w:trHeight w:val="274"/>
          <w:jc w:val="center"/>
        </w:trPr>
        <w:tc>
          <w:tcPr>
            <w:tcW w:w="5310" w:type="dxa"/>
            <w:tcBorders>
              <w:top w:val="nil"/>
              <w:left w:val="double" w:sz="4" w:space="0" w:color="auto"/>
              <w:right w:val="double" w:sz="4" w:space="0" w:color="auto"/>
            </w:tcBorders>
            <w:shd w:val="clear" w:color="auto" w:fill="auto"/>
            <w:noWrap/>
            <w:vAlign w:val="center"/>
          </w:tcPr>
          <w:p w14:paraId="337ABA9A" w14:textId="77777777" w:rsidR="00ED063B" w:rsidRPr="00814E2F" w:rsidRDefault="00ED063B" w:rsidP="00DA4159">
            <w:pPr>
              <w:spacing w:after="0" w:line="240" w:lineRule="auto"/>
              <w:rPr>
                <w:rFonts w:eastAsia="Times New Roman"/>
                <w:b/>
                <w:i/>
                <w:sz w:val="19"/>
                <w:szCs w:val="19"/>
                <w:u w:val="single"/>
              </w:rPr>
            </w:pPr>
            <w:r w:rsidRPr="00814E2F">
              <w:rPr>
                <w:rFonts w:eastAsia="Times New Roman"/>
                <w:b/>
                <w:i/>
                <w:sz w:val="19"/>
                <w:szCs w:val="19"/>
                <w:u w:val="single"/>
              </w:rPr>
              <w:t>Job-Related Attributes</w:t>
            </w:r>
          </w:p>
        </w:tc>
        <w:tc>
          <w:tcPr>
            <w:tcW w:w="794" w:type="dxa"/>
            <w:tcBorders>
              <w:top w:val="nil"/>
              <w:left w:val="double" w:sz="4" w:space="0" w:color="auto"/>
              <w:right w:val="single" w:sz="4" w:space="0" w:color="auto"/>
            </w:tcBorders>
            <w:shd w:val="clear" w:color="auto" w:fill="auto"/>
            <w:noWrap/>
            <w:vAlign w:val="center"/>
          </w:tcPr>
          <w:p w14:paraId="065565F0" w14:textId="77777777" w:rsidR="00ED063B" w:rsidRPr="00A462DA" w:rsidRDefault="00ED063B" w:rsidP="00DA4159">
            <w:pPr>
              <w:spacing w:after="0" w:line="240" w:lineRule="auto"/>
              <w:jc w:val="right"/>
              <w:rPr>
                <w:color w:val="000000"/>
                <w:sz w:val="20"/>
                <w:szCs w:val="20"/>
              </w:rPr>
            </w:pPr>
          </w:p>
        </w:tc>
        <w:tc>
          <w:tcPr>
            <w:tcW w:w="720" w:type="dxa"/>
            <w:tcBorders>
              <w:top w:val="nil"/>
              <w:left w:val="single" w:sz="4" w:space="0" w:color="auto"/>
              <w:right w:val="double" w:sz="4" w:space="0" w:color="auto"/>
            </w:tcBorders>
            <w:shd w:val="clear" w:color="auto" w:fill="auto"/>
            <w:noWrap/>
            <w:vAlign w:val="center"/>
          </w:tcPr>
          <w:p w14:paraId="15346050" w14:textId="77777777" w:rsidR="00ED063B" w:rsidRPr="00A462DA" w:rsidRDefault="00ED063B" w:rsidP="00DA4159">
            <w:pPr>
              <w:spacing w:after="0" w:line="240" w:lineRule="auto"/>
              <w:jc w:val="right"/>
              <w:rPr>
                <w:color w:val="000000"/>
                <w:sz w:val="20"/>
                <w:szCs w:val="20"/>
              </w:rPr>
            </w:pPr>
          </w:p>
        </w:tc>
        <w:tc>
          <w:tcPr>
            <w:tcW w:w="810" w:type="dxa"/>
            <w:tcBorders>
              <w:top w:val="nil"/>
              <w:left w:val="double" w:sz="4" w:space="0" w:color="auto"/>
              <w:right w:val="single" w:sz="4" w:space="0" w:color="auto"/>
            </w:tcBorders>
            <w:shd w:val="clear" w:color="auto" w:fill="auto"/>
            <w:noWrap/>
            <w:vAlign w:val="center"/>
          </w:tcPr>
          <w:p w14:paraId="155F926A" w14:textId="77777777" w:rsidR="00ED063B" w:rsidRPr="00A462DA" w:rsidRDefault="00ED063B" w:rsidP="00DA4159">
            <w:pPr>
              <w:spacing w:after="0" w:line="240" w:lineRule="auto"/>
              <w:jc w:val="right"/>
              <w:rPr>
                <w:sz w:val="20"/>
                <w:szCs w:val="20"/>
              </w:rPr>
            </w:pPr>
          </w:p>
        </w:tc>
        <w:tc>
          <w:tcPr>
            <w:tcW w:w="724" w:type="dxa"/>
            <w:tcBorders>
              <w:top w:val="nil"/>
              <w:left w:val="single" w:sz="4" w:space="0" w:color="auto"/>
              <w:right w:val="double" w:sz="4" w:space="0" w:color="auto"/>
            </w:tcBorders>
            <w:shd w:val="clear" w:color="auto" w:fill="auto"/>
            <w:noWrap/>
            <w:vAlign w:val="center"/>
          </w:tcPr>
          <w:p w14:paraId="0E80AC93" w14:textId="77777777" w:rsidR="00ED063B" w:rsidRPr="00A462DA" w:rsidRDefault="00ED063B" w:rsidP="00DA4159">
            <w:pPr>
              <w:spacing w:after="0" w:line="240" w:lineRule="auto"/>
              <w:jc w:val="right"/>
              <w:rPr>
                <w:sz w:val="20"/>
                <w:szCs w:val="20"/>
              </w:rPr>
            </w:pPr>
          </w:p>
        </w:tc>
        <w:tc>
          <w:tcPr>
            <w:tcW w:w="810" w:type="dxa"/>
            <w:tcBorders>
              <w:top w:val="nil"/>
              <w:left w:val="nil"/>
              <w:right w:val="single" w:sz="4" w:space="0" w:color="auto"/>
            </w:tcBorders>
            <w:shd w:val="clear" w:color="auto" w:fill="auto"/>
            <w:vAlign w:val="center"/>
          </w:tcPr>
          <w:p w14:paraId="7969427D" w14:textId="77777777" w:rsidR="00ED063B" w:rsidRPr="00A462DA" w:rsidRDefault="00ED063B" w:rsidP="00DA4159">
            <w:pPr>
              <w:spacing w:after="0" w:line="240" w:lineRule="auto"/>
              <w:jc w:val="right"/>
              <w:rPr>
                <w:color w:val="000000"/>
                <w:sz w:val="20"/>
                <w:szCs w:val="20"/>
              </w:rPr>
            </w:pPr>
          </w:p>
        </w:tc>
        <w:tc>
          <w:tcPr>
            <w:tcW w:w="720" w:type="dxa"/>
            <w:tcBorders>
              <w:top w:val="nil"/>
              <w:left w:val="nil"/>
              <w:right w:val="double" w:sz="4" w:space="0" w:color="auto"/>
            </w:tcBorders>
            <w:shd w:val="clear" w:color="auto" w:fill="auto"/>
            <w:vAlign w:val="center"/>
          </w:tcPr>
          <w:p w14:paraId="5628B35D" w14:textId="77777777" w:rsidR="00ED063B" w:rsidRPr="00A462DA" w:rsidRDefault="00ED063B" w:rsidP="00DA4159">
            <w:pPr>
              <w:spacing w:after="0" w:line="240" w:lineRule="auto"/>
              <w:jc w:val="right"/>
              <w:rPr>
                <w:color w:val="000000"/>
                <w:sz w:val="20"/>
                <w:szCs w:val="20"/>
              </w:rPr>
            </w:pPr>
          </w:p>
        </w:tc>
      </w:tr>
      <w:tr w:rsidR="00ED063B" w:rsidRPr="00A462DA" w14:paraId="48F109BE" w14:textId="77777777" w:rsidTr="008B31DB">
        <w:trPr>
          <w:trHeight w:val="274"/>
          <w:jc w:val="center"/>
        </w:trPr>
        <w:tc>
          <w:tcPr>
            <w:tcW w:w="5310" w:type="dxa"/>
            <w:tcBorders>
              <w:top w:val="nil"/>
              <w:left w:val="double" w:sz="4" w:space="0" w:color="auto"/>
              <w:right w:val="double" w:sz="4" w:space="0" w:color="auto"/>
            </w:tcBorders>
            <w:shd w:val="clear" w:color="auto" w:fill="auto"/>
            <w:noWrap/>
            <w:vAlign w:val="center"/>
          </w:tcPr>
          <w:p w14:paraId="2EC5854C" w14:textId="77777777" w:rsidR="00ED063B" w:rsidRPr="00814E2F" w:rsidRDefault="00ED063B" w:rsidP="00DA4159">
            <w:pPr>
              <w:spacing w:after="0" w:line="240" w:lineRule="auto"/>
              <w:rPr>
                <w:rFonts w:eastAsia="Times New Roman"/>
                <w:b/>
                <w:bCs/>
                <w:sz w:val="19"/>
                <w:szCs w:val="19"/>
              </w:rPr>
            </w:pPr>
            <w:r w:rsidRPr="00814E2F">
              <w:rPr>
                <w:rFonts w:eastAsia="Times New Roman"/>
                <w:b/>
                <w:bCs/>
                <w:sz w:val="19"/>
                <w:szCs w:val="19"/>
              </w:rPr>
              <w:t>Employment Structure (not self-employed)</w:t>
            </w:r>
          </w:p>
        </w:tc>
        <w:tc>
          <w:tcPr>
            <w:tcW w:w="794" w:type="dxa"/>
            <w:tcBorders>
              <w:top w:val="nil"/>
              <w:left w:val="double" w:sz="4" w:space="0" w:color="auto"/>
              <w:right w:val="single" w:sz="4" w:space="0" w:color="auto"/>
            </w:tcBorders>
            <w:shd w:val="clear" w:color="auto" w:fill="auto"/>
            <w:noWrap/>
            <w:vAlign w:val="center"/>
          </w:tcPr>
          <w:p w14:paraId="6A977379" w14:textId="77777777" w:rsidR="00ED063B" w:rsidRPr="00A462DA" w:rsidRDefault="00ED063B" w:rsidP="00DA4159">
            <w:pPr>
              <w:spacing w:after="0" w:line="240" w:lineRule="auto"/>
              <w:jc w:val="right"/>
              <w:rPr>
                <w:color w:val="000000"/>
                <w:sz w:val="20"/>
                <w:szCs w:val="20"/>
              </w:rPr>
            </w:pPr>
          </w:p>
        </w:tc>
        <w:tc>
          <w:tcPr>
            <w:tcW w:w="720" w:type="dxa"/>
            <w:tcBorders>
              <w:top w:val="nil"/>
              <w:left w:val="single" w:sz="4" w:space="0" w:color="auto"/>
              <w:right w:val="double" w:sz="4" w:space="0" w:color="auto"/>
            </w:tcBorders>
            <w:shd w:val="clear" w:color="auto" w:fill="auto"/>
            <w:noWrap/>
            <w:vAlign w:val="center"/>
          </w:tcPr>
          <w:p w14:paraId="4F35D202" w14:textId="77777777" w:rsidR="00ED063B" w:rsidRPr="00A462DA" w:rsidRDefault="00ED063B" w:rsidP="00DA4159">
            <w:pPr>
              <w:spacing w:after="0" w:line="240" w:lineRule="auto"/>
              <w:jc w:val="right"/>
              <w:rPr>
                <w:color w:val="000000"/>
                <w:sz w:val="20"/>
                <w:szCs w:val="20"/>
              </w:rPr>
            </w:pPr>
          </w:p>
        </w:tc>
        <w:tc>
          <w:tcPr>
            <w:tcW w:w="810" w:type="dxa"/>
            <w:tcBorders>
              <w:top w:val="nil"/>
              <w:left w:val="double" w:sz="4" w:space="0" w:color="auto"/>
              <w:right w:val="single" w:sz="4" w:space="0" w:color="auto"/>
            </w:tcBorders>
            <w:shd w:val="clear" w:color="auto" w:fill="auto"/>
            <w:noWrap/>
            <w:vAlign w:val="center"/>
          </w:tcPr>
          <w:p w14:paraId="5EC66387" w14:textId="77777777" w:rsidR="00ED063B" w:rsidRPr="00A462DA" w:rsidRDefault="00ED063B" w:rsidP="00DA4159">
            <w:pPr>
              <w:spacing w:after="0" w:line="240" w:lineRule="auto"/>
              <w:jc w:val="right"/>
              <w:rPr>
                <w:sz w:val="20"/>
                <w:szCs w:val="20"/>
              </w:rPr>
            </w:pPr>
          </w:p>
        </w:tc>
        <w:tc>
          <w:tcPr>
            <w:tcW w:w="724" w:type="dxa"/>
            <w:tcBorders>
              <w:top w:val="nil"/>
              <w:left w:val="single" w:sz="4" w:space="0" w:color="auto"/>
              <w:right w:val="double" w:sz="4" w:space="0" w:color="auto"/>
            </w:tcBorders>
            <w:shd w:val="clear" w:color="auto" w:fill="auto"/>
            <w:noWrap/>
            <w:vAlign w:val="center"/>
          </w:tcPr>
          <w:p w14:paraId="7BE512D9" w14:textId="77777777" w:rsidR="00ED063B" w:rsidRPr="00A462DA" w:rsidRDefault="00ED063B" w:rsidP="00DA4159">
            <w:pPr>
              <w:spacing w:after="0" w:line="240" w:lineRule="auto"/>
              <w:jc w:val="right"/>
              <w:rPr>
                <w:sz w:val="20"/>
                <w:szCs w:val="20"/>
              </w:rPr>
            </w:pPr>
          </w:p>
        </w:tc>
        <w:tc>
          <w:tcPr>
            <w:tcW w:w="810" w:type="dxa"/>
            <w:tcBorders>
              <w:top w:val="nil"/>
              <w:left w:val="nil"/>
              <w:right w:val="single" w:sz="4" w:space="0" w:color="auto"/>
            </w:tcBorders>
            <w:shd w:val="clear" w:color="auto" w:fill="auto"/>
            <w:vAlign w:val="center"/>
          </w:tcPr>
          <w:p w14:paraId="1E1102C0" w14:textId="77777777" w:rsidR="00ED063B" w:rsidRPr="00A462DA" w:rsidRDefault="00ED063B" w:rsidP="00DA4159">
            <w:pPr>
              <w:spacing w:after="0" w:line="240" w:lineRule="auto"/>
              <w:jc w:val="right"/>
              <w:rPr>
                <w:color w:val="000000"/>
                <w:sz w:val="20"/>
                <w:szCs w:val="20"/>
              </w:rPr>
            </w:pPr>
          </w:p>
        </w:tc>
        <w:tc>
          <w:tcPr>
            <w:tcW w:w="720" w:type="dxa"/>
            <w:tcBorders>
              <w:top w:val="nil"/>
              <w:left w:val="nil"/>
              <w:right w:val="double" w:sz="4" w:space="0" w:color="auto"/>
            </w:tcBorders>
            <w:shd w:val="clear" w:color="auto" w:fill="auto"/>
            <w:vAlign w:val="center"/>
          </w:tcPr>
          <w:p w14:paraId="0DA3333B" w14:textId="77777777" w:rsidR="00ED063B" w:rsidRPr="00A462DA" w:rsidRDefault="00ED063B" w:rsidP="00DA4159">
            <w:pPr>
              <w:spacing w:after="0" w:line="240" w:lineRule="auto"/>
              <w:jc w:val="right"/>
              <w:rPr>
                <w:color w:val="000000"/>
                <w:sz w:val="20"/>
                <w:szCs w:val="20"/>
              </w:rPr>
            </w:pPr>
          </w:p>
        </w:tc>
      </w:tr>
      <w:tr w:rsidR="00ED063B" w:rsidRPr="00A462DA" w14:paraId="4636C7FF" w14:textId="77777777" w:rsidTr="008B31DB">
        <w:trPr>
          <w:trHeight w:val="274"/>
          <w:jc w:val="center"/>
        </w:trPr>
        <w:tc>
          <w:tcPr>
            <w:tcW w:w="5310" w:type="dxa"/>
            <w:tcBorders>
              <w:top w:val="nil"/>
              <w:left w:val="double" w:sz="4" w:space="0" w:color="auto"/>
              <w:right w:val="double" w:sz="4" w:space="0" w:color="auto"/>
            </w:tcBorders>
            <w:shd w:val="clear" w:color="auto" w:fill="auto"/>
            <w:noWrap/>
            <w:vAlign w:val="center"/>
          </w:tcPr>
          <w:p w14:paraId="620F9769" w14:textId="77777777" w:rsidR="00ED063B" w:rsidRPr="00814E2F" w:rsidRDefault="00ED063B" w:rsidP="00DA4159">
            <w:pPr>
              <w:spacing w:after="0" w:line="240" w:lineRule="auto"/>
              <w:ind w:left="72"/>
              <w:rPr>
                <w:rFonts w:eastAsia="Times New Roman"/>
                <w:bCs/>
                <w:sz w:val="19"/>
                <w:szCs w:val="19"/>
              </w:rPr>
            </w:pPr>
            <w:r w:rsidRPr="00814E2F">
              <w:rPr>
                <w:rFonts w:eastAsia="Times New Roman"/>
                <w:bCs/>
                <w:sz w:val="19"/>
                <w:szCs w:val="19"/>
              </w:rPr>
              <w:t xml:space="preserve">  Self-employed</w:t>
            </w:r>
          </w:p>
        </w:tc>
        <w:tc>
          <w:tcPr>
            <w:tcW w:w="794" w:type="dxa"/>
            <w:tcBorders>
              <w:top w:val="nil"/>
              <w:left w:val="double" w:sz="4" w:space="0" w:color="auto"/>
              <w:right w:val="single" w:sz="4" w:space="0" w:color="auto"/>
            </w:tcBorders>
            <w:shd w:val="clear" w:color="auto" w:fill="auto"/>
            <w:noWrap/>
            <w:vAlign w:val="center"/>
          </w:tcPr>
          <w:p w14:paraId="0B308BBD" w14:textId="77777777" w:rsidR="00ED063B" w:rsidRPr="00A462DA" w:rsidRDefault="00ED063B" w:rsidP="00DA4159">
            <w:pPr>
              <w:spacing w:after="0" w:line="240" w:lineRule="auto"/>
              <w:jc w:val="right"/>
              <w:rPr>
                <w:color w:val="000000"/>
                <w:sz w:val="20"/>
                <w:szCs w:val="20"/>
              </w:rPr>
            </w:pPr>
            <w:r w:rsidRPr="00A462DA">
              <w:rPr>
                <w:color w:val="000000"/>
                <w:sz w:val="20"/>
                <w:szCs w:val="20"/>
              </w:rPr>
              <w:t>--</w:t>
            </w:r>
          </w:p>
        </w:tc>
        <w:tc>
          <w:tcPr>
            <w:tcW w:w="720" w:type="dxa"/>
            <w:tcBorders>
              <w:top w:val="nil"/>
              <w:left w:val="single" w:sz="4" w:space="0" w:color="auto"/>
              <w:right w:val="double" w:sz="4" w:space="0" w:color="auto"/>
            </w:tcBorders>
            <w:shd w:val="clear" w:color="auto" w:fill="auto"/>
            <w:noWrap/>
            <w:vAlign w:val="center"/>
          </w:tcPr>
          <w:p w14:paraId="606D770C" w14:textId="77777777" w:rsidR="00ED063B" w:rsidRPr="00A462DA" w:rsidRDefault="00ED063B" w:rsidP="00DA4159">
            <w:pPr>
              <w:spacing w:after="0" w:line="240" w:lineRule="auto"/>
              <w:jc w:val="right"/>
              <w:rPr>
                <w:color w:val="000000"/>
                <w:sz w:val="20"/>
                <w:szCs w:val="20"/>
              </w:rPr>
            </w:pPr>
          </w:p>
        </w:tc>
        <w:tc>
          <w:tcPr>
            <w:tcW w:w="810" w:type="dxa"/>
            <w:tcBorders>
              <w:top w:val="nil"/>
              <w:left w:val="double" w:sz="4" w:space="0" w:color="auto"/>
              <w:right w:val="single" w:sz="4" w:space="0" w:color="auto"/>
            </w:tcBorders>
            <w:shd w:val="clear" w:color="auto" w:fill="auto"/>
            <w:noWrap/>
            <w:vAlign w:val="center"/>
          </w:tcPr>
          <w:p w14:paraId="627CF9B3" w14:textId="77777777" w:rsidR="00ED063B" w:rsidRPr="00A462DA" w:rsidRDefault="00ED063B" w:rsidP="00DA4159">
            <w:pPr>
              <w:spacing w:after="0" w:line="240" w:lineRule="auto"/>
              <w:jc w:val="right"/>
              <w:rPr>
                <w:color w:val="000000"/>
                <w:sz w:val="20"/>
                <w:szCs w:val="20"/>
              </w:rPr>
            </w:pPr>
            <w:r w:rsidRPr="00A462DA">
              <w:rPr>
                <w:color w:val="000000"/>
                <w:sz w:val="20"/>
                <w:szCs w:val="20"/>
              </w:rPr>
              <w:t>0.849</w:t>
            </w:r>
          </w:p>
        </w:tc>
        <w:tc>
          <w:tcPr>
            <w:tcW w:w="724" w:type="dxa"/>
            <w:tcBorders>
              <w:top w:val="nil"/>
              <w:left w:val="single" w:sz="4" w:space="0" w:color="auto"/>
              <w:right w:val="double" w:sz="4" w:space="0" w:color="auto"/>
            </w:tcBorders>
            <w:shd w:val="clear" w:color="auto" w:fill="auto"/>
            <w:noWrap/>
            <w:vAlign w:val="center"/>
          </w:tcPr>
          <w:p w14:paraId="6F8428E8" w14:textId="77777777" w:rsidR="00ED063B" w:rsidRPr="00A462DA" w:rsidRDefault="00ED063B" w:rsidP="00DA4159">
            <w:pPr>
              <w:spacing w:after="0" w:line="240" w:lineRule="auto"/>
              <w:jc w:val="right"/>
              <w:rPr>
                <w:color w:val="000000"/>
                <w:sz w:val="20"/>
                <w:szCs w:val="20"/>
              </w:rPr>
            </w:pPr>
            <w:r w:rsidRPr="00A462DA">
              <w:rPr>
                <w:color w:val="000000"/>
                <w:sz w:val="20"/>
                <w:szCs w:val="20"/>
              </w:rPr>
              <w:t>3.06</w:t>
            </w:r>
          </w:p>
        </w:tc>
        <w:tc>
          <w:tcPr>
            <w:tcW w:w="810" w:type="dxa"/>
            <w:tcBorders>
              <w:top w:val="nil"/>
              <w:left w:val="nil"/>
              <w:right w:val="single" w:sz="4" w:space="0" w:color="auto"/>
            </w:tcBorders>
            <w:shd w:val="clear" w:color="auto" w:fill="auto"/>
            <w:vAlign w:val="center"/>
          </w:tcPr>
          <w:p w14:paraId="3C22472A" w14:textId="77777777" w:rsidR="00ED063B" w:rsidRPr="00A462DA" w:rsidRDefault="00ED063B" w:rsidP="00DA4159">
            <w:pPr>
              <w:spacing w:after="0" w:line="240" w:lineRule="auto"/>
              <w:jc w:val="right"/>
              <w:rPr>
                <w:color w:val="000000"/>
                <w:sz w:val="20"/>
                <w:szCs w:val="20"/>
              </w:rPr>
            </w:pPr>
            <w:r w:rsidRPr="00A462DA">
              <w:rPr>
                <w:color w:val="000000"/>
                <w:sz w:val="20"/>
                <w:szCs w:val="20"/>
              </w:rPr>
              <w:t>--</w:t>
            </w:r>
          </w:p>
        </w:tc>
        <w:tc>
          <w:tcPr>
            <w:tcW w:w="720" w:type="dxa"/>
            <w:tcBorders>
              <w:top w:val="nil"/>
              <w:left w:val="nil"/>
              <w:right w:val="double" w:sz="4" w:space="0" w:color="auto"/>
            </w:tcBorders>
            <w:shd w:val="clear" w:color="auto" w:fill="auto"/>
            <w:vAlign w:val="center"/>
          </w:tcPr>
          <w:p w14:paraId="0A10EBE8" w14:textId="77777777" w:rsidR="00ED063B" w:rsidRPr="00A462DA" w:rsidRDefault="00ED063B" w:rsidP="00DA4159">
            <w:pPr>
              <w:spacing w:after="0" w:line="240" w:lineRule="auto"/>
              <w:jc w:val="right"/>
              <w:rPr>
                <w:color w:val="000000"/>
                <w:sz w:val="20"/>
                <w:szCs w:val="20"/>
              </w:rPr>
            </w:pPr>
          </w:p>
        </w:tc>
      </w:tr>
      <w:tr w:rsidR="00ED063B" w:rsidRPr="00A462DA" w14:paraId="43B0AE43" w14:textId="77777777" w:rsidTr="008B31DB">
        <w:trPr>
          <w:trHeight w:val="274"/>
          <w:jc w:val="center"/>
        </w:trPr>
        <w:tc>
          <w:tcPr>
            <w:tcW w:w="5310" w:type="dxa"/>
            <w:tcBorders>
              <w:top w:val="nil"/>
              <w:left w:val="double" w:sz="4" w:space="0" w:color="auto"/>
              <w:right w:val="double" w:sz="4" w:space="0" w:color="auto"/>
            </w:tcBorders>
            <w:shd w:val="clear" w:color="auto" w:fill="auto"/>
            <w:noWrap/>
            <w:vAlign w:val="center"/>
          </w:tcPr>
          <w:p w14:paraId="3EA35BA0" w14:textId="77777777" w:rsidR="00ED063B" w:rsidRPr="00814E2F" w:rsidRDefault="00ED063B" w:rsidP="00DA4159">
            <w:pPr>
              <w:spacing w:after="0" w:line="240" w:lineRule="auto"/>
              <w:rPr>
                <w:rFonts w:eastAsia="Times New Roman"/>
                <w:b/>
                <w:i/>
                <w:sz w:val="19"/>
                <w:szCs w:val="19"/>
                <w:u w:val="single"/>
              </w:rPr>
            </w:pPr>
            <w:r w:rsidRPr="00814E2F">
              <w:rPr>
                <w:rFonts w:eastAsia="Times New Roman"/>
                <w:b/>
                <w:i/>
                <w:sz w:val="19"/>
                <w:szCs w:val="19"/>
                <w:u w:val="single"/>
              </w:rPr>
              <w:t>COVID-19 Threat</w:t>
            </w:r>
          </w:p>
        </w:tc>
        <w:tc>
          <w:tcPr>
            <w:tcW w:w="794" w:type="dxa"/>
            <w:tcBorders>
              <w:top w:val="nil"/>
              <w:left w:val="double" w:sz="4" w:space="0" w:color="auto"/>
              <w:right w:val="single" w:sz="4" w:space="0" w:color="auto"/>
            </w:tcBorders>
            <w:shd w:val="clear" w:color="auto" w:fill="auto"/>
            <w:noWrap/>
            <w:vAlign w:val="center"/>
          </w:tcPr>
          <w:p w14:paraId="1BFEE8BC" w14:textId="77777777" w:rsidR="00ED063B" w:rsidRPr="00A462DA" w:rsidRDefault="00ED063B" w:rsidP="00DA4159">
            <w:pPr>
              <w:spacing w:after="0" w:line="240" w:lineRule="auto"/>
              <w:jc w:val="right"/>
              <w:rPr>
                <w:sz w:val="20"/>
                <w:szCs w:val="20"/>
              </w:rPr>
            </w:pPr>
          </w:p>
        </w:tc>
        <w:tc>
          <w:tcPr>
            <w:tcW w:w="720" w:type="dxa"/>
            <w:tcBorders>
              <w:top w:val="nil"/>
              <w:left w:val="single" w:sz="4" w:space="0" w:color="auto"/>
              <w:right w:val="double" w:sz="4" w:space="0" w:color="auto"/>
            </w:tcBorders>
            <w:shd w:val="clear" w:color="auto" w:fill="auto"/>
            <w:noWrap/>
            <w:vAlign w:val="center"/>
          </w:tcPr>
          <w:p w14:paraId="1D334572" w14:textId="77777777" w:rsidR="00ED063B" w:rsidRPr="00A462DA" w:rsidRDefault="00ED063B" w:rsidP="00DA4159">
            <w:pPr>
              <w:spacing w:after="0" w:line="240" w:lineRule="auto"/>
              <w:jc w:val="right"/>
              <w:rPr>
                <w:sz w:val="20"/>
                <w:szCs w:val="20"/>
              </w:rPr>
            </w:pPr>
          </w:p>
        </w:tc>
        <w:tc>
          <w:tcPr>
            <w:tcW w:w="810" w:type="dxa"/>
            <w:tcBorders>
              <w:top w:val="nil"/>
              <w:left w:val="double" w:sz="4" w:space="0" w:color="auto"/>
              <w:right w:val="single" w:sz="4" w:space="0" w:color="auto"/>
            </w:tcBorders>
            <w:shd w:val="clear" w:color="auto" w:fill="auto"/>
            <w:noWrap/>
            <w:vAlign w:val="center"/>
          </w:tcPr>
          <w:p w14:paraId="52FBF563" w14:textId="77777777" w:rsidR="00ED063B" w:rsidRPr="00A462DA" w:rsidRDefault="00ED063B" w:rsidP="00DA4159">
            <w:pPr>
              <w:spacing w:after="0" w:line="240" w:lineRule="auto"/>
              <w:jc w:val="right"/>
              <w:rPr>
                <w:sz w:val="20"/>
                <w:szCs w:val="20"/>
              </w:rPr>
            </w:pPr>
          </w:p>
        </w:tc>
        <w:tc>
          <w:tcPr>
            <w:tcW w:w="724" w:type="dxa"/>
            <w:tcBorders>
              <w:top w:val="nil"/>
              <w:left w:val="single" w:sz="4" w:space="0" w:color="auto"/>
              <w:right w:val="double" w:sz="4" w:space="0" w:color="auto"/>
            </w:tcBorders>
            <w:shd w:val="clear" w:color="auto" w:fill="auto"/>
            <w:noWrap/>
            <w:vAlign w:val="center"/>
          </w:tcPr>
          <w:p w14:paraId="2701C20A" w14:textId="77777777" w:rsidR="00ED063B" w:rsidRPr="00A462DA" w:rsidRDefault="00ED063B" w:rsidP="00DA4159">
            <w:pPr>
              <w:spacing w:after="0" w:line="240" w:lineRule="auto"/>
              <w:jc w:val="right"/>
              <w:rPr>
                <w:sz w:val="20"/>
                <w:szCs w:val="20"/>
              </w:rPr>
            </w:pPr>
          </w:p>
        </w:tc>
        <w:tc>
          <w:tcPr>
            <w:tcW w:w="810" w:type="dxa"/>
            <w:tcBorders>
              <w:top w:val="nil"/>
              <w:left w:val="nil"/>
              <w:right w:val="single" w:sz="4" w:space="0" w:color="auto"/>
            </w:tcBorders>
            <w:shd w:val="clear" w:color="auto" w:fill="auto"/>
            <w:vAlign w:val="center"/>
          </w:tcPr>
          <w:p w14:paraId="097DC2C4" w14:textId="77777777" w:rsidR="00ED063B" w:rsidRPr="00A462DA" w:rsidRDefault="00ED063B" w:rsidP="00DA4159">
            <w:pPr>
              <w:spacing w:after="0" w:line="240" w:lineRule="auto"/>
              <w:jc w:val="right"/>
              <w:rPr>
                <w:sz w:val="20"/>
                <w:szCs w:val="20"/>
              </w:rPr>
            </w:pPr>
          </w:p>
        </w:tc>
        <w:tc>
          <w:tcPr>
            <w:tcW w:w="720" w:type="dxa"/>
            <w:tcBorders>
              <w:top w:val="nil"/>
              <w:left w:val="nil"/>
              <w:right w:val="double" w:sz="4" w:space="0" w:color="auto"/>
            </w:tcBorders>
            <w:shd w:val="clear" w:color="auto" w:fill="auto"/>
            <w:vAlign w:val="center"/>
          </w:tcPr>
          <w:p w14:paraId="38A59778" w14:textId="77777777" w:rsidR="00ED063B" w:rsidRPr="00A462DA" w:rsidRDefault="00ED063B" w:rsidP="00DA4159">
            <w:pPr>
              <w:spacing w:after="0" w:line="240" w:lineRule="auto"/>
              <w:jc w:val="right"/>
              <w:rPr>
                <w:sz w:val="20"/>
                <w:szCs w:val="20"/>
              </w:rPr>
            </w:pPr>
          </w:p>
        </w:tc>
      </w:tr>
      <w:tr w:rsidR="00ED063B" w:rsidRPr="00A462DA" w14:paraId="4086E7D4" w14:textId="77777777" w:rsidTr="008B31DB">
        <w:trPr>
          <w:trHeight w:val="274"/>
          <w:jc w:val="center"/>
        </w:trPr>
        <w:tc>
          <w:tcPr>
            <w:tcW w:w="5310" w:type="dxa"/>
            <w:tcBorders>
              <w:top w:val="nil"/>
              <w:left w:val="double" w:sz="4" w:space="0" w:color="auto"/>
              <w:right w:val="double" w:sz="4" w:space="0" w:color="auto"/>
            </w:tcBorders>
            <w:shd w:val="clear" w:color="auto" w:fill="auto"/>
            <w:noWrap/>
            <w:vAlign w:val="center"/>
          </w:tcPr>
          <w:p w14:paraId="2F063CE3" w14:textId="77777777" w:rsidR="007856AB" w:rsidRPr="00814E2F" w:rsidRDefault="00ED063B" w:rsidP="00DA4159">
            <w:pPr>
              <w:spacing w:after="0" w:line="240" w:lineRule="auto"/>
              <w:rPr>
                <w:rFonts w:eastAsia="Times New Roman"/>
                <w:b/>
                <w:sz w:val="19"/>
                <w:szCs w:val="19"/>
              </w:rPr>
            </w:pPr>
            <w:r w:rsidRPr="00814E2F">
              <w:rPr>
                <w:rFonts w:eastAsia="Times New Roman"/>
                <w:b/>
                <w:sz w:val="19"/>
                <w:szCs w:val="19"/>
              </w:rPr>
              <w:t xml:space="preserve">Immunocompromised Complications (self and others are not </w:t>
            </w:r>
          </w:p>
          <w:p w14:paraId="3DA80833" w14:textId="1D5AA6B6" w:rsidR="00ED063B" w:rsidRPr="00814E2F" w:rsidRDefault="007856AB" w:rsidP="00DA4159">
            <w:pPr>
              <w:spacing w:after="0" w:line="240" w:lineRule="auto"/>
              <w:rPr>
                <w:rFonts w:eastAsia="Times New Roman"/>
                <w:b/>
                <w:sz w:val="19"/>
                <w:szCs w:val="19"/>
              </w:rPr>
            </w:pPr>
            <w:r w:rsidRPr="00814E2F">
              <w:rPr>
                <w:rFonts w:eastAsia="Times New Roman"/>
                <w:b/>
                <w:sz w:val="19"/>
                <w:szCs w:val="19"/>
              </w:rPr>
              <w:t xml:space="preserve">    </w:t>
            </w:r>
            <w:r w:rsidR="00ED063B" w:rsidRPr="00814E2F">
              <w:rPr>
                <w:rFonts w:eastAsia="Times New Roman"/>
                <w:b/>
                <w:sz w:val="19"/>
                <w:szCs w:val="19"/>
              </w:rPr>
              <w:t>immunocompromised)</w:t>
            </w:r>
          </w:p>
        </w:tc>
        <w:tc>
          <w:tcPr>
            <w:tcW w:w="794" w:type="dxa"/>
            <w:tcBorders>
              <w:top w:val="nil"/>
              <w:left w:val="double" w:sz="4" w:space="0" w:color="auto"/>
              <w:right w:val="single" w:sz="4" w:space="0" w:color="auto"/>
            </w:tcBorders>
            <w:shd w:val="clear" w:color="auto" w:fill="auto"/>
            <w:noWrap/>
            <w:vAlign w:val="center"/>
          </w:tcPr>
          <w:p w14:paraId="724F4FE3" w14:textId="77777777" w:rsidR="00ED063B" w:rsidRPr="00A462DA" w:rsidRDefault="00ED063B" w:rsidP="00DA4159">
            <w:pPr>
              <w:spacing w:after="0" w:line="240" w:lineRule="auto"/>
              <w:jc w:val="right"/>
              <w:rPr>
                <w:sz w:val="20"/>
                <w:szCs w:val="20"/>
              </w:rPr>
            </w:pPr>
          </w:p>
        </w:tc>
        <w:tc>
          <w:tcPr>
            <w:tcW w:w="720" w:type="dxa"/>
            <w:tcBorders>
              <w:top w:val="nil"/>
              <w:left w:val="single" w:sz="4" w:space="0" w:color="auto"/>
              <w:right w:val="double" w:sz="4" w:space="0" w:color="auto"/>
            </w:tcBorders>
            <w:shd w:val="clear" w:color="auto" w:fill="auto"/>
            <w:noWrap/>
            <w:vAlign w:val="center"/>
          </w:tcPr>
          <w:p w14:paraId="67B89C9E" w14:textId="77777777" w:rsidR="00ED063B" w:rsidRPr="00A462DA" w:rsidRDefault="00ED063B" w:rsidP="00DA4159">
            <w:pPr>
              <w:spacing w:after="0" w:line="240" w:lineRule="auto"/>
              <w:jc w:val="right"/>
              <w:rPr>
                <w:sz w:val="20"/>
                <w:szCs w:val="20"/>
              </w:rPr>
            </w:pPr>
          </w:p>
        </w:tc>
        <w:tc>
          <w:tcPr>
            <w:tcW w:w="810" w:type="dxa"/>
            <w:tcBorders>
              <w:top w:val="nil"/>
              <w:left w:val="double" w:sz="4" w:space="0" w:color="auto"/>
              <w:right w:val="single" w:sz="4" w:space="0" w:color="auto"/>
            </w:tcBorders>
            <w:shd w:val="clear" w:color="auto" w:fill="auto"/>
            <w:noWrap/>
            <w:vAlign w:val="center"/>
          </w:tcPr>
          <w:p w14:paraId="305D3BA1" w14:textId="77777777" w:rsidR="00ED063B" w:rsidRPr="00A462DA" w:rsidRDefault="00ED063B" w:rsidP="00DA4159">
            <w:pPr>
              <w:spacing w:after="0" w:line="240" w:lineRule="auto"/>
              <w:jc w:val="right"/>
              <w:rPr>
                <w:sz w:val="20"/>
                <w:szCs w:val="20"/>
              </w:rPr>
            </w:pPr>
          </w:p>
        </w:tc>
        <w:tc>
          <w:tcPr>
            <w:tcW w:w="724" w:type="dxa"/>
            <w:tcBorders>
              <w:top w:val="nil"/>
              <w:left w:val="single" w:sz="4" w:space="0" w:color="auto"/>
              <w:right w:val="double" w:sz="4" w:space="0" w:color="auto"/>
            </w:tcBorders>
            <w:shd w:val="clear" w:color="auto" w:fill="auto"/>
            <w:noWrap/>
            <w:vAlign w:val="center"/>
          </w:tcPr>
          <w:p w14:paraId="03C56E5A" w14:textId="77777777" w:rsidR="00ED063B" w:rsidRPr="00A462DA" w:rsidRDefault="00ED063B" w:rsidP="00DA4159">
            <w:pPr>
              <w:spacing w:after="0" w:line="240" w:lineRule="auto"/>
              <w:jc w:val="right"/>
              <w:rPr>
                <w:sz w:val="20"/>
                <w:szCs w:val="20"/>
              </w:rPr>
            </w:pPr>
          </w:p>
        </w:tc>
        <w:tc>
          <w:tcPr>
            <w:tcW w:w="810" w:type="dxa"/>
            <w:tcBorders>
              <w:top w:val="nil"/>
              <w:left w:val="nil"/>
              <w:right w:val="single" w:sz="4" w:space="0" w:color="auto"/>
            </w:tcBorders>
            <w:shd w:val="clear" w:color="auto" w:fill="auto"/>
            <w:vAlign w:val="center"/>
          </w:tcPr>
          <w:p w14:paraId="48272486" w14:textId="77777777" w:rsidR="00ED063B" w:rsidRPr="00A462DA" w:rsidRDefault="00ED063B" w:rsidP="00DA4159">
            <w:pPr>
              <w:spacing w:after="0" w:line="240" w:lineRule="auto"/>
              <w:jc w:val="right"/>
              <w:rPr>
                <w:sz w:val="20"/>
                <w:szCs w:val="20"/>
              </w:rPr>
            </w:pPr>
          </w:p>
        </w:tc>
        <w:tc>
          <w:tcPr>
            <w:tcW w:w="720" w:type="dxa"/>
            <w:tcBorders>
              <w:top w:val="nil"/>
              <w:left w:val="nil"/>
              <w:right w:val="double" w:sz="4" w:space="0" w:color="auto"/>
            </w:tcBorders>
            <w:shd w:val="clear" w:color="auto" w:fill="auto"/>
            <w:vAlign w:val="center"/>
          </w:tcPr>
          <w:p w14:paraId="20B0FA81" w14:textId="77777777" w:rsidR="00ED063B" w:rsidRPr="00A462DA" w:rsidRDefault="00ED063B" w:rsidP="00DA4159">
            <w:pPr>
              <w:spacing w:after="0" w:line="240" w:lineRule="auto"/>
              <w:jc w:val="right"/>
              <w:rPr>
                <w:sz w:val="20"/>
                <w:szCs w:val="20"/>
              </w:rPr>
            </w:pPr>
          </w:p>
        </w:tc>
      </w:tr>
      <w:tr w:rsidR="00ED063B" w:rsidRPr="00A462DA" w14:paraId="7A235EBA" w14:textId="77777777" w:rsidTr="008B31DB">
        <w:trPr>
          <w:trHeight w:val="274"/>
          <w:jc w:val="center"/>
        </w:trPr>
        <w:tc>
          <w:tcPr>
            <w:tcW w:w="5310" w:type="dxa"/>
            <w:tcBorders>
              <w:top w:val="nil"/>
              <w:left w:val="double" w:sz="4" w:space="0" w:color="auto"/>
              <w:right w:val="double" w:sz="4" w:space="0" w:color="auto"/>
            </w:tcBorders>
            <w:shd w:val="clear" w:color="auto" w:fill="auto"/>
            <w:noWrap/>
            <w:vAlign w:val="center"/>
          </w:tcPr>
          <w:p w14:paraId="3253AA81" w14:textId="1B345BB6" w:rsidR="00ED063B" w:rsidRPr="00814E2F" w:rsidRDefault="00ED063B" w:rsidP="00DA4159">
            <w:pPr>
              <w:spacing w:after="0" w:line="240" w:lineRule="auto"/>
              <w:rPr>
                <w:rFonts w:eastAsia="Times New Roman"/>
                <w:sz w:val="19"/>
                <w:szCs w:val="19"/>
              </w:rPr>
            </w:pPr>
            <w:r w:rsidRPr="00814E2F">
              <w:rPr>
                <w:rFonts w:eastAsia="Times New Roman"/>
                <w:sz w:val="19"/>
                <w:szCs w:val="19"/>
              </w:rPr>
              <w:t xml:space="preserve">  Someone frequently seen is immunocompromised</w:t>
            </w:r>
          </w:p>
        </w:tc>
        <w:tc>
          <w:tcPr>
            <w:tcW w:w="794" w:type="dxa"/>
            <w:tcBorders>
              <w:top w:val="nil"/>
              <w:left w:val="double" w:sz="4" w:space="0" w:color="auto"/>
              <w:right w:val="single" w:sz="4" w:space="0" w:color="auto"/>
            </w:tcBorders>
            <w:shd w:val="clear" w:color="auto" w:fill="auto"/>
            <w:noWrap/>
            <w:vAlign w:val="center"/>
          </w:tcPr>
          <w:p w14:paraId="4EC0DBCC" w14:textId="77777777" w:rsidR="00ED063B" w:rsidRPr="00A462DA" w:rsidRDefault="00ED063B" w:rsidP="00DA4159">
            <w:pPr>
              <w:spacing w:after="0" w:line="240" w:lineRule="auto"/>
              <w:jc w:val="right"/>
              <w:rPr>
                <w:sz w:val="20"/>
                <w:szCs w:val="20"/>
              </w:rPr>
            </w:pPr>
            <w:r w:rsidRPr="00A462DA">
              <w:rPr>
                <w:sz w:val="20"/>
                <w:szCs w:val="20"/>
              </w:rPr>
              <w:t>--</w:t>
            </w:r>
          </w:p>
        </w:tc>
        <w:tc>
          <w:tcPr>
            <w:tcW w:w="720" w:type="dxa"/>
            <w:tcBorders>
              <w:top w:val="nil"/>
              <w:left w:val="single" w:sz="4" w:space="0" w:color="auto"/>
              <w:right w:val="double" w:sz="4" w:space="0" w:color="auto"/>
            </w:tcBorders>
            <w:shd w:val="clear" w:color="auto" w:fill="auto"/>
            <w:noWrap/>
            <w:vAlign w:val="center"/>
          </w:tcPr>
          <w:p w14:paraId="57BCFF25" w14:textId="77777777" w:rsidR="00ED063B" w:rsidRPr="00A462DA" w:rsidRDefault="00ED063B" w:rsidP="00DA4159">
            <w:pPr>
              <w:spacing w:after="0" w:line="240" w:lineRule="auto"/>
              <w:jc w:val="right"/>
              <w:rPr>
                <w:sz w:val="20"/>
                <w:szCs w:val="20"/>
              </w:rPr>
            </w:pPr>
          </w:p>
        </w:tc>
        <w:tc>
          <w:tcPr>
            <w:tcW w:w="810" w:type="dxa"/>
            <w:tcBorders>
              <w:top w:val="nil"/>
              <w:left w:val="double" w:sz="4" w:space="0" w:color="auto"/>
              <w:right w:val="single" w:sz="4" w:space="0" w:color="auto"/>
            </w:tcBorders>
            <w:shd w:val="clear" w:color="auto" w:fill="auto"/>
            <w:noWrap/>
            <w:vAlign w:val="center"/>
          </w:tcPr>
          <w:p w14:paraId="089506B6" w14:textId="77777777" w:rsidR="00ED063B" w:rsidRPr="00A462DA" w:rsidRDefault="00ED063B" w:rsidP="00DA4159">
            <w:pPr>
              <w:spacing w:after="0" w:line="240" w:lineRule="auto"/>
              <w:jc w:val="right"/>
              <w:rPr>
                <w:color w:val="000000"/>
                <w:sz w:val="20"/>
                <w:szCs w:val="20"/>
              </w:rPr>
            </w:pPr>
            <w:r w:rsidRPr="00A462DA">
              <w:rPr>
                <w:color w:val="000000"/>
                <w:sz w:val="20"/>
                <w:szCs w:val="20"/>
              </w:rPr>
              <w:t>-0.441</w:t>
            </w:r>
          </w:p>
        </w:tc>
        <w:tc>
          <w:tcPr>
            <w:tcW w:w="724" w:type="dxa"/>
            <w:tcBorders>
              <w:top w:val="nil"/>
              <w:left w:val="single" w:sz="4" w:space="0" w:color="auto"/>
              <w:right w:val="double" w:sz="4" w:space="0" w:color="auto"/>
            </w:tcBorders>
            <w:shd w:val="clear" w:color="auto" w:fill="auto"/>
            <w:noWrap/>
            <w:vAlign w:val="center"/>
          </w:tcPr>
          <w:p w14:paraId="582F268B" w14:textId="77777777" w:rsidR="00ED063B" w:rsidRPr="00A462DA" w:rsidRDefault="00ED063B" w:rsidP="00DA4159">
            <w:pPr>
              <w:spacing w:after="0" w:line="240" w:lineRule="auto"/>
              <w:jc w:val="right"/>
              <w:rPr>
                <w:color w:val="000000"/>
                <w:sz w:val="20"/>
                <w:szCs w:val="20"/>
              </w:rPr>
            </w:pPr>
            <w:r w:rsidRPr="00A462DA">
              <w:rPr>
                <w:color w:val="000000"/>
                <w:sz w:val="20"/>
                <w:szCs w:val="20"/>
              </w:rPr>
              <w:t>-2.90</w:t>
            </w:r>
          </w:p>
        </w:tc>
        <w:tc>
          <w:tcPr>
            <w:tcW w:w="810" w:type="dxa"/>
            <w:tcBorders>
              <w:top w:val="nil"/>
              <w:left w:val="nil"/>
              <w:right w:val="single" w:sz="4" w:space="0" w:color="auto"/>
            </w:tcBorders>
            <w:shd w:val="clear" w:color="auto" w:fill="auto"/>
            <w:vAlign w:val="center"/>
          </w:tcPr>
          <w:p w14:paraId="23E685B4" w14:textId="77777777" w:rsidR="00ED063B" w:rsidRPr="00A462DA" w:rsidRDefault="00ED063B" w:rsidP="00DA4159">
            <w:pPr>
              <w:spacing w:after="0" w:line="240" w:lineRule="auto"/>
              <w:jc w:val="right"/>
              <w:rPr>
                <w:sz w:val="20"/>
                <w:szCs w:val="20"/>
              </w:rPr>
            </w:pPr>
            <w:r w:rsidRPr="00A462DA">
              <w:rPr>
                <w:sz w:val="20"/>
                <w:szCs w:val="20"/>
              </w:rPr>
              <w:t>--</w:t>
            </w:r>
          </w:p>
        </w:tc>
        <w:tc>
          <w:tcPr>
            <w:tcW w:w="720" w:type="dxa"/>
            <w:tcBorders>
              <w:top w:val="nil"/>
              <w:left w:val="nil"/>
              <w:right w:val="double" w:sz="4" w:space="0" w:color="auto"/>
            </w:tcBorders>
            <w:shd w:val="clear" w:color="auto" w:fill="auto"/>
            <w:vAlign w:val="center"/>
          </w:tcPr>
          <w:p w14:paraId="5DA410BF" w14:textId="77777777" w:rsidR="00ED063B" w:rsidRPr="00A462DA" w:rsidRDefault="00ED063B" w:rsidP="00DA4159">
            <w:pPr>
              <w:spacing w:after="0" w:line="240" w:lineRule="auto"/>
              <w:jc w:val="right"/>
              <w:rPr>
                <w:sz w:val="20"/>
                <w:szCs w:val="20"/>
              </w:rPr>
            </w:pPr>
          </w:p>
        </w:tc>
      </w:tr>
      <w:tr w:rsidR="00ED063B" w:rsidRPr="00A462DA" w14:paraId="3E4B6F5D" w14:textId="77777777" w:rsidTr="008B31DB">
        <w:trPr>
          <w:trHeight w:val="274"/>
          <w:jc w:val="center"/>
        </w:trPr>
        <w:tc>
          <w:tcPr>
            <w:tcW w:w="5310" w:type="dxa"/>
            <w:tcBorders>
              <w:top w:val="nil"/>
              <w:left w:val="double" w:sz="4" w:space="0" w:color="auto"/>
              <w:right w:val="double" w:sz="4" w:space="0" w:color="auto"/>
            </w:tcBorders>
            <w:shd w:val="clear" w:color="auto" w:fill="auto"/>
            <w:noWrap/>
            <w:vAlign w:val="center"/>
          </w:tcPr>
          <w:p w14:paraId="2DCF941C" w14:textId="092575F2" w:rsidR="00ED063B" w:rsidRPr="00814E2F" w:rsidRDefault="00ED063B" w:rsidP="00DA4159">
            <w:pPr>
              <w:spacing w:after="0" w:line="240" w:lineRule="auto"/>
              <w:rPr>
                <w:rFonts w:eastAsia="Times New Roman"/>
                <w:b/>
                <w:sz w:val="19"/>
                <w:szCs w:val="19"/>
              </w:rPr>
            </w:pPr>
            <w:r w:rsidRPr="00814E2F">
              <w:rPr>
                <w:rFonts w:eastAsia="Times New Roman"/>
                <w:b/>
                <w:sz w:val="19"/>
                <w:szCs w:val="19"/>
              </w:rPr>
              <w:t>COVID-19 Risk Level (risk is extremely low or low)</w:t>
            </w:r>
          </w:p>
        </w:tc>
        <w:tc>
          <w:tcPr>
            <w:tcW w:w="794" w:type="dxa"/>
            <w:tcBorders>
              <w:top w:val="nil"/>
              <w:left w:val="double" w:sz="4" w:space="0" w:color="auto"/>
              <w:right w:val="single" w:sz="4" w:space="0" w:color="auto"/>
            </w:tcBorders>
            <w:shd w:val="clear" w:color="auto" w:fill="auto"/>
            <w:noWrap/>
            <w:vAlign w:val="center"/>
          </w:tcPr>
          <w:p w14:paraId="0F71C3CD" w14:textId="77777777" w:rsidR="00ED063B" w:rsidRPr="00A462DA" w:rsidRDefault="00ED063B" w:rsidP="00DA4159">
            <w:pPr>
              <w:spacing w:after="0" w:line="240" w:lineRule="auto"/>
              <w:jc w:val="right"/>
              <w:rPr>
                <w:sz w:val="20"/>
                <w:szCs w:val="20"/>
              </w:rPr>
            </w:pPr>
          </w:p>
        </w:tc>
        <w:tc>
          <w:tcPr>
            <w:tcW w:w="720" w:type="dxa"/>
            <w:tcBorders>
              <w:top w:val="nil"/>
              <w:left w:val="single" w:sz="4" w:space="0" w:color="auto"/>
              <w:right w:val="double" w:sz="4" w:space="0" w:color="auto"/>
            </w:tcBorders>
            <w:shd w:val="clear" w:color="auto" w:fill="auto"/>
            <w:noWrap/>
            <w:vAlign w:val="center"/>
          </w:tcPr>
          <w:p w14:paraId="1A7149D8" w14:textId="77777777" w:rsidR="00ED063B" w:rsidRPr="00A462DA" w:rsidRDefault="00ED063B" w:rsidP="00DA4159">
            <w:pPr>
              <w:spacing w:after="0" w:line="240" w:lineRule="auto"/>
              <w:jc w:val="right"/>
              <w:rPr>
                <w:sz w:val="20"/>
                <w:szCs w:val="20"/>
              </w:rPr>
            </w:pPr>
          </w:p>
        </w:tc>
        <w:tc>
          <w:tcPr>
            <w:tcW w:w="810" w:type="dxa"/>
            <w:tcBorders>
              <w:top w:val="nil"/>
              <w:left w:val="double" w:sz="4" w:space="0" w:color="auto"/>
              <w:right w:val="single" w:sz="4" w:space="0" w:color="auto"/>
            </w:tcBorders>
            <w:shd w:val="clear" w:color="auto" w:fill="auto"/>
            <w:noWrap/>
            <w:vAlign w:val="center"/>
          </w:tcPr>
          <w:p w14:paraId="072AAA0E" w14:textId="77777777" w:rsidR="00ED063B" w:rsidRPr="00A462DA" w:rsidRDefault="00ED063B" w:rsidP="00DA4159">
            <w:pPr>
              <w:spacing w:after="0" w:line="240" w:lineRule="auto"/>
              <w:jc w:val="right"/>
              <w:rPr>
                <w:sz w:val="20"/>
                <w:szCs w:val="20"/>
              </w:rPr>
            </w:pPr>
          </w:p>
        </w:tc>
        <w:tc>
          <w:tcPr>
            <w:tcW w:w="724" w:type="dxa"/>
            <w:tcBorders>
              <w:top w:val="nil"/>
              <w:left w:val="single" w:sz="4" w:space="0" w:color="auto"/>
              <w:right w:val="double" w:sz="4" w:space="0" w:color="auto"/>
            </w:tcBorders>
            <w:shd w:val="clear" w:color="auto" w:fill="auto"/>
            <w:noWrap/>
            <w:vAlign w:val="center"/>
          </w:tcPr>
          <w:p w14:paraId="0ACA929D" w14:textId="77777777" w:rsidR="00ED063B" w:rsidRPr="00A462DA" w:rsidRDefault="00ED063B" w:rsidP="00DA4159">
            <w:pPr>
              <w:spacing w:after="0" w:line="240" w:lineRule="auto"/>
              <w:jc w:val="right"/>
              <w:rPr>
                <w:sz w:val="20"/>
                <w:szCs w:val="20"/>
              </w:rPr>
            </w:pPr>
          </w:p>
        </w:tc>
        <w:tc>
          <w:tcPr>
            <w:tcW w:w="810" w:type="dxa"/>
            <w:tcBorders>
              <w:top w:val="nil"/>
              <w:left w:val="nil"/>
              <w:right w:val="single" w:sz="4" w:space="0" w:color="auto"/>
            </w:tcBorders>
            <w:shd w:val="clear" w:color="auto" w:fill="auto"/>
            <w:vAlign w:val="center"/>
          </w:tcPr>
          <w:p w14:paraId="18673501" w14:textId="77777777" w:rsidR="00ED063B" w:rsidRPr="00A462DA" w:rsidRDefault="00ED063B" w:rsidP="00DA4159">
            <w:pPr>
              <w:spacing w:after="0" w:line="240" w:lineRule="auto"/>
              <w:jc w:val="right"/>
              <w:rPr>
                <w:sz w:val="20"/>
                <w:szCs w:val="20"/>
              </w:rPr>
            </w:pPr>
          </w:p>
        </w:tc>
        <w:tc>
          <w:tcPr>
            <w:tcW w:w="720" w:type="dxa"/>
            <w:tcBorders>
              <w:top w:val="nil"/>
              <w:left w:val="nil"/>
              <w:right w:val="double" w:sz="4" w:space="0" w:color="auto"/>
            </w:tcBorders>
            <w:shd w:val="clear" w:color="auto" w:fill="auto"/>
            <w:vAlign w:val="center"/>
          </w:tcPr>
          <w:p w14:paraId="4A692208" w14:textId="77777777" w:rsidR="00ED063B" w:rsidRPr="00A462DA" w:rsidRDefault="00ED063B" w:rsidP="00DA4159">
            <w:pPr>
              <w:spacing w:after="0" w:line="240" w:lineRule="auto"/>
              <w:jc w:val="right"/>
              <w:rPr>
                <w:sz w:val="20"/>
                <w:szCs w:val="20"/>
              </w:rPr>
            </w:pPr>
          </w:p>
        </w:tc>
      </w:tr>
      <w:tr w:rsidR="00ED063B" w:rsidRPr="00A462DA" w14:paraId="73902F2F" w14:textId="77777777" w:rsidTr="008B31DB">
        <w:trPr>
          <w:trHeight w:val="274"/>
          <w:jc w:val="center"/>
        </w:trPr>
        <w:tc>
          <w:tcPr>
            <w:tcW w:w="5310" w:type="dxa"/>
            <w:tcBorders>
              <w:top w:val="nil"/>
              <w:left w:val="double" w:sz="4" w:space="0" w:color="auto"/>
              <w:right w:val="double" w:sz="4" w:space="0" w:color="auto"/>
            </w:tcBorders>
            <w:shd w:val="clear" w:color="auto" w:fill="auto"/>
            <w:noWrap/>
            <w:vAlign w:val="center"/>
          </w:tcPr>
          <w:p w14:paraId="6EFC102F" w14:textId="77777777" w:rsidR="00ED063B" w:rsidRPr="00814E2F" w:rsidRDefault="00ED063B" w:rsidP="00DA4159">
            <w:pPr>
              <w:spacing w:after="0" w:line="240" w:lineRule="auto"/>
              <w:rPr>
                <w:rFonts w:eastAsia="Times New Roman"/>
                <w:sz w:val="19"/>
                <w:szCs w:val="19"/>
              </w:rPr>
            </w:pPr>
            <w:r w:rsidRPr="00814E2F">
              <w:rPr>
                <w:rFonts w:eastAsia="Times New Roman"/>
                <w:sz w:val="19"/>
                <w:szCs w:val="19"/>
              </w:rPr>
              <w:t xml:space="preserve">  Risk is high</w:t>
            </w:r>
          </w:p>
        </w:tc>
        <w:tc>
          <w:tcPr>
            <w:tcW w:w="794" w:type="dxa"/>
            <w:tcBorders>
              <w:top w:val="nil"/>
              <w:left w:val="double" w:sz="4" w:space="0" w:color="auto"/>
              <w:right w:val="single" w:sz="4" w:space="0" w:color="auto"/>
            </w:tcBorders>
            <w:shd w:val="clear" w:color="auto" w:fill="auto"/>
            <w:noWrap/>
            <w:vAlign w:val="center"/>
          </w:tcPr>
          <w:p w14:paraId="5705CD44" w14:textId="77777777" w:rsidR="00ED063B" w:rsidRPr="00A462DA" w:rsidRDefault="00ED063B" w:rsidP="00DA4159">
            <w:pPr>
              <w:spacing w:after="0" w:line="240" w:lineRule="auto"/>
              <w:jc w:val="right"/>
              <w:rPr>
                <w:color w:val="000000"/>
                <w:sz w:val="20"/>
                <w:szCs w:val="20"/>
              </w:rPr>
            </w:pPr>
            <w:r w:rsidRPr="00A462DA">
              <w:rPr>
                <w:color w:val="000000"/>
                <w:sz w:val="20"/>
                <w:szCs w:val="20"/>
              </w:rPr>
              <w:t>0.547</w:t>
            </w:r>
          </w:p>
        </w:tc>
        <w:tc>
          <w:tcPr>
            <w:tcW w:w="720" w:type="dxa"/>
            <w:tcBorders>
              <w:top w:val="nil"/>
              <w:left w:val="single" w:sz="4" w:space="0" w:color="auto"/>
              <w:right w:val="double" w:sz="4" w:space="0" w:color="auto"/>
            </w:tcBorders>
            <w:shd w:val="clear" w:color="auto" w:fill="auto"/>
            <w:noWrap/>
            <w:vAlign w:val="center"/>
          </w:tcPr>
          <w:p w14:paraId="14A07CA7" w14:textId="77777777" w:rsidR="00ED063B" w:rsidRPr="00A462DA" w:rsidRDefault="00ED063B" w:rsidP="00DA4159">
            <w:pPr>
              <w:spacing w:after="0" w:line="240" w:lineRule="auto"/>
              <w:jc w:val="right"/>
              <w:rPr>
                <w:color w:val="000000"/>
                <w:sz w:val="20"/>
                <w:szCs w:val="20"/>
              </w:rPr>
            </w:pPr>
            <w:r w:rsidRPr="00A462DA">
              <w:rPr>
                <w:color w:val="000000"/>
                <w:sz w:val="20"/>
                <w:szCs w:val="20"/>
              </w:rPr>
              <w:t>3.11</w:t>
            </w:r>
          </w:p>
        </w:tc>
        <w:tc>
          <w:tcPr>
            <w:tcW w:w="810" w:type="dxa"/>
            <w:tcBorders>
              <w:top w:val="nil"/>
              <w:left w:val="double" w:sz="4" w:space="0" w:color="auto"/>
              <w:right w:val="single" w:sz="4" w:space="0" w:color="auto"/>
            </w:tcBorders>
            <w:shd w:val="clear" w:color="auto" w:fill="auto"/>
            <w:noWrap/>
            <w:vAlign w:val="center"/>
          </w:tcPr>
          <w:p w14:paraId="6BDAC910" w14:textId="77777777" w:rsidR="00ED063B" w:rsidRPr="00A462DA" w:rsidRDefault="00ED063B" w:rsidP="00DA4159">
            <w:pPr>
              <w:spacing w:after="0" w:line="240" w:lineRule="auto"/>
              <w:jc w:val="right"/>
              <w:rPr>
                <w:sz w:val="20"/>
                <w:szCs w:val="20"/>
              </w:rPr>
            </w:pPr>
            <w:r w:rsidRPr="00A462DA">
              <w:rPr>
                <w:sz w:val="20"/>
                <w:szCs w:val="20"/>
              </w:rPr>
              <w:t>--</w:t>
            </w:r>
          </w:p>
        </w:tc>
        <w:tc>
          <w:tcPr>
            <w:tcW w:w="724" w:type="dxa"/>
            <w:tcBorders>
              <w:top w:val="nil"/>
              <w:left w:val="single" w:sz="4" w:space="0" w:color="auto"/>
              <w:right w:val="double" w:sz="4" w:space="0" w:color="auto"/>
            </w:tcBorders>
            <w:shd w:val="clear" w:color="auto" w:fill="auto"/>
            <w:noWrap/>
            <w:vAlign w:val="center"/>
          </w:tcPr>
          <w:p w14:paraId="43606612" w14:textId="77777777" w:rsidR="00ED063B" w:rsidRPr="00A462DA" w:rsidRDefault="00ED063B" w:rsidP="00DA4159">
            <w:pPr>
              <w:spacing w:after="0" w:line="240" w:lineRule="auto"/>
              <w:jc w:val="right"/>
              <w:rPr>
                <w:sz w:val="20"/>
                <w:szCs w:val="20"/>
              </w:rPr>
            </w:pPr>
          </w:p>
        </w:tc>
        <w:tc>
          <w:tcPr>
            <w:tcW w:w="810" w:type="dxa"/>
            <w:tcBorders>
              <w:top w:val="nil"/>
              <w:left w:val="nil"/>
              <w:right w:val="single" w:sz="4" w:space="0" w:color="auto"/>
            </w:tcBorders>
            <w:shd w:val="clear" w:color="auto" w:fill="auto"/>
            <w:vAlign w:val="center"/>
          </w:tcPr>
          <w:p w14:paraId="643892BC" w14:textId="77777777" w:rsidR="00ED063B" w:rsidRPr="00A462DA" w:rsidRDefault="00ED063B" w:rsidP="00DA4159">
            <w:pPr>
              <w:spacing w:after="0" w:line="240" w:lineRule="auto"/>
              <w:jc w:val="right"/>
              <w:rPr>
                <w:sz w:val="20"/>
                <w:szCs w:val="20"/>
              </w:rPr>
            </w:pPr>
            <w:r w:rsidRPr="00A462DA">
              <w:rPr>
                <w:sz w:val="20"/>
                <w:szCs w:val="20"/>
              </w:rPr>
              <w:t>--</w:t>
            </w:r>
          </w:p>
        </w:tc>
        <w:tc>
          <w:tcPr>
            <w:tcW w:w="720" w:type="dxa"/>
            <w:tcBorders>
              <w:top w:val="nil"/>
              <w:left w:val="nil"/>
              <w:right w:val="double" w:sz="4" w:space="0" w:color="auto"/>
            </w:tcBorders>
            <w:shd w:val="clear" w:color="auto" w:fill="auto"/>
            <w:vAlign w:val="center"/>
          </w:tcPr>
          <w:p w14:paraId="69621A19" w14:textId="77777777" w:rsidR="00ED063B" w:rsidRPr="00A462DA" w:rsidRDefault="00ED063B" w:rsidP="00DA4159">
            <w:pPr>
              <w:spacing w:after="0" w:line="240" w:lineRule="auto"/>
              <w:jc w:val="right"/>
              <w:rPr>
                <w:sz w:val="20"/>
                <w:szCs w:val="20"/>
              </w:rPr>
            </w:pPr>
          </w:p>
        </w:tc>
      </w:tr>
      <w:tr w:rsidR="00ED063B" w:rsidRPr="00A462DA" w14:paraId="59AF9CB1" w14:textId="77777777" w:rsidTr="008B31DB">
        <w:trPr>
          <w:trHeight w:val="274"/>
          <w:jc w:val="center"/>
        </w:trPr>
        <w:tc>
          <w:tcPr>
            <w:tcW w:w="5310" w:type="dxa"/>
            <w:tcBorders>
              <w:top w:val="nil"/>
              <w:left w:val="double" w:sz="4" w:space="0" w:color="auto"/>
              <w:bottom w:val="double" w:sz="4" w:space="0" w:color="auto"/>
              <w:right w:val="double" w:sz="4" w:space="0" w:color="auto"/>
            </w:tcBorders>
            <w:shd w:val="clear" w:color="auto" w:fill="auto"/>
            <w:noWrap/>
            <w:vAlign w:val="center"/>
          </w:tcPr>
          <w:p w14:paraId="7D6F12CF" w14:textId="77777777" w:rsidR="00ED063B" w:rsidRPr="00814E2F" w:rsidRDefault="00ED063B" w:rsidP="00DA4159">
            <w:pPr>
              <w:spacing w:after="0" w:line="240" w:lineRule="auto"/>
              <w:rPr>
                <w:rFonts w:eastAsia="Times New Roman"/>
                <w:b/>
                <w:i/>
                <w:sz w:val="19"/>
                <w:szCs w:val="19"/>
                <w:u w:val="single"/>
              </w:rPr>
            </w:pPr>
            <w:r w:rsidRPr="00814E2F">
              <w:rPr>
                <w:rFonts w:eastAsia="Times New Roman"/>
                <w:b/>
                <w:i/>
                <w:sz w:val="19"/>
                <w:szCs w:val="19"/>
                <w:u w:val="single"/>
              </w:rPr>
              <w:t>Satiation Constant</w:t>
            </w:r>
          </w:p>
        </w:tc>
        <w:tc>
          <w:tcPr>
            <w:tcW w:w="794" w:type="dxa"/>
            <w:tcBorders>
              <w:top w:val="nil"/>
              <w:left w:val="double" w:sz="4" w:space="0" w:color="auto"/>
              <w:bottom w:val="double" w:sz="4" w:space="0" w:color="auto"/>
              <w:right w:val="single" w:sz="4" w:space="0" w:color="auto"/>
            </w:tcBorders>
            <w:shd w:val="clear" w:color="auto" w:fill="auto"/>
            <w:noWrap/>
            <w:vAlign w:val="center"/>
          </w:tcPr>
          <w:p w14:paraId="29318F67" w14:textId="77777777" w:rsidR="00ED063B" w:rsidRPr="00A462DA" w:rsidRDefault="00ED063B" w:rsidP="00DA4159">
            <w:pPr>
              <w:spacing w:after="0" w:line="240" w:lineRule="auto"/>
              <w:jc w:val="right"/>
              <w:rPr>
                <w:color w:val="000000"/>
                <w:sz w:val="20"/>
                <w:szCs w:val="20"/>
              </w:rPr>
            </w:pPr>
            <w:r w:rsidRPr="00A462DA">
              <w:rPr>
                <w:color w:val="000000"/>
                <w:sz w:val="20"/>
                <w:szCs w:val="20"/>
              </w:rPr>
              <w:t>1.604</w:t>
            </w:r>
          </w:p>
        </w:tc>
        <w:tc>
          <w:tcPr>
            <w:tcW w:w="720" w:type="dxa"/>
            <w:tcBorders>
              <w:top w:val="nil"/>
              <w:left w:val="single" w:sz="4" w:space="0" w:color="auto"/>
              <w:bottom w:val="double" w:sz="4" w:space="0" w:color="auto"/>
              <w:right w:val="double" w:sz="4" w:space="0" w:color="auto"/>
            </w:tcBorders>
            <w:shd w:val="clear" w:color="auto" w:fill="auto"/>
            <w:noWrap/>
            <w:vAlign w:val="center"/>
          </w:tcPr>
          <w:p w14:paraId="6D57342A" w14:textId="77777777" w:rsidR="00ED063B" w:rsidRPr="00A462DA" w:rsidRDefault="00ED063B" w:rsidP="00DA4159">
            <w:pPr>
              <w:spacing w:after="0" w:line="240" w:lineRule="auto"/>
              <w:jc w:val="right"/>
              <w:rPr>
                <w:color w:val="000000"/>
                <w:sz w:val="20"/>
                <w:szCs w:val="20"/>
              </w:rPr>
            </w:pPr>
            <w:r w:rsidRPr="00A462DA">
              <w:rPr>
                <w:color w:val="000000"/>
                <w:sz w:val="20"/>
                <w:szCs w:val="20"/>
              </w:rPr>
              <w:t>6.85</w:t>
            </w:r>
          </w:p>
        </w:tc>
        <w:tc>
          <w:tcPr>
            <w:tcW w:w="810" w:type="dxa"/>
            <w:tcBorders>
              <w:top w:val="nil"/>
              <w:left w:val="double" w:sz="4" w:space="0" w:color="auto"/>
              <w:bottom w:val="double" w:sz="4" w:space="0" w:color="auto"/>
              <w:right w:val="single" w:sz="4" w:space="0" w:color="auto"/>
            </w:tcBorders>
            <w:shd w:val="clear" w:color="auto" w:fill="auto"/>
            <w:noWrap/>
            <w:vAlign w:val="center"/>
          </w:tcPr>
          <w:p w14:paraId="45790F9E" w14:textId="77777777" w:rsidR="00ED063B" w:rsidRPr="00A462DA" w:rsidRDefault="00ED063B" w:rsidP="00DA4159">
            <w:pPr>
              <w:spacing w:after="0" w:line="240" w:lineRule="auto"/>
              <w:jc w:val="right"/>
              <w:rPr>
                <w:color w:val="000000"/>
                <w:sz w:val="20"/>
                <w:szCs w:val="20"/>
              </w:rPr>
            </w:pPr>
            <w:r w:rsidRPr="00A462DA">
              <w:rPr>
                <w:color w:val="000000"/>
                <w:sz w:val="20"/>
                <w:szCs w:val="20"/>
              </w:rPr>
              <w:t>2.427</w:t>
            </w:r>
          </w:p>
        </w:tc>
        <w:tc>
          <w:tcPr>
            <w:tcW w:w="724" w:type="dxa"/>
            <w:tcBorders>
              <w:top w:val="nil"/>
              <w:left w:val="single" w:sz="4" w:space="0" w:color="auto"/>
              <w:bottom w:val="double" w:sz="4" w:space="0" w:color="auto"/>
              <w:right w:val="double" w:sz="4" w:space="0" w:color="auto"/>
            </w:tcBorders>
            <w:shd w:val="clear" w:color="auto" w:fill="auto"/>
            <w:noWrap/>
            <w:vAlign w:val="center"/>
          </w:tcPr>
          <w:p w14:paraId="5058EAA7" w14:textId="77777777" w:rsidR="00ED063B" w:rsidRPr="00A462DA" w:rsidRDefault="00ED063B" w:rsidP="00DA4159">
            <w:pPr>
              <w:spacing w:after="0" w:line="240" w:lineRule="auto"/>
              <w:jc w:val="right"/>
              <w:rPr>
                <w:color w:val="000000"/>
                <w:sz w:val="20"/>
                <w:szCs w:val="20"/>
              </w:rPr>
            </w:pPr>
            <w:r w:rsidRPr="00A462DA">
              <w:rPr>
                <w:color w:val="000000"/>
                <w:sz w:val="20"/>
                <w:szCs w:val="20"/>
              </w:rPr>
              <w:t>18.97</w:t>
            </w:r>
          </w:p>
        </w:tc>
        <w:tc>
          <w:tcPr>
            <w:tcW w:w="810" w:type="dxa"/>
            <w:tcBorders>
              <w:top w:val="nil"/>
              <w:left w:val="nil"/>
              <w:bottom w:val="double" w:sz="4" w:space="0" w:color="auto"/>
              <w:right w:val="single" w:sz="4" w:space="0" w:color="auto"/>
            </w:tcBorders>
            <w:shd w:val="clear" w:color="auto" w:fill="auto"/>
            <w:vAlign w:val="center"/>
          </w:tcPr>
          <w:p w14:paraId="7E2EE2BA" w14:textId="77777777" w:rsidR="00ED063B" w:rsidRPr="00A462DA" w:rsidRDefault="00ED063B" w:rsidP="00DA4159">
            <w:pPr>
              <w:spacing w:after="0" w:line="240" w:lineRule="auto"/>
              <w:jc w:val="right"/>
              <w:rPr>
                <w:color w:val="000000"/>
                <w:sz w:val="20"/>
                <w:szCs w:val="20"/>
              </w:rPr>
            </w:pPr>
            <w:r w:rsidRPr="00A462DA">
              <w:rPr>
                <w:color w:val="000000"/>
                <w:sz w:val="20"/>
                <w:szCs w:val="20"/>
              </w:rPr>
              <w:t>1.340</w:t>
            </w:r>
          </w:p>
        </w:tc>
        <w:tc>
          <w:tcPr>
            <w:tcW w:w="720" w:type="dxa"/>
            <w:tcBorders>
              <w:top w:val="nil"/>
              <w:left w:val="nil"/>
              <w:bottom w:val="double" w:sz="4" w:space="0" w:color="auto"/>
              <w:right w:val="double" w:sz="4" w:space="0" w:color="auto"/>
            </w:tcBorders>
            <w:shd w:val="clear" w:color="auto" w:fill="auto"/>
            <w:vAlign w:val="center"/>
          </w:tcPr>
          <w:p w14:paraId="67BD0682" w14:textId="77777777" w:rsidR="00ED063B" w:rsidRPr="00A462DA" w:rsidRDefault="00ED063B" w:rsidP="00DA4159">
            <w:pPr>
              <w:spacing w:after="0" w:line="240" w:lineRule="auto"/>
              <w:jc w:val="right"/>
              <w:rPr>
                <w:color w:val="000000"/>
                <w:sz w:val="20"/>
                <w:szCs w:val="20"/>
              </w:rPr>
            </w:pPr>
            <w:r w:rsidRPr="00A462DA">
              <w:rPr>
                <w:color w:val="000000"/>
                <w:sz w:val="20"/>
                <w:szCs w:val="20"/>
              </w:rPr>
              <w:t>6.69</w:t>
            </w:r>
          </w:p>
        </w:tc>
      </w:tr>
      <w:bookmarkEnd w:id="67"/>
    </w:tbl>
    <w:p w14:paraId="31BDBEBA" w14:textId="77777777" w:rsidR="00000D08" w:rsidRDefault="00000D08" w:rsidP="00ED063B">
      <w:pPr>
        <w:spacing w:line="259" w:lineRule="auto"/>
        <w:jc w:val="left"/>
        <w:rPr>
          <w:b/>
          <w:bCs/>
        </w:rPr>
      </w:pPr>
    </w:p>
    <w:p w14:paraId="7817235C" w14:textId="172323AE" w:rsidR="00DA4159" w:rsidRPr="00814E2F" w:rsidRDefault="00DA4159" w:rsidP="00ED063B">
      <w:pPr>
        <w:spacing w:line="259" w:lineRule="auto"/>
        <w:jc w:val="left"/>
        <w:rPr>
          <w:b/>
          <w:bCs/>
        </w:rPr>
        <w:sectPr w:rsidR="00DA4159" w:rsidRPr="00814E2F" w:rsidSect="00ED063B">
          <w:pgSz w:w="12240" w:h="15840"/>
          <w:pgMar w:top="1440" w:right="1440" w:bottom="1440" w:left="1440" w:header="720" w:footer="720" w:gutter="0"/>
          <w:cols w:space="720"/>
          <w:docGrid w:linePitch="360"/>
        </w:sectPr>
      </w:pPr>
    </w:p>
    <w:p w14:paraId="572DEAAA" w14:textId="3AE83087" w:rsidR="001A1B9F" w:rsidRDefault="00DA4159" w:rsidP="00C97797">
      <w:pPr>
        <w:spacing w:after="0" w:line="240" w:lineRule="auto"/>
        <w:jc w:val="left"/>
      </w:pPr>
      <w:bookmarkStart w:id="68" w:name="_Hlk108843948"/>
      <w:r>
        <w:rPr>
          <w:b/>
        </w:rPr>
        <w:lastRenderedPageBreak/>
        <w:t xml:space="preserve">Table 4: </w:t>
      </w:r>
      <w:r w:rsidRPr="00101C06">
        <w:rPr>
          <w:b/>
        </w:rPr>
        <w:t>Sociodemographic ATEs</w:t>
      </w:r>
    </w:p>
    <w:tbl>
      <w:tblPr>
        <w:tblW w:w="12690" w:type="dxa"/>
        <w:tblInd w:w="-15" w:type="dxa"/>
        <w:tblLayout w:type="fixed"/>
        <w:tblLook w:val="04A0" w:firstRow="1" w:lastRow="0" w:firstColumn="1" w:lastColumn="0" w:noHBand="0" w:noVBand="1"/>
      </w:tblPr>
      <w:tblGrid>
        <w:gridCol w:w="1440"/>
        <w:gridCol w:w="1259"/>
        <w:gridCol w:w="1152"/>
        <w:gridCol w:w="1079"/>
        <w:gridCol w:w="1079"/>
        <w:gridCol w:w="1079"/>
        <w:gridCol w:w="1170"/>
        <w:gridCol w:w="1050"/>
        <w:gridCol w:w="1050"/>
        <w:gridCol w:w="1050"/>
        <w:gridCol w:w="1282"/>
      </w:tblGrid>
      <w:tr w:rsidR="00DA4159" w:rsidRPr="005A0D18" w14:paraId="293A402B" w14:textId="77777777" w:rsidTr="00A24926">
        <w:trPr>
          <w:trHeight w:val="20"/>
        </w:trPr>
        <w:tc>
          <w:tcPr>
            <w:tcW w:w="1440" w:type="dxa"/>
            <w:vMerge w:val="restart"/>
            <w:tcBorders>
              <w:top w:val="double" w:sz="4" w:space="0" w:color="auto"/>
              <w:left w:val="double" w:sz="4" w:space="0" w:color="auto"/>
              <w:right w:val="single" w:sz="4" w:space="0" w:color="auto"/>
            </w:tcBorders>
            <w:shd w:val="clear" w:color="auto" w:fill="auto"/>
            <w:noWrap/>
            <w:vAlign w:val="bottom"/>
          </w:tcPr>
          <w:p w14:paraId="3907AFBD" w14:textId="77777777" w:rsidR="00DA4159" w:rsidRDefault="00DA4159" w:rsidP="00C97797">
            <w:pPr>
              <w:spacing w:after="0" w:line="240" w:lineRule="auto"/>
              <w:jc w:val="center"/>
              <w:rPr>
                <w:rFonts w:eastAsia="Times New Roman"/>
                <w:b/>
                <w:color w:val="000000"/>
                <w:sz w:val="20"/>
                <w:szCs w:val="20"/>
              </w:rPr>
            </w:pPr>
          </w:p>
          <w:p w14:paraId="76EDAB7E" w14:textId="77777777" w:rsidR="00DA4159" w:rsidRPr="005A0D18" w:rsidRDefault="00DA4159" w:rsidP="00C97797">
            <w:pPr>
              <w:spacing w:after="0" w:line="240" w:lineRule="auto"/>
              <w:jc w:val="center"/>
              <w:rPr>
                <w:rFonts w:eastAsia="Times New Roman"/>
                <w:b/>
                <w:color w:val="000000"/>
                <w:sz w:val="20"/>
                <w:szCs w:val="20"/>
              </w:rPr>
            </w:pPr>
            <w:r w:rsidRPr="005A0D18">
              <w:rPr>
                <w:rFonts w:eastAsia="Times New Roman"/>
                <w:b/>
                <w:color w:val="000000"/>
                <w:sz w:val="20"/>
                <w:szCs w:val="20"/>
              </w:rPr>
              <w:t>Gendered Life</w:t>
            </w:r>
            <w:r>
              <w:rPr>
                <w:rFonts w:eastAsia="Times New Roman"/>
                <w:b/>
                <w:color w:val="000000"/>
                <w:sz w:val="20"/>
                <w:szCs w:val="20"/>
              </w:rPr>
              <w:t>cycle</w:t>
            </w:r>
          </w:p>
        </w:tc>
        <w:tc>
          <w:tcPr>
            <w:tcW w:w="1259" w:type="dxa"/>
            <w:vMerge w:val="restart"/>
            <w:tcBorders>
              <w:top w:val="double" w:sz="4" w:space="0" w:color="auto"/>
              <w:left w:val="single" w:sz="12" w:space="0" w:color="auto"/>
              <w:right w:val="single" w:sz="12" w:space="0" w:color="auto"/>
            </w:tcBorders>
          </w:tcPr>
          <w:p w14:paraId="16D8E5B4" w14:textId="77777777" w:rsidR="00DA4159" w:rsidRPr="005A0D18" w:rsidRDefault="00DA4159" w:rsidP="00C97797">
            <w:pPr>
              <w:spacing w:after="0" w:line="240" w:lineRule="auto"/>
              <w:rPr>
                <w:rFonts w:eastAsia="Times New Roman"/>
                <w:b/>
                <w:sz w:val="20"/>
                <w:szCs w:val="20"/>
              </w:rPr>
            </w:pPr>
          </w:p>
        </w:tc>
        <w:tc>
          <w:tcPr>
            <w:tcW w:w="1152" w:type="dxa"/>
            <w:vMerge w:val="restart"/>
            <w:tcBorders>
              <w:top w:val="double" w:sz="4" w:space="0" w:color="auto"/>
              <w:left w:val="single" w:sz="12" w:space="0" w:color="auto"/>
              <w:right w:val="single" w:sz="12" w:space="0" w:color="auto"/>
            </w:tcBorders>
            <w:vAlign w:val="bottom"/>
          </w:tcPr>
          <w:p w14:paraId="19F0F7A5" w14:textId="77777777" w:rsidR="00DA4159" w:rsidRDefault="00DA4159" w:rsidP="00C97797">
            <w:pPr>
              <w:spacing w:after="0" w:line="240" w:lineRule="auto"/>
              <w:jc w:val="center"/>
              <w:rPr>
                <w:rFonts w:eastAsia="Times New Roman"/>
                <w:b/>
                <w:color w:val="000000"/>
                <w:sz w:val="20"/>
                <w:szCs w:val="20"/>
              </w:rPr>
            </w:pPr>
            <w:r>
              <w:rPr>
                <w:rFonts w:eastAsia="Times New Roman"/>
                <w:b/>
                <w:color w:val="000000"/>
                <w:sz w:val="20"/>
                <w:szCs w:val="20"/>
              </w:rPr>
              <w:t xml:space="preserve">Only Gendered Lifecycle Treatment </w:t>
            </w:r>
            <w:r w:rsidRPr="00E45519">
              <w:rPr>
                <w:rFonts w:eastAsia="Times New Roman"/>
                <w:color w:val="000000"/>
                <w:sz w:val="20"/>
                <w:szCs w:val="20"/>
              </w:rPr>
              <w:t>(days)</w:t>
            </w:r>
          </w:p>
        </w:tc>
        <w:tc>
          <w:tcPr>
            <w:tcW w:w="3237" w:type="dxa"/>
            <w:gridSpan w:val="3"/>
            <w:tcBorders>
              <w:top w:val="double" w:sz="4" w:space="0" w:color="auto"/>
              <w:left w:val="single" w:sz="12" w:space="0" w:color="auto"/>
              <w:bottom w:val="single" w:sz="4" w:space="0" w:color="auto"/>
              <w:right w:val="single" w:sz="12" w:space="0" w:color="auto"/>
            </w:tcBorders>
            <w:vAlign w:val="bottom"/>
          </w:tcPr>
          <w:p w14:paraId="4C5932D5" w14:textId="77777777" w:rsidR="00DA4159" w:rsidRDefault="00DA4159" w:rsidP="00C97797">
            <w:pPr>
              <w:spacing w:after="0" w:line="240" w:lineRule="auto"/>
              <w:jc w:val="center"/>
              <w:rPr>
                <w:rFonts w:eastAsia="Times New Roman"/>
                <w:b/>
                <w:color w:val="000000"/>
                <w:sz w:val="20"/>
                <w:szCs w:val="20"/>
              </w:rPr>
            </w:pPr>
            <w:r>
              <w:rPr>
                <w:rFonts w:eastAsia="Times New Roman"/>
                <w:b/>
                <w:color w:val="000000"/>
                <w:sz w:val="20"/>
                <w:szCs w:val="20"/>
              </w:rPr>
              <w:t xml:space="preserve">Attribute Levels </w:t>
            </w:r>
          </w:p>
          <w:p w14:paraId="14FFF092" w14:textId="77777777" w:rsidR="00DA4159" w:rsidRPr="005A0D18" w:rsidRDefault="00DA4159" w:rsidP="00C97797">
            <w:pPr>
              <w:spacing w:after="0" w:line="240" w:lineRule="auto"/>
              <w:jc w:val="center"/>
              <w:rPr>
                <w:rFonts w:eastAsia="Times New Roman"/>
                <w:color w:val="000000"/>
                <w:sz w:val="20"/>
                <w:szCs w:val="20"/>
              </w:rPr>
            </w:pPr>
            <w:r w:rsidRPr="005A0D18">
              <w:rPr>
                <w:rFonts w:eastAsia="Times New Roman"/>
                <w:color w:val="000000"/>
                <w:sz w:val="20"/>
                <w:szCs w:val="20"/>
              </w:rPr>
              <w:t>Alternative split (days)</w:t>
            </w:r>
          </w:p>
        </w:tc>
        <w:tc>
          <w:tcPr>
            <w:tcW w:w="1170" w:type="dxa"/>
            <w:tcBorders>
              <w:top w:val="double" w:sz="4" w:space="0" w:color="auto"/>
              <w:left w:val="single" w:sz="12" w:space="0" w:color="auto"/>
              <w:bottom w:val="double" w:sz="4" w:space="0" w:color="auto"/>
              <w:right w:val="single" w:sz="12" w:space="0" w:color="auto"/>
            </w:tcBorders>
            <w:vAlign w:val="bottom"/>
          </w:tcPr>
          <w:p w14:paraId="39BCC6B0" w14:textId="77777777" w:rsidR="00DA4159" w:rsidRPr="002C1485" w:rsidRDefault="00DA4159" w:rsidP="00C97797">
            <w:pPr>
              <w:spacing w:after="0" w:line="240" w:lineRule="auto"/>
              <w:jc w:val="center"/>
              <w:rPr>
                <w:rFonts w:eastAsia="Times New Roman"/>
                <w:b/>
                <w:color w:val="000000"/>
                <w:sz w:val="20"/>
                <w:szCs w:val="20"/>
              </w:rPr>
            </w:pPr>
            <w:r w:rsidRPr="002C1485">
              <w:rPr>
                <w:rFonts w:eastAsia="Times New Roman"/>
                <w:b/>
                <w:color w:val="000000"/>
                <w:sz w:val="20"/>
                <w:szCs w:val="20"/>
              </w:rPr>
              <w:t>Overall % change</w:t>
            </w:r>
          </w:p>
        </w:tc>
        <w:tc>
          <w:tcPr>
            <w:tcW w:w="3150" w:type="dxa"/>
            <w:gridSpan w:val="3"/>
            <w:tcBorders>
              <w:top w:val="double" w:sz="4" w:space="0" w:color="auto"/>
              <w:left w:val="single" w:sz="12" w:space="0" w:color="auto"/>
              <w:bottom w:val="single" w:sz="4" w:space="0" w:color="auto"/>
              <w:right w:val="single" w:sz="12" w:space="0" w:color="auto"/>
            </w:tcBorders>
            <w:shd w:val="clear" w:color="auto" w:fill="auto"/>
            <w:noWrap/>
            <w:vAlign w:val="bottom"/>
          </w:tcPr>
          <w:p w14:paraId="1A1F29E1" w14:textId="77777777" w:rsidR="00DA4159" w:rsidRDefault="00DA4159" w:rsidP="00C97797">
            <w:pPr>
              <w:spacing w:after="0" w:line="240" w:lineRule="auto"/>
              <w:jc w:val="center"/>
              <w:rPr>
                <w:rFonts w:eastAsia="Times New Roman"/>
                <w:b/>
                <w:color w:val="000000"/>
                <w:sz w:val="20"/>
                <w:szCs w:val="20"/>
              </w:rPr>
            </w:pPr>
            <w:r>
              <w:rPr>
                <w:rFonts w:eastAsia="Times New Roman"/>
                <w:b/>
                <w:color w:val="000000"/>
                <w:sz w:val="20"/>
                <w:szCs w:val="20"/>
              </w:rPr>
              <w:t xml:space="preserve">Attribute Levels </w:t>
            </w:r>
          </w:p>
          <w:p w14:paraId="38964B58" w14:textId="77777777" w:rsidR="00DA4159" w:rsidRPr="005A0D18" w:rsidRDefault="00DA4159" w:rsidP="00C97797">
            <w:pPr>
              <w:spacing w:after="0" w:line="240" w:lineRule="auto"/>
              <w:jc w:val="center"/>
              <w:rPr>
                <w:rFonts w:eastAsia="Times New Roman"/>
                <w:b/>
                <w:color w:val="000000"/>
                <w:sz w:val="20"/>
                <w:szCs w:val="20"/>
              </w:rPr>
            </w:pPr>
            <w:r w:rsidRPr="005A0D18">
              <w:rPr>
                <w:rFonts w:eastAsia="Times New Roman"/>
                <w:color w:val="000000"/>
                <w:sz w:val="20"/>
                <w:szCs w:val="20"/>
              </w:rPr>
              <w:t>Alternative split (days)</w:t>
            </w:r>
          </w:p>
        </w:tc>
        <w:tc>
          <w:tcPr>
            <w:tcW w:w="1282" w:type="dxa"/>
            <w:tcBorders>
              <w:top w:val="double" w:sz="4" w:space="0" w:color="auto"/>
              <w:left w:val="single" w:sz="12" w:space="0" w:color="auto"/>
              <w:bottom w:val="single" w:sz="4" w:space="0" w:color="auto"/>
              <w:right w:val="double" w:sz="4" w:space="0" w:color="auto"/>
            </w:tcBorders>
            <w:vAlign w:val="bottom"/>
          </w:tcPr>
          <w:p w14:paraId="78D5480E" w14:textId="77777777" w:rsidR="00DA4159" w:rsidRPr="002C1485" w:rsidRDefault="00DA4159" w:rsidP="00C97797">
            <w:pPr>
              <w:spacing w:after="0" w:line="240" w:lineRule="auto"/>
              <w:jc w:val="center"/>
              <w:rPr>
                <w:rFonts w:eastAsia="Times New Roman"/>
                <w:b/>
                <w:color w:val="000000"/>
                <w:sz w:val="20"/>
                <w:szCs w:val="20"/>
              </w:rPr>
            </w:pPr>
            <w:r w:rsidRPr="002C1485">
              <w:rPr>
                <w:rFonts w:eastAsia="Times New Roman"/>
                <w:b/>
                <w:color w:val="000000"/>
                <w:sz w:val="20"/>
                <w:szCs w:val="20"/>
              </w:rPr>
              <w:t>Overall % change</w:t>
            </w:r>
          </w:p>
        </w:tc>
      </w:tr>
      <w:tr w:rsidR="00DA4159" w:rsidRPr="005A0D18" w14:paraId="6F6F1918" w14:textId="77777777" w:rsidTr="00A24926">
        <w:trPr>
          <w:trHeight w:val="288"/>
        </w:trPr>
        <w:tc>
          <w:tcPr>
            <w:tcW w:w="1440" w:type="dxa"/>
            <w:vMerge/>
            <w:tcBorders>
              <w:left w:val="double" w:sz="4" w:space="0" w:color="auto"/>
              <w:right w:val="single" w:sz="4" w:space="0" w:color="auto"/>
            </w:tcBorders>
            <w:shd w:val="clear" w:color="auto" w:fill="auto"/>
            <w:noWrap/>
            <w:vAlign w:val="bottom"/>
            <w:hideMark/>
          </w:tcPr>
          <w:p w14:paraId="3ABC677F" w14:textId="77777777" w:rsidR="00DA4159" w:rsidRPr="005A0D18" w:rsidRDefault="00DA4159" w:rsidP="00C97797">
            <w:pPr>
              <w:spacing w:after="0" w:line="240" w:lineRule="auto"/>
              <w:jc w:val="center"/>
              <w:rPr>
                <w:rFonts w:eastAsia="Times New Roman"/>
                <w:b/>
                <w:color w:val="000000"/>
                <w:sz w:val="20"/>
                <w:szCs w:val="20"/>
              </w:rPr>
            </w:pPr>
          </w:p>
        </w:tc>
        <w:tc>
          <w:tcPr>
            <w:tcW w:w="1259" w:type="dxa"/>
            <w:vMerge/>
            <w:tcBorders>
              <w:left w:val="single" w:sz="12" w:space="0" w:color="auto"/>
              <w:bottom w:val="nil"/>
              <w:right w:val="single" w:sz="12" w:space="0" w:color="auto"/>
            </w:tcBorders>
          </w:tcPr>
          <w:p w14:paraId="68DB3D9D" w14:textId="77777777" w:rsidR="00DA4159" w:rsidRPr="005A0D18" w:rsidRDefault="00DA4159" w:rsidP="00C97797">
            <w:pPr>
              <w:spacing w:after="0" w:line="240" w:lineRule="auto"/>
              <w:rPr>
                <w:rFonts w:eastAsia="Times New Roman"/>
                <w:b/>
                <w:sz w:val="20"/>
                <w:szCs w:val="20"/>
              </w:rPr>
            </w:pPr>
          </w:p>
        </w:tc>
        <w:tc>
          <w:tcPr>
            <w:tcW w:w="1152" w:type="dxa"/>
            <w:vMerge/>
            <w:tcBorders>
              <w:left w:val="single" w:sz="12" w:space="0" w:color="auto"/>
              <w:right w:val="single" w:sz="12" w:space="0" w:color="auto"/>
            </w:tcBorders>
          </w:tcPr>
          <w:p w14:paraId="3DD79F01" w14:textId="77777777" w:rsidR="00DA4159" w:rsidRPr="005A0D18" w:rsidRDefault="00DA4159" w:rsidP="00C97797">
            <w:pPr>
              <w:spacing w:after="0" w:line="240" w:lineRule="auto"/>
              <w:jc w:val="center"/>
              <w:rPr>
                <w:rFonts w:eastAsia="Times New Roman"/>
                <w:b/>
                <w:color w:val="000000"/>
                <w:sz w:val="20"/>
                <w:szCs w:val="20"/>
              </w:rPr>
            </w:pPr>
          </w:p>
        </w:tc>
        <w:tc>
          <w:tcPr>
            <w:tcW w:w="3237" w:type="dxa"/>
            <w:gridSpan w:val="3"/>
            <w:tcBorders>
              <w:top w:val="double" w:sz="4" w:space="0" w:color="auto"/>
              <w:left w:val="single" w:sz="12" w:space="0" w:color="auto"/>
              <w:bottom w:val="single" w:sz="4" w:space="0" w:color="auto"/>
              <w:right w:val="single" w:sz="12" w:space="0" w:color="auto"/>
            </w:tcBorders>
            <w:vAlign w:val="center"/>
          </w:tcPr>
          <w:p w14:paraId="13FBC394" w14:textId="77777777" w:rsidR="00DA4159" w:rsidRPr="005A0D18" w:rsidRDefault="00DA4159" w:rsidP="00C97797">
            <w:pPr>
              <w:spacing w:after="0" w:line="240" w:lineRule="auto"/>
              <w:jc w:val="center"/>
              <w:rPr>
                <w:rFonts w:eastAsia="Times New Roman"/>
                <w:b/>
                <w:color w:val="000000"/>
                <w:sz w:val="20"/>
                <w:szCs w:val="20"/>
              </w:rPr>
            </w:pPr>
            <w:r w:rsidRPr="005A0D18">
              <w:rPr>
                <w:rFonts w:eastAsia="Times New Roman"/>
                <w:b/>
                <w:color w:val="000000"/>
                <w:sz w:val="20"/>
                <w:szCs w:val="20"/>
              </w:rPr>
              <w:t>Age (years)</w:t>
            </w:r>
          </w:p>
        </w:tc>
        <w:tc>
          <w:tcPr>
            <w:tcW w:w="1170" w:type="dxa"/>
            <w:vMerge w:val="restart"/>
            <w:tcBorders>
              <w:top w:val="double" w:sz="4" w:space="0" w:color="auto"/>
              <w:left w:val="single" w:sz="12" w:space="0" w:color="auto"/>
              <w:right w:val="single" w:sz="12" w:space="0" w:color="auto"/>
            </w:tcBorders>
            <w:vAlign w:val="bottom"/>
          </w:tcPr>
          <w:p w14:paraId="3C8AD2EB" w14:textId="77777777" w:rsidR="00DA4159" w:rsidRPr="002C1485" w:rsidRDefault="00DA4159" w:rsidP="00C97797">
            <w:pPr>
              <w:spacing w:after="0" w:line="240" w:lineRule="auto"/>
              <w:jc w:val="center"/>
              <w:rPr>
                <w:b/>
                <w:color w:val="000000"/>
                <w:sz w:val="20"/>
                <w:szCs w:val="20"/>
              </w:rPr>
            </w:pPr>
            <w:r w:rsidRPr="002C1485">
              <w:rPr>
                <w:b/>
                <w:color w:val="000000"/>
                <w:sz w:val="20"/>
                <w:szCs w:val="20"/>
              </w:rPr>
              <w:t xml:space="preserve">18 to 29 to </w:t>
            </w:r>
          </w:p>
          <w:p w14:paraId="34CA4628" w14:textId="77777777" w:rsidR="00DA4159" w:rsidRPr="002C1485" w:rsidRDefault="00DA4159" w:rsidP="00C97797">
            <w:pPr>
              <w:spacing w:after="0" w:line="240" w:lineRule="auto"/>
              <w:jc w:val="center"/>
              <w:rPr>
                <w:rFonts w:eastAsia="Times New Roman"/>
                <w:b/>
                <w:color w:val="000000"/>
                <w:sz w:val="20"/>
                <w:szCs w:val="20"/>
              </w:rPr>
            </w:pPr>
            <w:r w:rsidRPr="002C1485">
              <w:rPr>
                <w:b/>
                <w:color w:val="000000"/>
                <w:sz w:val="20"/>
                <w:szCs w:val="20"/>
              </w:rPr>
              <w:t>65 and older</w:t>
            </w:r>
          </w:p>
        </w:tc>
        <w:tc>
          <w:tcPr>
            <w:tcW w:w="3150" w:type="dxa"/>
            <w:gridSpan w:val="3"/>
            <w:tcBorders>
              <w:top w:val="double" w:sz="4" w:space="0" w:color="auto"/>
              <w:left w:val="single" w:sz="12" w:space="0" w:color="auto"/>
              <w:bottom w:val="single" w:sz="4" w:space="0" w:color="auto"/>
              <w:right w:val="single" w:sz="12" w:space="0" w:color="auto"/>
            </w:tcBorders>
            <w:shd w:val="clear" w:color="auto" w:fill="auto"/>
            <w:noWrap/>
            <w:vAlign w:val="center"/>
            <w:hideMark/>
          </w:tcPr>
          <w:p w14:paraId="4EF23CA1" w14:textId="77777777" w:rsidR="00DA4159" w:rsidRPr="005A0D18" w:rsidRDefault="00DA4159" w:rsidP="00C97797">
            <w:pPr>
              <w:spacing w:after="0" w:line="240" w:lineRule="auto"/>
              <w:jc w:val="center"/>
              <w:rPr>
                <w:rFonts w:eastAsia="Times New Roman"/>
                <w:b/>
                <w:color w:val="000000"/>
                <w:sz w:val="20"/>
                <w:szCs w:val="20"/>
              </w:rPr>
            </w:pPr>
            <w:r w:rsidRPr="005A0D18">
              <w:rPr>
                <w:rFonts w:eastAsia="Times New Roman"/>
                <w:b/>
                <w:color w:val="000000"/>
                <w:sz w:val="20"/>
                <w:szCs w:val="20"/>
              </w:rPr>
              <w:t>Income</w:t>
            </w:r>
          </w:p>
        </w:tc>
        <w:tc>
          <w:tcPr>
            <w:tcW w:w="1282" w:type="dxa"/>
            <w:vMerge w:val="restart"/>
            <w:tcBorders>
              <w:top w:val="double" w:sz="4" w:space="0" w:color="auto"/>
              <w:left w:val="single" w:sz="12" w:space="0" w:color="auto"/>
              <w:right w:val="double" w:sz="4" w:space="0" w:color="auto"/>
            </w:tcBorders>
            <w:vAlign w:val="bottom"/>
          </w:tcPr>
          <w:p w14:paraId="3E0CCCFF" w14:textId="77777777" w:rsidR="00DA4159" w:rsidRPr="002C1485" w:rsidRDefault="00DA4159" w:rsidP="00C97797">
            <w:pPr>
              <w:spacing w:after="0" w:line="240" w:lineRule="auto"/>
              <w:jc w:val="center"/>
              <w:rPr>
                <w:b/>
                <w:color w:val="000000"/>
                <w:sz w:val="20"/>
                <w:szCs w:val="20"/>
              </w:rPr>
            </w:pPr>
            <w:r w:rsidRPr="002C1485">
              <w:rPr>
                <w:b/>
                <w:color w:val="000000"/>
                <w:sz w:val="20"/>
                <w:szCs w:val="20"/>
              </w:rPr>
              <w:t xml:space="preserve">&lt; $100K to </w:t>
            </w:r>
          </w:p>
          <w:p w14:paraId="0C212AAE" w14:textId="77777777" w:rsidR="00DA4159" w:rsidRPr="002C1485" w:rsidRDefault="00DA4159" w:rsidP="00C97797">
            <w:pPr>
              <w:spacing w:after="0" w:line="240" w:lineRule="auto"/>
              <w:jc w:val="center"/>
              <w:rPr>
                <w:rFonts w:eastAsia="Times New Roman"/>
                <w:b/>
                <w:color w:val="000000"/>
                <w:sz w:val="20"/>
                <w:szCs w:val="20"/>
              </w:rPr>
            </w:pPr>
            <w:r w:rsidRPr="002C1485">
              <w:rPr>
                <w:b/>
                <w:color w:val="000000"/>
                <w:sz w:val="20"/>
                <w:szCs w:val="20"/>
              </w:rPr>
              <w:t>≥ $250K</w:t>
            </w:r>
          </w:p>
        </w:tc>
      </w:tr>
      <w:tr w:rsidR="00DA4159" w:rsidRPr="005A0D18" w14:paraId="30BEBBF5" w14:textId="77777777" w:rsidTr="00A24926">
        <w:trPr>
          <w:trHeight w:val="20"/>
        </w:trPr>
        <w:tc>
          <w:tcPr>
            <w:tcW w:w="1440" w:type="dxa"/>
            <w:vMerge/>
            <w:tcBorders>
              <w:left w:val="double" w:sz="4" w:space="0" w:color="auto"/>
              <w:bottom w:val="single" w:sz="12" w:space="0" w:color="auto"/>
              <w:right w:val="single" w:sz="4" w:space="0" w:color="auto"/>
            </w:tcBorders>
            <w:shd w:val="clear" w:color="auto" w:fill="auto"/>
            <w:noWrap/>
            <w:vAlign w:val="bottom"/>
            <w:hideMark/>
          </w:tcPr>
          <w:p w14:paraId="14229D4A" w14:textId="77777777" w:rsidR="00DA4159" w:rsidRPr="005A0D18" w:rsidRDefault="00DA4159" w:rsidP="00C97797">
            <w:pPr>
              <w:spacing w:after="0" w:line="240" w:lineRule="auto"/>
              <w:jc w:val="center"/>
              <w:rPr>
                <w:rFonts w:eastAsia="Times New Roman"/>
                <w:b/>
                <w:color w:val="000000"/>
                <w:sz w:val="20"/>
                <w:szCs w:val="20"/>
              </w:rPr>
            </w:pPr>
          </w:p>
        </w:tc>
        <w:tc>
          <w:tcPr>
            <w:tcW w:w="1259" w:type="dxa"/>
            <w:tcBorders>
              <w:top w:val="nil"/>
              <w:left w:val="single" w:sz="12" w:space="0" w:color="auto"/>
              <w:bottom w:val="single" w:sz="12" w:space="0" w:color="auto"/>
              <w:right w:val="single" w:sz="12" w:space="0" w:color="auto"/>
            </w:tcBorders>
            <w:vAlign w:val="bottom"/>
          </w:tcPr>
          <w:p w14:paraId="0EF8E532" w14:textId="77777777" w:rsidR="00DA4159" w:rsidRPr="005A0D18" w:rsidRDefault="00DA4159" w:rsidP="00C97797">
            <w:pPr>
              <w:spacing w:after="0" w:line="240" w:lineRule="auto"/>
              <w:jc w:val="center"/>
              <w:rPr>
                <w:rFonts w:eastAsia="Times New Roman"/>
                <w:b/>
                <w:color w:val="000000"/>
                <w:sz w:val="20"/>
                <w:szCs w:val="20"/>
              </w:rPr>
            </w:pPr>
            <w:r w:rsidRPr="005A0D18">
              <w:rPr>
                <w:rFonts w:eastAsia="Times New Roman"/>
                <w:b/>
                <w:color w:val="000000"/>
                <w:sz w:val="20"/>
                <w:szCs w:val="20"/>
              </w:rPr>
              <w:t>WPL</w:t>
            </w:r>
          </w:p>
        </w:tc>
        <w:tc>
          <w:tcPr>
            <w:tcW w:w="1152" w:type="dxa"/>
            <w:vMerge/>
            <w:tcBorders>
              <w:left w:val="single" w:sz="12" w:space="0" w:color="auto"/>
              <w:bottom w:val="single" w:sz="12" w:space="0" w:color="auto"/>
              <w:right w:val="single" w:sz="12" w:space="0" w:color="auto"/>
            </w:tcBorders>
          </w:tcPr>
          <w:p w14:paraId="7D7D6350" w14:textId="77777777" w:rsidR="00DA4159" w:rsidRPr="005A0D18" w:rsidRDefault="00DA4159" w:rsidP="00C97797">
            <w:pPr>
              <w:spacing w:after="0" w:line="240" w:lineRule="auto"/>
              <w:jc w:val="center"/>
              <w:rPr>
                <w:rFonts w:eastAsia="Times New Roman"/>
                <w:b/>
                <w:color w:val="000000"/>
                <w:sz w:val="20"/>
                <w:szCs w:val="20"/>
              </w:rPr>
            </w:pPr>
          </w:p>
        </w:tc>
        <w:tc>
          <w:tcPr>
            <w:tcW w:w="1079" w:type="dxa"/>
            <w:tcBorders>
              <w:top w:val="nil"/>
              <w:left w:val="single" w:sz="12" w:space="0" w:color="auto"/>
              <w:bottom w:val="single" w:sz="12" w:space="0" w:color="auto"/>
              <w:right w:val="single" w:sz="4" w:space="0" w:color="auto"/>
            </w:tcBorders>
            <w:vAlign w:val="bottom"/>
          </w:tcPr>
          <w:p w14:paraId="4E57DE16" w14:textId="77777777" w:rsidR="00DA4159" w:rsidRPr="005A0D18" w:rsidRDefault="00DA4159" w:rsidP="00C97797">
            <w:pPr>
              <w:spacing w:after="0" w:line="240" w:lineRule="auto"/>
              <w:jc w:val="center"/>
              <w:rPr>
                <w:rFonts w:eastAsia="Times New Roman"/>
                <w:b/>
                <w:color w:val="000000"/>
                <w:sz w:val="20"/>
                <w:szCs w:val="20"/>
              </w:rPr>
            </w:pPr>
            <w:r w:rsidRPr="005A0D18">
              <w:rPr>
                <w:rFonts w:eastAsia="Times New Roman"/>
                <w:b/>
                <w:color w:val="000000"/>
                <w:sz w:val="20"/>
                <w:szCs w:val="20"/>
              </w:rPr>
              <w:t>18 to 29</w:t>
            </w:r>
          </w:p>
        </w:tc>
        <w:tc>
          <w:tcPr>
            <w:tcW w:w="1079" w:type="dxa"/>
            <w:tcBorders>
              <w:top w:val="nil"/>
              <w:left w:val="single" w:sz="4" w:space="0" w:color="auto"/>
              <w:bottom w:val="single" w:sz="12" w:space="0" w:color="auto"/>
              <w:right w:val="single" w:sz="4" w:space="0" w:color="auto"/>
            </w:tcBorders>
            <w:vAlign w:val="bottom"/>
          </w:tcPr>
          <w:p w14:paraId="1BEFCCBC" w14:textId="77777777" w:rsidR="00DA4159" w:rsidRPr="005A0D18" w:rsidRDefault="00DA4159" w:rsidP="00C97797">
            <w:pPr>
              <w:spacing w:after="0" w:line="240" w:lineRule="auto"/>
              <w:jc w:val="center"/>
              <w:rPr>
                <w:rFonts w:eastAsia="Times New Roman"/>
                <w:b/>
                <w:color w:val="000000"/>
                <w:sz w:val="20"/>
                <w:szCs w:val="20"/>
              </w:rPr>
            </w:pPr>
            <w:r w:rsidRPr="005A0D18">
              <w:rPr>
                <w:rFonts w:eastAsia="Times New Roman"/>
                <w:b/>
                <w:color w:val="000000"/>
                <w:sz w:val="20"/>
                <w:szCs w:val="20"/>
              </w:rPr>
              <w:t>30 to 64</w:t>
            </w:r>
          </w:p>
        </w:tc>
        <w:tc>
          <w:tcPr>
            <w:tcW w:w="1079" w:type="dxa"/>
            <w:tcBorders>
              <w:top w:val="nil"/>
              <w:left w:val="single" w:sz="4" w:space="0" w:color="auto"/>
              <w:bottom w:val="single" w:sz="12" w:space="0" w:color="auto"/>
              <w:right w:val="single" w:sz="4" w:space="0" w:color="auto"/>
            </w:tcBorders>
            <w:vAlign w:val="bottom"/>
          </w:tcPr>
          <w:p w14:paraId="598DFA7F" w14:textId="77777777" w:rsidR="00DA4159" w:rsidRPr="005A0D18" w:rsidRDefault="00DA4159" w:rsidP="00C97797">
            <w:pPr>
              <w:spacing w:after="0" w:line="240" w:lineRule="auto"/>
              <w:jc w:val="center"/>
              <w:rPr>
                <w:rFonts w:eastAsia="Times New Roman"/>
                <w:b/>
                <w:color w:val="000000"/>
                <w:sz w:val="20"/>
                <w:szCs w:val="20"/>
              </w:rPr>
            </w:pPr>
            <w:r w:rsidRPr="005A0D18">
              <w:rPr>
                <w:rFonts w:eastAsia="Times New Roman"/>
                <w:b/>
                <w:color w:val="000000"/>
                <w:sz w:val="20"/>
                <w:szCs w:val="20"/>
              </w:rPr>
              <w:t>65 and older</w:t>
            </w:r>
          </w:p>
        </w:tc>
        <w:tc>
          <w:tcPr>
            <w:tcW w:w="1170" w:type="dxa"/>
            <w:vMerge/>
            <w:tcBorders>
              <w:left w:val="single" w:sz="12" w:space="0" w:color="auto"/>
              <w:bottom w:val="single" w:sz="12" w:space="0" w:color="auto"/>
              <w:right w:val="single" w:sz="12" w:space="0" w:color="auto"/>
            </w:tcBorders>
          </w:tcPr>
          <w:p w14:paraId="36CFCECD" w14:textId="77777777" w:rsidR="00DA4159" w:rsidRPr="002C1485" w:rsidRDefault="00DA4159" w:rsidP="00C97797">
            <w:pPr>
              <w:spacing w:after="0" w:line="240" w:lineRule="auto"/>
              <w:jc w:val="center"/>
              <w:rPr>
                <w:b/>
                <w:color w:val="000000"/>
                <w:sz w:val="20"/>
                <w:szCs w:val="20"/>
              </w:rPr>
            </w:pPr>
          </w:p>
        </w:tc>
        <w:tc>
          <w:tcPr>
            <w:tcW w:w="1050" w:type="dxa"/>
            <w:tcBorders>
              <w:top w:val="nil"/>
              <w:left w:val="single" w:sz="12" w:space="0" w:color="auto"/>
              <w:bottom w:val="single" w:sz="12" w:space="0" w:color="auto"/>
              <w:right w:val="single" w:sz="4" w:space="0" w:color="auto"/>
            </w:tcBorders>
            <w:shd w:val="clear" w:color="auto" w:fill="auto"/>
            <w:noWrap/>
            <w:vAlign w:val="bottom"/>
            <w:hideMark/>
          </w:tcPr>
          <w:p w14:paraId="5D3D6131" w14:textId="77777777" w:rsidR="00DA4159" w:rsidRPr="005A0D18" w:rsidRDefault="00DA4159" w:rsidP="00C97797">
            <w:pPr>
              <w:spacing w:after="0" w:line="240" w:lineRule="auto"/>
              <w:jc w:val="center"/>
              <w:rPr>
                <w:b/>
                <w:color w:val="000000"/>
                <w:sz w:val="20"/>
                <w:szCs w:val="20"/>
              </w:rPr>
            </w:pPr>
            <w:r w:rsidRPr="005A0D18">
              <w:rPr>
                <w:b/>
                <w:color w:val="000000"/>
                <w:sz w:val="20"/>
                <w:szCs w:val="20"/>
              </w:rPr>
              <w:t>&lt;$100</w:t>
            </w:r>
            <w:r>
              <w:rPr>
                <w:b/>
                <w:color w:val="000000"/>
                <w:sz w:val="20"/>
                <w:szCs w:val="20"/>
              </w:rPr>
              <w:t>K</w:t>
            </w:r>
          </w:p>
        </w:tc>
        <w:tc>
          <w:tcPr>
            <w:tcW w:w="1050" w:type="dxa"/>
            <w:tcBorders>
              <w:top w:val="nil"/>
              <w:left w:val="nil"/>
              <w:bottom w:val="single" w:sz="12" w:space="0" w:color="auto"/>
              <w:right w:val="single" w:sz="4" w:space="0" w:color="auto"/>
            </w:tcBorders>
            <w:shd w:val="clear" w:color="auto" w:fill="auto"/>
            <w:noWrap/>
            <w:vAlign w:val="bottom"/>
            <w:hideMark/>
          </w:tcPr>
          <w:p w14:paraId="16C68306" w14:textId="77777777" w:rsidR="00DA4159" w:rsidRPr="005A0D18" w:rsidRDefault="00DA4159" w:rsidP="00C97797">
            <w:pPr>
              <w:spacing w:after="0" w:line="240" w:lineRule="auto"/>
              <w:jc w:val="center"/>
              <w:rPr>
                <w:b/>
                <w:color w:val="000000"/>
                <w:sz w:val="20"/>
                <w:szCs w:val="20"/>
              </w:rPr>
            </w:pPr>
            <w:r w:rsidRPr="005A0D18">
              <w:rPr>
                <w:b/>
                <w:color w:val="000000"/>
                <w:sz w:val="20"/>
                <w:szCs w:val="20"/>
              </w:rPr>
              <w:t>$100 to $250K</w:t>
            </w:r>
          </w:p>
        </w:tc>
        <w:tc>
          <w:tcPr>
            <w:tcW w:w="1050" w:type="dxa"/>
            <w:tcBorders>
              <w:top w:val="nil"/>
              <w:left w:val="nil"/>
              <w:bottom w:val="single" w:sz="12" w:space="0" w:color="auto"/>
              <w:right w:val="single" w:sz="12" w:space="0" w:color="auto"/>
            </w:tcBorders>
            <w:shd w:val="clear" w:color="auto" w:fill="auto"/>
            <w:noWrap/>
            <w:vAlign w:val="bottom"/>
            <w:hideMark/>
          </w:tcPr>
          <w:p w14:paraId="589D3812" w14:textId="77777777" w:rsidR="00DA4159" w:rsidRPr="005A0D18" w:rsidRDefault="00DA4159" w:rsidP="00C97797">
            <w:pPr>
              <w:spacing w:after="0" w:line="240" w:lineRule="auto"/>
              <w:jc w:val="center"/>
              <w:rPr>
                <w:b/>
                <w:color w:val="000000"/>
                <w:sz w:val="20"/>
                <w:szCs w:val="20"/>
              </w:rPr>
            </w:pPr>
            <w:r>
              <w:rPr>
                <w:b/>
                <w:color w:val="000000"/>
                <w:sz w:val="20"/>
                <w:szCs w:val="20"/>
              </w:rPr>
              <w:t xml:space="preserve">≥ </w:t>
            </w:r>
            <w:r w:rsidRPr="005A0D18">
              <w:rPr>
                <w:b/>
                <w:color w:val="000000"/>
                <w:sz w:val="20"/>
                <w:szCs w:val="20"/>
              </w:rPr>
              <w:t>$250K</w:t>
            </w:r>
          </w:p>
        </w:tc>
        <w:tc>
          <w:tcPr>
            <w:tcW w:w="1282" w:type="dxa"/>
            <w:vMerge/>
            <w:tcBorders>
              <w:left w:val="single" w:sz="12" w:space="0" w:color="auto"/>
              <w:bottom w:val="single" w:sz="12" w:space="0" w:color="auto"/>
              <w:right w:val="double" w:sz="4" w:space="0" w:color="auto"/>
            </w:tcBorders>
          </w:tcPr>
          <w:p w14:paraId="227D01E7" w14:textId="77777777" w:rsidR="00DA4159" w:rsidRPr="002C1485" w:rsidRDefault="00DA4159" w:rsidP="00C97797">
            <w:pPr>
              <w:spacing w:after="0" w:line="240" w:lineRule="auto"/>
              <w:jc w:val="center"/>
              <w:rPr>
                <w:b/>
                <w:color w:val="000000"/>
                <w:sz w:val="20"/>
                <w:szCs w:val="20"/>
              </w:rPr>
            </w:pPr>
          </w:p>
        </w:tc>
      </w:tr>
      <w:tr w:rsidR="00DA4159" w:rsidRPr="005A0D18" w14:paraId="088D18CD" w14:textId="77777777" w:rsidTr="00A24926">
        <w:trPr>
          <w:trHeight w:val="288"/>
        </w:trPr>
        <w:tc>
          <w:tcPr>
            <w:tcW w:w="1440" w:type="dxa"/>
            <w:vMerge w:val="restart"/>
            <w:tcBorders>
              <w:top w:val="single" w:sz="4" w:space="0" w:color="auto"/>
              <w:left w:val="double" w:sz="4" w:space="0" w:color="auto"/>
              <w:bottom w:val="single" w:sz="4" w:space="0" w:color="000000"/>
              <w:right w:val="single" w:sz="4" w:space="0" w:color="auto"/>
            </w:tcBorders>
            <w:shd w:val="clear" w:color="000000" w:fill="FFF2CC"/>
            <w:vAlign w:val="center"/>
            <w:hideMark/>
          </w:tcPr>
          <w:p w14:paraId="203D72F5" w14:textId="77777777" w:rsidR="00DA4159" w:rsidRPr="005A0D18" w:rsidRDefault="00DA4159" w:rsidP="00C97797">
            <w:pPr>
              <w:spacing w:after="0" w:line="240" w:lineRule="auto"/>
              <w:jc w:val="left"/>
              <w:rPr>
                <w:rFonts w:eastAsia="Times New Roman"/>
                <w:b/>
                <w:color w:val="000000"/>
                <w:sz w:val="20"/>
                <w:szCs w:val="20"/>
              </w:rPr>
            </w:pPr>
            <w:r w:rsidRPr="005A0D18">
              <w:rPr>
                <w:rFonts w:eastAsia="Times New Roman"/>
                <w:b/>
                <w:color w:val="000000"/>
                <w:sz w:val="20"/>
                <w:szCs w:val="20"/>
              </w:rPr>
              <w:t>Men with partner</w:t>
            </w:r>
          </w:p>
        </w:tc>
        <w:tc>
          <w:tcPr>
            <w:tcW w:w="1259" w:type="dxa"/>
            <w:tcBorders>
              <w:top w:val="single" w:sz="12" w:space="0" w:color="auto"/>
              <w:left w:val="single" w:sz="12" w:space="0" w:color="auto"/>
              <w:bottom w:val="single" w:sz="4" w:space="0" w:color="auto"/>
              <w:right w:val="single" w:sz="12" w:space="0" w:color="auto"/>
            </w:tcBorders>
            <w:shd w:val="clear" w:color="000000" w:fill="FFF2CC"/>
          </w:tcPr>
          <w:p w14:paraId="706FE962" w14:textId="77777777" w:rsidR="00DA4159" w:rsidRPr="005A0D18" w:rsidRDefault="00DA4159" w:rsidP="00C97797">
            <w:pPr>
              <w:spacing w:after="0" w:line="240" w:lineRule="auto"/>
              <w:jc w:val="center"/>
              <w:rPr>
                <w:rFonts w:eastAsia="Times New Roman"/>
                <w:color w:val="000000"/>
                <w:sz w:val="20"/>
                <w:szCs w:val="20"/>
              </w:rPr>
            </w:pPr>
            <w:r w:rsidRPr="005A0D18">
              <w:rPr>
                <w:rFonts w:eastAsia="Times New Roman"/>
                <w:color w:val="000000"/>
                <w:sz w:val="20"/>
                <w:szCs w:val="20"/>
              </w:rPr>
              <w:t>Home</w:t>
            </w:r>
          </w:p>
        </w:tc>
        <w:tc>
          <w:tcPr>
            <w:tcW w:w="1152" w:type="dxa"/>
            <w:tcBorders>
              <w:top w:val="single" w:sz="12" w:space="0" w:color="auto"/>
              <w:left w:val="single" w:sz="12" w:space="0" w:color="auto"/>
              <w:bottom w:val="single" w:sz="4" w:space="0" w:color="auto"/>
              <w:right w:val="single" w:sz="12" w:space="0" w:color="auto"/>
            </w:tcBorders>
            <w:shd w:val="clear" w:color="000000" w:fill="FFF2CC"/>
            <w:vAlign w:val="center"/>
          </w:tcPr>
          <w:p w14:paraId="10594047" w14:textId="77777777" w:rsidR="00DA4159" w:rsidRPr="00E45519" w:rsidRDefault="00DA4159" w:rsidP="00C97797">
            <w:pPr>
              <w:spacing w:after="0" w:line="240" w:lineRule="auto"/>
              <w:jc w:val="center"/>
              <w:rPr>
                <w:color w:val="000000"/>
                <w:sz w:val="20"/>
                <w:szCs w:val="20"/>
              </w:rPr>
            </w:pPr>
            <w:r w:rsidRPr="00E45519">
              <w:rPr>
                <w:color w:val="000000"/>
                <w:sz w:val="20"/>
                <w:szCs w:val="20"/>
              </w:rPr>
              <w:t>9.8</w:t>
            </w:r>
          </w:p>
        </w:tc>
        <w:tc>
          <w:tcPr>
            <w:tcW w:w="1079" w:type="dxa"/>
            <w:tcBorders>
              <w:top w:val="single" w:sz="12" w:space="0" w:color="auto"/>
              <w:left w:val="single" w:sz="12" w:space="0" w:color="auto"/>
              <w:bottom w:val="single" w:sz="4" w:space="0" w:color="auto"/>
              <w:right w:val="single" w:sz="4" w:space="0" w:color="auto"/>
            </w:tcBorders>
            <w:shd w:val="clear" w:color="000000" w:fill="FFF2CC"/>
            <w:vAlign w:val="center"/>
          </w:tcPr>
          <w:p w14:paraId="4B039805" w14:textId="77777777" w:rsidR="00DA4159" w:rsidRPr="005A0D18" w:rsidRDefault="00DA4159" w:rsidP="00C97797">
            <w:pPr>
              <w:spacing w:after="0" w:line="240" w:lineRule="auto"/>
              <w:jc w:val="right"/>
              <w:rPr>
                <w:rFonts w:eastAsia="Times New Roman"/>
                <w:color w:val="000000"/>
                <w:sz w:val="20"/>
                <w:szCs w:val="20"/>
              </w:rPr>
            </w:pPr>
            <w:r w:rsidRPr="005A0D18">
              <w:rPr>
                <w:rFonts w:eastAsia="Times New Roman"/>
                <w:color w:val="000000"/>
                <w:sz w:val="20"/>
                <w:szCs w:val="20"/>
              </w:rPr>
              <w:t>10.5</w:t>
            </w:r>
          </w:p>
        </w:tc>
        <w:tc>
          <w:tcPr>
            <w:tcW w:w="1079" w:type="dxa"/>
            <w:tcBorders>
              <w:top w:val="single" w:sz="12" w:space="0" w:color="auto"/>
              <w:left w:val="single" w:sz="4" w:space="0" w:color="auto"/>
              <w:bottom w:val="single" w:sz="4" w:space="0" w:color="auto"/>
              <w:right w:val="single" w:sz="4" w:space="0" w:color="auto"/>
            </w:tcBorders>
            <w:shd w:val="clear" w:color="000000" w:fill="FFF2CC"/>
            <w:vAlign w:val="center"/>
          </w:tcPr>
          <w:p w14:paraId="63EBC271" w14:textId="77777777" w:rsidR="00DA4159" w:rsidRPr="005A0D18" w:rsidRDefault="00DA4159" w:rsidP="00C97797">
            <w:pPr>
              <w:spacing w:after="0" w:line="240" w:lineRule="auto"/>
              <w:jc w:val="right"/>
              <w:rPr>
                <w:rFonts w:eastAsia="Times New Roman"/>
                <w:color w:val="000000"/>
                <w:sz w:val="20"/>
                <w:szCs w:val="20"/>
              </w:rPr>
            </w:pPr>
            <w:r w:rsidRPr="005A0D18">
              <w:rPr>
                <w:rFonts w:eastAsia="Times New Roman"/>
                <w:color w:val="000000"/>
                <w:sz w:val="20"/>
                <w:szCs w:val="20"/>
              </w:rPr>
              <w:t>9.9</w:t>
            </w:r>
          </w:p>
        </w:tc>
        <w:tc>
          <w:tcPr>
            <w:tcW w:w="1079" w:type="dxa"/>
            <w:tcBorders>
              <w:top w:val="single" w:sz="12" w:space="0" w:color="auto"/>
              <w:left w:val="single" w:sz="4" w:space="0" w:color="auto"/>
              <w:bottom w:val="single" w:sz="4" w:space="0" w:color="auto"/>
              <w:right w:val="single" w:sz="4" w:space="0" w:color="auto"/>
            </w:tcBorders>
            <w:shd w:val="clear" w:color="000000" w:fill="FFF2CC"/>
            <w:vAlign w:val="center"/>
          </w:tcPr>
          <w:p w14:paraId="668F65F4" w14:textId="77777777" w:rsidR="00DA4159" w:rsidRPr="005A0D18" w:rsidRDefault="00DA4159" w:rsidP="00C97797">
            <w:pPr>
              <w:spacing w:after="0" w:line="240" w:lineRule="auto"/>
              <w:jc w:val="right"/>
              <w:rPr>
                <w:rFonts w:eastAsia="Times New Roman"/>
                <w:color w:val="000000"/>
                <w:sz w:val="20"/>
                <w:szCs w:val="20"/>
              </w:rPr>
            </w:pPr>
            <w:r w:rsidRPr="005A0D18">
              <w:rPr>
                <w:rFonts w:eastAsia="Times New Roman"/>
                <w:color w:val="000000"/>
                <w:sz w:val="20"/>
                <w:szCs w:val="20"/>
              </w:rPr>
              <w:t>8.9</w:t>
            </w:r>
          </w:p>
        </w:tc>
        <w:tc>
          <w:tcPr>
            <w:tcW w:w="1170" w:type="dxa"/>
            <w:tcBorders>
              <w:top w:val="single" w:sz="12" w:space="0" w:color="auto"/>
              <w:left w:val="single" w:sz="12" w:space="0" w:color="auto"/>
              <w:bottom w:val="single" w:sz="4" w:space="0" w:color="auto"/>
              <w:right w:val="single" w:sz="12" w:space="0" w:color="auto"/>
            </w:tcBorders>
            <w:shd w:val="clear" w:color="000000" w:fill="FFF2CC"/>
            <w:vAlign w:val="center"/>
          </w:tcPr>
          <w:p w14:paraId="264739FA" w14:textId="77777777" w:rsidR="00DA4159" w:rsidRPr="002C1485" w:rsidRDefault="00DA4159" w:rsidP="00C97797">
            <w:pPr>
              <w:spacing w:after="0" w:line="240" w:lineRule="auto"/>
              <w:jc w:val="right"/>
              <w:rPr>
                <w:b/>
                <w:color w:val="000000"/>
                <w:sz w:val="20"/>
                <w:szCs w:val="20"/>
              </w:rPr>
            </w:pPr>
            <w:r w:rsidRPr="002C1485">
              <w:rPr>
                <w:b/>
                <w:color w:val="000000"/>
                <w:sz w:val="20"/>
                <w:szCs w:val="20"/>
              </w:rPr>
              <w:t>-15.2%</w:t>
            </w:r>
          </w:p>
        </w:tc>
        <w:tc>
          <w:tcPr>
            <w:tcW w:w="1050" w:type="dxa"/>
            <w:tcBorders>
              <w:top w:val="single" w:sz="12" w:space="0" w:color="auto"/>
              <w:left w:val="single" w:sz="12" w:space="0" w:color="auto"/>
              <w:bottom w:val="single" w:sz="4" w:space="0" w:color="auto"/>
              <w:right w:val="single" w:sz="4" w:space="0" w:color="auto"/>
            </w:tcBorders>
            <w:shd w:val="clear" w:color="000000" w:fill="FFF2CC"/>
            <w:noWrap/>
            <w:vAlign w:val="center"/>
            <w:hideMark/>
          </w:tcPr>
          <w:p w14:paraId="1587FAB9" w14:textId="77777777" w:rsidR="00DA4159" w:rsidRPr="005A0D18" w:rsidRDefault="00DA4159" w:rsidP="00C97797">
            <w:pPr>
              <w:spacing w:after="0" w:line="240" w:lineRule="auto"/>
              <w:jc w:val="right"/>
              <w:rPr>
                <w:color w:val="000000"/>
                <w:sz w:val="20"/>
                <w:szCs w:val="20"/>
              </w:rPr>
            </w:pPr>
            <w:r w:rsidRPr="005A0D18">
              <w:rPr>
                <w:color w:val="000000"/>
                <w:sz w:val="20"/>
                <w:szCs w:val="20"/>
              </w:rPr>
              <w:t>9.0</w:t>
            </w:r>
          </w:p>
        </w:tc>
        <w:tc>
          <w:tcPr>
            <w:tcW w:w="1050" w:type="dxa"/>
            <w:tcBorders>
              <w:top w:val="single" w:sz="12" w:space="0" w:color="auto"/>
              <w:left w:val="nil"/>
              <w:bottom w:val="single" w:sz="4" w:space="0" w:color="auto"/>
              <w:right w:val="single" w:sz="4" w:space="0" w:color="auto"/>
            </w:tcBorders>
            <w:shd w:val="clear" w:color="000000" w:fill="FFF2CC"/>
            <w:noWrap/>
            <w:vAlign w:val="center"/>
            <w:hideMark/>
          </w:tcPr>
          <w:p w14:paraId="1CAA48F3" w14:textId="77777777" w:rsidR="00DA4159" w:rsidRPr="005A0D18" w:rsidRDefault="00DA4159" w:rsidP="00C97797">
            <w:pPr>
              <w:spacing w:after="0" w:line="240" w:lineRule="auto"/>
              <w:jc w:val="right"/>
              <w:rPr>
                <w:color w:val="000000"/>
                <w:sz w:val="20"/>
                <w:szCs w:val="20"/>
              </w:rPr>
            </w:pPr>
            <w:r w:rsidRPr="005A0D18">
              <w:rPr>
                <w:color w:val="000000"/>
                <w:sz w:val="20"/>
                <w:szCs w:val="20"/>
              </w:rPr>
              <w:t>10.3</w:t>
            </w:r>
          </w:p>
        </w:tc>
        <w:tc>
          <w:tcPr>
            <w:tcW w:w="1050" w:type="dxa"/>
            <w:tcBorders>
              <w:top w:val="single" w:sz="12" w:space="0" w:color="auto"/>
              <w:left w:val="nil"/>
              <w:bottom w:val="single" w:sz="4" w:space="0" w:color="auto"/>
              <w:right w:val="single" w:sz="12" w:space="0" w:color="auto"/>
            </w:tcBorders>
            <w:shd w:val="clear" w:color="000000" w:fill="FFF2CC"/>
            <w:noWrap/>
            <w:vAlign w:val="center"/>
            <w:hideMark/>
          </w:tcPr>
          <w:p w14:paraId="4BBD5F87" w14:textId="77777777" w:rsidR="00DA4159" w:rsidRPr="005A0D18" w:rsidRDefault="00DA4159" w:rsidP="00C97797">
            <w:pPr>
              <w:spacing w:after="0" w:line="240" w:lineRule="auto"/>
              <w:jc w:val="right"/>
              <w:rPr>
                <w:color w:val="000000"/>
                <w:sz w:val="20"/>
                <w:szCs w:val="20"/>
              </w:rPr>
            </w:pPr>
            <w:r w:rsidRPr="005A0D18">
              <w:rPr>
                <w:color w:val="000000"/>
                <w:sz w:val="20"/>
                <w:szCs w:val="20"/>
              </w:rPr>
              <w:t>10.4</w:t>
            </w:r>
          </w:p>
        </w:tc>
        <w:tc>
          <w:tcPr>
            <w:tcW w:w="1282" w:type="dxa"/>
            <w:tcBorders>
              <w:top w:val="single" w:sz="12" w:space="0" w:color="auto"/>
              <w:left w:val="single" w:sz="12" w:space="0" w:color="auto"/>
              <w:bottom w:val="single" w:sz="4" w:space="0" w:color="auto"/>
              <w:right w:val="double" w:sz="4" w:space="0" w:color="auto"/>
            </w:tcBorders>
            <w:shd w:val="clear" w:color="000000" w:fill="FFF2CC"/>
            <w:vAlign w:val="center"/>
          </w:tcPr>
          <w:p w14:paraId="3B06A24C" w14:textId="77777777" w:rsidR="00DA4159" w:rsidRPr="002C1485" w:rsidRDefault="00DA4159" w:rsidP="00C97797">
            <w:pPr>
              <w:spacing w:after="0" w:line="240" w:lineRule="auto"/>
              <w:jc w:val="right"/>
              <w:rPr>
                <w:b/>
                <w:color w:val="000000"/>
                <w:sz w:val="20"/>
                <w:szCs w:val="20"/>
              </w:rPr>
            </w:pPr>
            <w:r w:rsidRPr="002C1485">
              <w:rPr>
                <w:b/>
                <w:color w:val="000000"/>
                <w:sz w:val="20"/>
                <w:szCs w:val="20"/>
              </w:rPr>
              <w:t>15.2%</w:t>
            </w:r>
          </w:p>
        </w:tc>
      </w:tr>
      <w:tr w:rsidR="00DA4159" w:rsidRPr="005A0D18" w14:paraId="148C54AD" w14:textId="77777777" w:rsidTr="00A24926">
        <w:trPr>
          <w:trHeight w:val="288"/>
        </w:trPr>
        <w:tc>
          <w:tcPr>
            <w:tcW w:w="1440" w:type="dxa"/>
            <w:vMerge/>
            <w:tcBorders>
              <w:top w:val="single" w:sz="4" w:space="0" w:color="auto"/>
              <w:left w:val="double" w:sz="4" w:space="0" w:color="auto"/>
              <w:bottom w:val="single" w:sz="4" w:space="0" w:color="000000"/>
              <w:right w:val="single" w:sz="4" w:space="0" w:color="auto"/>
            </w:tcBorders>
            <w:vAlign w:val="center"/>
            <w:hideMark/>
          </w:tcPr>
          <w:p w14:paraId="27FD2620" w14:textId="77777777" w:rsidR="00DA4159" w:rsidRPr="005A0D18" w:rsidRDefault="00DA4159" w:rsidP="00C97797">
            <w:pPr>
              <w:spacing w:after="0" w:line="240" w:lineRule="auto"/>
              <w:jc w:val="left"/>
              <w:rPr>
                <w:rFonts w:eastAsia="Times New Roman"/>
                <w:b/>
                <w:color w:val="000000"/>
                <w:sz w:val="20"/>
                <w:szCs w:val="20"/>
              </w:rPr>
            </w:pPr>
          </w:p>
        </w:tc>
        <w:tc>
          <w:tcPr>
            <w:tcW w:w="1259" w:type="dxa"/>
            <w:tcBorders>
              <w:top w:val="nil"/>
              <w:left w:val="single" w:sz="12" w:space="0" w:color="auto"/>
              <w:bottom w:val="single" w:sz="4" w:space="0" w:color="auto"/>
              <w:right w:val="single" w:sz="12" w:space="0" w:color="auto"/>
            </w:tcBorders>
            <w:shd w:val="clear" w:color="000000" w:fill="FFF2CC"/>
          </w:tcPr>
          <w:p w14:paraId="35AC4F33" w14:textId="77777777" w:rsidR="00DA4159" w:rsidRPr="005A0D18" w:rsidRDefault="00DA4159" w:rsidP="00C97797">
            <w:pPr>
              <w:spacing w:after="0" w:line="240" w:lineRule="auto"/>
              <w:jc w:val="center"/>
              <w:rPr>
                <w:rFonts w:eastAsia="Times New Roman"/>
                <w:color w:val="000000"/>
                <w:sz w:val="20"/>
                <w:szCs w:val="20"/>
              </w:rPr>
            </w:pPr>
            <w:r>
              <w:rPr>
                <w:rFonts w:eastAsia="Times New Roman"/>
                <w:color w:val="000000"/>
                <w:sz w:val="20"/>
                <w:szCs w:val="20"/>
              </w:rPr>
              <w:t>Work Office</w:t>
            </w:r>
          </w:p>
        </w:tc>
        <w:tc>
          <w:tcPr>
            <w:tcW w:w="1152" w:type="dxa"/>
            <w:tcBorders>
              <w:top w:val="nil"/>
              <w:left w:val="single" w:sz="12" w:space="0" w:color="auto"/>
              <w:bottom w:val="single" w:sz="4" w:space="0" w:color="auto"/>
              <w:right w:val="single" w:sz="12" w:space="0" w:color="auto"/>
            </w:tcBorders>
            <w:shd w:val="clear" w:color="000000" w:fill="FFF2CC"/>
            <w:vAlign w:val="center"/>
          </w:tcPr>
          <w:p w14:paraId="2E672C7F" w14:textId="77777777" w:rsidR="00DA4159" w:rsidRPr="00E45519" w:rsidRDefault="00DA4159" w:rsidP="00C97797">
            <w:pPr>
              <w:spacing w:after="0" w:line="240" w:lineRule="auto"/>
              <w:jc w:val="center"/>
              <w:rPr>
                <w:color w:val="000000"/>
                <w:sz w:val="20"/>
                <w:szCs w:val="20"/>
              </w:rPr>
            </w:pPr>
            <w:r w:rsidRPr="00E45519">
              <w:rPr>
                <w:color w:val="000000"/>
                <w:sz w:val="20"/>
                <w:szCs w:val="20"/>
              </w:rPr>
              <w:t>11.4</w:t>
            </w:r>
          </w:p>
        </w:tc>
        <w:tc>
          <w:tcPr>
            <w:tcW w:w="1079" w:type="dxa"/>
            <w:tcBorders>
              <w:top w:val="nil"/>
              <w:left w:val="single" w:sz="12" w:space="0" w:color="auto"/>
              <w:bottom w:val="single" w:sz="4" w:space="0" w:color="auto"/>
              <w:right w:val="single" w:sz="4" w:space="0" w:color="auto"/>
            </w:tcBorders>
            <w:shd w:val="clear" w:color="000000" w:fill="FFF2CC"/>
            <w:vAlign w:val="center"/>
          </w:tcPr>
          <w:p w14:paraId="4722DD3A" w14:textId="77777777" w:rsidR="00DA4159" w:rsidRPr="005A0D18" w:rsidRDefault="00DA4159" w:rsidP="00C97797">
            <w:pPr>
              <w:spacing w:after="0" w:line="240" w:lineRule="auto"/>
              <w:jc w:val="right"/>
              <w:rPr>
                <w:rFonts w:eastAsia="Times New Roman"/>
                <w:color w:val="000000"/>
                <w:sz w:val="20"/>
                <w:szCs w:val="20"/>
              </w:rPr>
            </w:pPr>
            <w:r w:rsidRPr="005A0D18">
              <w:rPr>
                <w:rFonts w:eastAsia="Times New Roman"/>
                <w:color w:val="000000"/>
                <w:sz w:val="20"/>
                <w:szCs w:val="20"/>
              </w:rPr>
              <w:t>10.6</w:t>
            </w:r>
          </w:p>
        </w:tc>
        <w:tc>
          <w:tcPr>
            <w:tcW w:w="1079" w:type="dxa"/>
            <w:tcBorders>
              <w:top w:val="nil"/>
              <w:left w:val="single" w:sz="4" w:space="0" w:color="auto"/>
              <w:bottom w:val="single" w:sz="4" w:space="0" w:color="auto"/>
              <w:right w:val="single" w:sz="4" w:space="0" w:color="auto"/>
            </w:tcBorders>
            <w:shd w:val="clear" w:color="000000" w:fill="FFF2CC"/>
            <w:vAlign w:val="center"/>
          </w:tcPr>
          <w:p w14:paraId="1F8DD2CA" w14:textId="77777777" w:rsidR="00DA4159" w:rsidRPr="005A0D18" w:rsidRDefault="00DA4159" w:rsidP="00C97797">
            <w:pPr>
              <w:spacing w:after="0" w:line="240" w:lineRule="auto"/>
              <w:jc w:val="right"/>
              <w:rPr>
                <w:rFonts w:eastAsia="Times New Roman"/>
                <w:color w:val="000000"/>
                <w:sz w:val="20"/>
                <w:szCs w:val="20"/>
              </w:rPr>
            </w:pPr>
            <w:r w:rsidRPr="005A0D18">
              <w:rPr>
                <w:rFonts w:eastAsia="Times New Roman"/>
                <w:color w:val="000000"/>
                <w:sz w:val="20"/>
                <w:szCs w:val="20"/>
              </w:rPr>
              <w:t>11.3</w:t>
            </w:r>
          </w:p>
        </w:tc>
        <w:tc>
          <w:tcPr>
            <w:tcW w:w="1079" w:type="dxa"/>
            <w:tcBorders>
              <w:top w:val="nil"/>
              <w:left w:val="single" w:sz="4" w:space="0" w:color="auto"/>
              <w:bottom w:val="single" w:sz="4" w:space="0" w:color="auto"/>
              <w:right w:val="single" w:sz="4" w:space="0" w:color="auto"/>
            </w:tcBorders>
            <w:shd w:val="clear" w:color="000000" w:fill="FFF2CC"/>
            <w:vAlign w:val="center"/>
          </w:tcPr>
          <w:p w14:paraId="1EDC4542" w14:textId="77777777" w:rsidR="00DA4159" w:rsidRPr="005A0D18" w:rsidRDefault="00DA4159" w:rsidP="00C97797">
            <w:pPr>
              <w:spacing w:after="0" w:line="240" w:lineRule="auto"/>
              <w:jc w:val="right"/>
              <w:rPr>
                <w:rFonts w:eastAsia="Times New Roman"/>
                <w:color w:val="000000"/>
                <w:sz w:val="20"/>
                <w:szCs w:val="20"/>
              </w:rPr>
            </w:pPr>
            <w:r w:rsidRPr="005A0D18">
              <w:rPr>
                <w:rFonts w:eastAsia="Times New Roman"/>
                <w:color w:val="000000"/>
                <w:sz w:val="20"/>
                <w:szCs w:val="20"/>
              </w:rPr>
              <w:t>12.6</w:t>
            </w:r>
          </w:p>
        </w:tc>
        <w:tc>
          <w:tcPr>
            <w:tcW w:w="1170" w:type="dxa"/>
            <w:tcBorders>
              <w:top w:val="nil"/>
              <w:left w:val="single" w:sz="12" w:space="0" w:color="auto"/>
              <w:bottom w:val="single" w:sz="4" w:space="0" w:color="auto"/>
              <w:right w:val="single" w:sz="12" w:space="0" w:color="auto"/>
            </w:tcBorders>
            <w:shd w:val="clear" w:color="000000" w:fill="FFF2CC"/>
            <w:vAlign w:val="center"/>
          </w:tcPr>
          <w:p w14:paraId="0359BF76" w14:textId="77777777" w:rsidR="00DA4159" w:rsidRPr="002C1485" w:rsidRDefault="00DA4159" w:rsidP="00C97797">
            <w:pPr>
              <w:spacing w:after="0" w:line="240" w:lineRule="auto"/>
              <w:jc w:val="right"/>
              <w:rPr>
                <w:b/>
                <w:color w:val="000000"/>
                <w:sz w:val="20"/>
                <w:szCs w:val="20"/>
              </w:rPr>
            </w:pPr>
            <w:r w:rsidRPr="002C1485">
              <w:rPr>
                <w:b/>
                <w:color w:val="000000"/>
                <w:sz w:val="20"/>
                <w:szCs w:val="20"/>
              </w:rPr>
              <w:t>18.8%</w:t>
            </w:r>
          </w:p>
        </w:tc>
        <w:tc>
          <w:tcPr>
            <w:tcW w:w="1050" w:type="dxa"/>
            <w:tcBorders>
              <w:top w:val="nil"/>
              <w:left w:val="single" w:sz="12" w:space="0" w:color="auto"/>
              <w:bottom w:val="single" w:sz="4" w:space="0" w:color="auto"/>
              <w:right w:val="single" w:sz="4" w:space="0" w:color="auto"/>
            </w:tcBorders>
            <w:shd w:val="clear" w:color="000000" w:fill="FFF2CC"/>
            <w:noWrap/>
            <w:vAlign w:val="center"/>
            <w:hideMark/>
          </w:tcPr>
          <w:p w14:paraId="2512B41D" w14:textId="77777777" w:rsidR="00DA4159" w:rsidRPr="005A0D18" w:rsidRDefault="00DA4159" w:rsidP="00C97797">
            <w:pPr>
              <w:spacing w:after="0" w:line="240" w:lineRule="auto"/>
              <w:jc w:val="right"/>
              <w:rPr>
                <w:color w:val="000000"/>
                <w:sz w:val="20"/>
                <w:szCs w:val="20"/>
              </w:rPr>
            </w:pPr>
            <w:r>
              <w:rPr>
                <w:color w:val="000000"/>
                <w:sz w:val="20"/>
                <w:szCs w:val="20"/>
              </w:rPr>
              <w:t xml:space="preserve">To </w:t>
            </w:r>
          </w:p>
        </w:tc>
        <w:tc>
          <w:tcPr>
            <w:tcW w:w="1050" w:type="dxa"/>
            <w:tcBorders>
              <w:top w:val="nil"/>
              <w:left w:val="nil"/>
              <w:bottom w:val="single" w:sz="4" w:space="0" w:color="auto"/>
              <w:right w:val="single" w:sz="4" w:space="0" w:color="auto"/>
            </w:tcBorders>
            <w:shd w:val="clear" w:color="000000" w:fill="FFF2CC"/>
            <w:noWrap/>
            <w:vAlign w:val="center"/>
            <w:hideMark/>
          </w:tcPr>
          <w:p w14:paraId="59947062" w14:textId="77777777" w:rsidR="00DA4159" w:rsidRPr="005A0D18" w:rsidRDefault="00DA4159" w:rsidP="00C97797">
            <w:pPr>
              <w:spacing w:after="0" w:line="240" w:lineRule="auto"/>
              <w:jc w:val="right"/>
              <w:rPr>
                <w:color w:val="000000"/>
                <w:sz w:val="20"/>
                <w:szCs w:val="20"/>
              </w:rPr>
            </w:pPr>
            <w:r w:rsidRPr="005A0D18">
              <w:rPr>
                <w:color w:val="000000"/>
                <w:sz w:val="20"/>
                <w:szCs w:val="20"/>
              </w:rPr>
              <w:t>10.9</w:t>
            </w:r>
          </w:p>
        </w:tc>
        <w:tc>
          <w:tcPr>
            <w:tcW w:w="1050" w:type="dxa"/>
            <w:tcBorders>
              <w:top w:val="nil"/>
              <w:left w:val="nil"/>
              <w:bottom w:val="single" w:sz="4" w:space="0" w:color="auto"/>
              <w:right w:val="single" w:sz="12" w:space="0" w:color="auto"/>
            </w:tcBorders>
            <w:shd w:val="clear" w:color="000000" w:fill="FFF2CC"/>
            <w:noWrap/>
            <w:vAlign w:val="center"/>
            <w:hideMark/>
          </w:tcPr>
          <w:p w14:paraId="2EA8541E" w14:textId="77777777" w:rsidR="00DA4159" w:rsidRPr="005A0D18" w:rsidRDefault="00DA4159" w:rsidP="00C97797">
            <w:pPr>
              <w:spacing w:after="0" w:line="240" w:lineRule="auto"/>
              <w:jc w:val="right"/>
              <w:rPr>
                <w:color w:val="000000"/>
                <w:sz w:val="20"/>
                <w:szCs w:val="20"/>
              </w:rPr>
            </w:pPr>
            <w:r w:rsidRPr="005A0D18">
              <w:rPr>
                <w:color w:val="000000"/>
                <w:sz w:val="20"/>
                <w:szCs w:val="20"/>
              </w:rPr>
              <w:t>11.1</w:t>
            </w:r>
          </w:p>
        </w:tc>
        <w:tc>
          <w:tcPr>
            <w:tcW w:w="1282" w:type="dxa"/>
            <w:tcBorders>
              <w:top w:val="nil"/>
              <w:left w:val="single" w:sz="12" w:space="0" w:color="auto"/>
              <w:bottom w:val="single" w:sz="4" w:space="0" w:color="auto"/>
              <w:right w:val="double" w:sz="4" w:space="0" w:color="auto"/>
            </w:tcBorders>
            <w:shd w:val="clear" w:color="000000" w:fill="FFF2CC"/>
            <w:vAlign w:val="center"/>
          </w:tcPr>
          <w:p w14:paraId="0AAFC7B0" w14:textId="77777777" w:rsidR="00DA4159" w:rsidRPr="002C1485" w:rsidRDefault="00DA4159" w:rsidP="00C97797">
            <w:pPr>
              <w:spacing w:after="0" w:line="240" w:lineRule="auto"/>
              <w:jc w:val="right"/>
              <w:rPr>
                <w:b/>
                <w:color w:val="000000"/>
                <w:sz w:val="20"/>
                <w:szCs w:val="20"/>
              </w:rPr>
            </w:pPr>
            <w:r w:rsidRPr="002C1485">
              <w:rPr>
                <w:b/>
                <w:color w:val="000000"/>
                <w:sz w:val="20"/>
                <w:szCs w:val="20"/>
              </w:rPr>
              <w:t>-9.2%</w:t>
            </w:r>
          </w:p>
        </w:tc>
      </w:tr>
      <w:tr w:rsidR="00DA4159" w:rsidRPr="005A0D18" w14:paraId="540B116F" w14:textId="77777777" w:rsidTr="00A24926">
        <w:trPr>
          <w:trHeight w:val="288"/>
        </w:trPr>
        <w:tc>
          <w:tcPr>
            <w:tcW w:w="1440" w:type="dxa"/>
            <w:vMerge/>
            <w:tcBorders>
              <w:top w:val="single" w:sz="4" w:space="0" w:color="auto"/>
              <w:left w:val="double" w:sz="4" w:space="0" w:color="auto"/>
              <w:bottom w:val="single" w:sz="12" w:space="0" w:color="auto"/>
              <w:right w:val="single" w:sz="4" w:space="0" w:color="auto"/>
            </w:tcBorders>
            <w:vAlign w:val="center"/>
            <w:hideMark/>
          </w:tcPr>
          <w:p w14:paraId="66992AFD" w14:textId="77777777" w:rsidR="00DA4159" w:rsidRPr="005A0D18" w:rsidRDefault="00DA4159" w:rsidP="00C97797">
            <w:pPr>
              <w:spacing w:after="0" w:line="240" w:lineRule="auto"/>
              <w:jc w:val="left"/>
              <w:rPr>
                <w:rFonts w:eastAsia="Times New Roman"/>
                <w:b/>
                <w:color w:val="000000"/>
                <w:sz w:val="20"/>
                <w:szCs w:val="20"/>
              </w:rPr>
            </w:pPr>
          </w:p>
        </w:tc>
        <w:tc>
          <w:tcPr>
            <w:tcW w:w="1259" w:type="dxa"/>
            <w:tcBorders>
              <w:top w:val="nil"/>
              <w:left w:val="single" w:sz="12" w:space="0" w:color="auto"/>
              <w:bottom w:val="single" w:sz="12" w:space="0" w:color="auto"/>
              <w:right w:val="single" w:sz="12" w:space="0" w:color="auto"/>
            </w:tcBorders>
            <w:shd w:val="clear" w:color="000000" w:fill="FFF2CC"/>
          </w:tcPr>
          <w:p w14:paraId="1D132A51" w14:textId="77777777" w:rsidR="00DA4159" w:rsidRPr="005A0D18" w:rsidRDefault="00DA4159" w:rsidP="00C97797">
            <w:pPr>
              <w:spacing w:after="0" w:line="240" w:lineRule="auto"/>
              <w:jc w:val="center"/>
              <w:rPr>
                <w:rFonts w:eastAsia="Times New Roman"/>
                <w:color w:val="000000"/>
                <w:sz w:val="20"/>
                <w:szCs w:val="20"/>
              </w:rPr>
            </w:pPr>
            <w:r w:rsidRPr="005A0D18">
              <w:rPr>
                <w:rFonts w:eastAsia="Times New Roman"/>
                <w:color w:val="000000"/>
                <w:sz w:val="20"/>
                <w:szCs w:val="20"/>
              </w:rPr>
              <w:t>Third WPL</w:t>
            </w:r>
          </w:p>
        </w:tc>
        <w:tc>
          <w:tcPr>
            <w:tcW w:w="1152" w:type="dxa"/>
            <w:tcBorders>
              <w:top w:val="nil"/>
              <w:left w:val="single" w:sz="12" w:space="0" w:color="auto"/>
              <w:bottom w:val="single" w:sz="12" w:space="0" w:color="auto"/>
              <w:right w:val="single" w:sz="12" w:space="0" w:color="auto"/>
            </w:tcBorders>
            <w:shd w:val="clear" w:color="000000" w:fill="FFF2CC"/>
            <w:vAlign w:val="center"/>
          </w:tcPr>
          <w:p w14:paraId="034B2951" w14:textId="77777777" w:rsidR="00DA4159" w:rsidRPr="00E45519" w:rsidRDefault="00DA4159" w:rsidP="00C97797">
            <w:pPr>
              <w:spacing w:after="0" w:line="240" w:lineRule="auto"/>
              <w:jc w:val="center"/>
              <w:rPr>
                <w:color w:val="000000"/>
                <w:sz w:val="20"/>
                <w:szCs w:val="20"/>
              </w:rPr>
            </w:pPr>
            <w:r w:rsidRPr="00E45519">
              <w:rPr>
                <w:color w:val="000000"/>
                <w:sz w:val="20"/>
                <w:szCs w:val="20"/>
              </w:rPr>
              <w:t>0.7</w:t>
            </w:r>
          </w:p>
        </w:tc>
        <w:tc>
          <w:tcPr>
            <w:tcW w:w="1079" w:type="dxa"/>
            <w:tcBorders>
              <w:top w:val="nil"/>
              <w:left w:val="single" w:sz="12" w:space="0" w:color="auto"/>
              <w:bottom w:val="single" w:sz="12" w:space="0" w:color="auto"/>
              <w:right w:val="single" w:sz="4" w:space="0" w:color="auto"/>
            </w:tcBorders>
            <w:shd w:val="clear" w:color="000000" w:fill="FFF2CC"/>
            <w:vAlign w:val="center"/>
          </w:tcPr>
          <w:p w14:paraId="757CAB44" w14:textId="77777777" w:rsidR="00DA4159" w:rsidRPr="005A0D18" w:rsidRDefault="00DA4159" w:rsidP="00C97797">
            <w:pPr>
              <w:spacing w:after="0" w:line="240" w:lineRule="auto"/>
              <w:jc w:val="right"/>
              <w:rPr>
                <w:rFonts w:eastAsia="Times New Roman"/>
                <w:color w:val="000000"/>
                <w:sz w:val="20"/>
                <w:szCs w:val="20"/>
              </w:rPr>
            </w:pPr>
            <w:r w:rsidRPr="005A0D18">
              <w:rPr>
                <w:rFonts w:eastAsia="Times New Roman"/>
                <w:color w:val="000000"/>
                <w:sz w:val="20"/>
                <w:szCs w:val="20"/>
              </w:rPr>
              <w:t>0.9</w:t>
            </w:r>
          </w:p>
        </w:tc>
        <w:tc>
          <w:tcPr>
            <w:tcW w:w="1079" w:type="dxa"/>
            <w:tcBorders>
              <w:top w:val="nil"/>
              <w:left w:val="single" w:sz="4" w:space="0" w:color="auto"/>
              <w:bottom w:val="single" w:sz="12" w:space="0" w:color="auto"/>
              <w:right w:val="single" w:sz="4" w:space="0" w:color="auto"/>
            </w:tcBorders>
            <w:shd w:val="clear" w:color="000000" w:fill="FFF2CC"/>
            <w:vAlign w:val="center"/>
          </w:tcPr>
          <w:p w14:paraId="4AC33B4D" w14:textId="77777777" w:rsidR="00DA4159" w:rsidRPr="005A0D18" w:rsidRDefault="00DA4159" w:rsidP="00C97797">
            <w:pPr>
              <w:spacing w:after="0" w:line="240" w:lineRule="auto"/>
              <w:jc w:val="right"/>
              <w:rPr>
                <w:rFonts w:eastAsia="Times New Roman"/>
                <w:color w:val="000000"/>
                <w:sz w:val="20"/>
                <w:szCs w:val="20"/>
              </w:rPr>
            </w:pPr>
            <w:r w:rsidRPr="005A0D18">
              <w:rPr>
                <w:rFonts w:eastAsia="Times New Roman"/>
                <w:color w:val="000000"/>
                <w:sz w:val="20"/>
                <w:szCs w:val="20"/>
              </w:rPr>
              <w:t>0.8</w:t>
            </w:r>
          </w:p>
        </w:tc>
        <w:tc>
          <w:tcPr>
            <w:tcW w:w="1079" w:type="dxa"/>
            <w:tcBorders>
              <w:top w:val="nil"/>
              <w:left w:val="single" w:sz="4" w:space="0" w:color="auto"/>
              <w:bottom w:val="single" w:sz="12" w:space="0" w:color="auto"/>
              <w:right w:val="single" w:sz="4" w:space="0" w:color="auto"/>
            </w:tcBorders>
            <w:shd w:val="clear" w:color="000000" w:fill="FFF2CC"/>
            <w:vAlign w:val="center"/>
          </w:tcPr>
          <w:p w14:paraId="3EC6E399" w14:textId="77777777" w:rsidR="00DA4159" w:rsidRPr="005A0D18" w:rsidRDefault="00DA4159" w:rsidP="00C97797">
            <w:pPr>
              <w:spacing w:after="0" w:line="240" w:lineRule="auto"/>
              <w:jc w:val="right"/>
              <w:rPr>
                <w:rFonts w:eastAsia="Times New Roman"/>
                <w:color w:val="000000"/>
                <w:sz w:val="20"/>
                <w:szCs w:val="20"/>
              </w:rPr>
            </w:pPr>
            <w:r w:rsidRPr="005A0D18">
              <w:rPr>
                <w:rFonts w:eastAsia="Times New Roman"/>
                <w:color w:val="000000"/>
                <w:sz w:val="20"/>
                <w:szCs w:val="20"/>
              </w:rPr>
              <w:t>0.5</w:t>
            </w:r>
          </w:p>
        </w:tc>
        <w:tc>
          <w:tcPr>
            <w:tcW w:w="1170" w:type="dxa"/>
            <w:tcBorders>
              <w:top w:val="nil"/>
              <w:left w:val="single" w:sz="12" w:space="0" w:color="auto"/>
              <w:bottom w:val="single" w:sz="12" w:space="0" w:color="auto"/>
              <w:right w:val="single" w:sz="12" w:space="0" w:color="auto"/>
            </w:tcBorders>
            <w:shd w:val="clear" w:color="000000" w:fill="FFF2CC"/>
            <w:vAlign w:val="center"/>
          </w:tcPr>
          <w:p w14:paraId="6F162A43" w14:textId="77777777" w:rsidR="00DA4159" w:rsidRPr="002C1485" w:rsidRDefault="00DA4159" w:rsidP="00C97797">
            <w:pPr>
              <w:spacing w:after="0" w:line="240" w:lineRule="auto"/>
              <w:jc w:val="right"/>
              <w:rPr>
                <w:b/>
                <w:color w:val="000000"/>
                <w:sz w:val="20"/>
                <w:szCs w:val="20"/>
              </w:rPr>
            </w:pPr>
            <w:r w:rsidRPr="002C1485">
              <w:rPr>
                <w:b/>
                <w:color w:val="000000"/>
                <w:sz w:val="20"/>
                <w:szCs w:val="20"/>
              </w:rPr>
              <w:t>-43.7%</w:t>
            </w:r>
          </w:p>
        </w:tc>
        <w:tc>
          <w:tcPr>
            <w:tcW w:w="1050" w:type="dxa"/>
            <w:tcBorders>
              <w:top w:val="nil"/>
              <w:left w:val="single" w:sz="12" w:space="0" w:color="auto"/>
              <w:bottom w:val="single" w:sz="12" w:space="0" w:color="auto"/>
              <w:right w:val="single" w:sz="4" w:space="0" w:color="auto"/>
            </w:tcBorders>
            <w:shd w:val="clear" w:color="000000" w:fill="FFF2CC"/>
            <w:noWrap/>
            <w:vAlign w:val="center"/>
            <w:hideMark/>
          </w:tcPr>
          <w:p w14:paraId="406049B2" w14:textId="77777777" w:rsidR="00DA4159" w:rsidRPr="005A0D18" w:rsidRDefault="00DA4159" w:rsidP="00C97797">
            <w:pPr>
              <w:spacing w:after="0" w:line="240" w:lineRule="auto"/>
              <w:jc w:val="right"/>
              <w:rPr>
                <w:color w:val="000000"/>
                <w:sz w:val="20"/>
                <w:szCs w:val="20"/>
              </w:rPr>
            </w:pPr>
            <w:r w:rsidRPr="005A0D18">
              <w:rPr>
                <w:color w:val="000000"/>
                <w:sz w:val="20"/>
                <w:szCs w:val="20"/>
              </w:rPr>
              <w:t>0.8</w:t>
            </w:r>
          </w:p>
        </w:tc>
        <w:tc>
          <w:tcPr>
            <w:tcW w:w="1050" w:type="dxa"/>
            <w:tcBorders>
              <w:top w:val="nil"/>
              <w:left w:val="nil"/>
              <w:bottom w:val="single" w:sz="12" w:space="0" w:color="auto"/>
              <w:right w:val="single" w:sz="4" w:space="0" w:color="auto"/>
            </w:tcBorders>
            <w:shd w:val="clear" w:color="000000" w:fill="FFF2CC"/>
            <w:noWrap/>
            <w:vAlign w:val="center"/>
            <w:hideMark/>
          </w:tcPr>
          <w:p w14:paraId="48F80728" w14:textId="77777777" w:rsidR="00DA4159" w:rsidRPr="005A0D18" w:rsidRDefault="00DA4159" w:rsidP="00C97797">
            <w:pPr>
              <w:spacing w:after="0" w:line="240" w:lineRule="auto"/>
              <w:jc w:val="right"/>
              <w:rPr>
                <w:color w:val="000000"/>
                <w:sz w:val="20"/>
                <w:szCs w:val="20"/>
              </w:rPr>
            </w:pPr>
            <w:r w:rsidRPr="005A0D18">
              <w:rPr>
                <w:color w:val="000000"/>
                <w:sz w:val="20"/>
                <w:szCs w:val="20"/>
              </w:rPr>
              <w:t>0.8</w:t>
            </w:r>
          </w:p>
        </w:tc>
        <w:tc>
          <w:tcPr>
            <w:tcW w:w="1050" w:type="dxa"/>
            <w:tcBorders>
              <w:top w:val="nil"/>
              <w:left w:val="nil"/>
              <w:bottom w:val="single" w:sz="12" w:space="0" w:color="auto"/>
              <w:right w:val="single" w:sz="12" w:space="0" w:color="auto"/>
            </w:tcBorders>
            <w:shd w:val="clear" w:color="000000" w:fill="FFF2CC"/>
            <w:noWrap/>
            <w:vAlign w:val="center"/>
            <w:hideMark/>
          </w:tcPr>
          <w:p w14:paraId="6E376D09" w14:textId="77777777" w:rsidR="00DA4159" w:rsidRPr="005A0D18" w:rsidRDefault="00DA4159" w:rsidP="00C97797">
            <w:pPr>
              <w:spacing w:after="0" w:line="240" w:lineRule="auto"/>
              <w:jc w:val="right"/>
              <w:rPr>
                <w:color w:val="000000"/>
                <w:sz w:val="20"/>
                <w:szCs w:val="20"/>
              </w:rPr>
            </w:pPr>
            <w:r w:rsidRPr="005A0D18">
              <w:rPr>
                <w:color w:val="000000"/>
                <w:sz w:val="20"/>
                <w:szCs w:val="20"/>
              </w:rPr>
              <w:t>0.5</w:t>
            </w:r>
          </w:p>
        </w:tc>
        <w:tc>
          <w:tcPr>
            <w:tcW w:w="1282" w:type="dxa"/>
            <w:tcBorders>
              <w:top w:val="nil"/>
              <w:left w:val="single" w:sz="12" w:space="0" w:color="auto"/>
              <w:bottom w:val="single" w:sz="12" w:space="0" w:color="auto"/>
              <w:right w:val="double" w:sz="4" w:space="0" w:color="auto"/>
            </w:tcBorders>
            <w:shd w:val="clear" w:color="000000" w:fill="FFF2CC"/>
            <w:vAlign w:val="center"/>
          </w:tcPr>
          <w:p w14:paraId="5F5ED480" w14:textId="77777777" w:rsidR="00DA4159" w:rsidRPr="002C1485" w:rsidRDefault="00DA4159" w:rsidP="00C97797">
            <w:pPr>
              <w:spacing w:after="0" w:line="240" w:lineRule="auto"/>
              <w:jc w:val="right"/>
              <w:rPr>
                <w:b/>
                <w:color w:val="000000"/>
                <w:sz w:val="20"/>
                <w:szCs w:val="20"/>
              </w:rPr>
            </w:pPr>
            <w:r w:rsidRPr="002C1485">
              <w:rPr>
                <w:b/>
                <w:color w:val="000000"/>
                <w:sz w:val="20"/>
                <w:szCs w:val="20"/>
              </w:rPr>
              <w:t>-31.2%</w:t>
            </w:r>
          </w:p>
        </w:tc>
      </w:tr>
      <w:tr w:rsidR="00DA4159" w:rsidRPr="005A0D18" w14:paraId="39E454DB" w14:textId="77777777" w:rsidTr="00A24926">
        <w:trPr>
          <w:trHeight w:val="288"/>
        </w:trPr>
        <w:tc>
          <w:tcPr>
            <w:tcW w:w="1440" w:type="dxa"/>
            <w:vMerge w:val="restart"/>
            <w:tcBorders>
              <w:top w:val="nil"/>
              <w:left w:val="double" w:sz="4" w:space="0" w:color="auto"/>
              <w:bottom w:val="single" w:sz="4" w:space="0" w:color="000000"/>
              <w:right w:val="single" w:sz="4" w:space="0" w:color="auto"/>
            </w:tcBorders>
            <w:shd w:val="clear" w:color="000000" w:fill="FFE699"/>
            <w:vAlign w:val="center"/>
            <w:hideMark/>
          </w:tcPr>
          <w:p w14:paraId="47A8AE7C" w14:textId="77777777" w:rsidR="00DA4159" w:rsidRPr="005A0D18" w:rsidRDefault="00DA4159" w:rsidP="00C97797">
            <w:pPr>
              <w:spacing w:after="0" w:line="240" w:lineRule="auto"/>
              <w:jc w:val="left"/>
              <w:rPr>
                <w:rFonts w:eastAsia="Times New Roman"/>
                <w:b/>
                <w:color w:val="000000"/>
                <w:sz w:val="20"/>
                <w:szCs w:val="20"/>
              </w:rPr>
            </w:pPr>
            <w:r w:rsidRPr="005A0D18">
              <w:rPr>
                <w:rFonts w:eastAsia="Times New Roman"/>
                <w:b/>
                <w:color w:val="000000"/>
                <w:sz w:val="20"/>
                <w:szCs w:val="20"/>
              </w:rPr>
              <w:t>Women with young child with partner</w:t>
            </w:r>
          </w:p>
        </w:tc>
        <w:tc>
          <w:tcPr>
            <w:tcW w:w="1259" w:type="dxa"/>
            <w:tcBorders>
              <w:top w:val="single" w:sz="12" w:space="0" w:color="auto"/>
              <w:left w:val="single" w:sz="12" w:space="0" w:color="auto"/>
              <w:bottom w:val="single" w:sz="4" w:space="0" w:color="auto"/>
              <w:right w:val="single" w:sz="12" w:space="0" w:color="auto"/>
            </w:tcBorders>
            <w:shd w:val="clear" w:color="000000" w:fill="FFE699"/>
          </w:tcPr>
          <w:p w14:paraId="2D3A98C0" w14:textId="77777777" w:rsidR="00DA4159" w:rsidRPr="005A0D18" w:rsidRDefault="00DA4159" w:rsidP="00C97797">
            <w:pPr>
              <w:spacing w:after="0" w:line="240" w:lineRule="auto"/>
              <w:jc w:val="center"/>
              <w:rPr>
                <w:rFonts w:eastAsia="Times New Roman"/>
                <w:color w:val="000000"/>
                <w:sz w:val="20"/>
                <w:szCs w:val="20"/>
              </w:rPr>
            </w:pPr>
            <w:r w:rsidRPr="005A0D18">
              <w:rPr>
                <w:rFonts w:eastAsia="Times New Roman"/>
                <w:color w:val="000000"/>
                <w:sz w:val="20"/>
                <w:szCs w:val="20"/>
              </w:rPr>
              <w:t>Home</w:t>
            </w:r>
          </w:p>
        </w:tc>
        <w:tc>
          <w:tcPr>
            <w:tcW w:w="1152" w:type="dxa"/>
            <w:tcBorders>
              <w:top w:val="single" w:sz="12" w:space="0" w:color="auto"/>
              <w:left w:val="single" w:sz="12" w:space="0" w:color="auto"/>
              <w:bottom w:val="single" w:sz="4" w:space="0" w:color="auto"/>
              <w:right w:val="single" w:sz="12" w:space="0" w:color="auto"/>
            </w:tcBorders>
            <w:shd w:val="clear" w:color="000000" w:fill="FFE699"/>
            <w:vAlign w:val="center"/>
          </w:tcPr>
          <w:p w14:paraId="3C02BF17" w14:textId="77777777" w:rsidR="00DA4159" w:rsidRPr="00E45519" w:rsidRDefault="00DA4159" w:rsidP="00C97797">
            <w:pPr>
              <w:spacing w:after="0" w:line="240" w:lineRule="auto"/>
              <w:jc w:val="center"/>
              <w:rPr>
                <w:color w:val="000000"/>
                <w:sz w:val="20"/>
                <w:szCs w:val="20"/>
              </w:rPr>
            </w:pPr>
            <w:r w:rsidRPr="00E45519">
              <w:rPr>
                <w:color w:val="000000"/>
                <w:sz w:val="20"/>
                <w:szCs w:val="20"/>
              </w:rPr>
              <w:t>11.6</w:t>
            </w:r>
          </w:p>
        </w:tc>
        <w:tc>
          <w:tcPr>
            <w:tcW w:w="1079" w:type="dxa"/>
            <w:tcBorders>
              <w:top w:val="single" w:sz="12" w:space="0" w:color="auto"/>
              <w:left w:val="single" w:sz="12" w:space="0" w:color="auto"/>
              <w:bottom w:val="single" w:sz="4" w:space="0" w:color="auto"/>
              <w:right w:val="single" w:sz="4" w:space="0" w:color="auto"/>
            </w:tcBorders>
            <w:shd w:val="clear" w:color="000000" w:fill="FFE699"/>
            <w:vAlign w:val="center"/>
          </w:tcPr>
          <w:p w14:paraId="506997D1" w14:textId="77777777" w:rsidR="00DA4159" w:rsidRPr="005A0D18" w:rsidRDefault="00DA4159" w:rsidP="00C97797">
            <w:pPr>
              <w:spacing w:after="0" w:line="240" w:lineRule="auto"/>
              <w:jc w:val="right"/>
              <w:rPr>
                <w:rFonts w:eastAsia="Times New Roman"/>
                <w:color w:val="000000"/>
                <w:sz w:val="20"/>
                <w:szCs w:val="20"/>
              </w:rPr>
            </w:pPr>
            <w:r w:rsidRPr="005A0D18">
              <w:rPr>
                <w:rFonts w:eastAsia="Times New Roman"/>
                <w:color w:val="000000"/>
                <w:sz w:val="20"/>
                <w:szCs w:val="20"/>
              </w:rPr>
              <w:t>11.9</w:t>
            </w:r>
          </w:p>
        </w:tc>
        <w:tc>
          <w:tcPr>
            <w:tcW w:w="1079" w:type="dxa"/>
            <w:tcBorders>
              <w:top w:val="single" w:sz="12" w:space="0" w:color="auto"/>
              <w:left w:val="single" w:sz="4" w:space="0" w:color="auto"/>
              <w:bottom w:val="single" w:sz="4" w:space="0" w:color="auto"/>
              <w:right w:val="single" w:sz="4" w:space="0" w:color="auto"/>
            </w:tcBorders>
            <w:shd w:val="clear" w:color="000000" w:fill="FFE699"/>
            <w:vAlign w:val="center"/>
          </w:tcPr>
          <w:p w14:paraId="7DF20B2F" w14:textId="77777777" w:rsidR="00DA4159" w:rsidRPr="005A0D18" w:rsidRDefault="00DA4159" w:rsidP="00C97797">
            <w:pPr>
              <w:spacing w:after="0" w:line="240" w:lineRule="auto"/>
              <w:jc w:val="right"/>
              <w:rPr>
                <w:rFonts w:eastAsia="Times New Roman"/>
                <w:color w:val="000000"/>
                <w:sz w:val="20"/>
                <w:szCs w:val="20"/>
              </w:rPr>
            </w:pPr>
            <w:r w:rsidRPr="005A0D18">
              <w:rPr>
                <w:rFonts w:eastAsia="Times New Roman"/>
                <w:color w:val="000000"/>
                <w:sz w:val="20"/>
                <w:szCs w:val="20"/>
              </w:rPr>
              <w:t>11.7</w:t>
            </w:r>
          </w:p>
        </w:tc>
        <w:tc>
          <w:tcPr>
            <w:tcW w:w="1079" w:type="dxa"/>
            <w:tcBorders>
              <w:top w:val="single" w:sz="12" w:space="0" w:color="auto"/>
              <w:left w:val="single" w:sz="4" w:space="0" w:color="auto"/>
              <w:bottom w:val="single" w:sz="4" w:space="0" w:color="auto"/>
              <w:right w:val="single" w:sz="4" w:space="0" w:color="auto"/>
            </w:tcBorders>
            <w:shd w:val="clear" w:color="000000" w:fill="FFE699"/>
            <w:vAlign w:val="center"/>
          </w:tcPr>
          <w:p w14:paraId="49A3F73F" w14:textId="77777777" w:rsidR="00DA4159" w:rsidRPr="005A0D18" w:rsidRDefault="00DA4159" w:rsidP="00C97797">
            <w:pPr>
              <w:spacing w:after="0" w:line="240" w:lineRule="auto"/>
              <w:jc w:val="right"/>
              <w:rPr>
                <w:rFonts w:eastAsia="Times New Roman"/>
                <w:color w:val="000000"/>
                <w:sz w:val="20"/>
                <w:szCs w:val="20"/>
              </w:rPr>
            </w:pPr>
            <w:r w:rsidRPr="005A0D18">
              <w:rPr>
                <w:rFonts w:eastAsia="Times New Roman"/>
                <w:color w:val="000000"/>
                <w:sz w:val="20"/>
                <w:szCs w:val="20"/>
              </w:rPr>
              <w:t>10.8</w:t>
            </w:r>
          </w:p>
        </w:tc>
        <w:tc>
          <w:tcPr>
            <w:tcW w:w="1170" w:type="dxa"/>
            <w:tcBorders>
              <w:top w:val="single" w:sz="12" w:space="0" w:color="auto"/>
              <w:left w:val="single" w:sz="12" w:space="0" w:color="auto"/>
              <w:bottom w:val="single" w:sz="4" w:space="0" w:color="auto"/>
              <w:right w:val="single" w:sz="12" w:space="0" w:color="auto"/>
            </w:tcBorders>
            <w:shd w:val="clear" w:color="000000" w:fill="FFE699"/>
            <w:vAlign w:val="center"/>
          </w:tcPr>
          <w:p w14:paraId="3250F864" w14:textId="77777777" w:rsidR="00DA4159" w:rsidRPr="002C1485" w:rsidRDefault="00DA4159" w:rsidP="00C97797">
            <w:pPr>
              <w:spacing w:after="0" w:line="240" w:lineRule="auto"/>
              <w:jc w:val="right"/>
              <w:rPr>
                <w:b/>
                <w:color w:val="000000"/>
                <w:sz w:val="20"/>
                <w:szCs w:val="20"/>
              </w:rPr>
            </w:pPr>
            <w:r w:rsidRPr="002C1485">
              <w:rPr>
                <w:b/>
                <w:color w:val="000000"/>
                <w:sz w:val="20"/>
                <w:szCs w:val="20"/>
              </w:rPr>
              <w:t>-9.3%</w:t>
            </w:r>
          </w:p>
        </w:tc>
        <w:tc>
          <w:tcPr>
            <w:tcW w:w="1050" w:type="dxa"/>
            <w:tcBorders>
              <w:top w:val="single" w:sz="12" w:space="0" w:color="auto"/>
              <w:left w:val="single" w:sz="12" w:space="0" w:color="auto"/>
              <w:bottom w:val="single" w:sz="4" w:space="0" w:color="auto"/>
              <w:right w:val="single" w:sz="4" w:space="0" w:color="auto"/>
            </w:tcBorders>
            <w:shd w:val="clear" w:color="000000" w:fill="FFE699"/>
            <w:noWrap/>
            <w:vAlign w:val="center"/>
            <w:hideMark/>
          </w:tcPr>
          <w:p w14:paraId="6755D943" w14:textId="77777777" w:rsidR="00DA4159" w:rsidRPr="005A0D18" w:rsidRDefault="00DA4159" w:rsidP="00C97797">
            <w:pPr>
              <w:spacing w:after="0" w:line="240" w:lineRule="auto"/>
              <w:jc w:val="right"/>
              <w:rPr>
                <w:color w:val="000000"/>
                <w:sz w:val="20"/>
                <w:szCs w:val="20"/>
              </w:rPr>
            </w:pPr>
            <w:r w:rsidRPr="005A0D18">
              <w:rPr>
                <w:color w:val="000000"/>
                <w:sz w:val="20"/>
                <w:szCs w:val="20"/>
              </w:rPr>
              <w:t>10.8</w:t>
            </w:r>
          </w:p>
        </w:tc>
        <w:tc>
          <w:tcPr>
            <w:tcW w:w="1050" w:type="dxa"/>
            <w:tcBorders>
              <w:top w:val="single" w:sz="12" w:space="0" w:color="auto"/>
              <w:left w:val="nil"/>
              <w:bottom w:val="single" w:sz="4" w:space="0" w:color="auto"/>
              <w:right w:val="single" w:sz="4" w:space="0" w:color="auto"/>
            </w:tcBorders>
            <w:shd w:val="clear" w:color="000000" w:fill="FFE699"/>
            <w:noWrap/>
            <w:vAlign w:val="center"/>
            <w:hideMark/>
          </w:tcPr>
          <w:p w14:paraId="637CBD5F" w14:textId="77777777" w:rsidR="00DA4159" w:rsidRPr="005A0D18" w:rsidRDefault="00DA4159" w:rsidP="00C97797">
            <w:pPr>
              <w:spacing w:after="0" w:line="240" w:lineRule="auto"/>
              <w:jc w:val="right"/>
              <w:rPr>
                <w:color w:val="000000"/>
                <w:sz w:val="20"/>
                <w:szCs w:val="20"/>
              </w:rPr>
            </w:pPr>
            <w:r w:rsidRPr="005A0D18">
              <w:rPr>
                <w:color w:val="000000"/>
                <w:sz w:val="20"/>
                <w:szCs w:val="20"/>
              </w:rPr>
              <w:t>12.0</w:t>
            </w:r>
          </w:p>
        </w:tc>
        <w:tc>
          <w:tcPr>
            <w:tcW w:w="1050" w:type="dxa"/>
            <w:tcBorders>
              <w:top w:val="single" w:sz="12" w:space="0" w:color="auto"/>
              <w:left w:val="nil"/>
              <w:bottom w:val="single" w:sz="4" w:space="0" w:color="auto"/>
              <w:right w:val="single" w:sz="12" w:space="0" w:color="auto"/>
            </w:tcBorders>
            <w:shd w:val="clear" w:color="000000" w:fill="FFE699"/>
            <w:noWrap/>
            <w:vAlign w:val="center"/>
            <w:hideMark/>
          </w:tcPr>
          <w:p w14:paraId="4379E424" w14:textId="77777777" w:rsidR="00DA4159" w:rsidRPr="005A0D18" w:rsidRDefault="00DA4159" w:rsidP="00C97797">
            <w:pPr>
              <w:spacing w:after="0" w:line="240" w:lineRule="auto"/>
              <w:jc w:val="right"/>
              <w:rPr>
                <w:color w:val="000000"/>
                <w:sz w:val="20"/>
                <w:szCs w:val="20"/>
              </w:rPr>
            </w:pPr>
            <w:r w:rsidRPr="005A0D18">
              <w:rPr>
                <w:color w:val="000000"/>
                <w:sz w:val="20"/>
                <w:szCs w:val="20"/>
              </w:rPr>
              <w:t>12.3</w:t>
            </w:r>
          </w:p>
        </w:tc>
        <w:tc>
          <w:tcPr>
            <w:tcW w:w="1282" w:type="dxa"/>
            <w:tcBorders>
              <w:top w:val="single" w:sz="12" w:space="0" w:color="auto"/>
              <w:left w:val="single" w:sz="12" w:space="0" w:color="auto"/>
              <w:bottom w:val="single" w:sz="4" w:space="0" w:color="auto"/>
              <w:right w:val="double" w:sz="4" w:space="0" w:color="auto"/>
            </w:tcBorders>
            <w:shd w:val="clear" w:color="000000" w:fill="FFE699"/>
            <w:vAlign w:val="center"/>
          </w:tcPr>
          <w:p w14:paraId="363211DE" w14:textId="77777777" w:rsidR="00DA4159" w:rsidRPr="002C1485" w:rsidRDefault="00DA4159" w:rsidP="00C97797">
            <w:pPr>
              <w:spacing w:after="0" w:line="240" w:lineRule="auto"/>
              <w:jc w:val="right"/>
              <w:rPr>
                <w:b/>
                <w:color w:val="000000"/>
                <w:sz w:val="20"/>
                <w:szCs w:val="20"/>
              </w:rPr>
            </w:pPr>
            <w:r w:rsidRPr="002C1485">
              <w:rPr>
                <w:b/>
                <w:color w:val="000000"/>
                <w:sz w:val="20"/>
                <w:szCs w:val="20"/>
              </w:rPr>
              <w:t>13.4%</w:t>
            </w:r>
          </w:p>
        </w:tc>
      </w:tr>
      <w:tr w:rsidR="00DA4159" w:rsidRPr="005A0D18" w14:paraId="54CF8C78" w14:textId="77777777" w:rsidTr="00A24926">
        <w:trPr>
          <w:trHeight w:val="288"/>
        </w:trPr>
        <w:tc>
          <w:tcPr>
            <w:tcW w:w="1440" w:type="dxa"/>
            <w:vMerge/>
            <w:tcBorders>
              <w:top w:val="nil"/>
              <w:left w:val="double" w:sz="4" w:space="0" w:color="auto"/>
              <w:bottom w:val="single" w:sz="4" w:space="0" w:color="000000"/>
              <w:right w:val="single" w:sz="4" w:space="0" w:color="auto"/>
            </w:tcBorders>
            <w:vAlign w:val="center"/>
            <w:hideMark/>
          </w:tcPr>
          <w:p w14:paraId="07981BEC" w14:textId="77777777" w:rsidR="00DA4159" w:rsidRPr="005A0D18" w:rsidRDefault="00DA4159" w:rsidP="00C97797">
            <w:pPr>
              <w:spacing w:after="0" w:line="240" w:lineRule="auto"/>
              <w:jc w:val="left"/>
              <w:rPr>
                <w:rFonts w:eastAsia="Times New Roman"/>
                <w:b/>
                <w:color w:val="000000"/>
                <w:sz w:val="20"/>
                <w:szCs w:val="20"/>
              </w:rPr>
            </w:pPr>
          </w:p>
        </w:tc>
        <w:tc>
          <w:tcPr>
            <w:tcW w:w="1259" w:type="dxa"/>
            <w:tcBorders>
              <w:top w:val="nil"/>
              <w:left w:val="single" w:sz="12" w:space="0" w:color="auto"/>
              <w:bottom w:val="single" w:sz="4" w:space="0" w:color="auto"/>
              <w:right w:val="single" w:sz="12" w:space="0" w:color="auto"/>
            </w:tcBorders>
            <w:shd w:val="clear" w:color="000000" w:fill="FFE699"/>
          </w:tcPr>
          <w:p w14:paraId="7173CF59" w14:textId="77777777" w:rsidR="00DA4159" w:rsidRPr="005A0D18" w:rsidRDefault="00DA4159" w:rsidP="00C97797">
            <w:pPr>
              <w:spacing w:after="0" w:line="240" w:lineRule="auto"/>
              <w:jc w:val="center"/>
              <w:rPr>
                <w:rFonts w:eastAsia="Times New Roman"/>
                <w:color w:val="000000"/>
                <w:sz w:val="20"/>
                <w:szCs w:val="20"/>
              </w:rPr>
            </w:pPr>
            <w:r>
              <w:rPr>
                <w:rFonts w:eastAsia="Times New Roman"/>
                <w:color w:val="000000"/>
                <w:sz w:val="20"/>
                <w:szCs w:val="20"/>
              </w:rPr>
              <w:t>Work Office</w:t>
            </w:r>
          </w:p>
        </w:tc>
        <w:tc>
          <w:tcPr>
            <w:tcW w:w="1152" w:type="dxa"/>
            <w:tcBorders>
              <w:top w:val="nil"/>
              <w:left w:val="single" w:sz="12" w:space="0" w:color="auto"/>
              <w:bottom w:val="single" w:sz="4" w:space="0" w:color="auto"/>
              <w:right w:val="single" w:sz="12" w:space="0" w:color="auto"/>
            </w:tcBorders>
            <w:shd w:val="clear" w:color="000000" w:fill="FFE699"/>
            <w:vAlign w:val="center"/>
          </w:tcPr>
          <w:p w14:paraId="02E68664" w14:textId="77777777" w:rsidR="00DA4159" w:rsidRPr="00E45519" w:rsidRDefault="00DA4159" w:rsidP="00C97797">
            <w:pPr>
              <w:spacing w:after="0" w:line="240" w:lineRule="auto"/>
              <w:jc w:val="center"/>
              <w:rPr>
                <w:color w:val="000000"/>
                <w:sz w:val="20"/>
                <w:szCs w:val="20"/>
              </w:rPr>
            </w:pPr>
            <w:r w:rsidRPr="00E45519">
              <w:rPr>
                <w:color w:val="000000"/>
                <w:sz w:val="20"/>
                <w:szCs w:val="20"/>
              </w:rPr>
              <w:t>8.8</w:t>
            </w:r>
          </w:p>
        </w:tc>
        <w:tc>
          <w:tcPr>
            <w:tcW w:w="1079" w:type="dxa"/>
            <w:tcBorders>
              <w:top w:val="nil"/>
              <w:left w:val="single" w:sz="12" w:space="0" w:color="auto"/>
              <w:bottom w:val="single" w:sz="4" w:space="0" w:color="auto"/>
              <w:right w:val="single" w:sz="4" w:space="0" w:color="auto"/>
            </w:tcBorders>
            <w:shd w:val="clear" w:color="000000" w:fill="FFE699"/>
            <w:vAlign w:val="center"/>
          </w:tcPr>
          <w:p w14:paraId="60BE63F2" w14:textId="77777777" w:rsidR="00DA4159" w:rsidRPr="005A0D18" w:rsidRDefault="00DA4159" w:rsidP="00C97797">
            <w:pPr>
              <w:spacing w:after="0" w:line="240" w:lineRule="auto"/>
              <w:jc w:val="right"/>
              <w:rPr>
                <w:rFonts w:eastAsia="Times New Roman"/>
                <w:color w:val="000000"/>
                <w:sz w:val="20"/>
                <w:szCs w:val="20"/>
              </w:rPr>
            </w:pPr>
            <w:r w:rsidRPr="005A0D18">
              <w:rPr>
                <w:rFonts w:eastAsia="Times New Roman"/>
                <w:color w:val="000000"/>
                <w:sz w:val="20"/>
                <w:szCs w:val="20"/>
              </w:rPr>
              <w:t>8.3</w:t>
            </w:r>
          </w:p>
        </w:tc>
        <w:tc>
          <w:tcPr>
            <w:tcW w:w="1079" w:type="dxa"/>
            <w:tcBorders>
              <w:top w:val="nil"/>
              <w:left w:val="single" w:sz="4" w:space="0" w:color="auto"/>
              <w:bottom w:val="single" w:sz="4" w:space="0" w:color="auto"/>
              <w:right w:val="single" w:sz="4" w:space="0" w:color="auto"/>
            </w:tcBorders>
            <w:shd w:val="clear" w:color="000000" w:fill="FFE699"/>
            <w:vAlign w:val="center"/>
          </w:tcPr>
          <w:p w14:paraId="030D2EE9" w14:textId="77777777" w:rsidR="00DA4159" w:rsidRPr="005A0D18" w:rsidRDefault="00DA4159" w:rsidP="00C97797">
            <w:pPr>
              <w:spacing w:after="0" w:line="240" w:lineRule="auto"/>
              <w:jc w:val="right"/>
              <w:rPr>
                <w:rFonts w:eastAsia="Times New Roman"/>
                <w:color w:val="000000"/>
                <w:sz w:val="20"/>
                <w:szCs w:val="20"/>
              </w:rPr>
            </w:pPr>
            <w:r w:rsidRPr="005A0D18">
              <w:rPr>
                <w:rFonts w:eastAsia="Times New Roman"/>
                <w:color w:val="000000"/>
                <w:sz w:val="20"/>
                <w:szCs w:val="20"/>
              </w:rPr>
              <w:t>8.6</w:t>
            </w:r>
          </w:p>
        </w:tc>
        <w:tc>
          <w:tcPr>
            <w:tcW w:w="1079" w:type="dxa"/>
            <w:tcBorders>
              <w:top w:val="nil"/>
              <w:left w:val="single" w:sz="4" w:space="0" w:color="auto"/>
              <w:bottom w:val="single" w:sz="4" w:space="0" w:color="auto"/>
              <w:right w:val="single" w:sz="4" w:space="0" w:color="auto"/>
            </w:tcBorders>
            <w:shd w:val="clear" w:color="000000" w:fill="FFE699"/>
            <w:vAlign w:val="center"/>
          </w:tcPr>
          <w:p w14:paraId="2BCD4BA8" w14:textId="77777777" w:rsidR="00DA4159" w:rsidRPr="005A0D18" w:rsidRDefault="00DA4159" w:rsidP="00C97797">
            <w:pPr>
              <w:spacing w:after="0" w:line="240" w:lineRule="auto"/>
              <w:jc w:val="right"/>
              <w:rPr>
                <w:rFonts w:eastAsia="Times New Roman"/>
                <w:color w:val="000000"/>
                <w:sz w:val="20"/>
                <w:szCs w:val="20"/>
              </w:rPr>
            </w:pPr>
            <w:r w:rsidRPr="005A0D18">
              <w:rPr>
                <w:rFonts w:eastAsia="Times New Roman"/>
                <w:color w:val="000000"/>
                <w:sz w:val="20"/>
                <w:szCs w:val="20"/>
              </w:rPr>
              <w:t>10.1</w:t>
            </w:r>
          </w:p>
        </w:tc>
        <w:tc>
          <w:tcPr>
            <w:tcW w:w="1170" w:type="dxa"/>
            <w:tcBorders>
              <w:top w:val="nil"/>
              <w:left w:val="single" w:sz="12" w:space="0" w:color="auto"/>
              <w:bottom w:val="single" w:sz="4" w:space="0" w:color="auto"/>
              <w:right w:val="single" w:sz="12" w:space="0" w:color="auto"/>
            </w:tcBorders>
            <w:shd w:val="clear" w:color="000000" w:fill="FFE699"/>
            <w:vAlign w:val="center"/>
          </w:tcPr>
          <w:p w14:paraId="7DDC298C" w14:textId="77777777" w:rsidR="00DA4159" w:rsidRPr="002C1485" w:rsidRDefault="00DA4159" w:rsidP="00C97797">
            <w:pPr>
              <w:spacing w:after="0" w:line="240" w:lineRule="auto"/>
              <w:jc w:val="right"/>
              <w:rPr>
                <w:b/>
                <w:color w:val="000000"/>
                <w:sz w:val="20"/>
                <w:szCs w:val="20"/>
              </w:rPr>
            </w:pPr>
            <w:r w:rsidRPr="002C1485">
              <w:rPr>
                <w:b/>
                <w:color w:val="000000"/>
                <w:sz w:val="20"/>
                <w:szCs w:val="20"/>
              </w:rPr>
              <w:t>21.8%</w:t>
            </w:r>
          </w:p>
        </w:tc>
        <w:tc>
          <w:tcPr>
            <w:tcW w:w="1050" w:type="dxa"/>
            <w:tcBorders>
              <w:top w:val="nil"/>
              <w:left w:val="single" w:sz="12" w:space="0" w:color="auto"/>
              <w:bottom w:val="single" w:sz="4" w:space="0" w:color="auto"/>
              <w:right w:val="single" w:sz="4" w:space="0" w:color="auto"/>
            </w:tcBorders>
            <w:shd w:val="clear" w:color="000000" w:fill="FFE699"/>
            <w:noWrap/>
            <w:vAlign w:val="center"/>
            <w:hideMark/>
          </w:tcPr>
          <w:p w14:paraId="0232D593" w14:textId="77777777" w:rsidR="00DA4159" w:rsidRPr="005A0D18" w:rsidRDefault="00DA4159" w:rsidP="00C97797">
            <w:pPr>
              <w:spacing w:after="0" w:line="240" w:lineRule="auto"/>
              <w:jc w:val="right"/>
              <w:rPr>
                <w:color w:val="000000"/>
                <w:sz w:val="20"/>
                <w:szCs w:val="20"/>
              </w:rPr>
            </w:pPr>
            <w:r w:rsidRPr="005A0D18">
              <w:rPr>
                <w:color w:val="000000"/>
                <w:sz w:val="20"/>
                <w:szCs w:val="20"/>
              </w:rPr>
              <w:t>9.5</w:t>
            </w:r>
          </w:p>
        </w:tc>
        <w:tc>
          <w:tcPr>
            <w:tcW w:w="1050" w:type="dxa"/>
            <w:tcBorders>
              <w:top w:val="nil"/>
              <w:left w:val="nil"/>
              <w:bottom w:val="single" w:sz="4" w:space="0" w:color="auto"/>
              <w:right w:val="single" w:sz="4" w:space="0" w:color="auto"/>
            </w:tcBorders>
            <w:shd w:val="clear" w:color="000000" w:fill="FFE699"/>
            <w:noWrap/>
            <w:vAlign w:val="center"/>
            <w:hideMark/>
          </w:tcPr>
          <w:p w14:paraId="733829A9" w14:textId="77777777" w:rsidR="00DA4159" w:rsidRPr="005A0D18" w:rsidRDefault="00DA4159" w:rsidP="00C97797">
            <w:pPr>
              <w:spacing w:after="0" w:line="240" w:lineRule="auto"/>
              <w:jc w:val="right"/>
              <w:rPr>
                <w:color w:val="000000"/>
                <w:sz w:val="20"/>
                <w:szCs w:val="20"/>
              </w:rPr>
            </w:pPr>
            <w:r w:rsidRPr="005A0D18">
              <w:rPr>
                <w:color w:val="000000"/>
                <w:sz w:val="20"/>
                <w:szCs w:val="20"/>
              </w:rPr>
              <w:t>8.3</w:t>
            </w:r>
          </w:p>
        </w:tc>
        <w:tc>
          <w:tcPr>
            <w:tcW w:w="1050" w:type="dxa"/>
            <w:tcBorders>
              <w:top w:val="nil"/>
              <w:left w:val="nil"/>
              <w:bottom w:val="single" w:sz="4" w:space="0" w:color="auto"/>
              <w:right w:val="single" w:sz="12" w:space="0" w:color="auto"/>
            </w:tcBorders>
            <w:shd w:val="clear" w:color="000000" w:fill="FFE699"/>
            <w:noWrap/>
            <w:vAlign w:val="center"/>
            <w:hideMark/>
          </w:tcPr>
          <w:p w14:paraId="4CA3409E" w14:textId="77777777" w:rsidR="00DA4159" w:rsidRPr="005A0D18" w:rsidRDefault="00DA4159" w:rsidP="00C97797">
            <w:pPr>
              <w:spacing w:after="0" w:line="240" w:lineRule="auto"/>
              <w:jc w:val="right"/>
              <w:rPr>
                <w:color w:val="000000"/>
                <w:sz w:val="20"/>
                <w:szCs w:val="20"/>
              </w:rPr>
            </w:pPr>
            <w:r w:rsidRPr="005A0D18">
              <w:rPr>
                <w:color w:val="000000"/>
                <w:sz w:val="20"/>
                <w:szCs w:val="20"/>
              </w:rPr>
              <w:t>8.6</w:t>
            </w:r>
          </w:p>
        </w:tc>
        <w:tc>
          <w:tcPr>
            <w:tcW w:w="1282" w:type="dxa"/>
            <w:tcBorders>
              <w:top w:val="nil"/>
              <w:left w:val="single" w:sz="12" w:space="0" w:color="auto"/>
              <w:bottom w:val="single" w:sz="4" w:space="0" w:color="auto"/>
              <w:right w:val="double" w:sz="4" w:space="0" w:color="auto"/>
            </w:tcBorders>
            <w:shd w:val="clear" w:color="000000" w:fill="FFE699"/>
            <w:vAlign w:val="center"/>
          </w:tcPr>
          <w:p w14:paraId="2DF2C07F" w14:textId="77777777" w:rsidR="00DA4159" w:rsidRPr="002C1485" w:rsidRDefault="00DA4159" w:rsidP="00C97797">
            <w:pPr>
              <w:spacing w:after="0" w:line="240" w:lineRule="auto"/>
              <w:jc w:val="right"/>
              <w:rPr>
                <w:b/>
                <w:color w:val="000000"/>
                <w:sz w:val="20"/>
                <w:szCs w:val="20"/>
              </w:rPr>
            </w:pPr>
            <w:r w:rsidRPr="002C1485">
              <w:rPr>
                <w:b/>
                <w:color w:val="000000"/>
                <w:sz w:val="20"/>
                <w:szCs w:val="20"/>
              </w:rPr>
              <w:t>-9.7%</w:t>
            </w:r>
          </w:p>
        </w:tc>
      </w:tr>
      <w:tr w:rsidR="00DA4159" w:rsidRPr="005A0D18" w14:paraId="29A17FFF" w14:textId="77777777" w:rsidTr="00A24926">
        <w:trPr>
          <w:trHeight w:val="288"/>
        </w:trPr>
        <w:tc>
          <w:tcPr>
            <w:tcW w:w="1440" w:type="dxa"/>
            <w:vMerge/>
            <w:tcBorders>
              <w:top w:val="nil"/>
              <w:left w:val="double" w:sz="4" w:space="0" w:color="auto"/>
              <w:bottom w:val="single" w:sz="12" w:space="0" w:color="auto"/>
              <w:right w:val="single" w:sz="4" w:space="0" w:color="auto"/>
            </w:tcBorders>
            <w:vAlign w:val="center"/>
            <w:hideMark/>
          </w:tcPr>
          <w:p w14:paraId="394CCA9C" w14:textId="77777777" w:rsidR="00DA4159" w:rsidRPr="005A0D18" w:rsidRDefault="00DA4159" w:rsidP="00C97797">
            <w:pPr>
              <w:spacing w:after="0" w:line="240" w:lineRule="auto"/>
              <w:jc w:val="left"/>
              <w:rPr>
                <w:rFonts w:eastAsia="Times New Roman"/>
                <w:b/>
                <w:color w:val="000000"/>
                <w:sz w:val="20"/>
                <w:szCs w:val="20"/>
              </w:rPr>
            </w:pPr>
          </w:p>
        </w:tc>
        <w:tc>
          <w:tcPr>
            <w:tcW w:w="1259" w:type="dxa"/>
            <w:tcBorders>
              <w:top w:val="nil"/>
              <w:left w:val="single" w:sz="12" w:space="0" w:color="auto"/>
              <w:bottom w:val="single" w:sz="12" w:space="0" w:color="auto"/>
              <w:right w:val="single" w:sz="12" w:space="0" w:color="auto"/>
            </w:tcBorders>
            <w:shd w:val="clear" w:color="000000" w:fill="FFE699"/>
          </w:tcPr>
          <w:p w14:paraId="5205958B" w14:textId="77777777" w:rsidR="00DA4159" w:rsidRPr="005A0D18" w:rsidRDefault="00DA4159" w:rsidP="00C97797">
            <w:pPr>
              <w:spacing w:after="0" w:line="240" w:lineRule="auto"/>
              <w:jc w:val="center"/>
              <w:rPr>
                <w:rFonts w:eastAsia="Times New Roman"/>
                <w:color w:val="000000"/>
                <w:sz w:val="20"/>
                <w:szCs w:val="20"/>
              </w:rPr>
            </w:pPr>
            <w:r w:rsidRPr="005A0D18">
              <w:rPr>
                <w:rFonts w:eastAsia="Times New Roman"/>
                <w:color w:val="000000"/>
                <w:sz w:val="20"/>
                <w:szCs w:val="20"/>
              </w:rPr>
              <w:t>Third WPL</w:t>
            </w:r>
          </w:p>
        </w:tc>
        <w:tc>
          <w:tcPr>
            <w:tcW w:w="1152" w:type="dxa"/>
            <w:tcBorders>
              <w:top w:val="nil"/>
              <w:left w:val="single" w:sz="12" w:space="0" w:color="auto"/>
              <w:bottom w:val="single" w:sz="12" w:space="0" w:color="auto"/>
              <w:right w:val="single" w:sz="12" w:space="0" w:color="auto"/>
            </w:tcBorders>
            <w:shd w:val="clear" w:color="000000" w:fill="FFE699"/>
            <w:vAlign w:val="center"/>
          </w:tcPr>
          <w:p w14:paraId="3B46CB4A" w14:textId="77777777" w:rsidR="00DA4159" w:rsidRPr="00E45519" w:rsidRDefault="00DA4159" w:rsidP="00C97797">
            <w:pPr>
              <w:spacing w:after="0" w:line="240" w:lineRule="auto"/>
              <w:jc w:val="center"/>
              <w:rPr>
                <w:color w:val="000000"/>
                <w:sz w:val="20"/>
                <w:szCs w:val="20"/>
              </w:rPr>
            </w:pPr>
            <w:r w:rsidRPr="00E45519">
              <w:rPr>
                <w:color w:val="000000"/>
                <w:sz w:val="20"/>
                <w:szCs w:val="20"/>
              </w:rPr>
              <w:t>1.6</w:t>
            </w:r>
          </w:p>
        </w:tc>
        <w:tc>
          <w:tcPr>
            <w:tcW w:w="1079" w:type="dxa"/>
            <w:tcBorders>
              <w:top w:val="nil"/>
              <w:left w:val="single" w:sz="12" w:space="0" w:color="auto"/>
              <w:bottom w:val="single" w:sz="12" w:space="0" w:color="auto"/>
              <w:right w:val="single" w:sz="4" w:space="0" w:color="auto"/>
            </w:tcBorders>
            <w:shd w:val="clear" w:color="000000" w:fill="FFE699"/>
            <w:vAlign w:val="center"/>
          </w:tcPr>
          <w:p w14:paraId="25F1AEE6" w14:textId="77777777" w:rsidR="00DA4159" w:rsidRPr="005A0D18" w:rsidRDefault="00DA4159" w:rsidP="00C97797">
            <w:pPr>
              <w:spacing w:after="0" w:line="240" w:lineRule="auto"/>
              <w:jc w:val="right"/>
              <w:rPr>
                <w:rFonts w:eastAsia="Times New Roman"/>
                <w:color w:val="000000"/>
                <w:sz w:val="20"/>
                <w:szCs w:val="20"/>
              </w:rPr>
            </w:pPr>
            <w:r w:rsidRPr="005A0D18">
              <w:rPr>
                <w:rFonts w:eastAsia="Times New Roman"/>
                <w:color w:val="000000"/>
                <w:sz w:val="20"/>
                <w:szCs w:val="20"/>
              </w:rPr>
              <w:t>1.8</w:t>
            </w:r>
          </w:p>
        </w:tc>
        <w:tc>
          <w:tcPr>
            <w:tcW w:w="1079" w:type="dxa"/>
            <w:tcBorders>
              <w:top w:val="nil"/>
              <w:left w:val="single" w:sz="4" w:space="0" w:color="auto"/>
              <w:bottom w:val="single" w:sz="12" w:space="0" w:color="auto"/>
              <w:right w:val="single" w:sz="4" w:space="0" w:color="auto"/>
            </w:tcBorders>
            <w:shd w:val="clear" w:color="000000" w:fill="FFE699"/>
            <w:vAlign w:val="center"/>
          </w:tcPr>
          <w:p w14:paraId="43CF7F4D" w14:textId="77777777" w:rsidR="00DA4159" w:rsidRPr="005A0D18" w:rsidRDefault="00DA4159" w:rsidP="00C97797">
            <w:pPr>
              <w:spacing w:after="0" w:line="240" w:lineRule="auto"/>
              <w:jc w:val="right"/>
              <w:rPr>
                <w:rFonts w:eastAsia="Times New Roman"/>
                <w:color w:val="000000"/>
                <w:sz w:val="20"/>
                <w:szCs w:val="20"/>
              </w:rPr>
            </w:pPr>
            <w:r w:rsidRPr="005A0D18">
              <w:rPr>
                <w:rFonts w:eastAsia="Times New Roman"/>
                <w:color w:val="000000"/>
                <w:sz w:val="20"/>
                <w:szCs w:val="20"/>
              </w:rPr>
              <w:t>1.7</w:t>
            </w:r>
          </w:p>
        </w:tc>
        <w:tc>
          <w:tcPr>
            <w:tcW w:w="1079" w:type="dxa"/>
            <w:tcBorders>
              <w:top w:val="nil"/>
              <w:left w:val="single" w:sz="4" w:space="0" w:color="auto"/>
              <w:bottom w:val="single" w:sz="12" w:space="0" w:color="auto"/>
              <w:right w:val="single" w:sz="4" w:space="0" w:color="auto"/>
            </w:tcBorders>
            <w:shd w:val="clear" w:color="000000" w:fill="FFE699"/>
            <w:vAlign w:val="center"/>
          </w:tcPr>
          <w:p w14:paraId="0A538D56" w14:textId="77777777" w:rsidR="00DA4159" w:rsidRPr="005A0D18" w:rsidRDefault="00DA4159" w:rsidP="00C97797">
            <w:pPr>
              <w:spacing w:after="0" w:line="240" w:lineRule="auto"/>
              <w:jc w:val="right"/>
              <w:rPr>
                <w:rFonts w:eastAsia="Times New Roman"/>
                <w:color w:val="000000"/>
                <w:sz w:val="20"/>
                <w:szCs w:val="20"/>
              </w:rPr>
            </w:pPr>
            <w:r w:rsidRPr="005A0D18">
              <w:rPr>
                <w:rFonts w:eastAsia="Times New Roman"/>
                <w:color w:val="000000"/>
                <w:sz w:val="20"/>
                <w:szCs w:val="20"/>
              </w:rPr>
              <w:t>1.1</w:t>
            </w:r>
          </w:p>
        </w:tc>
        <w:tc>
          <w:tcPr>
            <w:tcW w:w="1170" w:type="dxa"/>
            <w:tcBorders>
              <w:top w:val="nil"/>
              <w:left w:val="single" w:sz="12" w:space="0" w:color="auto"/>
              <w:bottom w:val="single" w:sz="12" w:space="0" w:color="auto"/>
              <w:right w:val="single" w:sz="12" w:space="0" w:color="auto"/>
            </w:tcBorders>
            <w:shd w:val="clear" w:color="000000" w:fill="FFE699"/>
            <w:vAlign w:val="center"/>
          </w:tcPr>
          <w:p w14:paraId="4261BFFC" w14:textId="77777777" w:rsidR="00DA4159" w:rsidRPr="002C1485" w:rsidRDefault="00DA4159" w:rsidP="00C97797">
            <w:pPr>
              <w:spacing w:after="0" w:line="240" w:lineRule="auto"/>
              <w:jc w:val="right"/>
              <w:rPr>
                <w:b/>
                <w:color w:val="000000"/>
                <w:sz w:val="20"/>
                <w:szCs w:val="20"/>
              </w:rPr>
            </w:pPr>
            <w:r w:rsidRPr="002C1485">
              <w:rPr>
                <w:b/>
                <w:color w:val="000000"/>
                <w:sz w:val="20"/>
                <w:szCs w:val="20"/>
              </w:rPr>
              <w:t>-38.2%</w:t>
            </w:r>
          </w:p>
        </w:tc>
        <w:tc>
          <w:tcPr>
            <w:tcW w:w="1050" w:type="dxa"/>
            <w:tcBorders>
              <w:top w:val="nil"/>
              <w:left w:val="single" w:sz="12" w:space="0" w:color="auto"/>
              <w:bottom w:val="single" w:sz="12" w:space="0" w:color="auto"/>
              <w:right w:val="single" w:sz="4" w:space="0" w:color="auto"/>
            </w:tcBorders>
            <w:shd w:val="clear" w:color="000000" w:fill="FFE699"/>
            <w:noWrap/>
            <w:vAlign w:val="center"/>
            <w:hideMark/>
          </w:tcPr>
          <w:p w14:paraId="3B0EF2AD" w14:textId="77777777" w:rsidR="00DA4159" w:rsidRPr="005A0D18" w:rsidRDefault="00DA4159" w:rsidP="00C97797">
            <w:pPr>
              <w:spacing w:after="0" w:line="240" w:lineRule="auto"/>
              <w:jc w:val="right"/>
              <w:rPr>
                <w:color w:val="000000"/>
                <w:sz w:val="20"/>
                <w:szCs w:val="20"/>
              </w:rPr>
            </w:pPr>
            <w:r w:rsidRPr="005A0D18">
              <w:rPr>
                <w:color w:val="000000"/>
                <w:sz w:val="20"/>
                <w:szCs w:val="20"/>
              </w:rPr>
              <w:t>1.7</w:t>
            </w:r>
          </w:p>
        </w:tc>
        <w:tc>
          <w:tcPr>
            <w:tcW w:w="1050" w:type="dxa"/>
            <w:tcBorders>
              <w:top w:val="nil"/>
              <w:left w:val="nil"/>
              <w:bottom w:val="single" w:sz="12" w:space="0" w:color="auto"/>
              <w:right w:val="single" w:sz="4" w:space="0" w:color="auto"/>
            </w:tcBorders>
            <w:shd w:val="clear" w:color="000000" w:fill="FFE699"/>
            <w:noWrap/>
            <w:vAlign w:val="center"/>
            <w:hideMark/>
          </w:tcPr>
          <w:p w14:paraId="47809F4E" w14:textId="77777777" w:rsidR="00DA4159" w:rsidRPr="005A0D18" w:rsidRDefault="00DA4159" w:rsidP="00C97797">
            <w:pPr>
              <w:spacing w:after="0" w:line="240" w:lineRule="auto"/>
              <w:jc w:val="right"/>
              <w:rPr>
                <w:color w:val="000000"/>
                <w:sz w:val="20"/>
                <w:szCs w:val="20"/>
              </w:rPr>
            </w:pPr>
            <w:r w:rsidRPr="005A0D18">
              <w:rPr>
                <w:color w:val="000000"/>
                <w:sz w:val="20"/>
                <w:szCs w:val="20"/>
              </w:rPr>
              <w:t>1.7</w:t>
            </w:r>
          </w:p>
        </w:tc>
        <w:tc>
          <w:tcPr>
            <w:tcW w:w="1050" w:type="dxa"/>
            <w:tcBorders>
              <w:top w:val="nil"/>
              <w:left w:val="nil"/>
              <w:bottom w:val="single" w:sz="12" w:space="0" w:color="auto"/>
              <w:right w:val="single" w:sz="12" w:space="0" w:color="auto"/>
            </w:tcBorders>
            <w:shd w:val="clear" w:color="000000" w:fill="FFE699"/>
            <w:noWrap/>
            <w:vAlign w:val="center"/>
            <w:hideMark/>
          </w:tcPr>
          <w:p w14:paraId="2C6C3F9D" w14:textId="77777777" w:rsidR="00DA4159" w:rsidRPr="005A0D18" w:rsidRDefault="00DA4159" w:rsidP="00C97797">
            <w:pPr>
              <w:spacing w:after="0" w:line="240" w:lineRule="auto"/>
              <w:jc w:val="right"/>
              <w:rPr>
                <w:color w:val="000000"/>
                <w:sz w:val="20"/>
                <w:szCs w:val="20"/>
              </w:rPr>
            </w:pPr>
            <w:r w:rsidRPr="005A0D18">
              <w:rPr>
                <w:color w:val="000000"/>
                <w:sz w:val="20"/>
                <w:szCs w:val="20"/>
              </w:rPr>
              <w:t>1.1</w:t>
            </w:r>
          </w:p>
        </w:tc>
        <w:tc>
          <w:tcPr>
            <w:tcW w:w="1282" w:type="dxa"/>
            <w:tcBorders>
              <w:top w:val="nil"/>
              <w:left w:val="single" w:sz="12" w:space="0" w:color="auto"/>
              <w:bottom w:val="single" w:sz="12" w:space="0" w:color="auto"/>
              <w:right w:val="double" w:sz="4" w:space="0" w:color="auto"/>
            </w:tcBorders>
            <w:shd w:val="clear" w:color="000000" w:fill="FFE699"/>
            <w:vAlign w:val="center"/>
          </w:tcPr>
          <w:p w14:paraId="4FD1406D" w14:textId="77777777" w:rsidR="00DA4159" w:rsidRPr="002C1485" w:rsidRDefault="00DA4159" w:rsidP="00C97797">
            <w:pPr>
              <w:spacing w:after="0" w:line="240" w:lineRule="auto"/>
              <w:jc w:val="right"/>
              <w:rPr>
                <w:b/>
                <w:color w:val="000000"/>
                <w:sz w:val="20"/>
                <w:szCs w:val="20"/>
              </w:rPr>
            </w:pPr>
            <w:r w:rsidRPr="002C1485">
              <w:rPr>
                <w:b/>
                <w:color w:val="000000"/>
                <w:sz w:val="20"/>
                <w:szCs w:val="20"/>
              </w:rPr>
              <w:t>-31.4%</w:t>
            </w:r>
          </w:p>
        </w:tc>
      </w:tr>
      <w:tr w:rsidR="00DA4159" w:rsidRPr="005A0D18" w14:paraId="747502B7" w14:textId="77777777" w:rsidTr="00A24926">
        <w:trPr>
          <w:trHeight w:val="288"/>
        </w:trPr>
        <w:tc>
          <w:tcPr>
            <w:tcW w:w="1440" w:type="dxa"/>
            <w:vMerge w:val="restart"/>
            <w:tcBorders>
              <w:top w:val="nil"/>
              <w:left w:val="double" w:sz="4" w:space="0" w:color="auto"/>
              <w:bottom w:val="single" w:sz="4" w:space="0" w:color="000000"/>
              <w:right w:val="single" w:sz="4" w:space="0" w:color="auto"/>
            </w:tcBorders>
            <w:shd w:val="clear" w:color="000000" w:fill="C6E0B4"/>
            <w:vAlign w:val="center"/>
            <w:hideMark/>
          </w:tcPr>
          <w:p w14:paraId="33B830C8" w14:textId="77777777" w:rsidR="00DA4159" w:rsidRPr="005A0D18" w:rsidRDefault="00DA4159" w:rsidP="00C97797">
            <w:pPr>
              <w:spacing w:after="0" w:line="240" w:lineRule="auto"/>
              <w:jc w:val="left"/>
              <w:rPr>
                <w:rFonts w:eastAsia="Times New Roman"/>
                <w:b/>
                <w:bCs/>
                <w:color w:val="000000"/>
                <w:sz w:val="20"/>
                <w:szCs w:val="20"/>
              </w:rPr>
            </w:pPr>
            <w:r w:rsidRPr="005A0D18">
              <w:rPr>
                <w:rFonts w:eastAsia="Times New Roman"/>
                <w:b/>
                <w:bCs/>
                <w:color w:val="000000"/>
                <w:sz w:val="20"/>
                <w:szCs w:val="20"/>
              </w:rPr>
              <w:t>Women with young child without partner</w:t>
            </w:r>
          </w:p>
        </w:tc>
        <w:tc>
          <w:tcPr>
            <w:tcW w:w="1259" w:type="dxa"/>
            <w:tcBorders>
              <w:top w:val="single" w:sz="12" w:space="0" w:color="auto"/>
              <w:left w:val="single" w:sz="12" w:space="0" w:color="auto"/>
              <w:bottom w:val="single" w:sz="4" w:space="0" w:color="auto"/>
              <w:right w:val="single" w:sz="12" w:space="0" w:color="auto"/>
            </w:tcBorders>
            <w:shd w:val="clear" w:color="000000" w:fill="C6E0B4"/>
            <w:vAlign w:val="center"/>
          </w:tcPr>
          <w:p w14:paraId="3C3425A6" w14:textId="77777777" w:rsidR="00DA4159" w:rsidRPr="005A0D18" w:rsidRDefault="00DA4159" w:rsidP="00C97797">
            <w:pPr>
              <w:spacing w:after="0" w:line="240" w:lineRule="auto"/>
              <w:jc w:val="center"/>
              <w:rPr>
                <w:rFonts w:eastAsia="Times New Roman"/>
                <w:color w:val="000000"/>
                <w:sz w:val="20"/>
                <w:szCs w:val="20"/>
              </w:rPr>
            </w:pPr>
            <w:r w:rsidRPr="005A0D18">
              <w:rPr>
                <w:rFonts w:eastAsia="Times New Roman"/>
                <w:color w:val="000000"/>
                <w:sz w:val="20"/>
                <w:szCs w:val="20"/>
              </w:rPr>
              <w:t>Home</w:t>
            </w:r>
          </w:p>
        </w:tc>
        <w:tc>
          <w:tcPr>
            <w:tcW w:w="1152" w:type="dxa"/>
            <w:tcBorders>
              <w:top w:val="single" w:sz="12" w:space="0" w:color="auto"/>
              <w:left w:val="single" w:sz="12" w:space="0" w:color="auto"/>
              <w:bottom w:val="single" w:sz="4" w:space="0" w:color="auto"/>
              <w:right w:val="single" w:sz="12" w:space="0" w:color="auto"/>
            </w:tcBorders>
            <w:shd w:val="clear" w:color="000000" w:fill="C6E0B4"/>
            <w:vAlign w:val="center"/>
          </w:tcPr>
          <w:p w14:paraId="3795259A" w14:textId="77777777" w:rsidR="00DA4159" w:rsidRPr="00E45519" w:rsidRDefault="00DA4159" w:rsidP="00C97797">
            <w:pPr>
              <w:spacing w:after="0" w:line="240" w:lineRule="auto"/>
              <w:jc w:val="center"/>
              <w:rPr>
                <w:color w:val="000000"/>
                <w:sz w:val="20"/>
                <w:szCs w:val="20"/>
              </w:rPr>
            </w:pPr>
            <w:r w:rsidRPr="00E45519">
              <w:rPr>
                <w:color w:val="000000"/>
                <w:sz w:val="20"/>
                <w:szCs w:val="20"/>
              </w:rPr>
              <w:t>19.9</w:t>
            </w:r>
          </w:p>
        </w:tc>
        <w:tc>
          <w:tcPr>
            <w:tcW w:w="1079" w:type="dxa"/>
            <w:tcBorders>
              <w:top w:val="single" w:sz="12" w:space="0" w:color="auto"/>
              <w:left w:val="single" w:sz="12" w:space="0" w:color="auto"/>
              <w:bottom w:val="single" w:sz="4" w:space="0" w:color="auto"/>
              <w:right w:val="single" w:sz="4" w:space="0" w:color="auto"/>
            </w:tcBorders>
            <w:shd w:val="clear" w:color="000000" w:fill="C6E0B4"/>
            <w:vAlign w:val="center"/>
          </w:tcPr>
          <w:p w14:paraId="6FD045AE" w14:textId="77777777" w:rsidR="00DA4159" w:rsidRPr="005A0D18" w:rsidRDefault="00DA4159" w:rsidP="00C97797">
            <w:pPr>
              <w:spacing w:after="0" w:line="240" w:lineRule="auto"/>
              <w:jc w:val="right"/>
              <w:rPr>
                <w:rFonts w:eastAsia="Times New Roman"/>
                <w:color w:val="000000"/>
                <w:sz w:val="20"/>
                <w:szCs w:val="20"/>
              </w:rPr>
            </w:pPr>
            <w:r w:rsidRPr="005A0D18">
              <w:rPr>
                <w:rFonts w:eastAsia="Times New Roman"/>
                <w:color w:val="000000"/>
                <w:sz w:val="20"/>
                <w:szCs w:val="20"/>
              </w:rPr>
              <w:t>20.0</w:t>
            </w:r>
          </w:p>
        </w:tc>
        <w:tc>
          <w:tcPr>
            <w:tcW w:w="1079" w:type="dxa"/>
            <w:tcBorders>
              <w:top w:val="single" w:sz="12" w:space="0" w:color="auto"/>
              <w:left w:val="single" w:sz="4" w:space="0" w:color="auto"/>
              <w:bottom w:val="single" w:sz="4" w:space="0" w:color="auto"/>
              <w:right w:val="single" w:sz="4" w:space="0" w:color="auto"/>
            </w:tcBorders>
            <w:shd w:val="clear" w:color="000000" w:fill="C6E0B4"/>
            <w:vAlign w:val="center"/>
          </w:tcPr>
          <w:p w14:paraId="240E2204" w14:textId="77777777" w:rsidR="00DA4159" w:rsidRPr="005A0D18" w:rsidRDefault="00DA4159" w:rsidP="00C97797">
            <w:pPr>
              <w:spacing w:after="0" w:line="240" w:lineRule="auto"/>
              <w:jc w:val="right"/>
              <w:rPr>
                <w:rFonts w:eastAsia="Times New Roman"/>
                <w:color w:val="000000"/>
                <w:sz w:val="20"/>
                <w:szCs w:val="20"/>
              </w:rPr>
            </w:pPr>
            <w:r w:rsidRPr="005A0D18">
              <w:rPr>
                <w:rFonts w:eastAsia="Times New Roman"/>
                <w:color w:val="000000"/>
                <w:sz w:val="20"/>
                <w:szCs w:val="20"/>
              </w:rPr>
              <w:t>20.0</w:t>
            </w:r>
          </w:p>
        </w:tc>
        <w:tc>
          <w:tcPr>
            <w:tcW w:w="1079" w:type="dxa"/>
            <w:tcBorders>
              <w:top w:val="single" w:sz="12" w:space="0" w:color="auto"/>
              <w:left w:val="single" w:sz="4" w:space="0" w:color="auto"/>
              <w:bottom w:val="single" w:sz="4" w:space="0" w:color="auto"/>
              <w:right w:val="single" w:sz="4" w:space="0" w:color="auto"/>
            </w:tcBorders>
            <w:shd w:val="clear" w:color="000000" w:fill="C6E0B4"/>
            <w:vAlign w:val="center"/>
          </w:tcPr>
          <w:p w14:paraId="4D3BCC64" w14:textId="77777777" w:rsidR="00DA4159" w:rsidRPr="005A0D18" w:rsidRDefault="00DA4159" w:rsidP="00C97797">
            <w:pPr>
              <w:spacing w:after="0" w:line="240" w:lineRule="auto"/>
              <w:jc w:val="right"/>
              <w:rPr>
                <w:rFonts w:eastAsia="Times New Roman"/>
                <w:color w:val="000000"/>
                <w:sz w:val="20"/>
                <w:szCs w:val="20"/>
              </w:rPr>
            </w:pPr>
            <w:r w:rsidRPr="005A0D18">
              <w:rPr>
                <w:rFonts w:eastAsia="Times New Roman"/>
                <w:color w:val="000000"/>
                <w:sz w:val="20"/>
                <w:szCs w:val="20"/>
              </w:rPr>
              <w:t>19.7</w:t>
            </w:r>
          </w:p>
        </w:tc>
        <w:tc>
          <w:tcPr>
            <w:tcW w:w="1170" w:type="dxa"/>
            <w:tcBorders>
              <w:top w:val="single" w:sz="12" w:space="0" w:color="auto"/>
              <w:left w:val="single" w:sz="12" w:space="0" w:color="auto"/>
              <w:bottom w:val="single" w:sz="4" w:space="0" w:color="auto"/>
              <w:right w:val="single" w:sz="12" w:space="0" w:color="auto"/>
            </w:tcBorders>
            <w:shd w:val="clear" w:color="000000" w:fill="C6E0B4"/>
            <w:vAlign w:val="center"/>
          </w:tcPr>
          <w:p w14:paraId="0A1D0979" w14:textId="77777777" w:rsidR="00DA4159" w:rsidRPr="002C1485" w:rsidRDefault="00DA4159" w:rsidP="00C97797">
            <w:pPr>
              <w:spacing w:after="0" w:line="240" w:lineRule="auto"/>
              <w:jc w:val="right"/>
              <w:rPr>
                <w:b/>
                <w:color w:val="000000"/>
                <w:sz w:val="20"/>
                <w:szCs w:val="20"/>
              </w:rPr>
            </w:pPr>
            <w:r w:rsidRPr="002C1485">
              <w:rPr>
                <w:b/>
                <w:color w:val="000000"/>
                <w:sz w:val="20"/>
                <w:szCs w:val="20"/>
              </w:rPr>
              <w:t>-1.4%</w:t>
            </w:r>
          </w:p>
        </w:tc>
        <w:tc>
          <w:tcPr>
            <w:tcW w:w="1050" w:type="dxa"/>
            <w:tcBorders>
              <w:top w:val="single" w:sz="12" w:space="0" w:color="auto"/>
              <w:left w:val="single" w:sz="12" w:space="0" w:color="auto"/>
              <w:bottom w:val="single" w:sz="4" w:space="0" w:color="auto"/>
              <w:right w:val="single" w:sz="4" w:space="0" w:color="auto"/>
            </w:tcBorders>
            <w:shd w:val="clear" w:color="000000" w:fill="C6E0B4"/>
            <w:noWrap/>
            <w:vAlign w:val="center"/>
            <w:hideMark/>
          </w:tcPr>
          <w:p w14:paraId="17012513" w14:textId="77777777" w:rsidR="00DA4159" w:rsidRPr="005A0D18" w:rsidRDefault="00DA4159" w:rsidP="00C97797">
            <w:pPr>
              <w:spacing w:after="0" w:line="240" w:lineRule="auto"/>
              <w:jc w:val="right"/>
              <w:rPr>
                <w:color w:val="000000"/>
                <w:sz w:val="20"/>
                <w:szCs w:val="20"/>
              </w:rPr>
            </w:pPr>
            <w:r w:rsidRPr="005A0D18">
              <w:rPr>
                <w:color w:val="000000"/>
                <w:sz w:val="20"/>
                <w:szCs w:val="20"/>
              </w:rPr>
              <w:t>19.7</w:t>
            </w:r>
          </w:p>
        </w:tc>
        <w:tc>
          <w:tcPr>
            <w:tcW w:w="1050" w:type="dxa"/>
            <w:tcBorders>
              <w:top w:val="single" w:sz="12" w:space="0" w:color="auto"/>
              <w:left w:val="nil"/>
              <w:bottom w:val="single" w:sz="4" w:space="0" w:color="auto"/>
              <w:right w:val="single" w:sz="4" w:space="0" w:color="auto"/>
            </w:tcBorders>
            <w:shd w:val="clear" w:color="000000" w:fill="C6E0B4"/>
            <w:noWrap/>
            <w:vAlign w:val="center"/>
            <w:hideMark/>
          </w:tcPr>
          <w:p w14:paraId="21F813A2" w14:textId="77777777" w:rsidR="00DA4159" w:rsidRPr="005A0D18" w:rsidRDefault="00DA4159" w:rsidP="00C97797">
            <w:pPr>
              <w:spacing w:after="0" w:line="240" w:lineRule="auto"/>
              <w:jc w:val="right"/>
              <w:rPr>
                <w:color w:val="000000"/>
                <w:sz w:val="20"/>
                <w:szCs w:val="20"/>
              </w:rPr>
            </w:pPr>
            <w:r w:rsidRPr="005A0D18">
              <w:rPr>
                <w:color w:val="000000"/>
                <w:sz w:val="20"/>
                <w:szCs w:val="20"/>
              </w:rPr>
              <w:t>20.1</w:t>
            </w:r>
          </w:p>
        </w:tc>
        <w:tc>
          <w:tcPr>
            <w:tcW w:w="1050" w:type="dxa"/>
            <w:tcBorders>
              <w:top w:val="single" w:sz="12" w:space="0" w:color="auto"/>
              <w:left w:val="nil"/>
              <w:bottom w:val="single" w:sz="4" w:space="0" w:color="auto"/>
              <w:right w:val="single" w:sz="12" w:space="0" w:color="auto"/>
            </w:tcBorders>
            <w:shd w:val="clear" w:color="000000" w:fill="C6E0B4"/>
            <w:noWrap/>
            <w:vAlign w:val="center"/>
            <w:hideMark/>
          </w:tcPr>
          <w:p w14:paraId="4515FD80" w14:textId="77777777" w:rsidR="00DA4159" w:rsidRPr="005A0D18" w:rsidRDefault="00DA4159" w:rsidP="00C97797">
            <w:pPr>
              <w:spacing w:after="0" w:line="240" w:lineRule="auto"/>
              <w:jc w:val="right"/>
              <w:rPr>
                <w:color w:val="000000"/>
                <w:sz w:val="20"/>
                <w:szCs w:val="20"/>
              </w:rPr>
            </w:pPr>
            <w:r w:rsidRPr="005A0D18">
              <w:rPr>
                <w:color w:val="000000"/>
                <w:sz w:val="20"/>
                <w:szCs w:val="20"/>
              </w:rPr>
              <w:t>20.2</w:t>
            </w:r>
          </w:p>
        </w:tc>
        <w:tc>
          <w:tcPr>
            <w:tcW w:w="1282" w:type="dxa"/>
            <w:tcBorders>
              <w:top w:val="single" w:sz="12" w:space="0" w:color="auto"/>
              <w:left w:val="single" w:sz="12" w:space="0" w:color="auto"/>
              <w:bottom w:val="single" w:sz="4" w:space="0" w:color="auto"/>
              <w:right w:val="double" w:sz="4" w:space="0" w:color="auto"/>
            </w:tcBorders>
            <w:shd w:val="clear" w:color="000000" w:fill="C6E0B4"/>
            <w:vAlign w:val="center"/>
          </w:tcPr>
          <w:p w14:paraId="77AAF48F" w14:textId="77777777" w:rsidR="00DA4159" w:rsidRPr="002C1485" w:rsidRDefault="00DA4159" w:rsidP="00C97797">
            <w:pPr>
              <w:spacing w:after="0" w:line="240" w:lineRule="auto"/>
              <w:jc w:val="right"/>
              <w:rPr>
                <w:b/>
                <w:color w:val="000000"/>
                <w:sz w:val="20"/>
                <w:szCs w:val="20"/>
              </w:rPr>
            </w:pPr>
            <w:r w:rsidRPr="002C1485">
              <w:rPr>
                <w:b/>
                <w:color w:val="000000"/>
                <w:sz w:val="20"/>
                <w:szCs w:val="20"/>
              </w:rPr>
              <w:t>2.5%</w:t>
            </w:r>
          </w:p>
        </w:tc>
      </w:tr>
      <w:tr w:rsidR="00DA4159" w:rsidRPr="005A0D18" w14:paraId="40B3087D" w14:textId="77777777" w:rsidTr="00A24926">
        <w:trPr>
          <w:trHeight w:val="288"/>
        </w:trPr>
        <w:tc>
          <w:tcPr>
            <w:tcW w:w="1440" w:type="dxa"/>
            <w:vMerge/>
            <w:tcBorders>
              <w:top w:val="nil"/>
              <w:left w:val="double" w:sz="4" w:space="0" w:color="auto"/>
              <w:bottom w:val="single" w:sz="4" w:space="0" w:color="000000"/>
              <w:right w:val="single" w:sz="4" w:space="0" w:color="auto"/>
            </w:tcBorders>
            <w:vAlign w:val="center"/>
            <w:hideMark/>
          </w:tcPr>
          <w:p w14:paraId="47F60E8E" w14:textId="77777777" w:rsidR="00DA4159" w:rsidRPr="005A0D18" w:rsidRDefault="00DA4159" w:rsidP="00C97797">
            <w:pPr>
              <w:spacing w:after="0" w:line="240" w:lineRule="auto"/>
              <w:rPr>
                <w:rFonts w:eastAsia="Times New Roman"/>
                <w:b/>
                <w:bCs/>
                <w:color w:val="000000"/>
                <w:sz w:val="20"/>
                <w:szCs w:val="20"/>
              </w:rPr>
            </w:pPr>
          </w:p>
        </w:tc>
        <w:tc>
          <w:tcPr>
            <w:tcW w:w="1259" w:type="dxa"/>
            <w:tcBorders>
              <w:top w:val="nil"/>
              <w:left w:val="single" w:sz="12" w:space="0" w:color="auto"/>
              <w:bottom w:val="single" w:sz="4" w:space="0" w:color="auto"/>
              <w:right w:val="single" w:sz="12" w:space="0" w:color="auto"/>
            </w:tcBorders>
            <w:shd w:val="clear" w:color="000000" w:fill="C6E0B4"/>
            <w:vAlign w:val="center"/>
          </w:tcPr>
          <w:p w14:paraId="459942F7" w14:textId="77777777" w:rsidR="00DA4159" w:rsidRPr="005A0D18" w:rsidRDefault="00DA4159" w:rsidP="00C97797">
            <w:pPr>
              <w:spacing w:after="0" w:line="240" w:lineRule="auto"/>
              <w:jc w:val="center"/>
              <w:rPr>
                <w:rFonts w:eastAsia="Times New Roman"/>
                <w:color w:val="000000"/>
                <w:sz w:val="20"/>
                <w:szCs w:val="20"/>
              </w:rPr>
            </w:pPr>
            <w:r>
              <w:rPr>
                <w:rFonts w:eastAsia="Times New Roman"/>
                <w:color w:val="000000"/>
                <w:sz w:val="20"/>
                <w:szCs w:val="20"/>
              </w:rPr>
              <w:t>Work Office</w:t>
            </w:r>
          </w:p>
        </w:tc>
        <w:tc>
          <w:tcPr>
            <w:tcW w:w="1152" w:type="dxa"/>
            <w:tcBorders>
              <w:top w:val="nil"/>
              <w:left w:val="single" w:sz="12" w:space="0" w:color="auto"/>
              <w:bottom w:val="single" w:sz="4" w:space="0" w:color="auto"/>
              <w:right w:val="single" w:sz="12" w:space="0" w:color="auto"/>
            </w:tcBorders>
            <w:shd w:val="clear" w:color="000000" w:fill="C6E0B4"/>
            <w:vAlign w:val="center"/>
          </w:tcPr>
          <w:p w14:paraId="23AACE5B" w14:textId="77777777" w:rsidR="00DA4159" w:rsidRPr="00E45519" w:rsidRDefault="00DA4159" w:rsidP="00C97797">
            <w:pPr>
              <w:spacing w:after="0" w:line="240" w:lineRule="auto"/>
              <w:jc w:val="center"/>
              <w:rPr>
                <w:color w:val="000000"/>
                <w:sz w:val="20"/>
                <w:szCs w:val="20"/>
              </w:rPr>
            </w:pPr>
            <w:r w:rsidRPr="00E45519">
              <w:rPr>
                <w:color w:val="000000"/>
                <w:sz w:val="20"/>
                <w:szCs w:val="20"/>
              </w:rPr>
              <w:t>1.9</w:t>
            </w:r>
          </w:p>
        </w:tc>
        <w:tc>
          <w:tcPr>
            <w:tcW w:w="1079" w:type="dxa"/>
            <w:tcBorders>
              <w:top w:val="nil"/>
              <w:left w:val="single" w:sz="12" w:space="0" w:color="auto"/>
              <w:bottom w:val="single" w:sz="4" w:space="0" w:color="auto"/>
              <w:right w:val="single" w:sz="4" w:space="0" w:color="auto"/>
            </w:tcBorders>
            <w:shd w:val="clear" w:color="000000" w:fill="C6E0B4"/>
            <w:vAlign w:val="center"/>
          </w:tcPr>
          <w:p w14:paraId="6ABB3D9E" w14:textId="77777777" w:rsidR="00DA4159" w:rsidRPr="005A0D18" w:rsidRDefault="00DA4159" w:rsidP="00C97797">
            <w:pPr>
              <w:spacing w:after="0" w:line="240" w:lineRule="auto"/>
              <w:jc w:val="right"/>
              <w:rPr>
                <w:rFonts w:eastAsia="Times New Roman"/>
                <w:color w:val="000000"/>
                <w:sz w:val="20"/>
                <w:szCs w:val="20"/>
              </w:rPr>
            </w:pPr>
            <w:r w:rsidRPr="005A0D18">
              <w:rPr>
                <w:rFonts w:eastAsia="Times New Roman"/>
                <w:color w:val="000000"/>
                <w:sz w:val="20"/>
                <w:szCs w:val="20"/>
              </w:rPr>
              <w:t>1.8</w:t>
            </w:r>
          </w:p>
        </w:tc>
        <w:tc>
          <w:tcPr>
            <w:tcW w:w="1079" w:type="dxa"/>
            <w:tcBorders>
              <w:top w:val="nil"/>
              <w:left w:val="single" w:sz="4" w:space="0" w:color="auto"/>
              <w:bottom w:val="single" w:sz="4" w:space="0" w:color="auto"/>
              <w:right w:val="single" w:sz="4" w:space="0" w:color="auto"/>
            </w:tcBorders>
            <w:shd w:val="clear" w:color="000000" w:fill="C6E0B4"/>
            <w:vAlign w:val="center"/>
          </w:tcPr>
          <w:p w14:paraId="2C37B7F5" w14:textId="77777777" w:rsidR="00DA4159" w:rsidRPr="005A0D18" w:rsidRDefault="00DA4159" w:rsidP="00C97797">
            <w:pPr>
              <w:spacing w:after="0" w:line="240" w:lineRule="auto"/>
              <w:jc w:val="right"/>
              <w:rPr>
                <w:rFonts w:eastAsia="Times New Roman"/>
                <w:color w:val="000000"/>
                <w:sz w:val="20"/>
                <w:szCs w:val="20"/>
              </w:rPr>
            </w:pPr>
            <w:r w:rsidRPr="005A0D18">
              <w:rPr>
                <w:rFonts w:eastAsia="Times New Roman"/>
                <w:color w:val="000000"/>
                <w:sz w:val="20"/>
                <w:szCs w:val="20"/>
              </w:rPr>
              <w:t>1.8</w:t>
            </w:r>
          </w:p>
        </w:tc>
        <w:tc>
          <w:tcPr>
            <w:tcW w:w="1079" w:type="dxa"/>
            <w:tcBorders>
              <w:top w:val="nil"/>
              <w:left w:val="single" w:sz="4" w:space="0" w:color="auto"/>
              <w:bottom w:val="single" w:sz="4" w:space="0" w:color="auto"/>
              <w:right w:val="single" w:sz="4" w:space="0" w:color="auto"/>
            </w:tcBorders>
            <w:shd w:val="clear" w:color="000000" w:fill="C6E0B4"/>
            <w:vAlign w:val="center"/>
          </w:tcPr>
          <w:p w14:paraId="7098F882" w14:textId="77777777" w:rsidR="00DA4159" w:rsidRPr="005A0D18" w:rsidRDefault="00DA4159" w:rsidP="00C97797">
            <w:pPr>
              <w:spacing w:after="0" w:line="240" w:lineRule="auto"/>
              <w:jc w:val="right"/>
              <w:rPr>
                <w:rFonts w:eastAsia="Times New Roman"/>
                <w:color w:val="000000"/>
                <w:sz w:val="20"/>
                <w:szCs w:val="20"/>
              </w:rPr>
            </w:pPr>
            <w:r w:rsidRPr="005A0D18">
              <w:rPr>
                <w:rFonts w:eastAsia="Times New Roman"/>
                <w:color w:val="000000"/>
                <w:sz w:val="20"/>
                <w:szCs w:val="20"/>
              </w:rPr>
              <w:t>2.2</w:t>
            </w:r>
          </w:p>
        </w:tc>
        <w:tc>
          <w:tcPr>
            <w:tcW w:w="1170" w:type="dxa"/>
            <w:tcBorders>
              <w:top w:val="nil"/>
              <w:left w:val="single" w:sz="12" w:space="0" w:color="auto"/>
              <w:bottom w:val="single" w:sz="4" w:space="0" w:color="auto"/>
              <w:right w:val="single" w:sz="12" w:space="0" w:color="auto"/>
            </w:tcBorders>
            <w:shd w:val="clear" w:color="000000" w:fill="C6E0B4"/>
            <w:vAlign w:val="center"/>
          </w:tcPr>
          <w:p w14:paraId="37829082" w14:textId="77777777" w:rsidR="00DA4159" w:rsidRPr="002C1485" w:rsidRDefault="00DA4159" w:rsidP="00C97797">
            <w:pPr>
              <w:spacing w:after="0" w:line="240" w:lineRule="auto"/>
              <w:jc w:val="right"/>
              <w:rPr>
                <w:b/>
                <w:color w:val="000000"/>
                <w:sz w:val="20"/>
                <w:szCs w:val="20"/>
              </w:rPr>
            </w:pPr>
            <w:r w:rsidRPr="002C1485">
              <w:rPr>
                <w:b/>
                <w:color w:val="000000"/>
                <w:sz w:val="20"/>
                <w:szCs w:val="20"/>
              </w:rPr>
              <w:t>21.8%</w:t>
            </w:r>
          </w:p>
        </w:tc>
        <w:tc>
          <w:tcPr>
            <w:tcW w:w="1050" w:type="dxa"/>
            <w:tcBorders>
              <w:top w:val="nil"/>
              <w:left w:val="single" w:sz="12" w:space="0" w:color="auto"/>
              <w:bottom w:val="single" w:sz="4" w:space="0" w:color="auto"/>
              <w:right w:val="single" w:sz="4" w:space="0" w:color="auto"/>
            </w:tcBorders>
            <w:shd w:val="clear" w:color="000000" w:fill="C6E0B4"/>
            <w:noWrap/>
            <w:vAlign w:val="center"/>
            <w:hideMark/>
          </w:tcPr>
          <w:p w14:paraId="26EE99AE" w14:textId="77777777" w:rsidR="00DA4159" w:rsidRPr="005A0D18" w:rsidRDefault="00DA4159" w:rsidP="00C97797">
            <w:pPr>
              <w:spacing w:after="0" w:line="240" w:lineRule="auto"/>
              <w:jc w:val="right"/>
              <w:rPr>
                <w:color w:val="000000"/>
                <w:sz w:val="20"/>
                <w:szCs w:val="20"/>
              </w:rPr>
            </w:pPr>
            <w:r w:rsidRPr="005A0D18">
              <w:rPr>
                <w:color w:val="000000"/>
                <w:sz w:val="20"/>
                <w:szCs w:val="20"/>
              </w:rPr>
              <w:t>2.1</w:t>
            </w:r>
          </w:p>
        </w:tc>
        <w:tc>
          <w:tcPr>
            <w:tcW w:w="1050" w:type="dxa"/>
            <w:tcBorders>
              <w:top w:val="nil"/>
              <w:left w:val="nil"/>
              <w:bottom w:val="single" w:sz="4" w:space="0" w:color="auto"/>
              <w:right w:val="single" w:sz="4" w:space="0" w:color="auto"/>
            </w:tcBorders>
            <w:shd w:val="clear" w:color="000000" w:fill="C6E0B4"/>
            <w:noWrap/>
            <w:vAlign w:val="center"/>
            <w:hideMark/>
          </w:tcPr>
          <w:p w14:paraId="2A8A6282" w14:textId="77777777" w:rsidR="00DA4159" w:rsidRPr="005A0D18" w:rsidRDefault="00DA4159" w:rsidP="00C97797">
            <w:pPr>
              <w:spacing w:after="0" w:line="240" w:lineRule="auto"/>
              <w:jc w:val="right"/>
              <w:rPr>
                <w:color w:val="000000"/>
                <w:sz w:val="20"/>
                <w:szCs w:val="20"/>
              </w:rPr>
            </w:pPr>
            <w:r w:rsidRPr="005A0D18">
              <w:rPr>
                <w:color w:val="000000"/>
                <w:sz w:val="20"/>
                <w:szCs w:val="20"/>
              </w:rPr>
              <w:t>1.7</w:t>
            </w:r>
          </w:p>
        </w:tc>
        <w:tc>
          <w:tcPr>
            <w:tcW w:w="1050" w:type="dxa"/>
            <w:tcBorders>
              <w:top w:val="nil"/>
              <w:left w:val="nil"/>
              <w:bottom w:val="single" w:sz="4" w:space="0" w:color="auto"/>
              <w:right w:val="single" w:sz="12" w:space="0" w:color="auto"/>
            </w:tcBorders>
            <w:shd w:val="clear" w:color="000000" w:fill="C6E0B4"/>
            <w:noWrap/>
            <w:vAlign w:val="center"/>
            <w:hideMark/>
          </w:tcPr>
          <w:p w14:paraId="19F1D4D8" w14:textId="77777777" w:rsidR="00DA4159" w:rsidRPr="005A0D18" w:rsidRDefault="00DA4159" w:rsidP="00C97797">
            <w:pPr>
              <w:spacing w:after="0" w:line="240" w:lineRule="auto"/>
              <w:jc w:val="right"/>
              <w:rPr>
                <w:color w:val="000000"/>
                <w:sz w:val="20"/>
                <w:szCs w:val="20"/>
              </w:rPr>
            </w:pPr>
            <w:r w:rsidRPr="005A0D18">
              <w:rPr>
                <w:color w:val="000000"/>
                <w:sz w:val="20"/>
                <w:szCs w:val="20"/>
              </w:rPr>
              <w:t>1.7</w:t>
            </w:r>
          </w:p>
        </w:tc>
        <w:tc>
          <w:tcPr>
            <w:tcW w:w="1282" w:type="dxa"/>
            <w:tcBorders>
              <w:top w:val="nil"/>
              <w:left w:val="single" w:sz="12" w:space="0" w:color="auto"/>
              <w:bottom w:val="single" w:sz="4" w:space="0" w:color="auto"/>
              <w:right w:val="double" w:sz="4" w:space="0" w:color="auto"/>
            </w:tcBorders>
            <w:shd w:val="clear" w:color="000000" w:fill="C6E0B4"/>
            <w:vAlign w:val="center"/>
          </w:tcPr>
          <w:p w14:paraId="6D7F1E1C" w14:textId="77777777" w:rsidR="00DA4159" w:rsidRPr="002C1485" w:rsidRDefault="00DA4159" w:rsidP="00C97797">
            <w:pPr>
              <w:spacing w:after="0" w:line="240" w:lineRule="auto"/>
              <w:jc w:val="right"/>
              <w:rPr>
                <w:b/>
                <w:color w:val="000000"/>
                <w:sz w:val="20"/>
                <w:szCs w:val="20"/>
              </w:rPr>
            </w:pPr>
            <w:r w:rsidRPr="002C1485">
              <w:rPr>
                <w:b/>
                <w:color w:val="000000"/>
                <w:sz w:val="20"/>
                <w:szCs w:val="20"/>
              </w:rPr>
              <w:t>-19.4%</w:t>
            </w:r>
          </w:p>
        </w:tc>
      </w:tr>
      <w:tr w:rsidR="00DA4159" w:rsidRPr="005A0D18" w14:paraId="2549D52E" w14:textId="77777777" w:rsidTr="00A24926">
        <w:trPr>
          <w:trHeight w:val="288"/>
        </w:trPr>
        <w:tc>
          <w:tcPr>
            <w:tcW w:w="1440" w:type="dxa"/>
            <w:vMerge/>
            <w:tcBorders>
              <w:top w:val="nil"/>
              <w:left w:val="double" w:sz="4" w:space="0" w:color="auto"/>
              <w:bottom w:val="double" w:sz="4" w:space="0" w:color="auto"/>
              <w:right w:val="single" w:sz="4" w:space="0" w:color="auto"/>
            </w:tcBorders>
            <w:vAlign w:val="center"/>
            <w:hideMark/>
          </w:tcPr>
          <w:p w14:paraId="2F59880A" w14:textId="77777777" w:rsidR="00DA4159" w:rsidRPr="005A0D18" w:rsidRDefault="00DA4159" w:rsidP="00C97797">
            <w:pPr>
              <w:spacing w:after="0" w:line="240" w:lineRule="auto"/>
              <w:rPr>
                <w:rFonts w:eastAsia="Times New Roman"/>
                <w:b/>
                <w:bCs/>
                <w:color w:val="000000"/>
                <w:sz w:val="20"/>
                <w:szCs w:val="20"/>
              </w:rPr>
            </w:pPr>
          </w:p>
        </w:tc>
        <w:tc>
          <w:tcPr>
            <w:tcW w:w="1259" w:type="dxa"/>
            <w:tcBorders>
              <w:top w:val="nil"/>
              <w:left w:val="single" w:sz="12" w:space="0" w:color="auto"/>
              <w:bottom w:val="double" w:sz="4" w:space="0" w:color="auto"/>
              <w:right w:val="single" w:sz="12" w:space="0" w:color="auto"/>
            </w:tcBorders>
            <w:shd w:val="clear" w:color="000000" w:fill="C6E0B4"/>
            <w:vAlign w:val="center"/>
          </w:tcPr>
          <w:p w14:paraId="18C4BF4D" w14:textId="77777777" w:rsidR="00DA4159" w:rsidRPr="005A0D18" w:rsidRDefault="00DA4159" w:rsidP="00C97797">
            <w:pPr>
              <w:spacing w:after="0" w:line="240" w:lineRule="auto"/>
              <w:jc w:val="center"/>
              <w:rPr>
                <w:rFonts w:eastAsia="Times New Roman"/>
                <w:color w:val="000000"/>
                <w:sz w:val="20"/>
                <w:szCs w:val="20"/>
              </w:rPr>
            </w:pPr>
            <w:r w:rsidRPr="005A0D18">
              <w:rPr>
                <w:rFonts w:eastAsia="Times New Roman"/>
                <w:color w:val="000000"/>
                <w:sz w:val="20"/>
                <w:szCs w:val="20"/>
              </w:rPr>
              <w:t>Third WPL</w:t>
            </w:r>
          </w:p>
        </w:tc>
        <w:tc>
          <w:tcPr>
            <w:tcW w:w="1152" w:type="dxa"/>
            <w:tcBorders>
              <w:top w:val="nil"/>
              <w:left w:val="single" w:sz="12" w:space="0" w:color="auto"/>
              <w:bottom w:val="double" w:sz="4" w:space="0" w:color="auto"/>
              <w:right w:val="single" w:sz="12" w:space="0" w:color="auto"/>
            </w:tcBorders>
            <w:shd w:val="clear" w:color="000000" w:fill="C6E0B4"/>
            <w:vAlign w:val="center"/>
          </w:tcPr>
          <w:p w14:paraId="4EEBB461" w14:textId="77777777" w:rsidR="00DA4159" w:rsidRPr="00E45519" w:rsidRDefault="00DA4159" w:rsidP="00C97797">
            <w:pPr>
              <w:spacing w:after="0" w:line="240" w:lineRule="auto"/>
              <w:jc w:val="center"/>
              <w:rPr>
                <w:color w:val="000000"/>
                <w:sz w:val="20"/>
                <w:szCs w:val="20"/>
              </w:rPr>
            </w:pPr>
            <w:r w:rsidRPr="00E45519">
              <w:rPr>
                <w:color w:val="000000"/>
                <w:sz w:val="20"/>
                <w:szCs w:val="20"/>
              </w:rPr>
              <w:t>0.2</w:t>
            </w:r>
          </w:p>
        </w:tc>
        <w:tc>
          <w:tcPr>
            <w:tcW w:w="1079" w:type="dxa"/>
            <w:tcBorders>
              <w:top w:val="nil"/>
              <w:left w:val="single" w:sz="12" w:space="0" w:color="auto"/>
              <w:bottom w:val="double" w:sz="4" w:space="0" w:color="auto"/>
              <w:right w:val="single" w:sz="4" w:space="0" w:color="auto"/>
            </w:tcBorders>
            <w:shd w:val="clear" w:color="000000" w:fill="C6E0B4"/>
            <w:vAlign w:val="center"/>
          </w:tcPr>
          <w:p w14:paraId="4373CB0C" w14:textId="77777777" w:rsidR="00DA4159" w:rsidRPr="005A0D18" w:rsidRDefault="00DA4159" w:rsidP="00C97797">
            <w:pPr>
              <w:spacing w:after="0" w:line="240" w:lineRule="auto"/>
              <w:jc w:val="right"/>
              <w:rPr>
                <w:rFonts w:eastAsia="Times New Roman"/>
                <w:color w:val="000000"/>
                <w:sz w:val="20"/>
                <w:szCs w:val="20"/>
              </w:rPr>
            </w:pPr>
            <w:r w:rsidRPr="005A0D18">
              <w:rPr>
                <w:rFonts w:eastAsia="Times New Roman"/>
                <w:color w:val="000000"/>
                <w:sz w:val="20"/>
                <w:szCs w:val="20"/>
              </w:rPr>
              <w:t>0.3</w:t>
            </w:r>
          </w:p>
        </w:tc>
        <w:tc>
          <w:tcPr>
            <w:tcW w:w="1079" w:type="dxa"/>
            <w:tcBorders>
              <w:top w:val="nil"/>
              <w:left w:val="single" w:sz="4" w:space="0" w:color="auto"/>
              <w:bottom w:val="double" w:sz="4" w:space="0" w:color="auto"/>
              <w:right w:val="single" w:sz="4" w:space="0" w:color="auto"/>
            </w:tcBorders>
            <w:shd w:val="clear" w:color="000000" w:fill="C6E0B4"/>
            <w:vAlign w:val="center"/>
          </w:tcPr>
          <w:p w14:paraId="4C417515" w14:textId="77777777" w:rsidR="00DA4159" w:rsidRPr="005A0D18" w:rsidRDefault="00DA4159" w:rsidP="00C97797">
            <w:pPr>
              <w:spacing w:after="0" w:line="240" w:lineRule="auto"/>
              <w:jc w:val="right"/>
              <w:rPr>
                <w:rFonts w:eastAsia="Times New Roman"/>
                <w:color w:val="000000"/>
                <w:sz w:val="20"/>
                <w:szCs w:val="20"/>
              </w:rPr>
            </w:pPr>
            <w:r w:rsidRPr="005A0D18">
              <w:rPr>
                <w:rFonts w:eastAsia="Times New Roman"/>
                <w:color w:val="000000"/>
                <w:sz w:val="20"/>
                <w:szCs w:val="20"/>
              </w:rPr>
              <w:t>0.2</w:t>
            </w:r>
          </w:p>
        </w:tc>
        <w:tc>
          <w:tcPr>
            <w:tcW w:w="1079" w:type="dxa"/>
            <w:tcBorders>
              <w:top w:val="nil"/>
              <w:left w:val="single" w:sz="4" w:space="0" w:color="auto"/>
              <w:bottom w:val="double" w:sz="4" w:space="0" w:color="auto"/>
              <w:right w:val="single" w:sz="4" w:space="0" w:color="auto"/>
            </w:tcBorders>
            <w:shd w:val="clear" w:color="000000" w:fill="C6E0B4"/>
            <w:vAlign w:val="center"/>
          </w:tcPr>
          <w:p w14:paraId="06358BC9" w14:textId="77777777" w:rsidR="00DA4159" w:rsidRPr="005A0D18" w:rsidRDefault="00DA4159" w:rsidP="00C97797">
            <w:pPr>
              <w:spacing w:after="0" w:line="240" w:lineRule="auto"/>
              <w:jc w:val="right"/>
              <w:rPr>
                <w:rFonts w:eastAsia="Times New Roman"/>
                <w:color w:val="000000"/>
                <w:sz w:val="20"/>
                <w:szCs w:val="20"/>
              </w:rPr>
            </w:pPr>
            <w:r w:rsidRPr="005A0D18">
              <w:rPr>
                <w:rFonts w:eastAsia="Times New Roman"/>
                <w:color w:val="000000"/>
                <w:sz w:val="20"/>
                <w:szCs w:val="20"/>
              </w:rPr>
              <w:t>0.2</w:t>
            </w:r>
          </w:p>
        </w:tc>
        <w:tc>
          <w:tcPr>
            <w:tcW w:w="1170" w:type="dxa"/>
            <w:tcBorders>
              <w:top w:val="nil"/>
              <w:left w:val="single" w:sz="12" w:space="0" w:color="auto"/>
              <w:bottom w:val="double" w:sz="4" w:space="0" w:color="auto"/>
              <w:right w:val="single" w:sz="12" w:space="0" w:color="auto"/>
            </w:tcBorders>
            <w:shd w:val="clear" w:color="000000" w:fill="C6E0B4"/>
            <w:vAlign w:val="center"/>
          </w:tcPr>
          <w:p w14:paraId="4F4059BD" w14:textId="77777777" w:rsidR="00DA4159" w:rsidRPr="002C1485" w:rsidRDefault="00DA4159" w:rsidP="00C97797">
            <w:pPr>
              <w:spacing w:after="0" w:line="240" w:lineRule="auto"/>
              <w:jc w:val="right"/>
              <w:rPr>
                <w:b/>
                <w:color w:val="000000"/>
                <w:sz w:val="20"/>
                <w:szCs w:val="20"/>
              </w:rPr>
            </w:pPr>
            <w:r w:rsidRPr="002C1485">
              <w:rPr>
                <w:b/>
                <w:color w:val="000000"/>
                <w:sz w:val="20"/>
                <w:szCs w:val="20"/>
              </w:rPr>
              <w:t>-40.0%</w:t>
            </w:r>
          </w:p>
        </w:tc>
        <w:tc>
          <w:tcPr>
            <w:tcW w:w="1050" w:type="dxa"/>
            <w:tcBorders>
              <w:top w:val="nil"/>
              <w:left w:val="single" w:sz="12" w:space="0" w:color="auto"/>
              <w:bottom w:val="double" w:sz="4" w:space="0" w:color="auto"/>
              <w:right w:val="single" w:sz="4" w:space="0" w:color="auto"/>
            </w:tcBorders>
            <w:shd w:val="clear" w:color="000000" w:fill="C6E0B4"/>
            <w:noWrap/>
            <w:vAlign w:val="center"/>
            <w:hideMark/>
          </w:tcPr>
          <w:p w14:paraId="72BF7894" w14:textId="77777777" w:rsidR="00DA4159" w:rsidRPr="005A0D18" w:rsidRDefault="00DA4159" w:rsidP="00C97797">
            <w:pPr>
              <w:spacing w:after="0" w:line="240" w:lineRule="auto"/>
              <w:jc w:val="right"/>
              <w:rPr>
                <w:color w:val="000000"/>
                <w:sz w:val="20"/>
                <w:szCs w:val="20"/>
              </w:rPr>
            </w:pPr>
            <w:r w:rsidRPr="005A0D18">
              <w:rPr>
                <w:color w:val="000000"/>
                <w:sz w:val="20"/>
                <w:szCs w:val="20"/>
              </w:rPr>
              <w:t>0.2</w:t>
            </w:r>
          </w:p>
        </w:tc>
        <w:tc>
          <w:tcPr>
            <w:tcW w:w="1050" w:type="dxa"/>
            <w:tcBorders>
              <w:top w:val="nil"/>
              <w:left w:val="nil"/>
              <w:bottom w:val="double" w:sz="4" w:space="0" w:color="auto"/>
              <w:right w:val="single" w:sz="4" w:space="0" w:color="auto"/>
            </w:tcBorders>
            <w:shd w:val="clear" w:color="000000" w:fill="C6E0B4"/>
            <w:noWrap/>
            <w:vAlign w:val="center"/>
            <w:hideMark/>
          </w:tcPr>
          <w:p w14:paraId="3681CC90" w14:textId="77777777" w:rsidR="00DA4159" w:rsidRPr="005A0D18" w:rsidRDefault="00DA4159" w:rsidP="00C97797">
            <w:pPr>
              <w:spacing w:after="0" w:line="240" w:lineRule="auto"/>
              <w:jc w:val="right"/>
              <w:rPr>
                <w:color w:val="000000"/>
                <w:sz w:val="20"/>
                <w:szCs w:val="20"/>
              </w:rPr>
            </w:pPr>
            <w:r w:rsidRPr="005A0D18">
              <w:rPr>
                <w:color w:val="000000"/>
                <w:sz w:val="20"/>
                <w:szCs w:val="20"/>
              </w:rPr>
              <w:t>0.2</w:t>
            </w:r>
          </w:p>
        </w:tc>
        <w:tc>
          <w:tcPr>
            <w:tcW w:w="1050" w:type="dxa"/>
            <w:tcBorders>
              <w:top w:val="nil"/>
              <w:left w:val="nil"/>
              <w:bottom w:val="double" w:sz="4" w:space="0" w:color="auto"/>
              <w:right w:val="single" w:sz="12" w:space="0" w:color="auto"/>
            </w:tcBorders>
            <w:shd w:val="clear" w:color="000000" w:fill="C6E0B4"/>
            <w:noWrap/>
            <w:vAlign w:val="center"/>
            <w:hideMark/>
          </w:tcPr>
          <w:p w14:paraId="2C918176" w14:textId="77777777" w:rsidR="00DA4159" w:rsidRPr="005A0D18" w:rsidRDefault="00DA4159" w:rsidP="00C97797">
            <w:pPr>
              <w:spacing w:after="0" w:line="240" w:lineRule="auto"/>
              <w:jc w:val="right"/>
              <w:rPr>
                <w:color w:val="000000"/>
                <w:sz w:val="20"/>
                <w:szCs w:val="20"/>
              </w:rPr>
            </w:pPr>
            <w:r w:rsidRPr="005A0D18">
              <w:rPr>
                <w:color w:val="000000"/>
                <w:sz w:val="20"/>
                <w:szCs w:val="20"/>
              </w:rPr>
              <w:t>0.1</w:t>
            </w:r>
          </w:p>
        </w:tc>
        <w:tc>
          <w:tcPr>
            <w:tcW w:w="1282" w:type="dxa"/>
            <w:tcBorders>
              <w:top w:val="nil"/>
              <w:left w:val="single" w:sz="12" w:space="0" w:color="auto"/>
              <w:bottom w:val="double" w:sz="4" w:space="0" w:color="auto"/>
              <w:right w:val="double" w:sz="4" w:space="0" w:color="auto"/>
            </w:tcBorders>
            <w:shd w:val="clear" w:color="000000" w:fill="C6E0B4"/>
            <w:vAlign w:val="center"/>
          </w:tcPr>
          <w:p w14:paraId="65205AD7" w14:textId="77777777" w:rsidR="00DA4159" w:rsidRPr="002C1485" w:rsidRDefault="00DA4159" w:rsidP="00C97797">
            <w:pPr>
              <w:spacing w:after="0" w:line="240" w:lineRule="auto"/>
              <w:jc w:val="right"/>
              <w:rPr>
                <w:b/>
                <w:color w:val="000000"/>
                <w:sz w:val="20"/>
                <w:szCs w:val="20"/>
              </w:rPr>
            </w:pPr>
            <w:r w:rsidRPr="002C1485">
              <w:rPr>
                <w:b/>
                <w:color w:val="000000"/>
                <w:sz w:val="20"/>
                <w:szCs w:val="20"/>
              </w:rPr>
              <w:t>-37.3%</w:t>
            </w:r>
          </w:p>
        </w:tc>
      </w:tr>
    </w:tbl>
    <w:p w14:paraId="7A6007D7" w14:textId="77777777" w:rsidR="00C97797" w:rsidRDefault="00C97797" w:rsidP="00C97797">
      <w:pPr>
        <w:spacing w:after="0" w:line="240" w:lineRule="auto"/>
        <w:jc w:val="left"/>
      </w:pPr>
    </w:p>
    <w:p w14:paraId="67FE34E8" w14:textId="22793615" w:rsidR="00DA4159" w:rsidRDefault="00DA4159" w:rsidP="00C97797">
      <w:pPr>
        <w:spacing w:before="120" w:after="0" w:line="240" w:lineRule="auto"/>
        <w:jc w:val="left"/>
      </w:pPr>
      <w:r>
        <w:rPr>
          <w:b/>
        </w:rPr>
        <w:t>Table 5: Commute Time</w:t>
      </w:r>
      <w:r w:rsidRPr="00101C06">
        <w:rPr>
          <w:b/>
        </w:rPr>
        <w:t xml:space="preserve"> ATEs</w:t>
      </w:r>
    </w:p>
    <w:tbl>
      <w:tblPr>
        <w:tblW w:w="12722" w:type="dxa"/>
        <w:tblInd w:w="-15" w:type="dxa"/>
        <w:tblLayout w:type="fixed"/>
        <w:tblLook w:val="04A0" w:firstRow="1" w:lastRow="0" w:firstColumn="1" w:lastColumn="0" w:noHBand="0" w:noVBand="1"/>
      </w:tblPr>
      <w:tblGrid>
        <w:gridCol w:w="2002"/>
        <w:gridCol w:w="1259"/>
        <w:gridCol w:w="1233"/>
        <w:gridCol w:w="1191"/>
        <w:gridCol w:w="1170"/>
        <w:gridCol w:w="1260"/>
        <w:gridCol w:w="1817"/>
        <w:gridCol w:w="1710"/>
        <w:gridCol w:w="1080"/>
      </w:tblGrid>
      <w:tr w:rsidR="00ED063B" w:rsidRPr="00C5367E" w14:paraId="798C9343" w14:textId="77777777" w:rsidTr="00A24926">
        <w:trPr>
          <w:trHeight w:val="20"/>
        </w:trPr>
        <w:tc>
          <w:tcPr>
            <w:tcW w:w="2002" w:type="dxa"/>
            <w:vMerge w:val="restart"/>
            <w:tcBorders>
              <w:top w:val="double" w:sz="4" w:space="0" w:color="auto"/>
              <w:left w:val="double" w:sz="4" w:space="0" w:color="auto"/>
              <w:right w:val="single" w:sz="4" w:space="0" w:color="auto"/>
            </w:tcBorders>
            <w:shd w:val="clear" w:color="auto" w:fill="auto"/>
            <w:noWrap/>
            <w:vAlign w:val="bottom"/>
          </w:tcPr>
          <w:p w14:paraId="0905B5E4" w14:textId="6D696BA4" w:rsidR="00ED063B" w:rsidRPr="00C5367E" w:rsidRDefault="00ED063B" w:rsidP="00C97797">
            <w:pPr>
              <w:spacing w:after="0" w:line="240" w:lineRule="auto"/>
              <w:jc w:val="center"/>
              <w:rPr>
                <w:rFonts w:eastAsia="Times New Roman"/>
                <w:b/>
                <w:color w:val="000000"/>
                <w:sz w:val="20"/>
                <w:szCs w:val="20"/>
              </w:rPr>
            </w:pPr>
            <w:r w:rsidRPr="00C5367E">
              <w:rPr>
                <w:rFonts w:eastAsia="Times New Roman"/>
                <w:b/>
                <w:color w:val="000000"/>
                <w:sz w:val="20"/>
                <w:szCs w:val="20"/>
              </w:rPr>
              <w:t>Gendered Life</w:t>
            </w:r>
            <w:r w:rsidR="00503CDF">
              <w:rPr>
                <w:rFonts w:eastAsia="Times New Roman"/>
                <w:b/>
                <w:color w:val="000000"/>
                <w:sz w:val="20"/>
                <w:szCs w:val="20"/>
              </w:rPr>
              <w:t>cycle</w:t>
            </w:r>
          </w:p>
        </w:tc>
        <w:tc>
          <w:tcPr>
            <w:tcW w:w="1259" w:type="dxa"/>
            <w:vMerge w:val="restart"/>
            <w:tcBorders>
              <w:top w:val="double" w:sz="4" w:space="0" w:color="auto"/>
              <w:left w:val="single" w:sz="12" w:space="0" w:color="auto"/>
              <w:right w:val="single" w:sz="12" w:space="0" w:color="auto"/>
            </w:tcBorders>
          </w:tcPr>
          <w:p w14:paraId="3B1F9903" w14:textId="77777777" w:rsidR="00ED063B" w:rsidRPr="00C5367E" w:rsidRDefault="00ED063B" w:rsidP="00C97797">
            <w:pPr>
              <w:spacing w:after="0" w:line="240" w:lineRule="auto"/>
              <w:rPr>
                <w:rFonts w:eastAsia="Times New Roman"/>
                <w:b/>
                <w:sz w:val="20"/>
                <w:szCs w:val="20"/>
              </w:rPr>
            </w:pPr>
          </w:p>
        </w:tc>
        <w:tc>
          <w:tcPr>
            <w:tcW w:w="3594" w:type="dxa"/>
            <w:gridSpan w:val="3"/>
            <w:tcBorders>
              <w:top w:val="double" w:sz="4" w:space="0" w:color="auto"/>
              <w:left w:val="single" w:sz="12" w:space="0" w:color="auto"/>
              <w:bottom w:val="single" w:sz="4" w:space="0" w:color="auto"/>
              <w:right w:val="single" w:sz="8" w:space="0" w:color="auto"/>
            </w:tcBorders>
            <w:vAlign w:val="bottom"/>
          </w:tcPr>
          <w:p w14:paraId="463DCFDF" w14:textId="77777777" w:rsidR="00ED063B" w:rsidRPr="00C5367E" w:rsidRDefault="00ED063B" w:rsidP="00C97797">
            <w:pPr>
              <w:spacing w:after="0" w:line="240" w:lineRule="auto"/>
              <w:jc w:val="center"/>
              <w:rPr>
                <w:rFonts w:eastAsia="Times New Roman"/>
                <w:b/>
                <w:color w:val="000000"/>
                <w:sz w:val="20"/>
                <w:szCs w:val="20"/>
              </w:rPr>
            </w:pPr>
            <w:r w:rsidRPr="00C5367E">
              <w:rPr>
                <w:rFonts w:eastAsia="Times New Roman"/>
                <w:b/>
                <w:color w:val="000000"/>
                <w:sz w:val="20"/>
                <w:szCs w:val="20"/>
              </w:rPr>
              <w:t xml:space="preserve">Attribute Levels </w:t>
            </w:r>
          </w:p>
          <w:p w14:paraId="4C5C784D" w14:textId="77777777" w:rsidR="00ED063B" w:rsidRPr="00C5367E" w:rsidRDefault="00ED063B" w:rsidP="00C97797">
            <w:pPr>
              <w:spacing w:after="0" w:line="240" w:lineRule="auto"/>
              <w:jc w:val="center"/>
              <w:rPr>
                <w:rFonts w:eastAsia="Times New Roman"/>
                <w:color w:val="000000"/>
                <w:sz w:val="20"/>
                <w:szCs w:val="20"/>
              </w:rPr>
            </w:pPr>
            <w:r w:rsidRPr="00C5367E">
              <w:rPr>
                <w:rFonts w:eastAsia="Times New Roman"/>
                <w:color w:val="000000"/>
                <w:sz w:val="20"/>
                <w:szCs w:val="20"/>
              </w:rPr>
              <w:t>Alternative split (days)</w:t>
            </w:r>
          </w:p>
        </w:tc>
        <w:tc>
          <w:tcPr>
            <w:tcW w:w="1260" w:type="dxa"/>
            <w:tcBorders>
              <w:top w:val="double" w:sz="4" w:space="0" w:color="auto"/>
              <w:left w:val="single" w:sz="8" w:space="0" w:color="auto"/>
              <w:bottom w:val="double" w:sz="4" w:space="0" w:color="auto"/>
              <w:right w:val="single" w:sz="12" w:space="0" w:color="auto"/>
            </w:tcBorders>
            <w:vAlign w:val="bottom"/>
          </w:tcPr>
          <w:p w14:paraId="127FF718" w14:textId="77777777" w:rsidR="00ED063B" w:rsidRPr="00C5367E" w:rsidRDefault="00ED063B" w:rsidP="00C97797">
            <w:pPr>
              <w:spacing w:after="0" w:line="240" w:lineRule="auto"/>
              <w:jc w:val="center"/>
              <w:rPr>
                <w:rFonts w:eastAsia="Times New Roman"/>
                <w:b/>
                <w:color w:val="000000"/>
                <w:sz w:val="20"/>
                <w:szCs w:val="20"/>
              </w:rPr>
            </w:pPr>
            <w:r w:rsidRPr="00C5367E">
              <w:rPr>
                <w:rFonts w:eastAsia="Times New Roman"/>
                <w:b/>
                <w:color w:val="000000"/>
                <w:sz w:val="20"/>
                <w:szCs w:val="20"/>
              </w:rPr>
              <w:t>Overall % change</w:t>
            </w:r>
          </w:p>
        </w:tc>
        <w:tc>
          <w:tcPr>
            <w:tcW w:w="3527" w:type="dxa"/>
            <w:gridSpan w:val="2"/>
            <w:tcBorders>
              <w:top w:val="double" w:sz="4" w:space="0" w:color="auto"/>
              <w:left w:val="single" w:sz="12" w:space="0" w:color="auto"/>
              <w:bottom w:val="single" w:sz="4" w:space="0" w:color="auto"/>
              <w:right w:val="single" w:sz="8" w:space="0" w:color="auto"/>
            </w:tcBorders>
            <w:shd w:val="clear" w:color="auto" w:fill="auto"/>
            <w:noWrap/>
            <w:vAlign w:val="bottom"/>
          </w:tcPr>
          <w:p w14:paraId="52371462" w14:textId="77777777" w:rsidR="00ED063B" w:rsidRPr="00C5367E" w:rsidRDefault="00ED063B" w:rsidP="00C97797">
            <w:pPr>
              <w:spacing w:after="0" w:line="240" w:lineRule="auto"/>
              <w:jc w:val="center"/>
              <w:rPr>
                <w:rFonts w:eastAsia="Times New Roman"/>
                <w:b/>
                <w:color w:val="000000"/>
                <w:sz w:val="20"/>
                <w:szCs w:val="20"/>
              </w:rPr>
            </w:pPr>
            <w:r w:rsidRPr="00C5367E">
              <w:rPr>
                <w:rFonts w:eastAsia="Times New Roman"/>
                <w:b/>
                <w:color w:val="000000"/>
                <w:sz w:val="20"/>
                <w:szCs w:val="20"/>
              </w:rPr>
              <w:t xml:space="preserve">Attribute Levels </w:t>
            </w:r>
          </w:p>
          <w:p w14:paraId="2615C414" w14:textId="77777777" w:rsidR="00ED063B" w:rsidRPr="00C5367E" w:rsidRDefault="00ED063B" w:rsidP="00C97797">
            <w:pPr>
              <w:spacing w:after="0" w:line="240" w:lineRule="auto"/>
              <w:jc w:val="center"/>
              <w:rPr>
                <w:rFonts w:eastAsia="Times New Roman"/>
                <w:b/>
                <w:color w:val="000000"/>
                <w:sz w:val="20"/>
                <w:szCs w:val="20"/>
              </w:rPr>
            </w:pPr>
            <w:r w:rsidRPr="00C5367E">
              <w:rPr>
                <w:rFonts w:eastAsia="Times New Roman"/>
                <w:color w:val="000000"/>
                <w:sz w:val="20"/>
                <w:szCs w:val="20"/>
              </w:rPr>
              <w:t>Alternative split (days)</w:t>
            </w:r>
          </w:p>
        </w:tc>
        <w:tc>
          <w:tcPr>
            <w:tcW w:w="1080" w:type="dxa"/>
            <w:tcBorders>
              <w:top w:val="double" w:sz="4" w:space="0" w:color="auto"/>
              <w:left w:val="single" w:sz="8" w:space="0" w:color="auto"/>
              <w:bottom w:val="single" w:sz="4" w:space="0" w:color="auto"/>
              <w:right w:val="double" w:sz="4" w:space="0" w:color="auto"/>
            </w:tcBorders>
            <w:vAlign w:val="bottom"/>
          </w:tcPr>
          <w:p w14:paraId="2C0FE9E4" w14:textId="77777777" w:rsidR="00ED063B" w:rsidRPr="00C5367E" w:rsidRDefault="00ED063B" w:rsidP="00C97797">
            <w:pPr>
              <w:spacing w:after="0" w:line="240" w:lineRule="auto"/>
              <w:jc w:val="center"/>
              <w:rPr>
                <w:rFonts w:eastAsia="Times New Roman"/>
                <w:b/>
                <w:color w:val="000000"/>
                <w:sz w:val="20"/>
                <w:szCs w:val="20"/>
              </w:rPr>
            </w:pPr>
            <w:r w:rsidRPr="00C5367E">
              <w:rPr>
                <w:rFonts w:eastAsia="Times New Roman"/>
                <w:b/>
                <w:color w:val="000000"/>
                <w:sz w:val="20"/>
                <w:szCs w:val="20"/>
              </w:rPr>
              <w:t>Overall % change</w:t>
            </w:r>
          </w:p>
        </w:tc>
      </w:tr>
      <w:tr w:rsidR="00ED063B" w:rsidRPr="00C5367E" w14:paraId="106D2856" w14:textId="77777777" w:rsidTr="00A24926">
        <w:trPr>
          <w:trHeight w:val="288"/>
        </w:trPr>
        <w:tc>
          <w:tcPr>
            <w:tcW w:w="2002" w:type="dxa"/>
            <w:vMerge/>
            <w:tcBorders>
              <w:left w:val="double" w:sz="4" w:space="0" w:color="auto"/>
              <w:right w:val="single" w:sz="4" w:space="0" w:color="auto"/>
            </w:tcBorders>
            <w:shd w:val="clear" w:color="auto" w:fill="auto"/>
            <w:noWrap/>
            <w:vAlign w:val="bottom"/>
            <w:hideMark/>
          </w:tcPr>
          <w:p w14:paraId="20FA5D77" w14:textId="77777777" w:rsidR="00ED063B" w:rsidRPr="00C5367E" w:rsidRDefault="00ED063B" w:rsidP="00C97797">
            <w:pPr>
              <w:spacing w:after="0" w:line="240" w:lineRule="auto"/>
              <w:jc w:val="center"/>
              <w:rPr>
                <w:rFonts w:eastAsia="Times New Roman"/>
                <w:b/>
                <w:color w:val="000000"/>
                <w:sz w:val="20"/>
                <w:szCs w:val="20"/>
              </w:rPr>
            </w:pPr>
          </w:p>
        </w:tc>
        <w:tc>
          <w:tcPr>
            <w:tcW w:w="1259" w:type="dxa"/>
            <w:vMerge/>
            <w:tcBorders>
              <w:left w:val="single" w:sz="12" w:space="0" w:color="auto"/>
              <w:bottom w:val="nil"/>
              <w:right w:val="single" w:sz="12" w:space="0" w:color="auto"/>
            </w:tcBorders>
          </w:tcPr>
          <w:p w14:paraId="3FE055E7" w14:textId="77777777" w:rsidR="00ED063B" w:rsidRPr="00C5367E" w:rsidRDefault="00ED063B" w:rsidP="00C97797">
            <w:pPr>
              <w:spacing w:after="0" w:line="240" w:lineRule="auto"/>
              <w:rPr>
                <w:rFonts w:eastAsia="Times New Roman"/>
                <w:b/>
                <w:sz w:val="20"/>
                <w:szCs w:val="20"/>
              </w:rPr>
            </w:pPr>
          </w:p>
        </w:tc>
        <w:tc>
          <w:tcPr>
            <w:tcW w:w="3594" w:type="dxa"/>
            <w:gridSpan w:val="3"/>
            <w:tcBorders>
              <w:top w:val="double" w:sz="4" w:space="0" w:color="auto"/>
              <w:left w:val="single" w:sz="12" w:space="0" w:color="auto"/>
              <w:bottom w:val="single" w:sz="4" w:space="0" w:color="auto"/>
              <w:right w:val="single" w:sz="8" w:space="0" w:color="auto"/>
            </w:tcBorders>
            <w:vAlign w:val="center"/>
          </w:tcPr>
          <w:p w14:paraId="1C4C5730" w14:textId="75FD1F89" w:rsidR="00ED063B" w:rsidRPr="00C5367E" w:rsidRDefault="00987A1A" w:rsidP="00C97797">
            <w:pPr>
              <w:spacing w:after="0" w:line="240" w:lineRule="auto"/>
              <w:jc w:val="center"/>
              <w:rPr>
                <w:b/>
                <w:color w:val="000000"/>
                <w:sz w:val="20"/>
                <w:szCs w:val="20"/>
              </w:rPr>
            </w:pPr>
            <w:r>
              <w:rPr>
                <w:b/>
                <w:color w:val="000000"/>
                <w:sz w:val="20"/>
                <w:szCs w:val="20"/>
              </w:rPr>
              <w:t>Work Office</w:t>
            </w:r>
            <w:r w:rsidR="00ED063B" w:rsidRPr="00C5367E">
              <w:rPr>
                <w:b/>
                <w:color w:val="000000"/>
                <w:sz w:val="20"/>
                <w:szCs w:val="20"/>
              </w:rPr>
              <w:t xml:space="preserve"> Commute Time (minutes)</w:t>
            </w:r>
          </w:p>
        </w:tc>
        <w:tc>
          <w:tcPr>
            <w:tcW w:w="1260" w:type="dxa"/>
            <w:vMerge w:val="restart"/>
            <w:tcBorders>
              <w:top w:val="double" w:sz="4" w:space="0" w:color="auto"/>
              <w:left w:val="single" w:sz="8" w:space="0" w:color="auto"/>
              <w:right w:val="single" w:sz="12" w:space="0" w:color="auto"/>
            </w:tcBorders>
            <w:vAlign w:val="bottom"/>
          </w:tcPr>
          <w:p w14:paraId="37B97EDD" w14:textId="77777777" w:rsidR="00ED063B" w:rsidRPr="00C5367E" w:rsidRDefault="00ED063B" w:rsidP="00C97797">
            <w:pPr>
              <w:spacing w:after="0" w:line="240" w:lineRule="auto"/>
              <w:jc w:val="center"/>
              <w:rPr>
                <w:rFonts w:eastAsia="Times New Roman"/>
                <w:b/>
                <w:color w:val="000000"/>
                <w:sz w:val="20"/>
                <w:szCs w:val="20"/>
              </w:rPr>
            </w:pPr>
            <w:r w:rsidRPr="00C5367E">
              <w:rPr>
                <w:b/>
                <w:color w:val="000000"/>
                <w:sz w:val="20"/>
                <w:szCs w:val="20"/>
              </w:rPr>
              <w:t>50% shorter to 50% longer</w:t>
            </w:r>
          </w:p>
        </w:tc>
        <w:tc>
          <w:tcPr>
            <w:tcW w:w="3527" w:type="dxa"/>
            <w:gridSpan w:val="2"/>
            <w:tcBorders>
              <w:top w:val="double" w:sz="4" w:space="0" w:color="auto"/>
              <w:left w:val="single" w:sz="12" w:space="0" w:color="auto"/>
              <w:bottom w:val="single" w:sz="4" w:space="0" w:color="auto"/>
              <w:right w:val="single" w:sz="8" w:space="0" w:color="auto"/>
            </w:tcBorders>
            <w:shd w:val="clear" w:color="auto" w:fill="auto"/>
            <w:noWrap/>
            <w:vAlign w:val="center"/>
            <w:hideMark/>
          </w:tcPr>
          <w:p w14:paraId="6244C77D" w14:textId="0AAFBC70" w:rsidR="00ED063B" w:rsidRPr="00C5367E" w:rsidRDefault="00ED063B" w:rsidP="00C97797">
            <w:pPr>
              <w:spacing w:after="0" w:line="240" w:lineRule="auto"/>
              <w:jc w:val="center"/>
              <w:rPr>
                <w:b/>
                <w:color w:val="000000"/>
                <w:sz w:val="20"/>
                <w:szCs w:val="20"/>
              </w:rPr>
            </w:pPr>
            <w:r w:rsidRPr="00C5367E">
              <w:rPr>
                <w:b/>
                <w:color w:val="000000"/>
                <w:sz w:val="20"/>
                <w:szCs w:val="20"/>
              </w:rPr>
              <w:t>Third WP</w:t>
            </w:r>
            <w:r w:rsidR="00987A1A">
              <w:rPr>
                <w:b/>
                <w:color w:val="000000"/>
                <w:sz w:val="20"/>
                <w:szCs w:val="20"/>
              </w:rPr>
              <w:t>L</w:t>
            </w:r>
            <w:r w:rsidRPr="00C5367E">
              <w:rPr>
                <w:b/>
                <w:color w:val="000000"/>
                <w:sz w:val="20"/>
                <w:szCs w:val="20"/>
              </w:rPr>
              <w:t xml:space="preserve"> Commute Time (minutes)</w:t>
            </w:r>
          </w:p>
        </w:tc>
        <w:tc>
          <w:tcPr>
            <w:tcW w:w="1080" w:type="dxa"/>
            <w:vMerge w:val="restart"/>
            <w:tcBorders>
              <w:top w:val="double" w:sz="4" w:space="0" w:color="auto"/>
              <w:left w:val="single" w:sz="8" w:space="0" w:color="auto"/>
              <w:right w:val="double" w:sz="4" w:space="0" w:color="auto"/>
            </w:tcBorders>
            <w:vAlign w:val="bottom"/>
          </w:tcPr>
          <w:p w14:paraId="03A5F323" w14:textId="77777777" w:rsidR="00ED063B" w:rsidRPr="00C5367E" w:rsidRDefault="00ED063B" w:rsidP="00C97797">
            <w:pPr>
              <w:spacing w:after="0" w:line="240" w:lineRule="auto"/>
              <w:jc w:val="center"/>
              <w:rPr>
                <w:rFonts w:eastAsia="Times New Roman"/>
                <w:b/>
                <w:color w:val="000000"/>
                <w:sz w:val="20"/>
                <w:szCs w:val="20"/>
              </w:rPr>
            </w:pPr>
            <w:r w:rsidRPr="00C5367E">
              <w:rPr>
                <w:b/>
                <w:color w:val="000000"/>
                <w:sz w:val="20"/>
                <w:szCs w:val="20"/>
              </w:rPr>
              <w:t>Short to Same</w:t>
            </w:r>
          </w:p>
        </w:tc>
      </w:tr>
      <w:tr w:rsidR="00ED063B" w:rsidRPr="00C5367E" w14:paraId="589D301F" w14:textId="77777777" w:rsidTr="00A24926">
        <w:trPr>
          <w:trHeight w:val="20"/>
        </w:trPr>
        <w:tc>
          <w:tcPr>
            <w:tcW w:w="2002" w:type="dxa"/>
            <w:vMerge/>
            <w:tcBorders>
              <w:left w:val="double" w:sz="4" w:space="0" w:color="auto"/>
              <w:bottom w:val="single" w:sz="12" w:space="0" w:color="auto"/>
              <w:right w:val="single" w:sz="4" w:space="0" w:color="auto"/>
            </w:tcBorders>
            <w:shd w:val="clear" w:color="auto" w:fill="auto"/>
            <w:noWrap/>
            <w:vAlign w:val="bottom"/>
            <w:hideMark/>
          </w:tcPr>
          <w:p w14:paraId="46B11B92" w14:textId="77777777" w:rsidR="00ED063B" w:rsidRPr="00C5367E" w:rsidRDefault="00ED063B" w:rsidP="00C97797">
            <w:pPr>
              <w:spacing w:after="0" w:line="240" w:lineRule="auto"/>
              <w:jc w:val="center"/>
              <w:rPr>
                <w:rFonts w:eastAsia="Times New Roman"/>
                <w:b/>
                <w:color w:val="000000"/>
                <w:sz w:val="20"/>
                <w:szCs w:val="20"/>
              </w:rPr>
            </w:pPr>
          </w:p>
        </w:tc>
        <w:tc>
          <w:tcPr>
            <w:tcW w:w="1259" w:type="dxa"/>
            <w:tcBorders>
              <w:top w:val="nil"/>
              <w:left w:val="single" w:sz="12" w:space="0" w:color="auto"/>
              <w:bottom w:val="single" w:sz="12" w:space="0" w:color="auto"/>
              <w:right w:val="single" w:sz="12" w:space="0" w:color="auto"/>
            </w:tcBorders>
            <w:vAlign w:val="bottom"/>
          </w:tcPr>
          <w:p w14:paraId="137B8FF3" w14:textId="77777777" w:rsidR="00ED063B" w:rsidRPr="00C5367E" w:rsidRDefault="00ED063B" w:rsidP="00C97797">
            <w:pPr>
              <w:spacing w:after="0" w:line="240" w:lineRule="auto"/>
              <w:jc w:val="center"/>
              <w:rPr>
                <w:rFonts w:eastAsia="Times New Roman"/>
                <w:b/>
                <w:color w:val="000000"/>
                <w:sz w:val="20"/>
                <w:szCs w:val="20"/>
              </w:rPr>
            </w:pPr>
            <w:r w:rsidRPr="00C5367E">
              <w:rPr>
                <w:rFonts w:eastAsia="Times New Roman"/>
                <w:b/>
                <w:color w:val="000000"/>
                <w:sz w:val="20"/>
                <w:szCs w:val="20"/>
              </w:rPr>
              <w:t>WPL</w:t>
            </w:r>
          </w:p>
        </w:tc>
        <w:tc>
          <w:tcPr>
            <w:tcW w:w="1233" w:type="dxa"/>
            <w:tcBorders>
              <w:top w:val="nil"/>
              <w:left w:val="single" w:sz="12" w:space="0" w:color="auto"/>
              <w:bottom w:val="single" w:sz="12" w:space="0" w:color="auto"/>
              <w:right w:val="single" w:sz="4" w:space="0" w:color="auto"/>
            </w:tcBorders>
            <w:vAlign w:val="bottom"/>
          </w:tcPr>
          <w:p w14:paraId="064E23F0" w14:textId="77777777" w:rsidR="00ED063B" w:rsidRPr="00C5367E" w:rsidRDefault="00ED063B" w:rsidP="00C97797">
            <w:pPr>
              <w:spacing w:after="0" w:line="240" w:lineRule="auto"/>
              <w:jc w:val="center"/>
              <w:rPr>
                <w:color w:val="000000"/>
                <w:sz w:val="20"/>
                <w:szCs w:val="20"/>
              </w:rPr>
            </w:pPr>
            <w:r w:rsidRPr="00C5367E">
              <w:rPr>
                <w:color w:val="000000"/>
                <w:sz w:val="20"/>
                <w:szCs w:val="20"/>
              </w:rPr>
              <w:t xml:space="preserve">50% </w:t>
            </w:r>
            <w:r>
              <w:rPr>
                <w:color w:val="000000"/>
                <w:sz w:val="20"/>
                <w:szCs w:val="20"/>
              </w:rPr>
              <w:t xml:space="preserve">shorter </w:t>
            </w:r>
            <w:r w:rsidRPr="00C5367E">
              <w:rPr>
                <w:color w:val="000000"/>
                <w:sz w:val="20"/>
                <w:szCs w:val="20"/>
              </w:rPr>
              <w:t>(13.2)</w:t>
            </w:r>
          </w:p>
        </w:tc>
        <w:tc>
          <w:tcPr>
            <w:tcW w:w="1191" w:type="dxa"/>
            <w:tcBorders>
              <w:top w:val="nil"/>
              <w:left w:val="single" w:sz="4" w:space="0" w:color="auto"/>
              <w:bottom w:val="single" w:sz="12" w:space="0" w:color="auto"/>
              <w:right w:val="single" w:sz="4" w:space="0" w:color="auto"/>
            </w:tcBorders>
            <w:vAlign w:val="bottom"/>
          </w:tcPr>
          <w:p w14:paraId="7EC56CAD" w14:textId="77777777" w:rsidR="00ED063B" w:rsidRPr="00C5367E" w:rsidRDefault="00ED063B" w:rsidP="00C97797">
            <w:pPr>
              <w:spacing w:after="0" w:line="240" w:lineRule="auto"/>
              <w:jc w:val="center"/>
              <w:rPr>
                <w:color w:val="000000"/>
                <w:sz w:val="20"/>
                <w:szCs w:val="20"/>
              </w:rPr>
            </w:pPr>
            <w:r w:rsidRPr="00C5367E">
              <w:rPr>
                <w:color w:val="000000"/>
                <w:sz w:val="20"/>
                <w:szCs w:val="20"/>
              </w:rPr>
              <w:t>Average (26.4)</w:t>
            </w:r>
          </w:p>
        </w:tc>
        <w:tc>
          <w:tcPr>
            <w:tcW w:w="1170" w:type="dxa"/>
            <w:tcBorders>
              <w:top w:val="nil"/>
              <w:left w:val="single" w:sz="4" w:space="0" w:color="auto"/>
              <w:bottom w:val="single" w:sz="12" w:space="0" w:color="auto"/>
              <w:right w:val="single" w:sz="8" w:space="0" w:color="auto"/>
            </w:tcBorders>
            <w:vAlign w:val="bottom"/>
          </w:tcPr>
          <w:p w14:paraId="76E7156A" w14:textId="77777777" w:rsidR="00ED063B" w:rsidRPr="00C5367E" w:rsidRDefault="00ED063B" w:rsidP="00C97797">
            <w:pPr>
              <w:spacing w:after="0" w:line="240" w:lineRule="auto"/>
              <w:jc w:val="center"/>
              <w:rPr>
                <w:color w:val="000000"/>
                <w:sz w:val="20"/>
                <w:szCs w:val="20"/>
              </w:rPr>
            </w:pPr>
            <w:r>
              <w:rPr>
                <w:color w:val="000000"/>
                <w:sz w:val="20"/>
                <w:szCs w:val="20"/>
              </w:rPr>
              <w:t xml:space="preserve">50% longer </w:t>
            </w:r>
            <w:r w:rsidRPr="00C5367E">
              <w:rPr>
                <w:color w:val="000000"/>
                <w:sz w:val="20"/>
                <w:szCs w:val="20"/>
              </w:rPr>
              <w:t>(39.6)</w:t>
            </w:r>
          </w:p>
        </w:tc>
        <w:tc>
          <w:tcPr>
            <w:tcW w:w="1260" w:type="dxa"/>
            <w:vMerge/>
            <w:tcBorders>
              <w:left w:val="single" w:sz="8" w:space="0" w:color="auto"/>
              <w:bottom w:val="single" w:sz="12" w:space="0" w:color="auto"/>
              <w:right w:val="single" w:sz="12" w:space="0" w:color="auto"/>
            </w:tcBorders>
          </w:tcPr>
          <w:p w14:paraId="1A2D8B5B" w14:textId="77777777" w:rsidR="00ED063B" w:rsidRPr="00C5367E" w:rsidRDefault="00ED063B" w:rsidP="00C97797">
            <w:pPr>
              <w:spacing w:after="0" w:line="240" w:lineRule="auto"/>
              <w:jc w:val="center"/>
              <w:rPr>
                <w:b/>
                <w:color w:val="000000"/>
                <w:sz w:val="20"/>
                <w:szCs w:val="20"/>
              </w:rPr>
            </w:pPr>
          </w:p>
        </w:tc>
        <w:tc>
          <w:tcPr>
            <w:tcW w:w="1817" w:type="dxa"/>
            <w:tcBorders>
              <w:top w:val="nil"/>
              <w:left w:val="single" w:sz="12" w:space="0" w:color="auto"/>
              <w:bottom w:val="single" w:sz="12" w:space="0" w:color="auto"/>
              <w:right w:val="single" w:sz="4" w:space="0" w:color="auto"/>
            </w:tcBorders>
            <w:shd w:val="clear" w:color="auto" w:fill="auto"/>
            <w:noWrap/>
            <w:vAlign w:val="bottom"/>
            <w:hideMark/>
          </w:tcPr>
          <w:p w14:paraId="6047E1AC" w14:textId="77777777" w:rsidR="00ED063B" w:rsidRPr="00C5367E" w:rsidRDefault="00ED063B" w:rsidP="00C97797">
            <w:pPr>
              <w:spacing w:after="0" w:line="240" w:lineRule="auto"/>
              <w:jc w:val="center"/>
              <w:rPr>
                <w:color w:val="000000"/>
                <w:sz w:val="20"/>
                <w:szCs w:val="20"/>
              </w:rPr>
            </w:pPr>
            <w:r w:rsidRPr="00C5367E">
              <w:rPr>
                <w:color w:val="000000"/>
                <w:sz w:val="20"/>
                <w:szCs w:val="20"/>
              </w:rPr>
              <w:t>50% shorter than comm. to IP WP</w:t>
            </w:r>
          </w:p>
        </w:tc>
        <w:tc>
          <w:tcPr>
            <w:tcW w:w="1710" w:type="dxa"/>
            <w:tcBorders>
              <w:top w:val="nil"/>
              <w:left w:val="nil"/>
              <w:bottom w:val="single" w:sz="12" w:space="0" w:color="auto"/>
              <w:right w:val="single" w:sz="8" w:space="0" w:color="auto"/>
            </w:tcBorders>
            <w:shd w:val="clear" w:color="auto" w:fill="auto"/>
            <w:noWrap/>
            <w:vAlign w:val="bottom"/>
            <w:hideMark/>
          </w:tcPr>
          <w:p w14:paraId="40A9657E" w14:textId="77777777" w:rsidR="00ED063B" w:rsidRPr="00C5367E" w:rsidRDefault="00ED063B" w:rsidP="00C97797">
            <w:pPr>
              <w:spacing w:after="0" w:line="240" w:lineRule="auto"/>
              <w:jc w:val="center"/>
              <w:rPr>
                <w:color w:val="000000"/>
                <w:sz w:val="20"/>
                <w:szCs w:val="20"/>
              </w:rPr>
            </w:pPr>
            <w:r w:rsidRPr="00C5367E">
              <w:rPr>
                <w:color w:val="000000"/>
                <w:sz w:val="20"/>
                <w:szCs w:val="20"/>
              </w:rPr>
              <w:t xml:space="preserve">Same as comm. </w:t>
            </w:r>
            <w:r>
              <w:rPr>
                <w:color w:val="000000"/>
                <w:sz w:val="20"/>
                <w:szCs w:val="20"/>
              </w:rPr>
              <w:t>t</w:t>
            </w:r>
            <w:r w:rsidRPr="00C5367E">
              <w:rPr>
                <w:color w:val="000000"/>
                <w:sz w:val="20"/>
                <w:szCs w:val="20"/>
              </w:rPr>
              <w:t>o IP WP</w:t>
            </w:r>
          </w:p>
        </w:tc>
        <w:tc>
          <w:tcPr>
            <w:tcW w:w="1080" w:type="dxa"/>
            <w:vMerge/>
            <w:tcBorders>
              <w:left w:val="single" w:sz="8" w:space="0" w:color="auto"/>
              <w:bottom w:val="single" w:sz="12" w:space="0" w:color="auto"/>
              <w:right w:val="double" w:sz="4" w:space="0" w:color="auto"/>
            </w:tcBorders>
          </w:tcPr>
          <w:p w14:paraId="3DA75CBA" w14:textId="77777777" w:rsidR="00ED063B" w:rsidRPr="00C5367E" w:rsidRDefault="00ED063B" w:rsidP="00C97797">
            <w:pPr>
              <w:spacing w:after="0" w:line="240" w:lineRule="auto"/>
              <w:jc w:val="center"/>
              <w:rPr>
                <w:b/>
                <w:color w:val="000000"/>
                <w:sz w:val="20"/>
                <w:szCs w:val="20"/>
              </w:rPr>
            </w:pPr>
          </w:p>
        </w:tc>
      </w:tr>
      <w:tr w:rsidR="00ED063B" w:rsidRPr="00C5367E" w14:paraId="4E1C1FD8" w14:textId="77777777" w:rsidTr="00A24926">
        <w:trPr>
          <w:trHeight w:val="288"/>
        </w:trPr>
        <w:tc>
          <w:tcPr>
            <w:tcW w:w="2002" w:type="dxa"/>
            <w:vMerge w:val="restart"/>
            <w:tcBorders>
              <w:top w:val="single" w:sz="4" w:space="0" w:color="auto"/>
              <w:left w:val="double" w:sz="4" w:space="0" w:color="auto"/>
              <w:bottom w:val="single" w:sz="4" w:space="0" w:color="000000"/>
              <w:right w:val="single" w:sz="4" w:space="0" w:color="auto"/>
            </w:tcBorders>
            <w:shd w:val="clear" w:color="000000" w:fill="FFF2CC"/>
            <w:vAlign w:val="center"/>
            <w:hideMark/>
          </w:tcPr>
          <w:p w14:paraId="214C0C53" w14:textId="77777777" w:rsidR="00ED063B" w:rsidRPr="00C5367E" w:rsidRDefault="00ED063B" w:rsidP="00C97797">
            <w:pPr>
              <w:spacing w:after="0" w:line="240" w:lineRule="auto"/>
              <w:jc w:val="left"/>
              <w:rPr>
                <w:rFonts w:eastAsia="Times New Roman"/>
                <w:b/>
                <w:color w:val="000000"/>
                <w:sz w:val="20"/>
                <w:szCs w:val="20"/>
              </w:rPr>
            </w:pPr>
            <w:r w:rsidRPr="00C5367E">
              <w:rPr>
                <w:rFonts w:eastAsia="Times New Roman"/>
                <w:b/>
                <w:color w:val="000000"/>
                <w:sz w:val="20"/>
                <w:szCs w:val="20"/>
              </w:rPr>
              <w:t>Men with partner</w:t>
            </w:r>
          </w:p>
        </w:tc>
        <w:tc>
          <w:tcPr>
            <w:tcW w:w="1259" w:type="dxa"/>
            <w:tcBorders>
              <w:top w:val="single" w:sz="12" w:space="0" w:color="auto"/>
              <w:left w:val="single" w:sz="12" w:space="0" w:color="auto"/>
              <w:bottom w:val="single" w:sz="4" w:space="0" w:color="auto"/>
              <w:right w:val="single" w:sz="12" w:space="0" w:color="auto"/>
            </w:tcBorders>
            <w:shd w:val="clear" w:color="000000" w:fill="FFF2CC"/>
          </w:tcPr>
          <w:p w14:paraId="7D8197AD" w14:textId="77777777" w:rsidR="00ED063B" w:rsidRPr="00C5367E" w:rsidRDefault="00ED063B" w:rsidP="00C97797">
            <w:pPr>
              <w:spacing w:after="0" w:line="240" w:lineRule="auto"/>
              <w:jc w:val="center"/>
              <w:rPr>
                <w:rFonts w:eastAsia="Times New Roman"/>
                <w:color w:val="000000"/>
                <w:sz w:val="20"/>
                <w:szCs w:val="20"/>
              </w:rPr>
            </w:pPr>
            <w:r w:rsidRPr="00C5367E">
              <w:rPr>
                <w:rFonts w:eastAsia="Times New Roman"/>
                <w:color w:val="000000"/>
                <w:sz w:val="20"/>
                <w:szCs w:val="20"/>
              </w:rPr>
              <w:t>Home</w:t>
            </w:r>
          </w:p>
        </w:tc>
        <w:tc>
          <w:tcPr>
            <w:tcW w:w="1233" w:type="dxa"/>
            <w:tcBorders>
              <w:top w:val="single" w:sz="12" w:space="0" w:color="auto"/>
              <w:left w:val="single" w:sz="12" w:space="0" w:color="auto"/>
              <w:bottom w:val="single" w:sz="4" w:space="0" w:color="auto"/>
              <w:right w:val="single" w:sz="4" w:space="0" w:color="auto"/>
            </w:tcBorders>
            <w:shd w:val="clear" w:color="000000" w:fill="FFF2CC"/>
            <w:vAlign w:val="center"/>
          </w:tcPr>
          <w:p w14:paraId="6FA4CBA5" w14:textId="77777777" w:rsidR="00ED063B" w:rsidRPr="00C5367E" w:rsidRDefault="00ED063B" w:rsidP="00C97797">
            <w:pPr>
              <w:spacing w:after="0" w:line="240" w:lineRule="auto"/>
              <w:jc w:val="right"/>
              <w:rPr>
                <w:color w:val="000000"/>
                <w:sz w:val="20"/>
                <w:szCs w:val="20"/>
              </w:rPr>
            </w:pPr>
            <w:r w:rsidRPr="00C5367E">
              <w:rPr>
                <w:color w:val="000000"/>
                <w:sz w:val="20"/>
                <w:szCs w:val="20"/>
              </w:rPr>
              <w:t>9.5</w:t>
            </w:r>
          </w:p>
        </w:tc>
        <w:tc>
          <w:tcPr>
            <w:tcW w:w="1191" w:type="dxa"/>
            <w:tcBorders>
              <w:top w:val="single" w:sz="12" w:space="0" w:color="auto"/>
              <w:left w:val="single" w:sz="4" w:space="0" w:color="auto"/>
              <w:bottom w:val="single" w:sz="4" w:space="0" w:color="auto"/>
              <w:right w:val="single" w:sz="4" w:space="0" w:color="auto"/>
            </w:tcBorders>
            <w:shd w:val="clear" w:color="000000" w:fill="FFF2CC"/>
            <w:vAlign w:val="center"/>
          </w:tcPr>
          <w:p w14:paraId="20256644" w14:textId="77777777" w:rsidR="00ED063B" w:rsidRPr="00C5367E" w:rsidRDefault="00ED063B" w:rsidP="00C97797">
            <w:pPr>
              <w:spacing w:after="0" w:line="240" w:lineRule="auto"/>
              <w:jc w:val="right"/>
              <w:rPr>
                <w:color w:val="000000"/>
                <w:sz w:val="20"/>
                <w:szCs w:val="20"/>
              </w:rPr>
            </w:pPr>
            <w:r w:rsidRPr="00C5367E">
              <w:rPr>
                <w:color w:val="000000"/>
                <w:sz w:val="20"/>
                <w:szCs w:val="20"/>
              </w:rPr>
              <w:t>9.9</w:t>
            </w:r>
          </w:p>
        </w:tc>
        <w:tc>
          <w:tcPr>
            <w:tcW w:w="1170" w:type="dxa"/>
            <w:tcBorders>
              <w:top w:val="single" w:sz="12" w:space="0" w:color="auto"/>
              <w:left w:val="single" w:sz="4" w:space="0" w:color="auto"/>
              <w:bottom w:val="single" w:sz="4" w:space="0" w:color="auto"/>
              <w:right w:val="single" w:sz="8" w:space="0" w:color="auto"/>
            </w:tcBorders>
            <w:shd w:val="clear" w:color="000000" w:fill="FFF2CC"/>
            <w:vAlign w:val="center"/>
          </w:tcPr>
          <w:p w14:paraId="55D0F2C7" w14:textId="77777777" w:rsidR="00ED063B" w:rsidRPr="00C5367E" w:rsidRDefault="00ED063B" w:rsidP="00C97797">
            <w:pPr>
              <w:spacing w:after="0" w:line="240" w:lineRule="auto"/>
              <w:jc w:val="right"/>
              <w:rPr>
                <w:color w:val="000000"/>
                <w:sz w:val="20"/>
                <w:szCs w:val="20"/>
              </w:rPr>
            </w:pPr>
            <w:r w:rsidRPr="00C5367E">
              <w:rPr>
                <w:color w:val="000000"/>
                <w:sz w:val="20"/>
                <w:szCs w:val="20"/>
              </w:rPr>
              <w:t>10.3</w:t>
            </w:r>
          </w:p>
        </w:tc>
        <w:tc>
          <w:tcPr>
            <w:tcW w:w="1260" w:type="dxa"/>
            <w:tcBorders>
              <w:top w:val="single" w:sz="12" w:space="0" w:color="auto"/>
              <w:left w:val="single" w:sz="8" w:space="0" w:color="auto"/>
              <w:bottom w:val="single" w:sz="4" w:space="0" w:color="auto"/>
              <w:right w:val="single" w:sz="12" w:space="0" w:color="auto"/>
            </w:tcBorders>
            <w:shd w:val="clear" w:color="000000" w:fill="FFF2CC"/>
            <w:vAlign w:val="center"/>
          </w:tcPr>
          <w:p w14:paraId="4BFE9F59" w14:textId="77777777" w:rsidR="00ED063B" w:rsidRPr="00C5367E" w:rsidRDefault="00ED063B" w:rsidP="00C97797">
            <w:pPr>
              <w:spacing w:after="0" w:line="240" w:lineRule="auto"/>
              <w:jc w:val="right"/>
              <w:rPr>
                <w:b/>
                <w:color w:val="000000"/>
                <w:sz w:val="20"/>
                <w:szCs w:val="20"/>
              </w:rPr>
            </w:pPr>
            <w:r w:rsidRPr="00C5367E">
              <w:rPr>
                <w:b/>
                <w:color w:val="000000"/>
                <w:sz w:val="20"/>
                <w:szCs w:val="20"/>
              </w:rPr>
              <w:t>8.3%</w:t>
            </w:r>
          </w:p>
        </w:tc>
        <w:tc>
          <w:tcPr>
            <w:tcW w:w="1817" w:type="dxa"/>
            <w:tcBorders>
              <w:top w:val="single" w:sz="12" w:space="0" w:color="auto"/>
              <w:left w:val="single" w:sz="12" w:space="0" w:color="auto"/>
              <w:bottom w:val="single" w:sz="4" w:space="0" w:color="auto"/>
              <w:right w:val="single" w:sz="4" w:space="0" w:color="auto"/>
            </w:tcBorders>
            <w:shd w:val="clear" w:color="000000" w:fill="FFF2CC"/>
            <w:noWrap/>
            <w:vAlign w:val="center"/>
            <w:hideMark/>
          </w:tcPr>
          <w:p w14:paraId="0233F81F" w14:textId="77777777" w:rsidR="00ED063B" w:rsidRPr="00C5367E" w:rsidRDefault="00ED063B" w:rsidP="00C97797">
            <w:pPr>
              <w:spacing w:after="0" w:line="240" w:lineRule="auto"/>
              <w:jc w:val="right"/>
              <w:rPr>
                <w:color w:val="000000"/>
                <w:sz w:val="20"/>
                <w:szCs w:val="20"/>
              </w:rPr>
            </w:pPr>
            <w:r w:rsidRPr="00C5367E">
              <w:rPr>
                <w:color w:val="000000"/>
                <w:sz w:val="20"/>
                <w:szCs w:val="20"/>
              </w:rPr>
              <w:t>9.8</w:t>
            </w:r>
          </w:p>
        </w:tc>
        <w:tc>
          <w:tcPr>
            <w:tcW w:w="1710" w:type="dxa"/>
            <w:tcBorders>
              <w:top w:val="single" w:sz="12" w:space="0" w:color="auto"/>
              <w:left w:val="nil"/>
              <w:bottom w:val="single" w:sz="4" w:space="0" w:color="auto"/>
              <w:right w:val="single" w:sz="8" w:space="0" w:color="auto"/>
            </w:tcBorders>
            <w:shd w:val="clear" w:color="000000" w:fill="FFF2CC"/>
            <w:noWrap/>
            <w:vAlign w:val="center"/>
            <w:hideMark/>
          </w:tcPr>
          <w:p w14:paraId="1EC26820" w14:textId="77777777" w:rsidR="00ED063B" w:rsidRPr="00C5367E" w:rsidRDefault="00ED063B" w:rsidP="00C97797">
            <w:pPr>
              <w:spacing w:after="0" w:line="240" w:lineRule="auto"/>
              <w:jc w:val="right"/>
              <w:rPr>
                <w:color w:val="000000"/>
                <w:sz w:val="20"/>
                <w:szCs w:val="20"/>
              </w:rPr>
            </w:pPr>
            <w:r w:rsidRPr="00C5367E">
              <w:rPr>
                <w:color w:val="000000"/>
                <w:sz w:val="20"/>
                <w:szCs w:val="20"/>
              </w:rPr>
              <w:t>9.8</w:t>
            </w:r>
          </w:p>
        </w:tc>
        <w:tc>
          <w:tcPr>
            <w:tcW w:w="1080" w:type="dxa"/>
            <w:tcBorders>
              <w:top w:val="single" w:sz="12" w:space="0" w:color="auto"/>
              <w:left w:val="single" w:sz="8" w:space="0" w:color="auto"/>
              <w:bottom w:val="single" w:sz="4" w:space="0" w:color="auto"/>
              <w:right w:val="double" w:sz="4" w:space="0" w:color="auto"/>
            </w:tcBorders>
            <w:shd w:val="clear" w:color="000000" w:fill="FFF2CC"/>
            <w:vAlign w:val="center"/>
          </w:tcPr>
          <w:p w14:paraId="23214335" w14:textId="77777777" w:rsidR="00ED063B" w:rsidRPr="00C5367E" w:rsidRDefault="00ED063B" w:rsidP="00C97797">
            <w:pPr>
              <w:spacing w:after="0" w:line="240" w:lineRule="auto"/>
              <w:jc w:val="right"/>
              <w:rPr>
                <w:b/>
                <w:color w:val="000000"/>
                <w:sz w:val="20"/>
                <w:szCs w:val="20"/>
              </w:rPr>
            </w:pPr>
            <w:r w:rsidRPr="00C5367E">
              <w:rPr>
                <w:b/>
                <w:color w:val="000000"/>
                <w:sz w:val="20"/>
                <w:szCs w:val="20"/>
              </w:rPr>
              <w:t>0.3%</w:t>
            </w:r>
          </w:p>
        </w:tc>
      </w:tr>
      <w:tr w:rsidR="00ED063B" w:rsidRPr="00C5367E" w14:paraId="68C5A07E" w14:textId="77777777" w:rsidTr="00A24926">
        <w:trPr>
          <w:trHeight w:val="288"/>
        </w:trPr>
        <w:tc>
          <w:tcPr>
            <w:tcW w:w="2002" w:type="dxa"/>
            <w:vMerge/>
            <w:tcBorders>
              <w:top w:val="single" w:sz="4" w:space="0" w:color="auto"/>
              <w:left w:val="double" w:sz="4" w:space="0" w:color="auto"/>
              <w:bottom w:val="single" w:sz="4" w:space="0" w:color="000000"/>
              <w:right w:val="single" w:sz="4" w:space="0" w:color="auto"/>
            </w:tcBorders>
            <w:vAlign w:val="center"/>
            <w:hideMark/>
          </w:tcPr>
          <w:p w14:paraId="27FE8846" w14:textId="77777777" w:rsidR="00ED063B" w:rsidRPr="00C5367E" w:rsidRDefault="00ED063B" w:rsidP="00C97797">
            <w:pPr>
              <w:spacing w:after="0" w:line="240" w:lineRule="auto"/>
              <w:jc w:val="left"/>
              <w:rPr>
                <w:rFonts w:eastAsia="Times New Roman"/>
                <w:b/>
                <w:color w:val="000000"/>
                <w:sz w:val="20"/>
                <w:szCs w:val="20"/>
              </w:rPr>
            </w:pPr>
          </w:p>
        </w:tc>
        <w:tc>
          <w:tcPr>
            <w:tcW w:w="1259" w:type="dxa"/>
            <w:tcBorders>
              <w:top w:val="nil"/>
              <w:left w:val="single" w:sz="12" w:space="0" w:color="auto"/>
              <w:bottom w:val="single" w:sz="4" w:space="0" w:color="auto"/>
              <w:right w:val="single" w:sz="12" w:space="0" w:color="auto"/>
            </w:tcBorders>
            <w:shd w:val="clear" w:color="000000" w:fill="FFF2CC"/>
          </w:tcPr>
          <w:p w14:paraId="6ABEA0FF" w14:textId="77777777" w:rsidR="00ED063B" w:rsidRPr="00C5367E" w:rsidRDefault="00ED063B" w:rsidP="00C97797">
            <w:pPr>
              <w:spacing w:after="0" w:line="240" w:lineRule="auto"/>
              <w:jc w:val="center"/>
              <w:rPr>
                <w:rFonts w:eastAsia="Times New Roman"/>
                <w:color w:val="000000"/>
                <w:sz w:val="20"/>
                <w:szCs w:val="20"/>
              </w:rPr>
            </w:pPr>
            <w:r>
              <w:rPr>
                <w:rFonts w:eastAsia="Times New Roman"/>
                <w:color w:val="000000"/>
                <w:sz w:val="20"/>
                <w:szCs w:val="20"/>
              </w:rPr>
              <w:t>Work Office</w:t>
            </w:r>
          </w:p>
        </w:tc>
        <w:tc>
          <w:tcPr>
            <w:tcW w:w="1233" w:type="dxa"/>
            <w:tcBorders>
              <w:top w:val="nil"/>
              <w:left w:val="single" w:sz="12" w:space="0" w:color="auto"/>
              <w:bottom w:val="single" w:sz="4" w:space="0" w:color="auto"/>
              <w:right w:val="single" w:sz="4" w:space="0" w:color="auto"/>
            </w:tcBorders>
            <w:shd w:val="clear" w:color="000000" w:fill="FFF2CC"/>
            <w:vAlign w:val="center"/>
          </w:tcPr>
          <w:p w14:paraId="2E333FFD" w14:textId="77777777" w:rsidR="00ED063B" w:rsidRPr="00C5367E" w:rsidRDefault="00ED063B" w:rsidP="00C97797">
            <w:pPr>
              <w:spacing w:after="0" w:line="240" w:lineRule="auto"/>
              <w:jc w:val="right"/>
              <w:rPr>
                <w:color w:val="000000"/>
                <w:sz w:val="20"/>
                <w:szCs w:val="20"/>
              </w:rPr>
            </w:pPr>
            <w:r w:rsidRPr="00C5367E">
              <w:rPr>
                <w:color w:val="000000"/>
                <w:sz w:val="20"/>
                <w:szCs w:val="20"/>
              </w:rPr>
              <w:t>11.8</w:t>
            </w:r>
          </w:p>
        </w:tc>
        <w:tc>
          <w:tcPr>
            <w:tcW w:w="1191" w:type="dxa"/>
            <w:tcBorders>
              <w:top w:val="nil"/>
              <w:left w:val="single" w:sz="4" w:space="0" w:color="auto"/>
              <w:bottom w:val="single" w:sz="4" w:space="0" w:color="auto"/>
              <w:right w:val="single" w:sz="4" w:space="0" w:color="auto"/>
            </w:tcBorders>
            <w:shd w:val="clear" w:color="000000" w:fill="FFF2CC"/>
            <w:vAlign w:val="center"/>
          </w:tcPr>
          <w:p w14:paraId="7F2A8F38" w14:textId="77777777" w:rsidR="00ED063B" w:rsidRPr="00C5367E" w:rsidRDefault="00ED063B" w:rsidP="00C97797">
            <w:pPr>
              <w:spacing w:after="0" w:line="240" w:lineRule="auto"/>
              <w:jc w:val="right"/>
              <w:rPr>
                <w:color w:val="000000"/>
                <w:sz w:val="20"/>
                <w:szCs w:val="20"/>
              </w:rPr>
            </w:pPr>
            <w:r w:rsidRPr="00C5367E">
              <w:rPr>
                <w:color w:val="000000"/>
                <w:sz w:val="20"/>
                <w:szCs w:val="20"/>
              </w:rPr>
              <w:t>11.4</w:t>
            </w:r>
          </w:p>
        </w:tc>
        <w:tc>
          <w:tcPr>
            <w:tcW w:w="1170" w:type="dxa"/>
            <w:tcBorders>
              <w:top w:val="nil"/>
              <w:left w:val="single" w:sz="4" w:space="0" w:color="auto"/>
              <w:bottom w:val="single" w:sz="4" w:space="0" w:color="auto"/>
              <w:right w:val="single" w:sz="8" w:space="0" w:color="auto"/>
            </w:tcBorders>
            <w:shd w:val="clear" w:color="000000" w:fill="FFF2CC"/>
            <w:vAlign w:val="center"/>
          </w:tcPr>
          <w:p w14:paraId="1EC54E08" w14:textId="77777777" w:rsidR="00ED063B" w:rsidRPr="00C5367E" w:rsidRDefault="00ED063B" w:rsidP="00C97797">
            <w:pPr>
              <w:spacing w:after="0" w:line="240" w:lineRule="auto"/>
              <w:jc w:val="right"/>
              <w:rPr>
                <w:color w:val="000000"/>
                <w:sz w:val="20"/>
                <w:szCs w:val="20"/>
              </w:rPr>
            </w:pPr>
            <w:r w:rsidRPr="00C5367E">
              <w:rPr>
                <w:color w:val="000000"/>
                <w:sz w:val="20"/>
                <w:szCs w:val="20"/>
              </w:rPr>
              <w:t>10.9</w:t>
            </w:r>
          </w:p>
        </w:tc>
        <w:tc>
          <w:tcPr>
            <w:tcW w:w="1260" w:type="dxa"/>
            <w:tcBorders>
              <w:top w:val="nil"/>
              <w:left w:val="single" w:sz="8" w:space="0" w:color="auto"/>
              <w:bottom w:val="single" w:sz="4" w:space="0" w:color="auto"/>
              <w:right w:val="single" w:sz="12" w:space="0" w:color="auto"/>
            </w:tcBorders>
            <w:shd w:val="clear" w:color="000000" w:fill="FFF2CC"/>
            <w:vAlign w:val="center"/>
          </w:tcPr>
          <w:p w14:paraId="124F57F5" w14:textId="77777777" w:rsidR="00ED063B" w:rsidRPr="00C5367E" w:rsidRDefault="00ED063B" w:rsidP="00C97797">
            <w:pPr>
              <w:spacing w:after="0" w:line="240" w:lineRule="auto"/>
              <w:jc w:val="right"/>
              <w:rPr>
                <w:b/>
                <w:color w:val="000000"/>
                <w:sz w:val="20"/>
                <w:szCs w:val="20"/>
              </w:rPr>
            </w:pPr>
            <w:r w:rsidRPr="00C5367E">
              <w:rPr>
                <w:b/>
                <w:color w:val="000000"/>
                <w:sz w:val="20"/>
                <w:szCs w:val="20"/>
              </w:rPr>
              <w:t>-7.3%</w:t>
            </w:r>
          </w:p>
        </w:tc>
        <w:tc>
          <w:tcPr>
            <w:tcW w:w="1817" w:type="dxa"/>
            <w:tcBorders>
              <w:top w:val="nil"/>
              <w:left w:val="single" w:sz="12" w:space="0" w:color="auto"/>
              <w:bottom w:val="single" w:sz="4" w:space="0" w:color="auto"/>
              <w:right w:val="single" w:sz="4" w:space="0" w:color="auto"/>
            </w:tcBorders>
            <w:shd w:val="clear" w:color="000000" w:fill="FFF2CC"/>
            <w:noWrap/>
            <w:vAlign w:val="center"/>
            <w:hideMark/>
          </w:tcPr>
          <w:p w14:paraId="08EE1DAF" w14:textId="77777777" w:rsidR="00ED063B" w:rsidRPr="00C5367E" w:rsidRDefault="00ED063B" w:rsidP="00C97797">
            <w:pPr>
              <w:spacing w:after="0" w:line="240" w:lineRule="auto"/>
              <w:jc w:val="right"/>
              <w:rPr>
                <w:color w:val="000000"/>
                <w:sz w:val="20"/>
                <w:szCs w:val="20"/>
              </w:rPr>
            </w:pPr>
            <w:r w:rsidRPr="00C5367E">
              <w:rPr>
                <w:color w:val="000000"/>
                <w:sz w:val="20"/>
                <w:szCs w:val="20"/>
              </w:rPr>
              <w:t>11.4</w:t>
            </w:r>
          </w:p>
        </w:tc>
        <w:tc>
          <w:tcPr>
            <w:tcW w:w="1710" w:type="dxa"/>
            <w:tcBorders>
              <w:top w:val="nil"/>
              <w:left w:val="nil"/>
              <w:bottom w:val="single" w:sz="4" w:space="0" w:color="auto"/>
              <w:right w:val="single" w:sz="8" w:space="0" w:color="auto"/>
            </w:tcBorders>
            <w:shd w:val="clear" w:color="000000" w:fill="FFF2CC"/>
            <w:noWrap/>
            <w:vAlign w:val="center"/>
            <w:hideMark/>
          </w:tcPr>
          <w:p w14:paraId="31F58796" w14:textId="77777777" w:rsidR="00ED063B" w:rsidRPr="00C5367E" w:rsidRDefault="00ED063B" w:rsidP="00C97797">
            <w:pPr>
              <w:spacing w:after="0" w:line="240" w:lineRule="auto"/>
              <w:jc w:val="right"/>
              <w:rPr>
                <w:color w:val="000000"/>
                <w:sz w:val="20"/>
                <w:szCs w:val="20"/>
              </w:rPr>
            </w:pPr>
            <w:r w:rsidRPr="00C5367E">
              <w:rPr>
                <w:color w:val="000000"/>
                <w:sz w:val="20"/>
                <w:szCs w:val="20"/>
              </w:rPr>
              <w:t>11.4</w:t>
            </w:r>
          </w:p>
        </w:tc>
        <w:tc>
          <w:tcPr>
            <w:tcW w:w="1080" w:type="dxa"/>
            <w:tcBorders>
              <w:top w:val="nil"/>
              <w:left w:val="single" w:sz="8" w:space="0" w:color="auto"/>
              <w:bottom w:val="single" w:sz="4" w:space="0" w:color="auto"/>
              <w:right w:val="double" w:sz="4" w:space="0" w:color="auto"/>
            </w:tcBorders>
            <w:shd w:val="clear" w:color="000000" w:fill="FFF2CC"/>
            <w:vAlign w:val="center"/>
          </w:tcPr>
          <w:p w14:paraId="335F4422" w14:textId="77777777" w:rsidR="00ED063B" w:rsidRPr="00C5367E" w:rsidRDefault="00ED063B" w:rsidP="00C97797">
            <w:pPr>
              <w:spacing w:after="0" w:line="240" w:lineRule="auto"/>
              <w:jc w:val="right"/>
              <w:rPr>
                <w:b/>
                <w:color w:val="000000"/>
                <w:sz w:val="20"/>
                <w:szCs w:val="20"/>
              </w:rPr>
            </w:pPr>
            <w:r w:rsidRPr="00C5367E">
              <w:rPr>
                <w:b/>
                <w:color w:val="000000"/>
                <w:sz w:val="20"/>
                <w:szCs w:val="20"/>
              </w:rPr>
              <w:t>0.3%</w:t>
            </w:r>
          </w:p>
        </w:tc>
      </w:tr>
      <w:tr w:rsidR="00ED063B" w:rsidRPr="00C5367E" w14:paraId="194E0382" w14:textId="77777777" w:rsidTr="00A24926">
        <w:trPr>
          <w:trHeight w:val="288"/>
        </w:trPr>
        <w:tc>
          <w:tcPr>
            <w:tcW w:w="2002" w:type="dxa"/>
            <w:vMerge/>
            <w:tcBorders>
              <w:top w:val="single" w:sz="4" w:space="0" w:color="auto"/>
              <w:left w:val="double" w:sz="4" w:space="0" w:color="auto"/>
              <w:bottom w:val="single" w:sz="12" w:space="0" w:color="auto"/>
              <w:right w:val="single" w:sz="4" w:space="0" w:color="auto"/>
            </w:tcBorders>
            <w:vAlign w:val="center"/>
            <w:hideMark/>
          </w:tcPr>
          <w:p w14:paraId="00AB014E" w14:textId="77777777" w:rsidR="00ED063B" w:rsidRPr="00C5367E" w:rsidRDefault="00ED063B" w:rsidP="00C97797">
            <w:pPr>
              <w:spacing w:after="0" w:line="240" w:lineRule="auto"/>
              <w:jc w:val="left"/>
              <w:rPr>
                <w:rFonts w:eastAsia="Times New Roman"/>
                <w:b/>
                <w:color w:val="000000"/>
                <w:sz w:val="20"/>
                <w:szCs w:val="20"/>
              </w:rPr>
            </w:pPr>
          </w:p>
        </w:tc>
        <w:tc>
          <w:tcPr>
            <w:tcW w:w="1259" w:type="dxa"/>
            <w:tcBorders>
              <w:top w:val="nil"/>
              <w:left w:val="single" w:sz="12" w:space="0" w:color="auto"/>
              <w:bottom w:val="single" w:sz="12" w:space="0" w:color="auto"/>
              <w:right w:val="single" w:sz="12" w:space="0" w:color="auto"/>
            </w:tcBorders>
            <w:shd w:val="clear" w:color="000000" w:fill="FFF2CC"/>
          </w:tcPr>
          <w:p w14:paraId="3B5DC6A8" w14:textId="77777777" w:rsidR="00ED063B" w:rsidRPr="00C5367E" w:rsidRDefault="00ED063B" w:rsidP="00C97797">
            <w:pPr>
              <w:spacing w:after="0" w:line="240" w:lineRule="auto"/>
              <w:jc w:val="center"/>
              <w:rPr>
                <w:rFonts w:eastAsia="Times New Roman"/>
                <w:color w:val="000000"/>
                <w:sz w:val="20"/>
                <w:szCs w:val="20"/>
              </w:rPr>
            </w:pPr>
            <w:r w:rsidRPr="00C5367E">
              <w:rPr>
                <w:rFonts w:eastAsia="Times New Roman"/>
                <w:color w:val="000000"/>
                <w:sz w:val="20"/>
                <w:szCs w:val="20"/>
              </w:rPr>
              <w:t>Third WPL</w:t>
            </w:r>
          </w:p>
        </w:tc>
        <w:tc>
          <w:tcPr>
            <w:tcW w:w="1233" w:type="dxa"/>
            <w:tcBorders>
              <w:top w:val="nil"/>
              <w:left w:val="single" w:sz="12" w:space="0" w:color="auto"/>
              <w:bottom w:val="single" w:sz="12" w:space="0" w:color="auto"/>
              <w:right w:val="single" w:sz="4" w:space="0" w:color="auto"/>
            </w:tcBorders>
            <w:shd w:val="clear" w:color="000000" w:fill="FFF2CC"/>
            <w:vAlign w:val="center"/>
          </w:tcPr>
          <w:p w14:paraId="179AF327" w14:textId="77777777" w:rsidR="00ED063B" w:rsidRPr="00C5367E" w:rsidRDefault="00ED063B" w:rsidP="00C97797">
            <w:pPr>
              <w:spacing w:after="0" w:line="240" w:lineRule="auto"/>
              <w:jc w:val="right"/>
              <w:rPr>
                <w:color w:val="000000"/>
                <w:sz w:val="20"/>
                <w:szCs w:val="20"/>
              </w:rPr>
            </w:pPr>
            <w:r w:rsidRPr="00C5367E">
              <w:rPr>
                <w:color w:val="000000"/>
                <w:sz w:val="20"/>
                <w:szCs w:val="20"/>
              </w:rPr>
              <w:t>0.7</w:t>
            </w:r>
          </w:p>
        </w:tc>
        <w:tc>
          <w:tcPr>
            <w:tcW w:w="1191" w:type="dxa"/>
            <w:tcBorders>
              <w:top w:val="nil"/>
              <w:left w:val="single" w:sz="4" w:space="0" w:color="auto"/>
              <w:bottom w:val="single" w:sz="12" w:space="0" w:color="auto"/>
              <w:right w:val="single" w:sz="4" w:space="0" w:color="auto"/>
            </w:tcBorders>
            <w:shd w:val="clear" w:color="000000" w:fill="FFF2CC"/>
            <w:vAlign w:val="center"/>
          </w:tcPr>
          <w:p w14:paraId="2E6ECF20" w14:textId="77777777" w:rsidR="00ED063B" w:rsidRPr="00C5367E" w:rsidRDefault="00ED063B" w:rsidP="00C97797">
            <w:pPr>
              <w:spacing w:after="0" w:line="240" w:lineRule="auto"/>
              <w:jc w:val="right"/>
              <w:rPr>
                <w:color w:val="000000"/>
                <w:sz w:val="20"/>
                <w:szCs w:val="20"/>
              </w:rPr>
            </w:pPr>
            <w:r w:rsidRPr="00C5367E">
              <w:rPr>
                <w:color w:val="000000"/>
                <w:sz w:val="20"/>
                <w:szCs w:val="20"/>
              </w:rPr>
              <w:t>0.8</w:t>
            </w:r>
          </w:p>
        </w:tc>
        <w:tc>
          <w:tcPr>
            <w:tcW w:w="1170" w:type="dxa"/>
            <w:tcBorders>
              <w:top w:val="nil"/>
              <w:left w:val="single" w:sz="4" w:space="0" w:color="auto"/>
              <w:bottom w:val="single" w:sz="12" w:space="0" w:color="auto"/>
              <w:right w:val="single" w:sz="8" w:space="0" w:color="auto"/>
            </w:tcBorders>
            <w:shd w:val="clear" w:color="000000" w:fill="FFF2CC"/>
            <w:vAlign w:val="center"/>
          </w:tcPr>
          <w:p w14:paraId="6C0CBBB0" w14:textId="77777777" w:rsidR="00ED063B" w:rsidRPr="00C5367E" w:rsidRDefault="00ED063B" w:rsidP="00C97797">
            <w:pPr>
              <w:spacing w:after="0" w:line="240" w:lineRule="auto"/>
              <w:jc w:val="right"/>
              <w:rPr>
                <w:color w:val="000000"/>
                <w:sz w:val="20"/>
                <w:szCs w:val="20"/>
              </w:rPr>
            </w:pPr>
            <w:r w:rsidRPr="00C5367E">
              <w:rPr>
                <w:color w:val="000000"/>
                <w:sz w:val="20"/>
                <w:szCs w:val="20"/>
              </w:rPr>
              <w:t>0.8</w:t>
            </w:r>
          </w:p>
        </w:tc>
        <w:tc>
          <w:tcPr>
            <w:tcW w:w="1260" w:type="dxa"/>
            <w:tcBorders>
              <w:top w:val="nil"/>
              <w:left w:val="single" w:sz="8" w:space="0" w:color="auto"/>
              <w:bottom w:val="single" w:sz="12" w:space="0" w:color="auto"/>
              <w:right w:val="single" w:sz="12" w:space="0" w:color="auto"/>
            </w:tcBorders>
            <w:shd w:val="clear" w:color="000000" w:fill="FFF2CC"/>
            <w:vAlign w:val="center"/>
          </w:tcPr>
          <w:p w14:paraId="3F895090" w14:textId="77777777" w:rsidR="00ED063B" w:rsidRPr="00C5367E" w:rsidRDefault="00ED063B" w:rsidP="00C97797">
            <w:pPr>
              <w:spacing w:after="0" w:line="240" w:lineRule="auto"/>
              <w:jc w:val="right"/>
              <w:rPr>
                <w:b/>
                <w:color w:val="000000"/>
                <w:sz w:val="20"/>
                <w:szCs w:val="20"/>
              </w:rPr>
            </w:pPr>
            <w:r w:rsidRPr="00C5367E">
              <w:rPr>
                <w:b/>
                <w:color w:val="000000"/>
                <w:sz w:val="20"/>
                <w:szCs w:val="20"/>
              </w:rPr>
              <w:t>9.9%</w:t>
            </w:r>
          </w:p>
        </w:tc>
        <w:tc>
          <w:tcPr>
            <w:tcW w:w="1817" w:type="dxa"/>
            <w:tcBorders>
              <w:top w:val="nil"/>
              <w:left w:val="single" w:sz="12" w:space="0" w:color="auto"/>
              <w:bottom w:val="single" w:sz="12" w:space="0" w:color="auto"/>
              <w:right w:val="single" w:sz="4" w:space="0" w:color="auto"/>
            </w:tcBorders>
            <w:shd w:val="clear" w:color="000000" w:fill="FFF2CC"/>
            <w:noWrap/>
            <w:vAlign w:val="center"/>
            <w:hideMark/>
          </w:tcPr>
          <w:p w14:paraId="11E48772" w14:textId="77777777" w:rsidR="00ED063B" w:rsidRPr="00C5367E" w:rsidRDefault="00ED063B" w:rsidP="00C97797">
            <w:pPr>
              <w:spacing w:after="0" w:line="240" w:lineRule="auto"/>
              <w:jc w:val="right"/>
              <w:rPr>
                <w:color w:val="000000"/>
                <w:sz w:val="20"/>
                <w:szCs w:val="20"/>
              </w:rPr>
            </w:pPr>
            <w:r w:rsidRPr="00C5367E">
              <w:rPr>
                <w:color w:val="000000"/>
                <w:sz w:val="20"/>
                <w:szCs w:val="20"/>
              </w:rPr>
              <w:t>0.8</w:t>
            </w:r>
          </w:p>
        </w:tc>
        <w:tc>
          <w:tcPr>
            <w:tcW w:w="1710" w:type="dxa"/>
            <w:tcBorders>
              <w:top w:val="nil"/>
              <w:left w:val="nil"/>
              <w:bottom w:val="single" w:sz="12" w:space="0" w:color="auto"/>
              <w:right w:val="single" w:sz="8" w:space="0" w:color="auto"/>
            </w:tcBorders>
            <w:shd w:val="clear" w:color="000000" w:fill="FFF2CC"/>
            <w:noWrap/>
            <w:vAlign w:val="center"/>
            <w:hideMark/>
          </w:tcPr>
          <w:p w14:paraId="072CDFCF" w14:textId="77777777" w:rsidR="00ED063B" w:rsidRPr="00C5367E" w:rsidRDefault="00ED063B" w:rsidP="00C97797">
            <w:pPr>
              <w:spacing w:after="0" w:line="240" w:lineRule="auto"/>
              <w:jc w:val="right"/>
              <w:rPr>
                <w:color w:val="000000"/>
                <w:sz w:val="20"/>
                <w:szCs w:val="20"/>
              </w:rPr>
            </w:pPr>
            <w:r w:rsidRPr="00C5367E">
              <w:rPr>
                <w:color w:val="000000"/>
                <w:sz w:val="20"/>
                <w:szCs w:val="20"/>
              </w:rPr>
              <w:t>0.7</w:t>
            </w:r>
          </w:p>
        </w:tc>
        <w:tc>
          <w:tcPr>
            <w:tcW w:w="1080" w:type="dxa"/>
            <w:tcBorders>
              <w:top w:val="nil"/>
              <w:left w:val="single" w:sz="8" w:space="0" w:color="auto"/>
              <w:bottom w:val="single" w:sz="12" w:space="0" w:color="auto"/>
              <w:right w:val="double" w:sz="4" w:space="0" w:color="auto"/>
            </w:tcBorders>
            <w:shd w:val="clear" w:color="000000" w:fill="FFF2CC"/>
            <w:vAlign w:val="center"/>
          </w:tcPr>
          <w:p w14:paraId="5F92AEF0" w14:textId="77777777" w:rsidR="00ED063B" w:rsidRPr="00C5367E" w:rsidRDefault="00ED063B" w:rsidP="00C97797">
            <w:pPr>
              <w:spacing w:after="0" w:line="240" w:lineRule="auto"/>
              <w:jc w:val="right"/>
              <w:rPr>
                <w:b/>
                <w:color w:val="000000"/>
                <w:sz w:val="20"/>
                <w:szCs w:val="20"/>
              </w:rPr>
            </w:pPr>
            <w:r w:rsidRPr="00C5367E">
              <w:rPr>
                <w:b/>
                <w:color w:val="000000"/>
                <w:sz w:val="20"/>
                <w:szCs w:val="20"/>
              </w:rPr>
              <w:t>-7.8%</w:t>
            </w:r>
          </w:p>
        </w:tc>
      </w:tr>
      <w:tr w:rsidR="00ED063B" w:rsidRPr="00C5367E" w14:paraId="38A368D3" w14:textId="77777777" w:rsidTr="00A24926">
        <w:trPr>
          <w:trHeight w:val="288"/>
        </w:trPr>
        <w:tc>
          <w:tcPr>
            <w:tcW w:w="2002" w:type="dxa"/>
            <w:vMerge w:val="restart"/>
            <w:tcBorders>
              <w:top w:val="nil"/>
              <w:left w:val="double" w:sz="4" w:space="0" w:color="auto"/>
              <w:bottom w:val="single" w:sz="4" w:space="0" w:color="000000"/>
              <w:right w:val="single" w:sz="4" w:space="0" w:color="auto"/>
            </w:tcBorders>
            <w:shd w:val="clear" w:color="000000" w:fill="FFE699"/>
            <w:vAlign w:val="center"/>
            <w:hideMark/>
          </w:tcPr>
          <w:p w14:paraId="60E94F4B" w14:textId="77777777" w:rsidR="00ED063B" w:rsidRPr="00C5367E" w:rsidRDefault="00ED063B" w:rsidP="00C97797">
            <w:pPr>
              <w:spacing w:after="0" w:line="240" w:lineRule="auto"/>
              <w:jc w:val="left"/>
              <w:rPr>
                <w:rFonts w:eastAsia="Times New Roman"/>
                <w:b/>
                <w:color w:val="000000"/>
                <w:sz w:val="20"/>
                <w:szCs w:val="20"/>
              </w:rPr>
            </w:pPr>
            <w:r w:rsidRPr="00C5367E">
              <w:rPr>
                <w:rFonts w:eastAsia="Times New Roman"/>
                <w:b/>
                <w:color w:val="000000"/>
                <w:sz w:val="20"/>
                <w:szCs w:val="20"/>
              </w:rPr>
              <w:t>Women with young child with partner</w:t>
            </w:r>
          </w:p>
        </w:tc>
        <w:tc>
          <w:tcPr>
            <w:tcW w:w="1259" w:type="dxa"/>
            <w:tcBorders>
              <w:top w:val="single" w:sz="12" w:space="0" w:color="auto"/>
              <w:left w:val="single" w:sz="12" w:space="0" w:color="auto"/>
              <w:bottom w:val="single" w:sz="4" w:space="0" w:color="auto"/>
              <w:right w:val="single" w:sz="12" w:space="0" w:color="auto"/>
            </w:tcBorders>
            <w:shd w:val="clear" w:color="000000" w:fill="FFE699"/>
          </w:tcPr>
          <w:p w14:paraId="7193CB82" w14:textId="77777777" w:rsidR="00ED063B" w:rsidRPr="00C5367E" w:rsidRDefault="00ED063B" w:rsidP="00C97797">
            <w:pPr>
              <w:spacing w:after="0" w:line="240" w:lineRule="auto"/>
              <w:jc w:val="center"/>
              <w:rPr>
                <w:rFonts w:eastAsia="Times New Roman"/>
                <w:color w:val="000000"/>
                <w:sz w:val="20"/>
                <w:szCs w:val="20"/>
              </w:rPr>
            </w:pPr>
            <w:r w:rsidRPr="00C5367E">
              <w:rPr>
                <w:rFonts w:eastAsia="Times New Roman"/>
                <w:color w:val="000000"/>
                <w:sz w:val="20"/>
                <w:szCs w:val="20"/>
              </w:rPr>
              <w:t>Home</w:t>
            </w:r>
          </w:p>
        </w:tc>
        <w:tc>
          <w:tcPr>
            <w:tcW w:w="1233" w:type="dxa"/>
            <w:tcBorders>
              <w:top w:val="single" w:sz="12" w:space="0" w:color="auto"/>
              <w:left w:val="single" w:sz="12" w:space="0" w:color="auto"/>
              <w:bottom w:val="single" w:sz="4" w:space="0" w:color="auto"/>
              <w:right w:val="single" w:sz="4" w:space="0" w:color="auto"/>
            </w:tcBorders>
            <w:shd w:val="clear" w:color="000000" w:fill="FFE699"/>
            <w:vAlign w:val="center"/>
          </w:tcPr>
          <w:p w14:paraId="4DF31D35" w14:textId="77777777" w:rsidR="00ED063B" w:rsidRPr="00C5367E" w:rsidRDefault="00ED063B" w:rsidP="00C97797">
            <w:pPr>
              <w:spacing w:after="0" w:line="240" w:lineRule="auto"/>
              <w:jc w:val="right"/>
              <w:rPr>
                <w:color w:val="000000"/>
                <w:sz w:val="20"/>
                <w:szCs w:val="20"/>
              </w:rPr>
            </w:pPr>
            <w:r w:rsidRPr="00C5367E">
              <w:rPr>
                <w:color w:val="000000"/>
                <w:sz w:val="20"/>
                <w:szCs w:val="20"/>
              </w:rPr>
              <w:t>11.1</w:t>
            </w:r>
          </w:p>
        </w:tc>
        <w:tc>
          <w:tcPr>
            <w:tcW w:w="1191" w:type="dxa"/>
            <w:tcBorders>
              <w:top w:val="single" w:sz="12" w:space="0" w:color="auto"/>
              <w:left w:val="single" w:sz="4" w:space="0" w:color="auto"/>
              <w:bottom w:val="single" w:sz="4" w:space="0" w:color="auto"/>
              <w:right w:val="single" w:sz="4" w:space="0" w:color="auto"/>
            </w:tcBorders>
            <w:shd w:val="clear" w:color="000000" w:fill="FFE699"/>
            <w:vAlign w:val="center"/>
          </w:tcPr>
          <w:p w14:paraId="02B45226" w14:textId="77777777" w:rsidR="00ED063B" w:rsidRPr="00C5367E" w:rsidRDefault="00ED063B" w:rsidP="00C97797">
            <w:pPr>
              <w:spacing w:after="0" w:line="240" w:lineRule="auto"/>
              <w:jc w:val="right"/>
              <w:rPr>
                <w:color w:val="000000"/>
                <w:sz w:val="20"/>
                <w:szCs w:val="20"/>
              </w:rPr>
            </w:pPr>
            <w:r w:rsidRPr="00C5367E">
              <w:rPr>
                <w:color w:val="000000"/>
                <w:sz w:val="20"/>
                <w:szCs w:val="20"/>
              </w:rPr>
              <w:t>11.7</w:t>
            </w:r>
          </w:p>
        </w:tc>
        <w:tc>
          <w:tcPr>
            <w:tcW w:w="1170" w:type="dxa"/>
            <w:tcBorders>
              <w:top w:val="single" w:sz="12" w:space="0" w:color="auto"/>
              <w:left w:val="single" w:sz="4" w:space="0" w:color="auto"/>
              <w:bottom w:val="single" w:sz="4" w:space="0" w:color="auto"/>
              <w:right w:val="single" w:sz="8" w:space="0" w:color="auto"/>
            </w:tcBorders>
            <w:shd w:val="clear" w:color="000000" w:fill="FFE699"/>
            <w:vAlign w:val="center"/>
          </w:tcPr>
          <w:p w14:paraId="5AC031C0" w14:textId="77777777" w:rsidR="00ED063B" w:rsidRPr="00C5367E" w:rsidRDefault="00ED063B" w:rsidP="00C97797">
            <w:pPr>
              <w:spacing w:after="0" w:line="240" w:lineRule="auto"/>
              <w:jc w:val="right"/>
              <w:rPr>
                <w:color w:val="000000"/>
                <w:sz w:val="20"/>
                <w:szCs w:val="20"/>
              </w:rPr>
            </w:pPr>
            <w:r w:rsidRPr="00C5367E">
              <w:rPr>
                <w:color w:val="000000"/>
                <w:sz w:val="20"/>
                <w:szCs w:val="20"/>
              </w:rPr>
              <w:t>12.3</w:t>
            </w:r>
          </w:p>
        </w:tc>
        <w:tc>
          <w:tcPr>
            <w:tcW w:w="1260" w:type="dxa"/>
            <w:tcBorders>
              <w:top w:val="single" w:sz="12" w:space="0" w:color="auto"/>
              <w:left w:val="single" w:sz="8" w:space="0" w:color="auto"/>
              <w:bottom w:val="single" w:sz="4" w:space="0" w:color="auto"/>
              <w:right w:val="single" w:sz="12" w:space="0" w:color="auto"/>
            </w:tcBorders>
            <w:shd w:val="clear" w:color="000000" w:fill="FFE699"/>
            <w:vAlign w:val="center"/>
          </w:tcPr>
          <w:p w14:paraId="1A418A91" w14:textId="77777777" w:rsidR="00ED063B" w:rsidRPr="00C5367E" w:rsidRDefault="00ED063B" w:rsidP="00C97797">
            <w:pPr>
              <w:spacing w:after="0" w:line="240" w:lineRule="auto"/>
              <w:jc w:val="right"/>
              <w:rPr>
                <w:b/>
                <w:color w:val="000000"/>
                <w:sz w:val="20"/>
                <w:szCs w:val="20"/>
              </w:rPr>
            </w:pPr>
            <w:r w:rsidRPr="00C5367E">
              <w:rPr>
                <w:b/>
                <w:color w:val="000000"/>
                <w:sz w:val="20"/>
                <w:szCs w:val="20"/>
              </w:rPr>
              <w:t>11.3%</w:t>
            </w:r>
          </w:p>
        </w:tc>
        <w:tc>
          <w:tcPr>
            <w:tcW w:w="1817" w:type="dxa"/>
            <w:tcBorders>
              <w:top w:val="single" w:sz="12" w:space="0" w:color="auto"/>
              <w:left w:val="single" w:sz="12" w:space="0" w:color="auto"/>
              <w:bottom w:val="single" w:sz="4" w:space="0" w:color="auto"/>
              <w:right w:val="single" w:sz="4" w:space="0" w:color="auto"/>
            </w:tcBorders>
            <w:shd w:val="clear" w:color="000000" w:fill="FFE699"/>
            <w:noWrap/>
            <w:vAlign w:val="center"/>
            <w:hideMark/>
          </w:tcPr>
          <w:p w14:paraId="5F6D91CC" w14:textId="77777777" w:rsidR="00ED063B" w:rsidRPr="00C5367E" w:rsidRDefault="00ED063B" w:rsidP="00C97797">
            <w:pPr>
              <w:spacing w:after="0" w:line="240" w:lineRule="auto"/>
              <w:jc w:val="right"/>
              <w:rPr>
                <w:color w:val="000000"/>
                <w:sz w:val="20"/>
                <w:szCs w:val="20"/>
              </w:rPr>
            </w:pPr>
            <w:r w:rsidRPr="00C5367E">
              <w:rPr>
                <w:color w:val="000000"/>
                <w:sz w:val="20"/>
                <w:szCs w:val="20"/>
              </w:rPr>
              <w:t>11.5</w:t>
            </w:r>
          </w:p>
        </w:tc>
        <w:tc>
          <w:tcPr>
            <w:tcW w:w="1710" w:type="dxa"/>
            <w:tcBorders>
              <w:top w:val="single" w:sz="12" w:space="0" w:color="auto"/>
              <w:left w:val="nil"/>
              <w:bottom w:val="single" w:sz="4" w:space="0" w:color="auto"/>
              <w:right w:val="single" w:sz="8" w:space="0" w:color="auto"/>
            </w:tcBorders>
            <w:shd w:val="clear" w:color="000000" w:fill="FFE699"/>
            <w:noWrap/>
            <w:vAlign w:val="center"/>
            <w:hideMark/>
          </w:tcPr>
          <w:p w14:paraId="097F3700" w14:textId="77777777" w:rsidR="00ED063B" w:rsidRPr="00C5367E" w:rsidRDefault="00ED063B" w:rsidP="00C97797">
            <w:pPr>
              <w:spacing w:after="0" w:line="240" w:lineRule="auto"/>
              <w:jc w:val="right"/>
              <w:rPr>
                <w:color w:val="000000"/>
                <w:sz w:val="20"/>
                <w:szCs w:val="20"/>
              </w:rPr>
            </w:pPr>
            <w:r w:rsidRPr="00C5367E">
              <w:rPr>
                <w:color w:val="000000"/>
                <w:sz w:val="20"/>
                <w:szCs w:val="20"/>
              </w:rPr>
              <w:t>11.6</w:t>
            </w:r>
          </w:p>
        </w:tc>
        <w:tc>
          <w:tcPr>
            <w:tcW w:w="1080" w:type="dxa"/>
            <w:tcBorders>
              <w:top w:val="single" w:sz="12" w:space="0" w:color="auto"/>
              <w:left w:val="single" w:sz="8" w:space="0" w:color="auto"/>
              <w:bottom w:val="single" w:sz="4" w:space="0" w:color="auto"/>
              <w:right w:val="double" w:sz="4" w:space="0" w:color="auto"/>
            </w:tcBorders>
            <w:shd w:val="clear" w:color="000000" w:fill="FFE699"/>
            <w:vAlign w:val="center"/>
          </w:tcPr>
          <w:p w14:paraId="706DA016" w14:textId="77777777" w:rsidR="00ED063B" w:rsidRPr="00C5367E" w:rsidRDefault="00ED063B" w:rsidP="00C97797">
            <w:pPr>
              <w:spacing w:after="0" w:line="240" w:lineRule="auto"/>
              <w:jc w:val="right"/>
              <w:rPr>
                <w:b/>
                <w:color w:val="000000"/>
                <w:sz w:val="20"/>
                <w:szCs w:val="20"/>
              </w:rPr>
            </w:pPr>
            <w:r w:rsidRPr="00C5367E">
              <w:rPr>
                <w:b/>
                <w:color w:val="000000"/>
                <w:sz w:val="20"/>
                <w:szCs w:val="20"/>
              </w:rPr>
              <w:t>1.1%</w:t>
            </w:r>
          </w:p>
        </w:tc>
      </w:tr>
      <w:tr w:rsidR="00ED063B" w:rsidRPr="00C5367E" w14:paraId="2BF15E92" w14:textId="77777777" w:rsidTr="00A24926">
        <w:trPr>
          <w:trHeight w:val="288"/>
        </w:trPr>
        <w:tc>
          <w:tcPr>
            <w:tcW w:w="2002" w:type="dxa"/>
            <w:vMerge/>
            <w:tcBorders>
              <w:top w:val="nil"/>
              <w:left w:val="double" w:sz="4" w:space="0" w:color="auto"/>
              <w:bottom w:val="single" w:sz="4" w:space="0" w:color="000000"/>
              <w:right w:val="single" w:sz="4" w:space="0" w:color="auto"/>
            </w:tcBorders>
            <w:vAlign w:val="center"/>
            <w:hideMark/>
          </w:tcPr>
          <w:p w14:paraId="6FF931CE" w14:textId="77777777" w:rsidR="00ED063B" w:rsidRPr="00C5367E" w:rsidRDefault="00ED063B" w:rsidP="00C97797">
            <w:pPr>
              <w:spacing w:after="0" w:line="240" w:lineRule="auto"/>
              <w:jc w:val="left"/>
              <w:rPr>
                <w:rFonts w:eastAsia="Times New Roman"/>
                <w:b/>
                <w:color w:val="000000"/>
                <w:sz w:val="20"/>
                <w:szCs w:val="20"/>
              </w:rPr>
            </w:pPr>
          </w:p>
        </w:tc>
        <w:tc>
          <w:tcPr>
            <w:tcW w:w="1259" w:type="dxa"/>
            <w:tcBorders>
              <w:top w:val="nil"/>
              <w:left w:val="single" w:sz="12" w:space="0" w:color="auto"/>
              <w:bottom w:val="single" w:sz="4" w:space="0" w:color="auto"/>
              <w:right w:val="single" w:sz="12" w:space="0" w:color="auto"/>
            </w:tcBorders>
            <w:shd w:val="clear" w:color="000000" w:fill="FFE699"/>
          </w:tcPr>
          <w:p w14:paraId="45F88CCB" w14:textId="77777777" w:rsidR="00ED063B" w:rsidRPr="00C5367E" w:rsidRDefault="00ED063B" w:rsidP="00C97797">
            <w:pPr>
              <w:spacing w:after="0" w:line="240" w:lineRule="auto"/>
              <w:jc w:val="center"/>
              <w:rPr>
                <w:rFonts w:eastAsia="Times New Roman"/>
                <w:color w:val="000000"/>
                <w:sz w:val="20"/>
                <w:szCs w:val="20"/>
              </w:rPr>
            </w:pPr>
            <w:r>
              <w:rPr>
                <w:rFonts w:eastAsia="Times New Roman"/>
                <w:color w:val="000000"/>
                <w:sz w:val="20"/>
                <w:szCs w:val="20"/>
              </w:rPr>
              <w:t>Work Office</w:t>
            </w:r>
          </w:p>
        </w:tc>
        <w:tc>
          <w:tcPr>
            <w:tcW w:w="1233" w:type="dxa"/>
            <w:tcBorders>
              <w:top w:val="nil"/>
              <w:left w:val="single" w:sz="12" w:space="0" w:color="auto"/>
              <w:bottom w:val="single" w:sz="4" w:space="0" w:color="auto"/>
              <w:right w:val="single" w:sz="4" w:space="0" w:color="auto"/>
            </w:tcBorders>
            <w:shd w:val="clear" w:color="000000" w:fill="FFE699"/>
            <w:vAlign w:val="center"/>
          </w:tcPr>
          <w:p w14:paraId="6B3E2362" w14:textId="77777777" w:rsidR="00ED063B" w:rsidRPr="00C5367E" w:rsidRDefault="00ED063B" w:rsidP="00C97797">
            <w:pPr>
              <w:spacing w:after="0" w:line="240" w:lineRule="auto"/>
              <w:jc w:val="right"/>
              <w:rPr>
                <w:color w:val="000000"/>
                <w:sz w:val="20"/>
                <w:szCs w:val="20"/>
              </w:rPr>
            </w:pPr>
            <w:r w:rsidRPr="00C5367E">
              <w:rPr>
                <w:color w:val="000000"/>
                <w:sz w:val="20"/>
                <w:szCs w:val="20"/>
              </w:rPr>
              <w:t>9.4</w:t>
            </w:r>
          </w:p>
        </w:tc>
        <w:tc>
          <w:tcPr>
            <w:tcW w:w="1191" w:type="dxa"/>
            <w:tcBorders>
              <w:top w:val="nil"/>
              <w:left w:val="single" w:sz="4" w:space="0" w:color="auto"/>
              <w:bottom w:val="single" w:sz="4" w:space="0" w:color="auto"/>
              <w:right w:val="single" w:sz="4" w:space="0" w:color="auto"/>
            </w:tcBorders>
            <w:shd w:val="clear" w:color="000000" w:fill="FFE699"/>
            <w:vAlign w:val="center"/>
          </w:tcPr>
          <w:p w14:paraId="49E0460F" w14:textId="77777777" w:rsidR="00ED063B" w:rsidRPr="00C5367E" w:rsidRDefault="00ED063B" w:rsidP="00C97797">
            <w:pPr>
              <w:spacing w:after="0" w:line="240" w:lineRule="auto"/>
              <w:jc w:val="right"/>
              <w:rPr>
                <w:color w:val="000000"/>
                <w:sz w:val="20"/>
                <w:szCs w:val="20"/>
              </w:rPr>
            </w:pPr>
            <w:r w:rsidRPr="00C5367E">
              <w:rPr>
                <w:color w:val="000000"/>
                <w:sz w:val="20"/>
                <w:szCs w:val="20"/>
              </w:rPr>
              <w:t>8.6</w:t>
            </w:r>
          </w:p>
        </w:tc>
        <w:tc>
          <w:tcPr>
            <w:tcW w:w="1170" w:type="dxa"/>
            <w:tcBorders>
              <w:top w:val="nil"/>
              <w:left w:val="single" w:sz="4" w:space="0" w:color="auto"/>
              <w:bottom w:val="single" w:sz="4" w:space="0" w:color="auto"/>
              <w:right w:val="single" w:sz="8" w:space="0" w:color="auto"/>
            </w:tcBorders>
            <w:shd w:val="clear" w:color="000000" w:fill="FFE699"/>
            <w:vAlign w:val="center"/>
          </w:tcPr>
          <w:p w14:paraId="3BEC972C" w14:textId="77777777" w:rsidR="00ED063B" w:rsidRPr="00C5367E" w:rsidRDefault="00ED063B" w:rsidP="00C97797">
            <w:pPr>
              <w:spacing w:after="0" w:line="240" w:lineRule="auto"/>
              <w:jc w:val="right"/>
              <w:rPr>
                <w:color w:val="000000"/>
                <w:sz w:val="20"/>
                <w:szCs w:val="20"/>
              </w:rPr>
            </w:pPr>
            <w:r w:rsidRPr="00C5367E">
              <w:rPr>
                <w:color w:val="000000"/>
                <w:sz w:val="20"/>
                <w:szCs w:val="20"/>
              </w:rPr>
              <w:t>7.9</w:t>
            </w:r>
          </w:p>
        </w:tc>
        <w:tc>
          <w:tcPr>
            <w:tcW w:w="1260" w:type="dxa"/>
            <w:tcBorders>
              <w:top w:val="nil"/>
              <w:left w:val="single" w:sz="8" w:space="0" w:color="auto"/>
              <w:bottom w:val="single" w:sz="4" w:space="0" w:color="auto"/>
              <w:right w:val="single" w:sz="12" w:space="0" w:color="auto"/>
            </w:tcBorders>
            <w:shd w:val="clear" w:color="000000" w:fill="FFE699"/>
            <w:vAlign w:val="center"/>
          </w:tcPr>
          <w:p w14:paraId="7E705822" w14:textId="77777777" w:rsidR="00ED063B" w:rsidRPr="00C5367E" w:rsidRDefault="00ED063B" w:rsidP="00C97797">
            <w:pPr>
              <w:spacing w:after="0" w:line="240" w:lineRule="auto"/>
              <w:jc w:val="right"/>
              <w:rPr>
                <w:b/>
                <w:color w:val="000000"/>
                <w:sz w:val="20"/>
                <w:szCs w:val="20"/>
              </w:rPr>
            </w:pPr>
            <w:r w:rsidRPr="00C5367E">
              <w:rPr>
                <w:b/>
                <w:color w:val="000000"/>
                <w:sz w:val="20"/>
                <w:szCs w:val="20"/>
              </w:rPr>
              <w:t>-15.6%</w:t>
            </w:r>
          </w:p>
        </w:tc>
        <w:tc>
          <w:tcPr>
            <w:tcW w:w="1817" w:type="dxa"/>
            <w:tcBorders>
              <w:top w:val="nil"/>
              <w:left w:val="single" w:sz="12" w:space="0" w:color="auto"/>
              <w:bottom w:val="single" w:sz="4" w:space="0" w:color="auto"/>
              <w:right w:val="single" w:sz="4" w:space="0" w:color="auto"/>
            </w:tcBorders>
            <w:shd w:val="clear" w:color="000000" w:fill="FFE699"/>
            <w:noWrap/>
            <w:vAlign w:val="center"/>
            <w:hideMark/>
          </w:tcPr>
          <w:p w14:paraId="36F218CC" w14:textId="77777777" w:rsidR="00ED063B" w:rsidRPr="00C5367E" w:rsidRDefault="00ED063B" w:rsidP="00C97797">
            <w:pPr>
              <w:spacing w:after="0" w:line="240" w:lineRule="auto"/>
              <w:jc w:val="right"/>
              <w:rPr>
                <w:color w:val="000000"/>
                <w:sz w:val="20"/>
                <w:szCs w:val="20"/>
              </w:rPr>
            </w:pPr>
            <w:r w:rsidRPr="00C5367E">
              <w:rPr>
                <w:color w:val="000000"/>
                <w:sz w:val="20"/>
                <w:szCs w:val="20"/>
              </w:rPr>
              <w:t>8.8</w:t>
            </w:r>
          </w:p>
        </w:tc>
        <w:tc>
          <w:tcPr>
            <w:tcW w:w="1710" w:type="dxa"/>
            <w:tcBorders>
              <w:top w:val="nil"/>
              <w:left w:val="nil"/>
              <w:bottom w:val="single" w:sz="4" w:space="0" w:color="auto"/>
              <w:right w:val="single" w:sz="8" w:space="0" w:color="auto"/>
            </w:tcBorders>
            <w:shd w:val="clear" w:color="000000" w:fill="FFE699"/>
            <w:noWrap/>
            <w:vAlign w:val="center"/>
            <w:hideMark/>
          </w:tcPr>
          <w:p w14:paraId="00AE1B1C" w14:textId="77777777" w:rsidR="00ED063B" w:rsidRPr="00C5367E" w:rsidRDefault="00ED063B" w:rsidP="00C97797">
            <w:pPr>
              <w:spacing w:after="0" w:line="240" w:lineRule="auto"/>
              <w:jc w:val="right"/>
              <w:rPr>
                <w:color w:val="000000"/>
                <w:sz w:val="20"/>
                <w:szCs w:val="20"/>
              </w:rPr>
            </w:pPr>
            <w:r w:rsidRPr="00C5367E">
              <w:rPr>
                <w:color w:val="000000"/>
                <w:sz w:val="20"/>
                <w:szCs w:val="20"/>
              </w:rPr>
              <w:t>8.8</w:t>
            </w:r>
          </w:p>
        </w:tc>
        <w:tc>
          <w:tcPr>
            <w:tcW w:w="1080" w:type="dxa"/>
            <w:tcBorders>
              <w:top w:val="nil"/>
              <w:left w:val="single" w:sz="8" w:space="0" w:color="auto"/>
              <w:bottom w:val="single" w:sz="4" w:space="0" w:color="auto"/>
              <w:right w:val="double" w:sz="4" w:space="0" w:color="auto"/>
            </w:tcBorders>
            <w:shd w:val="clear" w:color="000000" w:fill="FFE699"/>
            <w:vAlign w:val="center"/>
          </w:tcPr>
          <w:p w14:paraId="3252C236" w14:textId="77777777" w:rsidR="00ED063B" w:rsidRPr="00C5367E" w:rsidRDefault="00ED063B" w:rsidP="00C97797">
            <w:pPr>
              <w:spacing w:after="0" w:line="240" w:lineRule="auto"/>
              <w:jc w:val="right"/>
              <w:rPr>
                <w:b/>
                <w:color w:val="000000"/>
                <w:sz w:val="20"/>
                <w:szCs w:val="20"/>
              </w:rPr>
            </w:pPr>
            <w:r w:rsidRPr="00C5367E">
              <w:rPr>
                <w:b/>
                <w:color w:val="000000"/>
                <w:sz w:val="20"/>
                <w:szCs w:val="20"/>
              </w:rPr>
              <w:t>0.9%</w:t>
            </w:r>
          </w:p>
        </w:tc>
      </w:tr>
      <w:tr w:rsidR="00ED063B" w:rsidRPr="00C5367E" w14:paraId="450F89D0" w14:textId="77777777" w:rsidTr="00A24926">
        <w:trPr>
          <w:trHeight w:val="288"/>
        </w:trPr>
        <w:tc>
          <w:tcPr>
            <w:tcW w:w="2002" w:type="dxa"/>
            <w:vMerge/>
            <w:tcBorders>
              <w:top w:val="nil"/>
              <w:left w:val="double" w:sz="4" w:space="0" w:color="auto"/>
              <w:bottom w:val="single" w:sz="12" w:space="0" w:color="auto"/>
              <w:right w:val="single" w:sz="4" w:space="0" w:color="auto"/>
            </w:tcBorders>
            <w:vAlign w:val="center"/>
            <w:hideMark/>
          </w:tcPr>
          <w:p w14:paraId="65C5DAEB" w14:textId="77777777" w:rsidR="00ED063B" w:rsidRPr="00C5367E" w:rsidRDefault="00ED063B" w:rsidP="00C97797">
            <w:pPr>
              <w:spacing w:after="0" w:line="240" w:lineRule="auto"/>
              <w:jc w:val="left"/>
              <w:rPr>
                <w:rFonts w:eastAsia="Times New Roman"/>
                <w:b/>
                <w:color w:val="000000"/>
                <w:sz w:val="20"/>
                <w:szCs w:val="20"/>
              </w:rPr>
            </w:pPr>
          </w:p>
        </w:tc>
        <w:tc>
          <w:tcPr>
            <w:tcW w:w="1259" w:type="dxa"/>
            <w:tcBorders>
              <w:top w:val="nil"/>
              <w:left w:val="single" w:sz="12" w:space="0" w:color="auto"/>
              <w:bottom w:val="single" w:sz="12" w:space="0" w:color="auto"/>
              <w:right w:val="single" w:sz="12" w:space="0" w:color="auto"/>
            </w:tcBorders>
            <w:shd w:val="clear" w:color="000000" w:fill="FFE699"/>
          </w:tcPr>
          <w:p w14:paraId="726C63B0" w14:textId="77777777" w:rsidR="00ED063B" w:rsidRPr="00C5367E" w:rsidRDefault="00ED063B" w:rsidP="00C97797">
            <w:pPr>
              <w:spacing w:after="0" w:line="240" w:lineRule="auto"/>
              <w:jc w:val="center"/>
              <w:rPr>
                <w:rFonts w:eastAsia="Times New Roman"/>
                <w:color w:val="000000"/>
                <w:sz w:val="20"/>
                <w:szCs w:val="20"/>
              </w:rPr>
            </w:pPr>
            <w:r w:rsidRPr="00C5367E">
              <w:rPr>
                <w:rFonts w:eastAsia="Times New Roman"/>
                <w:color w:val="000000"/>
                <w:sz w:val="20"/>
                <w:szCs w:val="20"/>
              </w:rPr>
              <w:t>Third WPL</w:t>
            </w:r>
          </w:p>
        </w:tc>
        <w:tc>
          <w:tcPr>
            <w:tcW w:w="1233" w:type="dxa"/>
            <w:tcBorders>
              <w:top w:val="nil"/>
              <w:left w:val="single" w:sz="12" w:space="0" w:color="auto"/>
              <w:bottom w:val="single" w:sz="12" w:space="0" w:color="auto"/>
              <w:right w:val="single" w:sz="4" w:space="0" w:color="auto"/>
            </w:tcBorders>
            <w:shd w:val="clear" w:color="000000" w:fill="FFE699"/>
            <w:vAlign w:val="center"/>
          </w:tcPr>
          <w:p w14:paraId="43395844" w14:textId="77777777" w:rsidR="00ED063B" w:rsidRPr="00C5367E" w:rsidRDefault="00ED063B" w:rsidP="00C97797">
            <w:pPr>
              <w:spacing w:after="0" w:line="240" w:lineRule="auto"/>
              <w:jc w:val="right"/>
              <w:rPr>
                <w:color w:val="000000"/>
                <w:sz w:val="20"/>
                <w:szCs w:val="20"/>
              </w:rPr>
            </w:pPr>
            <w:r w:rsidRPr="00C5367E">
              <w:rPr>
                <w:color w:val="000000"/>
                <w:sz w:val="20"/>
                <w:szCs w:val="20"/>
              </w:rPr>
              <w:t>1.6</w:t>
            </w:r>
          </w:p>
        </w:tc>
        <w:tc>
          <w:tcPr>
            <w:tcW w:w="1191" w:type="dxa"/>
            <w:tcBorders>
              <w:top w:val="nil"/>
              <w:left w:val="single" w:sz="4" w:space="0" w:color="auto"/>
              <w:bottom w:val="single" w:sz="12" w:space="0" w:color="auto"/>
              <w:right w:val="single" w:sz="4" w:space="0" w:color="auto"/>
            </w:tcBorders>
            <w:shd w:val="clear" w:color="000000" w:fill="FFE699"/>
            <w:vAlign w:val="center"/>
          </w:tcPr>
          <w:p w14:paraId="09FBEFF7" w14:textId="77777777" w:rsidR="00ED063B" w:rsidRPr="00C5367E" w:rsidRDefault="00ED063B" w:rsidP="00C97797">
            <w:pPr>
              <w:spacing w:after="0" w:line="240" w:lineRule="auto"/>
              <w:jc w:val="right"/>
              <w:rPr>
                <w:color w:val="000000"/>
                <w:sz w:val="20"/>
                <w:szCs w:val="20"/>
              </w:rPr>
            </w:pPr>
            <w:r w:rsidRPr="00C5367E">
              <w:rPr>
                <w:color w:val="000000"/>
                <w:sz w:val="20"/>
                <w:szCs w:val="20"/>
              </w:rPr>
              <w:t>1.7</w:t>
            </w:r>
          </w:p>
        </w:tc>
        <w:tc>
          <w:tcPr>
            <w:tcW w:w="1170" w:type="dxa"/>
            <w:tcBorders>
              <w:top w:val="nil"/>
              <w:left w:val="single" w:sz="4" w:space="0" w:color="auto"/>
              <w:bottom w:val="single" w:sz="12" w:space="0" w:color="auto"/>
              <w:right w:val="single" w:sz="8" w:space="0" w:color="auto"/>
            </w:tcBorders>
            <w:shd w:val="clear" w:color="000000" w:fill="FFE699"/>
            <w:vAlign w:val="center"/>
          </w:tcPr>
          <w:p w14:paraId="2131803E" w14:textId="77777777" w:rsidR="00ED063B" w:rsidRPr="00C5367E" w:rsidRDefault="00ED063B" w:rsidP="00C97797">
            <w:pPr>
              <w:spacing w:after="0" w:line="240" w:lineRule="auto"/>
              <w:jc w:val="right"/>
              <w:rPr>
                <w:color w:val="000000"/>
                <w:sz w:val="20"/>
                <w:szCs w:val="20"/>
              </w:rPr>
            </w:pPr>
            <w:r w:rsidRPr="00C5367E">
              <w:rPr>
                <w:color w:val="000000"/>
                <w:sz w:val="20"/>
                <w:szCs w:val="20"/>
              </w:rPr>
              <w:t>1.8</w:t>
            </w:r>
          </w:p>
        </w:tc>
        <w:tc>
          <w:tcPr>
            <w:tcW w:w="1260" w:type="dxa"/>
            <w:tcBorders>
              <w:top w:val="nil"/>
              <w:left w:val="single" w:sz="8" w:space="0" w:color="auto"/>
              <w:bottom w:val="single" w:sz="12" w:space="0" w:color="auto"/>
              <w:right w:val="single" w:sz="12" w:space="0" w:color="auto"/>
            </w:tcBorders>
            <w:shd w:val="clear" w:color="000000" w:fill="FFE699"/>
            <w:vAlign w:val="center"/>
          </w:tcPr>
          <w:p w14:paraId="03119621" w14:textId="77777777" w:rsidR="00ED063B" w:rsidRPr="00C5367E" w:rsidRDefault="00ED063B" w:rsidP="00C97797">
            <w:pPr>
              <w:spacing w:after="0" w:line="240" w:lineRule="auto"/>
              <w:jc w:val="right"/>
              <w:rPr>
                <w:b/>
                <w:color w:val="000000"/>
                <w:sz w:val="20"/>
                <w:szCs w:val="20"/>
              </w:rPr>
            </w:pPr>
            <w:r w:rsidRPr="00C5367E">
              <w:rPr>
                <w:b/>
                <w:color w:val="000000"/>
                <w:sz w:val="20"/>
                <w:szCs w:val="20"/>
              </w:rPr>
              <w:t>13.6%</w:t>
            </w:r>
          </w:p>
        </w:tc>
        <w:tc>
          <w:tcPr>
            <w:tcW w:w="1817" w:type="dxa"/>
            <w:tcBorders>
              <w:top w:val="nil"/>
              <w:left w:val="single" w:sz="12" w:space="0" w:color="auto"/>
              <w:bottom w:val="single" w:sz="12" w:space="0" w:color="auto"/>
              <w:right w:val="single" w:sz="4" w:space="0" w:color="auto"/>
            </w:tcBorders>
            <w:shd w:val="clear" w:color="000000" w:fill="FFE699"/>
            <w:noWrap/>
            <w:vAlign w:val="center"/>
            <w:hideMark/>
          </w:tcPr>
          <w:p w14:paraId="54B92E07" w14:textId="77777777" w:rsidR="00ED063B" w:rsidRPr="00C5367E" w:rsidRDefault="00ED063B" w:rsidP="00C97797">
            <w:pPr>
              <w:spacing w:after="0" w:line="240" w:lineRule="auto"/>
              <w:jc w:val="right"/>
              <w:rPr>
                <w:color w:val="000000"/>
                <w:sz w:val="20"/>
                <w:szCs w:val="20"/>
              </w:rPr>
            </w:pPr>
            <w:r w:rsidRPr="00C5367E">
              <w:rPr>
                <w:color w:val="000000"/>
                <w:sz w:val="20"/>
                <w:szCs w:val="20"/>
              </w:rPr>
              <w:t>1.7</w:t>
            </w:r>
          </w:p>
        </w:tc>
        <w:tc>
          <w:tcPr>
            <w:tcW w:w="1710" w:type="dxa"/>
            <w:tcBorders>
              <w:top w:val="nil"/>
              <w:left w:val="nil"/>
              <w:bottom w:val="single" w:sz="12" w:space="0" w:color="auto"/>
              <w:right w:val="single" w:sz="8" w:space="0" w:color="auto"/>
            </w:tcBorders>
            <w:shd w:val="clear" w:color="000000" w:fill="FFE699"/>
            <w:noWrap/>
            <w:vAlign w:val="center"/>
            <w:hideMark/>
          </w:tcPr>
          <w:p w14:paraId="5F27ABAB" w14:textId="77777777" w:rsidR="00ED063B" w:rsidRPr="00C5367E" w:rsidRDefault="00ED063B" w:rsidP="00C97797">
            <w:pPr>
              <w:spacing w:after="0" w:line="240" w:lineRule="auto"/>
              <w:jc w:val="right"/>
              <w:rPr>
                <w:color w:val="000000"/>
                <w:sz w:val="20"/>
                <w:szCs w:val="20"/>
              </w:rPr>
            </w:pPr>
            <w:r w:rsidRPr="00C5367E">
              <w:rPr>
                <w:color w:val="000000"/>
                <w:sz w:val="20"/>
                <w:szCs w:val="20"/>
              </w:rPr>
              <w:t>1.5</w:t>
            </w:r>
          </w:p>
        </w:tc>
        <w:tc>
          <w:tcPr>
            <w:tcW w:w="1080" w:type="dxa"/>
            <w:tcBorders>
              <w:top w:val="nil"/>
              <w:left w:val="single" w:sz="8" w:space="0" w:color="auto"/>
              <w:bottom w:val="single" w:sz="12" w:space="0" w:color="auto"/>
              <w:right w:val="double" w:sz="4" w:space="0" w:color="auto"/>
            </w:tcBorders>
            <w:shd w:val="clear" w:color="000000" w:fill="FFE699"/>
            <w:vAlign w:val="center"/>
          </w:tcPr>
          <w:p w14:paraId="0FF1A9E6" w14:textId="77777777" w:rsidR="00ED063B" w:rsidRPr="00C5367E" w:rsidRDefault="00ED063B" w:rsidP="00C97797">
            <w:pPr>
              <w:spacing w:after="0" w:line="240" w:lineRule="auto"/>
              <w:jc w:val="right"/>
              <w:rPr>
                <w:b/>
                <w:color w:val="000000"/>
                <w:sz w:val="20"/>
                <w:szCs w:val="20"/>
              </w:rPr>
            </w:pPr>
            <w:r w:rsidRPr="00C5367E">
              <w:rPr>
                <w:b/>
                <w:color w:val="000000"/>
                <w:sz w:val="20"/>
                <w:szCs w:val="20"/>
              </w:rPr>
              <w:t>-12.2%</w:t>
            </w:r>
          </w:p>
        </w:tc>
      </w:tr>
      <w:tr w:rsidR="00ED063B" w:rsidRPr="00C5367E" w14:paraId="4C673843" w14:textId="77777777" w:rsidTr="00A24926">
        <w:trPr>
          <w:trHeight w:val="288"/>
        </w:trPr>
        <w:tc>
          <w:tcPr>
            <w:tcW w:w="2002" w:type="dxa"/>
            <w:vMerge w:val="restart"/>
            <w:tcBorders>
              <w:top w:val="nil"/>
              <w:left w:val="double" w:sz="4" w:space="0" w:color="auto"/>
              <w:bottom w:val="single" w:sz="4" w:space="0" w:color="000000"/>
              <w:right w:val="single" w:sz="4" w:space="0" w:color="auto"/>
            </w:tcBorders>
            <w:shd w:val="clear" w:color="000000" w:fill="C6E0B4"/>
            <w:vAlign w:val="center"/>
            <w:hideMark/>
          </w:tcPr>
          <w:p w14:paraId="0026BF51" w14:textId="77777777" w:rsidR="00ED063B" w:rsidRPr="00C5367E" w:rsidRDefault="00ED063B" w:rsidP="00C97797">
            <w:pPr>
              <w:spacing w:after="0" w:line="240" w:lineRule="auto"/>
              <w:jc w:val="left"/>
              <w:rPr>
                <w:rFonts w:eastAsia="Times New Roman"/>
                <w:b/>
                <w:bCs/>
                <w:color w:val="000000"/>
                <w:sz w:val="20"/>
                <w:szCs w:val="20"/>
              </w:rPr>
            </w:pPr>
            <w:r w:rsidRPr="00C5367E">
              <w:rPr>
                <w:rFonts w:eastAsia="Times New Roman"/>
                <w:b/>
                <w:bCs/>
                <w:color w:val="000000"/>
                <w:sz w:val="20"/>
                <w:szCs w:val="20"/>
              </w:rPr>
              <w:t>Women with young child without partner</w:t>
            </w:r>
          </w:p>
        </w:tc>
        <w:tc>
          <w:tcPr>
            <w:tcW w:w="1259" w:type="dxa"/>
            <w:tcBorders>
              <w:top w:val="single" w:sz="12" w:space="0" w:color="auto"/>
              <w:left w:val="single" w:sz="12" w:space="0" w:color="auto"/>
              <w:bottom w:val="single" w:sz="4" w:space="0" w:color="auto"/>
              <w:right w:val="single" w:sz="12" w:space="0" w:color="auto"/>
            </w:tcBorders>
            <w:shd w:val="clear" w:color="000000" w:fill="C6E0B4"/>
            <w:vAlign w:val="center"/>
          </w:tcPr>
          <w:p w14:paraId="6986363A" w14:textId="77777777" w:rsidR="00ED063B" w:rsidRPr="00C5367E" w:rsidRDefault="00ED063B" w:rsidP="00C97797">
            <w:pPr>
              <w:spacing w:after="0" w:line="240" w:lineRule="auto"/>
              <w:jc w:val="center"/>
              <w:rPr>
                <w:rFonts w:eastAsia="Times New Roman"/>
                <w:color w:val="000000"/>
                <w:sz w:val="20"/>
                <w:szCs w:val="20"/>
              </w:rPr>
            </w:pPr>
            <w:r w:rsidRPr="00C5367E">
              <w:rPr>
                <w:rFonts w:eastAsia="Times New Roman"/>
                <w:color w:val="000000"/>
                <w:sz w:val="20"/>
                <w:szCs w:val="20"/>
              </w:rPr>
              <w:t>Home</w:t>
            </w:r>
          </w:p>
        </w:tc>
        <w:tc>
          <w:tcPr>
            <w:tcW w:w="1233" w:type="dxa"/>
            <w:tcBorders>
              <w:top w:val="single" w:sz="12" w:space="0" w:color="auto"/>
              <w:left w:val="single" w:sz="12" w:space="0" w:color="auto"/>
              <w:bottom w:val="single" w:sz="4" w:space="0" w:color="auto"/>
              <w:right w:val="single" w:sz="4" w:space="0" w:color="auto"/>
            </w:tcBorders>
            <w:shd w:val="clear" w:color="000000" w:fill="C6E0B4"/>
            <w:vAlign w:val="center"/>
          </w:tcPr>
          <w:p w14:paraId="5CDB4AED" w14:textId="77777777" w:rsidR="00ED063B" w:rsidRPr="00C5367E" w:rsidRDefault="00ED063B" w:rsidP="00C97797">
            <w:pPr>
              <w:spacing w:after="0" w:line="240" w:lineRule="auto"/>
              <w:jc w:val="right"/>
              <w:rPr>
                <w:color w:val="000000"/>
                <w:sz w:val="20"/>
                <w:szCs w:val="20"/>
              </w:rPr>
            </w:pPr>
            <w:r w:rsidRPr="00C5367E">
              <w:rPr>
                <w:color w:val="000000"/>
                <w:sz w:val="20"/>
                <w:szCs w:val="20"/>
              </w:rPr>
              <w:t>19.8</w:t>
            </w:r>
          </w:p>
        </w:tc>
        <w:tc>
          <w:tcPr>
            <w:tcW w:w="1191" w:type="dxa"/>
            <w:tcBorders>
              <w:top w:val="single" w:sz="12" w:space="0" w:color="auto"/>
              <w:left w:val="single" w:sz="4" w:space="0" w:color="auto"/>
              <w:bottom w:val="single" w:sz="4" w:space="0" w:color="auto"/>
              <w:right w:val="single" w:sz="4" w:space="0" w:color="auto"/>
            </w:tcBorders>
            <w:shd w:val="clear" w:color="000000" w:fill="C6E0B4"/>
            <w:vAlign w:val="center"/>
          </w:tcPr>
          <w:p w14:paraId="63D657FD" w14:textId="77777777" w:rsidR="00ED063B" w:rsidRPr="00C5367E" w:rsidRDefault="00ED063B" w:rsidP="00C97797">
            <w:pPr>
              <w:spacing w:after="0" w:line="240" w:lineRule="auto"/>
              <w:jc w:val="right"/>
              <w:rPr>
                <w:color w:val="000000"/>
                <w:sz w:val="20"/>
                <w:szCs w:val="20"/>
              </w:rPr>
            </w:pPr>
            <w:r w:rsidRPr="00C5367E">
              <w:rPr>
                <w:color w:val="000000"/>
                <w:sz w:val="20"/>
                <w:szCs w:val="20"/>
              </w:rPr>
              <w:t>20.1</w:t>
            </w:r>
          </w:p>
        </w:tc>
        <w:tc>
          <w:tcPr>
            <w:tcW w:w="1170" w:type="dxa"/>
            <w:tcBorders>
              <w:top w:val="single" w:sz="12" w:space="0" w:color="auto"/>
              <w:left w:val="single" w:sz="4" w:space="0" w:color="auto"/>
              <w:bottom w:val="single" w:sz="4" w:space="0" w:color="auto"/>
              <w:right w:val="single" w:sz="8" w:space="0" w:color="auto"/>
            </w:tcBorders>
            <w:shd w:val="clear" w:color="000000" w:fill="C6E0B4"/>
            <w:vAlign w:val="center"/>
          </w:tcPr>
          <w:p w14:paraId="30FA6259" w14:textId="77777777" w:rsidR="00ED063B" w:rsidRPr="00C5367E" w:rsidRDefault="00ED063B" w:rsidP="00C97797">
            <w:pPr>
              <w:spacing w:after="0" w:line="240" w:lineRule="auto"/>
              <w:jc w:val="right"/>
              <w:rPr>
                <w:color w:val="000000"/>
                <w:sz w:val="20"/>
                <w:szCs w:val="20"/>
              </w:rPr>
            </w:pPr>
            <w:r w:rsidRPr="00C5367E">
              <w:rPr>
                <w:color w:val="000000"/>
                <w:sz w:val="20"/>
                <w:szCs w:val="20"/>
              </w:rPr>
              <w:t>20.3</w:t>
            </w:r>
          </w:p>
        </w:tc>
        <w:tc>
          <w:tcPr>
            <w:tcW w:w="1260" w:type="dxa"/>
            <w:tcBorders>
              <w:top w:val="single" w:sz="12" w:space="0" w:color="auto"/>
              <w:left w:val="single" w:sz="8" w:space="0" w:color="auto"/>
              <w:bottom w:val="single" w:sz="4" w:space="0" w:color="auto"/>
              <w:right w:val="single" w:sz="12" w:space="0" w:color="auto"/>
            </w:tcBorders>
            <w:shd w:val="clear" w:color="000000" w:fill="C6E0B4"/>
            <w:vAlign w:val="center"/>
          </w:tcPr>
          <w:p w14:paraId="109BB738" w14:textId="77777777" w:rsidR="00ED063B" w:rsidRPr="00C5367E" w:rsidRDefault="00ED063B" w:rsidP="00C97797">
            <w:pPr>
              <w:spacing w:after="0" w:line="240" w:lineRule="auto"/>
              <w:jc w:val="right"/>
              <w:rPr>
                <w:b/>
                <w:color w:val="000000"/>
                <w:sz w:val="20"/>
                <w:szCs w:val="20"/>
              </w:rPr>
            </w:pPr>
            <w:r w:rsidRPr="00C5367E">
              <w:rPr>
                <w:b/>
                <w:color w:val="000000"/>
                <w:sz w:val="20"/>
                <w:szCs w:val="20"/>
              </w:rPr>
              <w:t>2.5%</w:t>
            </w:r>
          </w:p>
        </w:tc>
        <w:tc>
          <w:tcPr>
            <w:tcW w:w="1817" w:type="dxa"/>
            <w:tcBorders>
              <w:top w:val="single" w:sz="12" w:space="0" w:color="auto"/>
              <w:left w:val="single" w:sz="12" w:space="0" w:color="auto"/>
              <w:bottom w:val="single" w:sz="4" w:space="0" w:color="auto"/>
              <w:right w:val="single" w:sz="4" w:space="0" w:color="auto"/>
            </w:tcBorders>
            <w:shd w:val="clear" w:color="000000" w:fill="C6E0B4"/>
            <w:noWrap/>
            <w:vAlign w:val="center"/>
            <w:hideMark/>
          </w:tcPr>
          <w:p w14:paraId="40D08C60" w14:textId="77777777" w:rsidR="00ED063B" w:rsidRPr="00C5367E" w:rsidRDefault="00ED063B" w:rsidP="00C97797">
            <w:pPr>
              <w:spacing w:after="0" w:line="240" w:lineRule="auto"/>
              <w:jc w:val="right"/>
              <w:rPr>
                <w:color w:val="000000"/>
                <w:sz w:val="20"/>
                <w:szCs w:val="20"/>
              </w:rPr>
            </w:pPr>
            <w:r w:rsidRPr="00C5367E">
              <w:rPr>
                <w:color w:val="000000"/>
                <w:sz w:val="20"/>
                <w:szCs w:val="20"/>
              </w:rPr>
              <w:t>19.9</w:t>
            </w:r>
          </w:p>
        </w:tc>
        <w:tc>
          <w:tcPr>
            <w:tcW w:w="1710" w:type="dxa"/>
            <w:tcBorders>
              <w:top w:val="single" w:sz="12" w:space="0" w:color="auto"/>
              <w:left w:val="nil"/>
              <w:bottom w:val="single" w:sz="4" w:space="0" w:color="auto"/>
              <w:right w:val="single" w:sz="8" w:space="0" w:color="auto"/>
            </w:tcBorders>
            <w:shd w:val="clear" w:color="000000" w:fill="C6E0B4"/>
            <w:noWrap/>
            <w:vAlign w:val="center"/>
            <w:hideMark/>
          </w:tcPr>
          <w:p w14:paraId="1BA61F16" w14:textId="77777777" w:rsidR="00ED063B" w:rsidRPr="00C5367E" w:rsidRDefault="00ED063B" w:rsidP="00C97797">
            <w:pPr>
              <w:spacing w:after="0" w:line="240" w:lineRule="auto"/>
              <w:jc w:val="right"/>
              <w:rPr>
                <w:color w:val="000000"/>
                <w:sz w:val="20"/>
                <w:szCs w:val="20"/>
              </w:rPr>
            </w:pPr>
            <w:r w:rsidRPr="00C5367E">
              <w:rPr>
                <w:color w:val="000000"/>
                <w:sz w:val="20"/>
                <w:szCs w:val="20"/>
              </w:rPr>
              <w:t>20.0</w:t>
            </w:r>
          </w:p>
        </w:tc>
        <w:tc>
          <w:tcPr>
            <w:tcW w:w="1080" w:type="dxa"/>
            <w:tcBorders>
              <w:top w:val="single" w:sz="12" w:space="0" w:color="auto"/>
              <w:left w:val="single" w:sz="8" w:space="0" w:color="auto"/>
              <w:bottom w:val="single" w:sz="4" w:space="0" w:color="auto"/>
              <w:right w:val="double" w:sz="4" w:space="0" w:color="auto"/>
            </w:tcBorders>
            <w:shd w:val="clear" w:color="000000" w:fill="C6E0B4"/>
            <w:vAlign w:val="center"/>
          </w:tcPr>
          <w:p w14:paraId="4F034B29" w14:textId="77777777" w:rsidR="00ED063B" w:rsidRPr="00C5367E" w:rsidRDefault="00ED063B" w:rsidP="00C97797">
            <w:pPr>
              <w:spacing w:after="0" w:line="240" w:lineRule="auto"/>
              <w:jc w:val="right"/>
              <w:rPr>
                <w:b/>
                <w:color w:val="000000"/>
                <w:sz w:val="20"/>
                <w:szCs w:val="20"/>
              </w:rPr>
            </w:pPr>
            <w:r w:rsidRPr="00C5367E">
              <w:rPr>
                <w:b/>
                <w:color w:val="000000"/>
                <w:sz w:val="20"/>
                <w:szCs w:val="20"/>
              </w:rPr>
              <w:t>0.1%</w:t>
            </w:r>
          </w:p>
        </w:tc>
      </w:tr>
      <w:tr w:rsidR="00ED063B" w:rsidRPr="00C5367E" w14:paraId="1090AF80" w14:textId="77777777" w:rsidTr="00A24926">
        <w:trPr>
          <w:trHeight w:val="288"/>
        </w:trPr>
        <w:tc>
          <w:tcPr>
            <w:tcW w:w="2002" w:type="dxa"/>
            <w:vMerge/>
            <w:tcBorders>
              <w:top w:val="nil"/>
              <w:left w:val="double" w:sz="4" w:space="0" w:color="auto"/>
              <w:bottom w:val="single" w:sz="4" w:space="0" w:color="000000"/>
              <w:right w:val="single" w:sz="4" w:space="0" w:color="auto"/>
            </w:tcBorders>
            <w:vAlign w:val="center"/>
            <w:hideMark/>
          </w:tcPr>
          <w:p w14:paraId="2EE65069" w14:textId="77777777" w:rsidR="00ED063B" w:rsidRPr="00C5367E" w:rsidRDefault="00ED063B" w:rsidP="00C97797">
            <w:pPr>
              <w:spacing w:after="0" w:line="240" w:lineRule="auto"/>
              <w:rPr>
                <w:rFonts w:eastAsia="Times New Roman"/>
                <w:b/>
                <w:bCs/>
                <w:color w:val="000000"/>
                <w:sz w:val="20"/>
                <w:szCs w:val="20"/>
              </w:rPr>
            </w:pPr>
          </w:p>
        </w:tc>
        <w:tc>
          <w:tcPr>
            <w:tcW w:w="1259" w:type="dxa"/>
            <w:tcBorders>
              <w:top w:val="nil"/>
              <w:left w:val="single" w:sz="12" w:space="0" w:color="auto"/>
              <w:bottom w:val="single" w:sz="4" w:space="0" w:color="auto"/>
              <w:right w:val="single" w:sz="12" w:space="0" w:color="auto"/>
            </w:tcBorders>
            <w:shd w:val="clear" w:color="000000" w:fill="C6E0B4"/>
            <w:vAlign w:val="center"/>
          </w:tcPr>
          <w:p w14:paraId="54A79F77" w14:textId="77777777" w:rsidR="00ED063B" w:rsidRPr="00C5367E" w:rsidRDefault="00ED063B" w:rsidP="00C97797">
            <w:pPr>
              <w:spacing w:after="0" w:line="240" w:lineRule="auto"/>
              <w:jc w:val="center"/>
              <w:rPr>
                <w:rFonts w:eastAsia="Times New Roman"/>
                <w:color w:val="000000"/>
                <w:sz w:val="20"/>
                <w:szCs w:val="20"/>
              </w:rPr>
            </w:pPr>
            <w:r>
              <w:rPr>
                <w:rFonts w:eastAsia="Times New Roman"/>
                <w:color w:val="000000"/>
                <w:sz w:val="20"/>
                <w:szCs w:val="20"/>
              </w:rPr>
              <w:t>Work Office</w:t>
            </w:r>
          </w:p>
        </w:tc>
        <w:tc>
          <w:tcPr>
            <w:tcW w:w="1233" w:type="dxa"/>
            <w:tcBorders>
              <w:top w:val="nil"/>
              <w:left w:val="single" w:sz="12" w:space="0" w:color="auto"/>
              <w:bottom w:val="single" w:sz="4" w:space="0" w:color="auto"/>
              <w:right w:val="single" w:sz="4" w:space="0" w:color="auto"/>
            </w:tcBorders>
            <w:shd w:val="clear" w:color="000000" w:fill="C6E0B4"/>
            <w:vAlign w:val="center"/>
          </w:tcPr>
          <w:p w14:paraId="3D9D7178" w14:textId="77777777" w:rsidR="00ED063B" w:rsidRPr="00C5367E" w:rsidRDefault="00ED063B" w:rsidP="00C97797">
            <w:pPr>
              <w:spacing w:after="0" w:line="240" w:lineRule="auto"/>
              <w:jc w:val="right"/>
              <w:rPr>
                <w:color w:val="000000"/>
                <w:sz w:val="20"/>
                <w:szCs w:val="20"/>
              </w:rPr>
            </w:pPr>
            <w:r w:rsidRPr="00C5367E">
              <w:rPr>
                <w:color w:val="000000"/>
                <w:sz w:val="20"/>
                <w:szCs w:val="20"/>
              </w:rPr>
              <w:t>2.0</w:t>
            </w:r>
          </w:p>
        </w:tc>
        <w:tc>
          <w:tcPr>
            <w:tcW w:w="1191" w:type="dxa"/>
            <w:tcBorders>
              <w:top w:val="nil"/>
              <w:left w:val="single" w:sz="4" w:space="0" w:color="auto"/>
              <w:bottom w:val="single" w:sz="4" w:space="0" w:color="auto"/>
              <w:right w:val="single" w:sz="4" w:space="0" w:color="auto"/>
            </w:tcBorders>
            <w:shd w:val="clear" w:color="000000" w:fill="C6E0B4"/>
            <w:vAlign w:val="center"/>
          </w:tcPr>
          <w:p w14:paraId="5C16EF3E" w14:textId="77777777" w:rsidR="00ED063B" w:rsidRPr="00C5367E" w:rsidRDefault="00ED063B" w:rsidP="00C97797">
            <w:pPr>
              <w:spacing w:after="0" w:line="240" w:lineRule="auto"/>
              <w:jc w:val="right"/>
              <w:rPr>
                <w:color w:val="000000"/>
                <w:sz w:val="20"/>
                <w:szCs w:val="20"/>
              </w:rPr>
            </w:pPr>
            <w:r w:rsidRPr="00C5367E">
              <w:rPr>
                <w:color w:val="000000"/>
                <w:sz w:val="20"/>
                <w:szCs w:val="20"/>
              </w:rPr>
              <w:t>1.7</w:t>
            </w:r>
          </w:p>
        </w:tc>
        <w:tc>
          <w:tcPr>
            <w:tcW w:w="1170" w:type="dxa"/>
            <w:tcBorders>
              <w:top w:val="nil"/>
              <w:left w:val="single" w:sz="4" w:space="0" w:color="auto"/>
              <w:bottom w:val="single" w:sz="4" w:space="0" w:color="auto"/>
              <w:right w:val="single" w:sz="8" w:space="0" w:color="auto"/>
            </w:tcBorders>
            <w:shd w:val="clear" w:color="000000" w:fill="C6E0B4"/>
            <w:vAlign w:val="center"/>
          </w:tcPr>
          <w:p w14:paraId="76E517E1" w14:textId="77777777" w:rsidR="00ED063B" w:rsidRPr="00C5367E" w:rsidRDefault="00ED063B" w:rsidP="00C97797">
            <w:pPr>
              <w:spacing w:after="0" w:line="240" w:lineRule="auto"/>
              <w:jc w:val="right"/>
              <w:rPr>
                <w:color w:val="000000"/>
                <w:sz w:val="20"/>
                <w:szCs w:val="20"/>
              </w:rPr>
            </w:pPr>
            <w:r w:rsidRPr="00C5367E">
              <w:rPr>
                <w:color w:val="000000"/>
                <w:sz w:val="20"/>
                <w:szCs w:val="20"/>
              </w:rPr>
              <w:t>1.5</w:t>
            </w:r>
          </w:p>
        </w:tc>
        <w:tc>
          <w:tcPr>
            <w:tcW w:w="1260" w:type="dxa"/>
            <w:tcBorders>
              <w:top w:val="nil"/>
              <w:left w:val="single" w:sz="8" w:space="0" w:color="auto"/>
              <w:bottom w:val="single" w:sz="4" w:space="0" w:color="auto"/>
              <w:right w:val="single" w:sz="12" w:space="0" w:color="auto"/>
            </w:tcBorders>
            <w:shd w:val="clear" w:color="000000" w:fill="C6E0B4"/>
            <w:vAlign w:val="center"/>
          </w:tcPr>
          <w:p w14:paraId="4DD20454" w14:textId="77777777" w:rsidR="00ED063B" w:rsidRPr="00C5367E" w:rsidRDefault="00ED063B" w:rsidP="00C97797">
            <w:pPr>
              <w:spacing w:after="0" w:line="240" w:lineRule="auto"/>
              <w:jc w:val="right"/>
              <w:rPr>
                <w:b/>
                <w:color w:val="000000"/>
                <w:sz w:val="20"/>
                <w:szCs w:val="20"/>
              </w:rPr>
            </w:pPr>
            <w:r w:rsidRPr="00C5367E">
              <w:rPr>
                <w:b/>
                <w:color w:val="000000"/>
                <w:sz w:val="20"/>
                <w:szCs w:val="20"/>
              </w:rPr>
              <w:t>-25.4%</w:t>
            </w:r>
          </w:p>
        </w:tc>
        <w:tc>
          <w:tcPr>
            <w:tcW w:w="1817" w:type="dxa"/>
            <w:tcBorders>
              <w:top w:val="nil"/>
              <w:left w:val="single" w:sz="12" w:space="0" w:color="auto"/>
              <w:bottom w:val="single" w:sz="4" w:space="0" w:color="auto"/>
              <w:right w:val="single" w:sz="4" w:space="0" w:color="auto"/>
            </w:tcBorders>
            <w:shd w:val="clear" w:color="000000" w:fill="C6E0B4"/>
            <w:noWrap/>
            <w:vAlign w:val="center"/>
            <w:hideMark/>
          </w:tcPr>
          <w:p w14:paraId="0CFCF272" w14:textId="77777777" w:rsidR="00ED063B" w:rsidRPr="00C5367E" w:rsidRDefault="00ED063B" w:rsidP="00C97797">
            <w:pPr>
              <w:spacing w:after="0" w:line="240" w:lineRule="auto"/>
              <w:jc w:val="right"/>
              <w:rPr>
                <w:color w:val="000000"/>
                <w:sz w:val="20"/>
                <w:szCs w:val="20"/>
              </w:rPr>
            </w:pPr>
            <w:r w:rsidRPr="00C5367E">
              <w:rPr>
                <w:color w:val="000000"/>
                <w:sz w:val="20"/>
                <w:szCs w:val="20"/>
              </w:rPr>
              <w:t>1.9</w:t>
            </w:r>
          </w:p>
        </w:tc>
        <w:tc>
          <w:tcPr>
            <w:tcW w:w="1710" w:type="dxa"/>
            <w:tcBorders>
              <w:top w:val="nil"/>
              <w:left w:val="nil"/>
              <w:bottom w:val="single" w:sz="4" w:space="0" w:color="auto"/>
              <w:right w:val="single" w:sz="8" w:space="0" w:color="auto"/>
            </w:tcBorders>
            <w:shd w:val="clear" w:color="000000" w:fill="C6E0B4"/>
            <w:noWrap/>
            <w:vAlign w:val="center"/>
            <w:hideMark/>
          </w:tcPr>
          <w:p w14:paraId="5EEDB06A" w14:textId="77777777" w:rsidR="00ED063B" w:rsidRPr="00C5367E" w:rsidRDefault="00ED063B" w:rsidP="00C97797">
            <w:pPr>
              <w:spacing w:after="0" w:line="240" w:lineRule="auto"/>
              <w:jc w:val="right"/>
              <w:rPr>
                <w:color w:val="000000"/>
                <w:sz w:val="20"/>
                <w:szCs w:val="20"/>
              </w:rPr>
            </w:pPr>
            <w:r w:rsidRPr="00C5367E">
              <w:rPr>
                <w:color w:val="000000"/>
                <w:sz w:val="20"/>
                <w:szCs w:val="20"/>
              </w:rPr>
              <w:t>1.9</w:t>
            </w:r>
          </w:p>
        </w:tc>
        <w:tc>
          <w:tcPr>
            <w:tcW w:w="1080" w:type="dxa"/>
            <w:tcBorders>
              <w:top w:val="nil"/>
              <w:left w:val="single" w:sz="8" w:space="0" w:color="auto"/>
              <w:bottom w:val="single" w:sz="4" w:space="0" w:color="auto"/>
              <w:right w:val="double" w:sz="4" w:space="0" w:color="auto"/>
            </w:tcBorders>
            <w:shd w:val="clear" w:color="000000" w:fill="C6E0B4"/>
            <w:vAlign w:val="center"/>
          </w:tcPr>
          <w:p w14:paraId="5F95CAC4" w14:textId="77777777" w:rsidR="00ED063B" w:rsidRPr="00C5367E" w:rsidRDefault="00ED063B" w:rsidP="00C97797">
            <w:pPr>
              <w:spacing w:after="0" w:line="240" w:lineRule="auto"/>
              <w:jc w:val="right"/>
              <w:rPr>
                <w:b/>
                <w:color w:val="000000"/>
                <w:sz w:val="20"/>
                <w:szCs w:val="20"/>
              </w:rPr>
            </w:pPr>
            <w:r w:rsidRPr="00C5367E">
              <w:rPr>
                <w:b/>
                <w:color w:val="000000"/>
                <w:sz w:val="20"/>
                <w:szCs w:val="20"/>
              </w:rPr>
              <w:t>0.1%</w:t>
            </w:r>
          </w:p>
        </w:tc>
      </w:tr>
      <w:tr w:rsidR="00ED063B" w:rsidRPr="00C5367E" w14:paraId="24683E07" w14:textId="77777777" w:rsidTr="00A24926">
        <w:trPr>
          <w:trHeight w:val="288"/>
        </w:trPr>
        <w:tc>
          <w:tcPr>
            <w:tcW w:w="2002" w:type="dxa"/>
            <w:vMerge/>
            <w:tcBorders>
              <w:top w:val="nil"/>
              <w:left w:val="double" w:sz="4" w:space="0" w:color="auto"/>
              <w:bottom w:val="double" w:sz="4" w:space="0" w:color="auto"/>
              <w:right w:val="single" w:sz="4" w:space="0" w:color="auto"/>
            </w:tcBorders>
            <w:vAlign w:val="center"/>
            <w:hideMark/>
          </w:tcPr>
          <w:p w14:paraId="19A9835D" w14:textId="77777777" w:rsidR="00ED063B" w:rsidRPr="00C5367E" w:rsidRDefault="00ED063B" w:rsidP="00C97797">
            <w:pPr>
              <w:spacing w:after="0" w:line="240" w:lineRule="auto"/>
              <w:rPr>
                <w:rFonts w:eastAsia="Times New Roman"/>
                <w:b/>
                <w:bCs/>
                <w:color w:val="000000"/>
                <w:sz w:val="20"/>
                <w:szCs w:val="20"/>
              </w:rPr>
            </w:pPr>
          </w:p>
        </w:tc>
        <w:tc>
          <w:tcPr>
            <w:tcW w:w="1259" w:type="dxa"/>
            <w:tcBorders>
              <w:top w:val="nil"/>
              <w:left w:val="single" w:sz="12" w:space="0" w:color="auto"/>
              <w:bottom w:val="double" w:sz="4" w:space="0" w:color="auto"/>
              <w:right w:val="single" w:sz="12" w:space="0" w:color="auto"/>
            </w:tcBorders>
            <w:shd w:val="clear" w:color="000000" w:fill="C6E0B4"/>
            <w:vAlign w:val="center"/>
          </w:tcPr>
          <w:p w14:paraId="172153AA" w14:textId="77777777" w:rsidR="00ED063B" w:rsidRPr="00C5367E" w:rsidRDefault="00ED063B" w:rsidP="00C97797">
            <w:pPr>
              <w:spacing w:after="0" w:line="240" w:lineRule="auto"/>
              <w:jc w:val="center"/>
              <w:rPr>
                <w:rFonts w:eastAsia="Times New Roman"/>
                <w:color w:val="000000"/>
                <w:sz w:val="20"/>
                <w:szCs w:val="20"/>
              </w:rPr>
            </w:pPr>
            <w:r w:rsidRPr="00C5367E">
              <w:rPr>
                <w:rFonts w:eastAsia="Times New Roman"/>
                <w:color w:val="000000"/>
                <w:sz w:val="20"/>
                <w:szCs w:val="20"/>
              </w:rPr>
              <w:t>Third WPL</w:t>
            </w:r>
          </w:p>
        </w:tc>
        <w:tc>
          <w:tcPr>
            <w:tcW w:w="1233" w:type="dxa"/>
            <w:tcBorders>
              <w:top w:val="nil"/>
              <w:left w:val="single" w:sz="12" w:space="0" w:color="auto"/>
              <w:bottom w:val="double" w:sz="4" w:space="0" w:color="auto"/>
              <w:right w:val="single" w:sz="4" w:space="0" w:color="auto"/>
            </w:tcBorders>
            <w:shd w:val="clear" w:color="000000" w:fill="C6E0B4"/>
            <w:vAlign w:val="center"/>
          </w:tcPr>
          <w:p w14:paraId="7493622B" w14:textId="77777777" w:rsidR="00ED063B" w:rsidRPr="00C5367E" w:rsidRDefault="00ED063B" w:rsidP="00C97797">
            <w:pPr>
              <w:spacing w:after="0" w:line="240" w:lineRule="auto"/>
              <w:jc w:val="right"/>
              <w:rPr>
                <w:color w:val="000000"/>
                <w:sz w:val="20"/>
                <w:szCs w:val="20"/>
              </w:rPr>
            </w:pPr>
            <w:r w:rsidRPr="00C5367E">
              <w:rPr>
                <w:color w:val="000000"/>
                <w:sz w:val="20"/>
                <w:szCs w:val="20"/>
              </w:rPr>
              <w:t>0.2</w:t>
            </w:r>
          </w:p>
        </w:tc>
        <w:tc>
          <w:tcPr>
            <w:tcW w:w="1191" w:type="dxa"/>
            <w:tcBorders>
              <w:top w:val="nil"/>
              <w:left w:val="single" w:sz="4" w:space="0" w:color="auto"/>
              <w:bottom w:val="double" w:sz="4" w:space="0" w:color="auto"/>
              <w:right w:val="single" w:sz="4" w:space="0" w:color="auto"/>
            </w:tcBorders>
            <w:shd w:val="clear" w:color="000000" w:fill="C6E0B4"/>
            <w:vAlign w:val="center"/>
          </w:tcPr>
          <w:p w14:paraId="5529FB6A" w14:textId="77777777" w:rsidR="00ED063B" w:rsidRPr="00C5367E" w:rsidRDefault="00ED063B" w:rsidP="00C97797">
            <w:pPr>
              <w:spacing w:after="0" w:line="240" w:lineRule="auto"/>
              <w:jc w:val="right"/>
              <w:rPr>
                <w:color w:val="000000"/>
                <w:sz w:val="20"/>
                <w:szCs w:val="20"/>
              </w:rPr>
            </w:pPr>
            <w:r w:rsidRPr="00C5367E">
              <w:rPr>
                <w:color w:val="000000"/>
                <w:sz w:val="20"/>
                <w:szCs w:val="20"/>
              </w:rPr>
              <w:t>0.2</w:t>
            </w:r>
          </w:p>
        </w:tc>
        <w:tc>
          <w:tcPr>
            <w:tcW w:w="1170" w:type="dxa"/>
            <w:tcBorders>
              <w:top w:val="nil"/>
              <w:left w:val="single" w:sz="4" w:space="0" w:color="auto"/>
              <w:bottom w:val="double" w:sz="4" w:space="0" w:color="auto"/>
              <w:right w:val="single" w:sz="8" w:space="0" w:color="auto"/>
            </w:tcBorders>
            <w:shd w:val="clear" w:color="000000" w:fill="C6E0B4"/>
            <w:vAlign w:val="center"/>
          </w:tcPr>
          <w:p w14:paraId="469EEBA5" w14:textId="77777777" w:rsidR="00ED063B" w:rsidRPr="00C5367E" w:rsidRDefault="00ED063B" w:rsidP="00C97797">
            <w:pPr>
              <w:spacing w:after="0" w:line="240" w:lineRule="auto"/>
              <w:jc w:val="right"/>
              <w:rPr>
                <w:color w:val="000000"/>
                <w:sz w:val="20"/>
                <w:szCs w:val="20"/>
              </w:rPr>
            </w:pPr>
            <w:r w:rsidRPr="00C5367E">
              <w:rPr>
                <w:color w:val="000000"/>
                <w:sz w:val="20"/>
                <w:szCs w:val="20"/>
              </w:rPr>
              <w:t>0.2</w:t>
            </w:r>
          </w:p>
        </w:tc>
        <w:tc>
          <w:tcPr>
            <w:tcW w:w="1260" w:type="dxa"/>
            <w:tcBorders>
              <w:top w:val="nil"/>
              <w:left w:val="single" w:sz="8" w:space="0" w:color="auto"/>
              <w:bottom w:val="double" w:sz="4" w:space="0" w:color="auto"/>
              <w:right w:val="single" w:sz="12" w:space="0" w:color="auto"/>
            </w:tcBorders>
            <w:shd w:val="clear" w:color="000000" w:fill="C6E0B4"/>
            <w:vAlign w:val="center"/>
          </w:tcPr>
          <w:p w14:paraId="59C3067C" w14:textId="77777777" w:rsidR="00ED063B" w:rsidRPr="00C5367E" w:rsidRDefault="00ED063B" w:rsidP="00C97797">
            <w:pPr>
              <w:spacing w:after="0" w:line="240" w:lineRule="auto"/>
              <w:jc w:val="right"/>
              <w:rPr>
                <w:b/>
                <w:color w:val="000000"/>
                <w:sz w:val="20"/>
                <w:szCs w:val="20"/>
              </w:rPr>
            </w:pPr>
            <w:r w:rsidRPr="00C5367E">
              <w:rPr>
                <w:b/>
                <w:color w:val="000000"/>
                <w:sz w:val="20"/>
                <w:szCs w:val="20"/>
              </w:rPr>
              <w:t>4.0%</w:t>
            </w:r>
          </w:p>
        </w:tc>
        <w:tc>
          <w:tcPr>
            <w:tcW w:w="1817" w:type="dxa"/>
            <w:tcBorders>
              <w:top w:val="nil"/>
              <w:left w:val="single" w:sz="12" w:space="0" w:color="auto"/>
              <w:bottom w:val="double" w:sz="4" w:space="0" w:color="auto"/>
              <w:right w:val="single" w:sz="4" w:space="0" w:color="auto"/>
            </w:tcBorders>
            <w:shd w:val="clear" w:color="000000" w:fill="C6E0B4"/>
            <w:noWrap/>
            <w:vAlign w:val="center"/>
            <w:hideMark/>
          </w:tcPr>
          <w:p w14:paraId="29DCB251" w14:textId="77777777" w:rsidR="00ED063B" w:rsidRPr="00C5367E" w:rsidRDefault="00ED063B" w:rsidP="00C97797">
            <w:pPr>
              <w:spacing w:after="0" w:line="240" w:lineRule="auto"/>
              <w:jc w:val="right"/>
              <w:rPr>
                <w:color w:val="000000"/>
                <w:sz w:val="20"/>
                <w:szCs w:val="20"/>
              </w:rPr>
            </w:pPr>
            <w:r w:rsidRPr="00C5367E">
              <w:rPr>
                <w:color w:val="000000"/>
                <w:sz w:val="20"/>
                <w:szCs w:val="20"/>
              </w:rPr>
              <w:t>0.2</w:t>
            </w:r>
          </w:p>
        </w:tc>
        <w:tc>
          <w:tcPr>
            <w:tcW w:w="1710" w:type="dxa"/>
            <w:tcBorders>
              <w:top w:val="nil"/>
              <w:left w:val="nil"/>
              <w:bottom w:val="double" w:sz="4" w:space="0" w:color="auto"/>
              <w:right w:val="single" w:sz="8" w:space="0" w:color="auto"/>
            </w:tcBorders>
            <w:shd w:val="clear" w:color="000000" w:fill="C6E0B4"/>
            <w:noWrap/>
            <w:vAlign w:val="center"/>
            <w:hideMark/>
          </w:tcPr>
          <w:p w14:paraId="12B19D27" w14:textId="77777777" w:rsidR="00ED063B" w:rsidRPr="00C5367E" w:rsidRDefault="00ED063B" w:rsidP="00C97797">
            <w:pPr>
              <w:spacing w:after="0" w:line="240" w:lineRule="auto"/>
              <w:jc w:val="right"/>
              <w:rPr>
                <w:color w:val="000000"/>
                <w:sz w:val="20"/>
                <w:szCs w:val="20"/>
              </w:rPr>
            </w:pPr>
            <w:r w:rsidRPr="00C5367E">
              <w:rPr>
                <w:color w:val="000000"/>
                <w:sz w:val="20"/>
                <w:szCs w:val="20"/>
              </w:rPr>
              <w:t>0.2</w:t>
            </w:r>
          </w:p>
        </w:tc>
        <w:tc>
          <w:tcPr>
            <w:tcW w:w="1080" w:type="dxa"/>
            <w:tcBorders>
              <w:top w:val="nil"/>
              <w:left w:val="single" w:sz="8" w:space="0" w:color="auto"/>
              <w:bottom w:val="double" w:sz="4" w:space="0" w:color="auto"/>
              <w:right w:val="double" w:sz="4" w:space="0" w:color="auto"/>
            </w:tcBorders>
            <w:shd w:val="clear" w:color="000000" w:fill="C6E0B4"/>
            <w:vAlign w:val="center"/>
          </w:tcPr>
          <w:p w14:paraId="42E69ED6" w14:textId="77777777" w:rsidR="00ED063B" w:rsidRPr="00C5367E" w:rsidRDefault="00ED063B" w:rsidP="00C97797">
            <w:pPr>
              <w:spacing w:after="0" w:line="240" w:lineRule="auto"/>
              <w:jc w:val="right"/>
              <w:rPr>
                <w:b/>
                <w:color w:val="000000"/>
                <w:sz w:val="20"/>
                <w:szCs w:val="20"/>
              </w:rPr>
            </w:pPr>
            <w:r w:rsidRPr="00C5367E">
              <w:rPr>
                <w:b/>
                <w:color w:val="000000"/>
                <w:sz w:val="20"/>
                <w:szCs w:val="20"/>
              </w:rPr>
              <w:t>-12.4%</w:t>
            </w:r>
          </w:p>
        </w:tc>
      </w:tr>
    </w:tbl>
    <w:p w14:paraId="2A7F5B21" w14:textId="18D2C827" w:rsidR="00ED063B" w:rsidRDefault="00ED063B" w:rsidP="001A1B9F">
      <w:pPr>
        <w:spacing w:line="259" w:lineRule="auto"/>
        <w:jc w:val="left"/>
      </w:pPr>
    </w:p>
    <w:p w14:paraId="69554972" w14:textId="01EE50D5" w:rsidR="007F18AB" w:rsidRPr="00C97797" w:rsidRDefault="007F18AB" w:rsidP="007F18AB">
      <w:pPr>
        <w:spacing w:after="0" w:line="240" w:lineRule="auto"/>
        <w:jc w:val="left"/>
      </w:pPr>
      <w:r w:rsidRPr="00C97797">
        <w:rPr>
          <w:rFonts w:eastAsia="Times New Roman"/>
          <w:b/>
          <w:color w:val="000000"/>
        </w:rPr>
        <w:lastRenderedPageBreak/>
        <w:t>Table 6: Distraction Level ATEs</w:t>
      </w:r>
    </w:p>
    <w:tbl>
      <w:tblPr>
        <w:tblW w:w="12930" w:type="dxa"/>
        <w:jc w:val="center"/>
        <w:tblLayout w:type="fixed"/>
        <w:tblLook w:val="04A0" w:firstRow="1" w:lastRow="0" w:firstColumn="1" w:lastColumn="0" w:noHBand="0" w:noVBand="1"/>
      </w:tblPr>
      <w:tblGrid>
        <w:gridCol w:w="1245"/>
        <w:gridCol w:w="972"/>
        <w:gridCol w:w="843"/>
        <w:gridCol w:w="844"/>
        <w:gridCol w:w="844"/>
        <w:gridCol w:w="982"/>
        <w:gridCol w:w="892"/>
        <w:gridCol w:w="900"/>
        <w:gridCol w:w="900"/>
        <w:gridCol w:w="998"/>
        <w:gridCol w:w="900"/>
        <w:gridCol w:w="810"/>
        <w:gridCol w:w="810"/>
        <w:gridCol w:w="990"/>
      </w:tblGrid>
      <w:tr w:rsidR="00ED063B" w:rsidRPr="002C1485" w14:paraId="5722F78F" w14:textId="77777777" w:rsidTr="00A24926">
        <w:trPr>
          <w:trHeight w:val="20"/>
          <w:jc w:val="center"/>
        </w:trPr>
        <w:tc>
          <w:tcPr>
            <w:tcW w:w="1245" w:type="dxa"/>
            <w:vMerge w:val="restart"/>
            <w:tcBorders>
              <w:top w:val="double" w:sz="4" w:space="0" w:color="auto"/>
              <w:left w:val="double" w:sz="4" w:space="0" w:color="auto"/>
              <w:right w:val="single" w:sz="4" w:space="0" w:color="auto"/>
            </w:tcBorders>
            <w:shd w:val="clear" w:color="auto" w:fill="auto"/>
            <w:noWrap/>
            <w:tcMar>
              <w:left w:w="58" w:type="dxa"/>
              <w:right w:w="58" w:type="dxa"/>
            </w:tcMar>
            <w:vAlign w:val="bottom"/>
          </w:tcPr>
          <w:p w14:paraId="68F47696" w14:textId="391B40F4" w:rsidR="00ED063B" w:rsidRPr="00814E2F" w:rsidRDefault="00ED063B" w:rsidP="007F18AB">
            <w:pPr>
              <w:spacing w:after="0" w:line="240" w:lineRule="auto"/>
              <w:jc w:val="center"/>
              <w:rPr>
                <w:rFonts w:eastAsia="Times New Roman"/>
                <w:b/>
                <w:color w:val="000000"/>
                <w:sz w:val="19"/>
                <w:szCs w:val="19"/>
              </w:rPr>
            </w:pPr>
            <w:r w:rsidRPr="00814E2F">
              <w:rPr>
                <w:rFonts w:eastAsia="Times New Roman"/>
                <w:b/>
                <w:color w:val="000000"/>
                <w:sz w:val="19"/>
                <w:szCs w:val="19"/>
              </w:rPr>
              <w:t>Gendered Life</w:t>
            </w:r>
            <w:r w:rsidR="00503CDF" w:rsidRPr="00814E2F">
              <w:rPr>
                <w:rFonts w:eastAsia="Times New Roman"/>
                <w:b/>
                <w:color w:val="000000"/>
                <w:sz w:val="19"/>
                <w:szCs w:val="19"/>
              </w:rPr>
              <w:t>cycle</w:t>
            </w:r>
          </w:p>
        </w:tc>
        <w:tc>
          <w:tcPr>
            <w:tcW w:w="972" w:type="dxa"/>
            <w:vMerge w:val="restart"/>
            <w:tcBorders>
              <w:top w:val="double" w:sz="4" w:space="0" w:color="auto"/>
              <w:left w:val="single" w:sz="12" w:space="0" w:color="auto"/>
              <w:right w:val="single" w:sz="12" w:space="0" w:color="auto"/>
            </w:tcBorders>
            <w:tcMar>
              <w:left w:w="58" w:type="dxa"/>
              <w:right w:w="58" w:type="dxa"/>
            </w:tcMar>
          </w:tcPr>
          <w:p w14:paraId="0576490A" w14:textId="77777777" w:rsidR="00ED063B" w:rsidRPr="00814E2F" w:rsidRDefault="00ED063B" w:rsidP="007F18AB">
            <w:pPr>
              <w:spacing w:after="0" w:line="240" w:lineRule="auto"/>
              <w:rPr>
                <w:rFonts w:eastAsia="Times New Roman"/>
                <w:b/>
                <w:sz w:val="19"/>
                <w:szCs w:val="19"/>
              </w:rPr>
            </w:pPr>
          </w:p>
        </w:tc>
        <w:tc>
          <w:tcPr>
            <w:tcW w:w="2531" w:type="dxa"/>
            <w:gridSpan w:val="3"/>
            <w:tcBorders>
              <w:top w:val="double" w:sz="4" w:space="0" w:color="auto"/>
              <w:left w:val="single" w:sz="12" w:space="0" w:color="auto"/>
              <w:bottom w:val="single" w:sz="4" w:space="0" w:color="auto"/>
              <w:right w:val="single" w:sz="8" w:space="0" w:color="auto"/>
            </w:tcBorders>
            <w:tcMar>
              <w:left w:w="58" w:type="dxa"/>
              <w:right w:w="58" w:type="dxa"/>
            </w:tcMar>
            <w:vAlign w:val="bottom"/>
          </w:tcPr>
          <w:p w14:paraId="25DCB15E" w14:textId="77777777" w:rsidR="00ED063B" w:rsidRPr="00814E2F" w:rsidRDefault="00ED063B" w:rsidP="007F18AB">
            <w:pPr>
              <w:spacing w:after="0" w:line="240" w:lineRule="auto"/>
              <w:jc w:val="center"/>
              <w:rPr>
                <w:rFonts w:eastAsia="Times New Roman"/>
                <w:b/>
                <w:color w:val="000000"/>
                <w:sz w:val="19"/>
                <w:szCs w:val="19"/>
              </w:rPr>
            </w:pPr>
            <w:r w:rsidRPr="00814E2F">
              <w:rPr>
                <w:rFonts w:eastAsia="Times New Roman"/>
                <w:b/>
                <w:color w:val="000000"/>
                <w:sz w:val="19"/>
                <w:szCs w:val="19"/>
              </w:rPr>
              <w:t xml:space="preserve">Attribute Levels </w:t>
            </w:r>
          </w:p>
          <w:p w14:paraId="1E8D277C" w14:textId="77777777" w:rsidR="00ED063B" w:rsidRPr="00814E2F" w:rsidRDefault="00ED063B" w:rsidP="007F18AB">
            <w:pPr>
              <w:spacing w:after="0" w:line="240" w:lineRule="auto"/>
              <w:jc w:val="center"/>
              <w:rPr>
                <w:rFonts w:eastAsia="Times New Roman"/>
                <w:color w:val="000000"/>
                <w:sz w:val="19"/>
                <w:szCs w:val="19"/>
              </w:rPr>
            </w:pPr>
            <w:r w:rsidRPr="00814E2F">
              <w:rPr>
                <w:rFonts w:eastAsia="Times New Roman"/>
                <w:color w:val="000000"/>
                <w:sz w:val="19"/>
                <w:szCs w:val="19"/>
              </w:rPr>
              <w:t>Alternative split (days)</w:t>
            </w:r>
          </w:p>
        </w:tc>
        <w:tc>
          <w:tcPr>
            <w:tcW w:w="982" w:type="dxa"/>
            <w:tcBorders>
              <w:top w:val="double" w:sz="4" w:space="0" w:color="auto"/>
              <w:left w:val="single" w:sz="8" w:space="0" w:color="auto"/>
              <w:bottom w:val="double" w:sz="4" w:space="0" w:color="auto"/>
              <w:right w:val="single" w:sz="8" w:space="0" w:color="auto"/>
            </w:tcBorders>
            <w:tcMar>
              <w:left w:w="58" w:type="dxa"/>
              <w:right w:w="58" w:type="dxa"/>
            </w:tcMar>
            <w:vAlign w:val="bottom"/>
          </w:tcPr>
          <w:p w14:paraId="28308CB3" w14:textId="77777777" w:rsidR="00ED063B" w:rsidRPr="00814E2F" w:rsidRDefault="00ED063B" w:rsidP="007F18AB">
            <w:pPr>
              <w:spacing w:after="0" w:line="240" w:lineRule="auto"/>
              <w:jc w:val="center"/>
              <w:rPr>
                <w:rFonts w:eastAsia="Times New Roman"/>
                <w:b/>
                <w:color w:val="000000"/>
                <w:sz w:val="19"/>
                <w:szCs w:val="19"/>
              </w:rPr>
            </w:pPr>
            <w:r w:rsidRPr="00814E2F">
              <w:rPr>
                <w:rFonts w:eastAsia="Times New Roman"/>
                <w:b/>
                <w:color w:val="000000"/>
                <w:sz w:val="19"/>
                <w:szCs w:val="19"/>
              </w:rPr>
              <w:t>Overall % change</w:t>
            </w:r>
          </w:p>
        </w:tc>
        <w:tc>
          <w:tcPr>
            <w:tcW w:w="2692" w:type="dxa"/>
            <w:gridSpan w:val="3"/>
            <w:tcBorders>
              <w:top w:val="double" w:sz="4" w:space="0" w:color="auto"/>
              <w:left w:val="single" w:sz="8" w:space="0" w:color="auto"/>
              <w:bottom w:val="single" w:sz="4" w:space="0" w:color="auto"/>
              <w:right w:val="single" w:sz="8" w:space="0" w:color="auto"/>
            </w:tcBorders>
            <w:shd w:val="clear" w:color="auto" w:fill="auto"/>
            <w:noWrap/>
            <w:tcMar>
              <w:left w:w="58" w:type="dxa"/>
              <w:right w:w="58" w:type="dxa"/>
            </w:tcMar>
            <w:vAlign w:val="bottom"/>
          </w:tcPr>
          <w:p w14:paraId="699281E5" w14:textId="77777777" w:rsidR="00ED063B" w:rsidRPr="00814E2F" w:rsidRDefault="00ED063B" w:rsidP="007F18AB">
            <w:pPr>
              <w:spacing w:after="0" w:line="240" w:lineRule="auto"/>
              <w:jc w:val="center"/>
              <w:rPr>
                <w:rFonts w:eastAsia="Times New Roman"/>
                <w:b/>
                <w:color w:val="000000"/>
                <w:sz w:val="19"/>
                <w:szCs w:val="19"/>
              </w:rPr>
            </w:pPr>
            <w:r w:rsidRPr="00814E2F">
              <w:rPr>
                <w:rFonts w:eastAsia="Times New Roman"/>
                <w:b/>
                <w:color w:val="000000"/>
                <w:sz w:val="19"/>
                <w:szCs w:val="19"/>
              </w:rPr>
              <w:t xml:space="preserve">Attribute Levels </w:t>
            </w:r>
          </w:p>
          <w:p w14:paraId="348E2A59" w14:textId="77777777" w:rsidR="00ED063B" w:rsidRPr="00814E2F" w:rsidRDefault="00ED063B" w:rsidP="007F18AB">
            <w:pPr>
              <w:spacing w:after="0" w:line="240" w:lineRule="auto"/>
              <w:jc w:val="center"/>
              <w:rPr>
                <w:rFonts w:eastAsia="Times New Roman"/>
                <w:b/>
                <w:color w:val="000000"/>
                <w:sz w:val="19"/>
                <w:szCs w:val="19"/>
              </w:rPr>
            </w:pPr>
            <w:r w:rsidRPr="00814E2F">
              <w:rPr>
                <w:rFonts w:eastAsia="Times New Roman"/>
                <w:color w:val="000000"/>
                <w:sz w:val="19"/>
                <w:szCs w:val="19"/>
              </w:rPr>
              <w:t>Alternative split (days)</w:t>
            </w:r>
          </w:p>
        </w:tc>
        <w:tc>
          <w:tcPr>
            <w:tcW w:w="998" w:type="dxa"/>
            <w:tcBorders>
              <w:top w:val="double" w:sz="4" w:space="0" w:color="auto"/>
              <w:left w:val="single" w:sz="8" w:space="0" w:color="auto"/>
              <w:bottom w:val="single" w:sz="4" w:space="0" w:color="auto"/>
              <w:right w:val="single" w:sz="8" w:space="0" w:color="auto"/>
            </w:tcBorders>
            <w:tcMar>
              <w:left w:w="58" w:type="dxa"/>
              <w:right w:w="58" w:type="dxa"/>
            </w:tcMar>
            <w:vAlign w:val="bottom"/>
          </w:tcPr>
          <w:p w14:paraId="4CFB7159" w14:textId="77777777" w:rsidR="00ED063B" w:rsidRPr="00814E2F" w:rsidRDefault="00ED063B" w:rsidP="007F18AB">
            <w:pPr>
              <w:spacing w:after="0" w:line="240" w:lineRule="auto"/>
              <w:jc w:val="center"/>
              <w:rPr>
                <w:rFonts w:eastAsia="Times New Roman"/>
                <w:b/>
                <w:color w:val="000000"/>
                <w:sz w:val="19"/>
                <w:szCs w:val="19"/>
              </w:rPr>
            </w:pPr>
            <w:r w:rsidRPr="00814E2F">
              <w:rPr>
                <w:rFonts w:eastAsia="Times New Roman"/>
                <w:b/>
                <w:color w:val="000000"/>
                <w:sz w:val="19"/>
                <w:szCs w:val="19"/>
              </w:rPr>
              <w:t>Overall % change</w:t>
            </w:r>
          </w:p>
        </w:tc>
        <w:tc>
          <w:tcPr>
            <w:tcW w:w="2520" w:type="dxa"/>
            <w:gridSpan w:val="3"/>
            <w:tcBorders>
              <w:top w:val="double" w:sz="4" w:space="0" w:color="auto"/>
              <w:left w:val="single" w:sz="8" w:space="0" w:color="auto"/>
              <w:bottom w:val="double" w:sz="4" w:space="0" w:color="auto"/>
              <w:right w:val="single" w:sz="8" w:space="0" w:color="auto"/>
            </w:tcBorders>
            <w:tcMar>
              <w:left w:w="58" w:type="dxa"/>
              <w:right w:w="58" w:type="dxa"/>
            </w:tcMar>
          </w:tcPr>
          <w:p w14:paraId="65383514" w14:textId="77777777" w:rsidR="00ED063B" w:rsidRPr="00814E2F" w:rsidRDefault="00ED063B" w:rsidP="007F18AB">
            <w:pPr>
              <w:spacing w:after="0" w:line="240" w:lineRule="auto"/>
              <w:jc w:val="center"/>
              <w:rPr>
                <w:rFonts w:eastAsia="Times New Roman"/>
                <w:b/>
                <w:color w:val="000000"/>
                <w:sz w:val="19"/>
                <w:szCs w:val="19"/>
              </w:rPr>
            </w:pPr>
            <w:r w:rsidRPr="00814E2F">
              <w:rPr>
                <w:rFonts w:eastAsia="Times New Roman"/>
                <w:b/>
                <w:color w:val="000000"/>
                <w:sz w:val="19"/>
                <w:szCs w:val="19"/>
              </w:rPr>
              <w:t xml:space="preserve">Attribute Levels </w:t>
            </w:r>
          </w:p>
          <w:p w14:paraId="385920A0" w14:textId="77777777" w:rsidR="00ED063B" w:rsidRPr="00814E2F" w:rsidRDefault="00ED063B" w:rsidP="007F18AB">
            <w:pPr>
              <w:spacing w:after="0" w:line="240" w:lineRule="auto"/>
              <w:jc w:val="center"/>
              <w:rPr>
                <w:rFonts w:eastAsia="Times New Roman"/>
                <w:b/>
                <w:color w:val="000000"/>
                <w:sz w:val="19"/>
                <w:szCs w:val="19"/>
              </w:rPr>
            </w:pPr>
            <w:r w:rsidRPr="00814E2F">
              <w:rPr>
                <w:rFonts w:eastAsia="Times New Roman"/>
                <w:color w:val="000000"/>
                <w:sz w:val="19"/>
                <w:szCs w:val="19"/>
              </w:rPr>
              <w:t>Alternative split (days)</w:t>
            </w:r>
          </w:p>
        </w:tc>
        <w:tc>
          <w:tcPr>
            <w:tcW w:w="990" w:type="dxa"/>
            <w:tcBorders>
              <w:top w:val="double" w:sz="4" w:space="0" w:color="auto"/>
              <w:left w:val="single" w:sz="8" w:space="0" w:color="auto"/>
              <w:bottom w:val="single" w:sz="4" w:space="0" w:color="auto"/>
              <w:right w:val="double" w:sz="4" w:space="0" w:color="auto"/>
            </w:tcBorders>
            <w:tcMar>
              <w:left w:w="58" w:type="dxa"/>
              <w:right w:w="58" w:type="dxa"/>
            </w:tcMar>
            <w:vAlign w:val="bottom"/>
          </w:tcPr>
          <w:p w14:paraId="4E45643B" w14:textId="77777777" w:rsidR="00ED063B" w:rsidRPr="00814E2F" w:rsidRDefault="00ED063B" w:rsidP="007F18AB">
            <w:pPr>
              <w:spacing w:after="0" w:line="240" w:lineRule="auto"/>
              <w:jc w:val="center"/>
              <w:rPr>
                <w:rFonts w:eastAsia="Times New Roman"/>
                <w:b/>
                <w:color w:val="000000"/>
                <w:sz w:val="19"/>
                <w:szCs w:val="19"/>
              </w:rPr>
            </w:pPr>
            <w:r w:rsidRPr="00814E2F">
              <w:rPr>
                <w:rFonts w:eastAsia="Times New Roman"/>
                <w:b/>
                <w:color w:val="000000"/>
                <w:sz w:val="19"/>
                <w:szCs w:val="19"/>
              </w:rPr>
              <w:t>Overall % change</w:t>
            </w:r>
          </w:p>
        </w:tc>
      </w:tr>
      <w:tr w:rsidR="007F18AB" w:rsidRPr="002C1485" w14:paraId="21321D5F" w14:textId="77777777" w:rsidTr="00A24926">
        <w:trPr>
          <w:trHeight w:val="20"/>
          <w:jc w:val="center"/>
        </w:trPr>
        <w:tc>
          <w:tcPr>
            <w:tcW w:w="1245" w:type="dxa"/>
            <w:vMerge/>
            <w:tcBorders>
              <w:left w:val="double" w:sz="4" w:space="0" w:color="auto"/>
              <w:right w:val="single" w:sz="4" w:space="0" w:color="auto"/>
            </w:tcBorders>
            <w:shd w:val="clear" w:color="auto" w:fill="auto"/>
            <w:noWrap/>
            <w:tcMar>
              <w:left w:w="58" w:type="dxa"/>
              <w:right w:w="58" w:type="dxa"/>
            </w:tcMar>
            <w:vAlign w:val="bottom"/>
            <w:hideMark/>
          </w:tcPr>
          <w:p w14:paraId="738017C4" w14:textId="77777777" w:rsidR="007F18AB" w:rsidRPr="00814E2F" w:rsidRDefault="007F18AB" w:rsidP="007F18AB">
            <w:pPr>
              <w:spacing w:after="0" w:line="240" w:lineRule="auto"/>
              <w:jc w:val="center"/>
              <w:rPr>
                <w:rFonts w:eastAsia="Times New Roman"/>
                <w:b/>
                <w:color w:val="000000"/>
                <w:sz w:val="19"/>
                <w:szCs w:val="19"/>
              </w:rPr>
            </w:pPr>
          </w:p>
        </w:tc>
        <w:tc>
          <w:tcPr>
            <w:tcW w:w="972" w:type="dxa"/>
            <w:vMerge/>
            <w:tcBorders>
              <w:left w:val="single" w:sz="12" w:space="0" w:color="auto"/>
              <w:bottom w:val="nil"/>
              <w:right w:val="single" w:sz="12" w:space="0" w:color="auto"/>
            </w:tcBorders>
            <w:tcMar>
              <w:left w:w="58" w:type="dxa"/>
              <w:right w:w="58" w:type="dxa"/>
            </w:tcMar>
          </w:tcPr>
          <w:p w14:paraId="141CACD9" w14:textId="77777777" w:rsidR="007F18AB" w:rsidRPr="00814E2F" w:rsidRDefault="007F18AB" w:rsidP="007F18AB">
            <w:pPr>
              <w:spacing w:after="0" w:line="240" w:lineRule="auto"/>
              <w:rPr>
                <w:rFonts w:eastAsia="Times New Roman"/>
                <w:b/>
                <w:sz w:val="19"/>
                <w:szCs w:val="19"/>
              </w:rPr>
            </w:pPr>
          </w:p>
        </w:tc>
        <w:tc>
          <w:tcPr>
            <w:tcW w:w="2531" w:type="dxa"/>
            <w:gridSpan w:val="3"/>
            <w:tcBorders>
              <w:top w:val="double" w:sz="4" w:space="0" w:color="auto"/>
              <w:left w:val="single" w:sz="12" w:space="0" w:color="auto"/>
              <w:bottom w:val="single" w:sz="4" w:space="0" w:color="auto"/>
              <w:right w:val="single" w:sz="8" w:space="0" w:color="auto"/>
            </w:tcBorders>
            <w:tcMar>
              <w:left w:w="58" w:type="dxa"/>
              <w:right w:w="58" w:type="dxa"/>
            </w:tcMar>
            <w:vAlign w:val="bottom"/>
          </w:tcPr>
          <w:p w14:paraId="2B1FB103" w14:textId="5650E7ED" w:rsidR="007F18AB" w:rsidRPr="00814E2F" w:rsidRDefault="007F18AB" w:rsidP="007F18AB">
            <w:pPr>
              <w:spacing w:after="0" w:line="240" w:lineRule="auto"/>
              <w:jc w:val="center"/>
              <w:rPr>
                <w:rFonts w:eastAsia="Times New Roman"/>
                <w:b/>
                <w:color w:val="000000"/>
                <w:sz w:val="19"/>
                <w:szCs w:val="19"/>
              </w:rPr>
            </w:pPr>
            <w:r w:rsidRPr="00814E2F">
              <w:rPr>
                <w:rFonts w:eastAsia="Times New Roman"/>
                <w:b/>
                <w:color w:val="000000"/>
                <w:sz w:val="19"/>
                <w:szCs w:val="19"/>
              </w:rPr>
              <w:t>Distraction Level Home</w:t>
            </w:r>
          </w:p>
        </w:tc>
        <w:tc>
          <w:tcPr>
            <w:tcW w:w="982" w:type="dxa"/>
            <w:vMerge w:val="restart"/>
            <w:tcBorders>
              <w:top w:val="double" w:sz="4" w:space="0" w:color="auto"/>
              <w:left w:val="single" w:sz="8" w:space="0" w:color="auto"/>
              <w:right w:val="single" w:sz="8" w:space="0" w:color="auto"/>
            </w:tcBorders>
            <w:tcMar>
              <w:left w:w="58" w:type="dxa"/>
              <w:right w:w="58" w:type="dxa"/>
            </w:tcMar>
            <w:vAlign w:val="bottom"/>
          </w:tcPr>
          <w:p w14:paraId="79D6920F" w14:textId="77777777" w:rsidR="007F18AB" w:rsidRPr="00814E2F" w:rsidRDefault="007F18AB" w:rsidP="007F18AB">
            <w:pPr>
              <w:spacing w:after="0" w:line="240" w:lineRule="auto"/>
              <w:jc w:val="center"/>
              <w:rPr>
                <w:rFonts w:eastAsia="Times New Roman"/>
                <w:b/>
                <w:color w:val="000000"/>
                <w:sz w:val="19"/>
                <w:szCs w:val="19"/>
              </w:rPr>
            </w:pPr>
            <w:r w:rsidRPr="00814E2F">
              <w:rPr>
                <w:b/>
                <w:color w:val="000000"/>
                <w:sz w:val="19"/>
                <w:szCs w:val="19"/>
              </w:rPr>
              <w:t>No to High</w:t>
            </w:r>
          </w:p>
        </w:tc>
        <w:tc>
          <w:tcPr>
            <w:tcW w:w="2692" w:type="dxa"/>
            <w:gridSpan w:val="3"/>
            <w:tcBorders>
              <w:top w:val="double" w:sz="4" w:space="0" w:color="auto"/>
              <w:left w:val="single" w:sz="8" w:space="0" w:color="auto"/>
              <w:bottom w:val="single" w:sz="4" w:space="0" w:color="auto"/>
              <w:right w:val="single" w:sz="8" w:space="0" w:color="auto"/>
            </w:tcBorders>
            <w:shd w:val="clear" w:color="auto" w:fill="auto"/>
            <w:noWrap/>
            <w:tcMar>
              <w:left w:w="58" w:type="dxa"/>
              <w:right w:w="58" w:type="dxa"/>
            </w:tcMar>
            <w:vAlign w:val="bottom"/>
            <w:hideMark/>
          </w:tcPr>
          <w:p w14:paraId="37AE3EB6" w14:textId="1B4C0C65" w:rsidR="007F18AB" w:rsidRPr="00814E2F" w:rsidRDefault="007F18AB" w:rsidP="007F18AB">
            <w:pPr>
              <w:spacing w:after="0" w:line="240" w:lineRule="auto"/>
              <w:jc w:val="center"/>
              <w:rPr>
                <w:rFonts w:eastAsia="Times New Roman"/>
                <w:b/>
                <w:color w:val="000000"/>
                <w:sz w:val="19"/>
                <w:szCs w:val="19"/>
              </w:rPr>
            </w:pPr>
            <w:r w:rsidRPr="00814E2F">
              <w:rPr>
                <w:rFonts w:eastAsia="Times New Roman"/>
                <w:b/>
                <w:color w:val="000000"/>
                <w:sz w:val="19"/>
                <w:szCs w:val="19"/>
              </w:rPr>
              <w:t>Distraction Level Work Office</w:t>
            </w:r>
          </w:p>
        </w:tc>
        <w:tc>
          <w:tcPr>
            <w:tcW w:w="998" w:type="dxa"/>
            <w:vMerge w:val="restart"/>
            <w:tcBorders>
              <w:top w:val="double" w:sz="4" w:space="0" w:color="auto"/>
              <w:left w:val="single" w:sz="8" w:space="0" w:color="auto"/>
              <w:right w:val="single" w:sz="8" w:space="0" w:color="auto"/>
            </w:tcBorders>
            <w:tcMar>
              <w:left w:w="58" w:type="dxa"/>
              <w:right w:w="58" w:type="dxa"/>
            </w:tcMar>
            <w:vAlign w:val="bottom"/>
          </w:tcPr>
          <w:p w14:paraId="32A8B04C" w14:textId="77777777" w:rsidR="007F18AB" w:rsidRPr="00814E2F" w:rsidRDefault="007F18AB" w:rsidP="007F18AB">
            <w:pPr>
              <w:spacing w:after="0" w:line="240" w:lineRule="auto"/>
              <w:jc w:val="center"/>
              <w:rPr>
                <w:rFonts w:eastAsia="Times New Roman"/>
                <w:b/>
                <w:color w:val="000000"/>
                <w:sz w:val="19"/>
                <w:szCs w:val="19"/>
              </w:rPr>
            </w:pPr>
            <w:r w:rsidRPr="00814E2F">
              <w:rPr>
                <w:b/>
                <w:color w:val="000000"/>
                <w:sz w:val="19"/>
                <w:szCs w:val="19"/>
              </w:rPr>
              <w:t>No to High</w:t>
            </w:r>
          </w:p>
        </w:tc>
        <w:tc>
          <w:tcPr>
            <w:tcW w:w="2520" w:type="dxa"/>
            <w:gridSpan w:val="3"/>
            <w:tcBorders>
              <w:top w:val="double" w:sz="4" w:space="0" w:color="auto"/>
              <w:left w:val="single" w:sz="8" w:space="0" w:color="auto"/>
              <w:bottom w:val="single" w:sz="4" w:space="0" w:color="auto"/>
              <w:right w:val="single" w:sz="8" w:space="0" w:color="auto"/>
            </w:tcBorders>
            <w:tcMar>
              <w:left w:w="58" w:type="dxa"/>
              <w:right w:w="58" w:type="dxa"/>
            </w:tcMar>
          </w:tcPr>
          <w:p w14:paraId="0C8027D5" w14:textId="4F8442F3" w:rsidR="007F18AB" w:rsidRPr="00814E2F" w:rsidRDefault="007F18AB" w:rsidP="007F18AB">
            <w:pPr>
              <w:spacing w:after="0" w:line="240" w:lineRule="auto"/>
              <w:jc w:val="center"/>
              <w:rPr>
                <w:b/>
                <w:color w:val="000000"/>
                <w:sz w:val="19"/>
                <w:szCs w:val="19"/>
              </w:rPr>
            </w:pPr>
            <w:r w:rsidRPr="00814E2F">
              <w:rPr>
                <w:b/>
                <w:color w:val="000000"/>
                <w:sz w:val="19"/>
                <w:szCs w:val="19"/>
              </w:rPr>
              <w:t>Distraction Level Third WPL</w:t>
            </w:r>
          </w:p>
        </w:tc>
        <w:tc>
          <w:tcPr>
            <w:tcW w:w="990" w:type="dxa"/>
            <w:vMerge w:val="restart"/>
            <w:tcBorders>
              <w:top w:val="double" w:sz="4" w:space="0" w:color="auto"/>
              <w:left w:val="single" w:sz="8" w:space="0" w:color="auto"/>
              <w:right w:val="double" w:sz="4" w:space="0" w:color="auto"/>
            </w:tcBorders>
            <w:tcMar>
              <w:left w:w="58" w:type="dxa"/>
              <w:right w:w="58" w:type="dxa"/>
            </w:tcMar>
            <w:vAlign w:val="bottom"/>
          </w:tcPr>
          <w:p w14:paraId="2B84D026" w14:textId="77777777" w:rsidR="007F18AB" w:rsidRPr="00814E2F" w:rsidRDefault="007F18AB" w:rsidP="007F18AB">
            <w:pPr>
              <w:spacing w:after="0" w:line="240" w:lineRule="auto"/>
              <w:jc w:val="center"/>
              <w:rPr>
                <w:rFonts w:eastAsia="Times New Roman"/>
                <w:b/>
                <w:color w:val="000000"/>
                <w:sz w:val="19"/>
                <w:szCs w:val="19"/>
              </w:rPr>
            </w:pPr>
            <w:r w:rsidRPr="00814E2F">
              <w:rPr>
                <w:b/>
                <w:color w:val="000000"/>
                <w:sz w:val="19"/>
                <w:szCs w:val="19"/>
              </w:rPr>
              <w:t>No to High</w:t>
            </w:r>
          </w:p>
        </w:tc>
      </w:tr>
      <w:tr w:rsidR="007F18AB" w:rsidRPr="002C1485" w14:paraId="1F53D716" w14:textId="77777777" w:rsidTr="00A24926">
        <w:trPr>
          <w:trHeight w:val="20"/>
          <w:jc w:val="center"/>
        </w:trPr>
        <w:tc>
          <w:tcPr>
            <w:tcW w:w="1245" w:type="dxa"/>
            <w:vMerge/>
            <w:tcBorders>
              <w:left w:val="double" w:sz="4" w:space="0" w:color="auto"/>
              <w:bottom w:val="single" w:sz="12" w:space="0" w:color="auto"/>
              <w:right w:val="single" w:sz="4" w:space="0" w:color="auto"/>
            </w:tcBorders>
            <w:shd w:val="clear" w:color="auto" w:fill="auto"/>
            <w:noWrap/>
            <w:tcMar>
              <w:left w:w="58" w:type="dxa"/>
              <w:right w:w="58" w:type="dxa"/>
            </w:tcMar>
            <w:vAlign w:val="bottom"/>
            <w:hideMark/>
          </w:tcPr>
          <w:p w14:paraId="1A9D77A4" w14:textId="77777777" w:rsidR="007F18AB" w:rsidRPr="00814E2F" w:rsidRDefault="007F18AB" w:rsidP="007F18AB">
            <w:pPr>
              <w:spacing w:after="0" w:line="240" w:lineRule="auto"/>
              <w:jc w:val="center"/>
              <w:rPr>
                <w:rFonts w:eastAsia="Times New Roman"/>
                <w:b/>
                <w:color w:val="000000"/>
                <w:sz w:val="19"/>
                <w:szCs w:val="19"/>
              </w:rPr>
            </w:pPr>
          </w:p>
        </w:tc>
        <w:tc>
          <w:tcPr>
            <w:tcW w:w="972" w:type="dxa"/>
            <w:tcBorders>
              <w:top w:val="nil"/>
              <w:left w:val="single" w:sz="12" w:space="0" w:color="auto"/>
              <w:bottom w:val="single" w:sz="12" w:space="0" w:color="auto"/>
              <w:right w:val="single" w:sz="12" w:space="0" w:color="auto"/>
            </w:tcBorders>
            <w:tcMar>
              <w:left w:w="58" w:type="dxa"/>
              <w:right w:w="58" w:type="dxa"/>
            </w:tcMar>
            <w:vAlign w:val="bottom"/>
          </w:tcPr>
          <w:p w14:paraId="260395E9" w14:textId="77777777" w:rsidR="007F18AB" w:rsidRPr="00814E2F" w:rsidRDefault="007F18AB" w:rsidP="007F18AB">
            <w:pPr>
              <w:spacing w:after="0" w:line="240" w:lineRule="auto"/>
              <w:jc w:val="center"/>
              <w:rPr>
                <w:rFonts w:eastAsia="Times New Roman"/>
                <w:b/>
                <w:color w:val="000000"/>
                <w:sz w:val="19"/>
                <w:szCs w:val="19"/>
              </w:rPr>
            </w:pPr>
            <w:r w:rsidRPr="00814E2F">
              <w:rPr>
                <w:rFonts w:eastAsia="Times New Roman"/>
                <w:b/>
                <w:color w:val="000000"/>
                <w:sz w:val="19"/>
                <w:szCs w:val="19"/>
              </w:rPr>
              <w:t>WPL</w:t>
            </w:r>
          </w:p>
        </w:tc>
        <w:tc>
          <w:tcPr>
            <w:tcW w:w="843" w:type="dxa"/>
            <w:tcBorders>
              <w:top w:val="nil"/>
              <w:left w:val="single" w:sz="12" w:space="0" w:color="auto"/>
              <w:bottom w:val="single" w:sz="12" w:space="0" w:color="auto"/>
              <w:right w:val="single" w:sz="4" w:space="0" w:color="auto"/>
            </w:tcBorders>
            <w:tcMar>
              <w:left w:w="58" w:type="dxa"/>
              <w:right w:w="58" w:type="dxa"/>
            </w:tcMar>
            <w:vAlign w:val="bottom"/>
          </w:tcPr>
          <w:p w14:paraId="729AE27C" w14:textId="77777777" w:rsidR="007F18AB" w:rsidRPr="00814E2F" w:rsidRDefault="007F18AB" w:rsidP="007F18AB">
            <w:pPr>
              <w:spacing w:after="0" w:line="240" w:lineRule="auto"/>
              <w:jc w:val="center"/>
              <w:rPr>
                <w:b/>
                <w:color w:val="000000"/>
                <w:sz w:val="19"/>
                <w:szCs w:val="19"/>
              </w:rPr>
            </w:pPr>
            <w:r w:rsidRPr="00814E2F">
              <w:rPr>
                <w:b/>
                <w:color w:val="000000"/>
                <w:sz w:val="19"/>
                <w:szCs w:val="19"/>
              </w:rPr>
              <w:t>No</w:t>
            </w:r>
          </w:p>
        </w:tc>
        <w:tc>
          <w:tcPr>
            <w:tcW w:w="844" w:type="dxa"/>
            <w:tcBorders>
              <w:top w:val="nil"/>
              <w:left w:val="single" w:sz="4" w:space="0" w:color="auto"/>
              <w:bottom w:val="single" w:sz="12" w:space="0" w:color="auto"/>
              <w:right w:val="single" w:sz="4" w:space="0" w:color="auto"/>
            </w:tcBorders>
            <w:tcMar>
              <w:left w:w="58" w:type="dxa"/>
              <w:right w:w="58" w:type="dxa"/>
            </w:tcMar>
            <w:vAlign w:val="bottom"/>
          </w:tcPr>
          <w:p w14:paraId="3AEF9CE4" w14:textId="77777777" w:rsidR="007F18AB" w:rsidRPr="00814E2F" w:rsidRDefault="007F18AB" w:rsidP="007F18AB">
            <w:pPr>
              <w:spacing w:after="0" w:line="240" w:lineRule="auto"/>
              <w:jc w:val="center"/>
              <w:rPr>
                <w:b/>
                <w:color w:val="000000"/>
                <w:sz w:val="19"/>
                <w:szCs w:val="19"/>
              </w:rPr>
            </w:pPr>
            <w:r w:rsidRPr="00814E2F">
              <w:rPr>
                <w:b/>
                <w:color w:val="000000"/>
                <w:sz w:val="19"/>
                <w:szCs w:val="19"/>
              </w:rPr>
              <w:t>Low</w:t>
            </w:r>
          </w:p>
        </w:tc>
        <w:tc>
          <w:tcPr>
            <w:tcW w:w="844" w:type="dxa"/>
            <w:tcBorders>
              <w:top w:val="nil"/>
              <w:left w:val="single" w:sz="4" w:space="0" w:color="auto"/>
              <w:bottom w:val="single" w:sz="12" w:space="0" w:color="auto"/>
              <w:right w:val="single" w:sz="8" w:space="0" w:color="auto"/>
            </w:tcBorders>
            <w:tcMar>
              <w:left w:w="58" w:type="dxa"/>
              <w:right w:w="58" w:type="dxa"/>
            </w:tcMar>
            <w:vAlign w:val="bottom"/>
          </w:tcPr>
          <w:p w14:paraId="1562BBC2" w14:textId="77777777" w:rsidR="007F18AB" w:rsidRPr="00814E2F" w:rsidRDefault="007F18AB" w:rsidP="007F18AB">
            <w:pPr>
              <w:spacing w:after="0" w:line="240" w:lineRule="auto"/>
              <w:jc w:val="center"/>
              <w:rPr>
                <w:b/>
                <w:color w:val="000000"/>
                <w:sz w:val="19"/>
                <w:szCs w:val="19"/>
              </w:rPr>
            </w:pPr>
            <w:r w:rsidRPr="00814E2F">
              <w:rPr>
                <w:b/>
                <w:color w:val="000000"/>
                <w:sz w:val="19"/>
                <w:szCs w:val="19"/>
              </w:rPr>
              <w:t>High</w:t>
            </w:r>
          </w:p>
        </w:tc>
        <w:tc>
          <w:tcPr>
            <w:tcW w:w="982" w:type="dxa"/>
            <w:vMerge/>
            <w:tcBorders>
              <w:left w:val="single" w:sz="8" w:space="0" w:color="auto"/>
              <w:bottom w:val="single" w:sz="12" w:space="0" w:color="auto"/>
              <w:right w:val="single" w:sz="8" w:space="0" w:color="auto"/>
            </w:tcBorders>
            <w:tcMar>
              <w:left w:w="58" w:type="dxa"/>
              <w:right w:w="58" w:type="dxa"/>
            </w:tcMar>
          </w:tcPr>
          <w:p w14:paraId="07C9CEA8" w14:textId="77777777" w:rsidR="007F18AB" w:rsidRPr="00814E2F" w:rsidRDefault="007F18AB" w:rsidP="007F18AB">
            <w:pPr>
              <w:spacing w:after="0" w:line="240" w:lineRule="auto"/>
              <w:jc w:val="center"/>
              <w:rPr>
                <w:b/>
                <w:color w:val="000000"/>
                <w:sz w:val="19"/>
                <w:szCs w:val="19"/>
              </w:rPr>
            </w:pPr>
          </w:p>
        </w:tc>
        <w:tc>
          <w:tcPr>
            <w:tcW w:w="892" w:type="dxa"/>
            <w:tcBorders>
              <w:top w:val="nil"/>
              <w:left w:val="single" w:sz="8" w:space="0" w:color="auto"/>
              <w:bottom w:val="single" w:sz="12" w:space="0" w:color="auto"/>
              <w:right w:val="single" w:sz="4" w:space="0" w:color="auto"/>
            </w:tcBorders>
            <w:shd w:val="clear" w:color="auto" w:fill="auto"/>
            <w:noWrap/>
            <w:tcMar>
              <w:left w:w="58" w:type="dxa"/>
              <w:right w:w="58" w:type="dxa"/>
            </w:tcMar>
            <w:vAlign w:val="bottom"/>
            <w:hideMark/>
          </w:tcPr>
          <w:p w14:paraId="6409B9F4" w14:textId="77777777" w:rsidR="007F18AB" w:rsidRPr="00814E2F" w:rsidRDefault="007F18AB" w:rsidP="007F18AB">
            <w:pPr>
              <w:spacing w:after="0" w:line="240" w:lineRule="auto"/>
              <w:jc w:val="center"/>
              <w:rPr>
                <w:b/>
                <w:color w:val="000000"/>
                <w:sz w:val="19"/>
                <w:szCs w:val="19"/>
              </w:rPr>
            </w:pPr>
            <w:r w:rsidRPr="00814E2F">
              <w:rPr>
                <w:b/>
                <w:color w:val="000000"/>
                <w:sz w:val="19"/>
                <w:szCs w:val="19"/>
              </w:rPr>
              <w:t>No</w:t>
            </w:r>
          </w:p>
        </w:tc>
        <w:tc>
          <w:tcPr>
            <w:tcW w:w="900" w:type="dxa"/>
            <w:tcBorders>
              <w:top w:val="single" w:sz="4" w:space="0" w:color="auto"/>
              <w:left w:val="nil"/>
              <w:bottom w:val="single" w:sz="12" w:space="0" w:color="auto"/>
              <w:right w:val="single" w:sz="4" w:space="0" w:color="auto"/>
            </w:tcBorders>
            <w:shd w:val="clear" w:color="auto" w:fill="auto"/>
            <w:noWrap/>
            <w:tcMar>
              <w:left w:w="58" w:type="dxa"/>
              <w:right w:w="58" w:type="dxa"/>
            </w:tcMar>
            <w:vAlign w:val="bottom"/>
            <w:hideMark/>
          </w:tcPr>
          <w:p w14:paraId="642FA4F3" w14:textId="77777777" w:rsidR="007F18AB" w:rsidRPr="00814E2F" w:rsidRDefault="007F18AB" w:rsidP="007F18AB">
            <w:pPr>
              <w:spacing w:after="0" w:line="240" w:lineRule="auto"/>
              <w:jc w:val="center"/>
              <w:rPr>
                <w:b/>
                <w:color w:val="000000"/>
                <w:sz w:val="19"/>
                <w:szCs w:val="19"/>
              </w:rPr>
            </w:pPr>
            <w:r w:rsidRPr="00814E2F">
              <w:rPr>
                <w:b/>
                <w:color w:val="000000"/>
                <w:sz w:val="19"/>
                <w:szCs w:val="19"/>
              </w:rPr>
              <w:t>Low</w:t>
            </w:r>
          </w:p>
        </w:tc>
        <w:tc>
          <w:tcPr>
            <w:tcW w:w="900" w:type="dxa"/>
            <w:tcBorders>
              <w:top w:val="single" w:sz="4" w:space="0" w:color="auto"/>
              <w:left w:val="nil"/>
              <w:bottom w:val="single" w:sz="12" w:space="0" w:color="auto"/>
              <w:right w:val="single" w:sz="8" w:space="0" w:color="auto"/>
            </w:tcBorders>
            <w:shd w:val="clear" w:color="auto" w:fill="auto"/>
            <w:noWrap/>
            <w:tcMar>
              <w:left w:w="58" w:type="dxa"/>
              <w:right w:w="58" w:type="dxa"/>
            </w:tcMar>
            <w:vAlign w:val="bottom"/>
            <w:hideMark/>
          </w:tcPr>
          <w:p w14:paraId="12D7D9EB" w14:textId="77777777" w:rsidR="007F18AB" w:rsidRPr="00814E2F" w:rsidRDefault="007F18AB" w:rsidP="007F18AB">
            <w:pPr>
              <w:spacing w:after="0" w:line="240" w:lineRule="auto"/>
              <w:jc w:val="center"/>
              <w:rPr>
                <w:b/>
                <w:color w:val="000000"/>
                <w:sz w:val="19"/>
                <w:szCs w:val="19"/>
              </w:rPr>
            </w:pPr>
            <w:r w:rsidRPr="00814E2F">
              <w:rPr>
                <w:b/>
                <w:color w:val="000000"/>
                <w:sz w:val="19"/>
                <w:szCs w:val="19"/>
              </w:rPr>
              <w:t>High</w:t>
            </w:r>
          </w:p>
        </w:tc>
        <w:tc>
          <w:tcPr>
            <w:tcW w:w="998" w:type="dxa"/>
            <w:vMerge/>
            <w:tcBorders>
              <w:left w:val="single" w:sz="8" w:space="0" w:color="auto"/>
              <w:bottom w:val="single" w:sz="12" w:space="0" w:color="auto"/>
              <w:right w:val="single" w:sz="8" w:space="0" w:color="auto"/>
            </w:tcBorders>
            <w:tcMar>
              <w:left w:w="58" w:type="dxa"/>
              <w:right w:w="58" w:type="dxa"/>
            </w:tcMar>
          </w:tcPr>
          <w:p w14:paraId="7DCFC577" w14:textId="77777777" w:rsidR="007F18AB" w:rsidRPr="00814E2F" w:rsidRDefault="007F18AB" w:rsidP="007F18AB">
            <w:pPr>
              <w:spacing w:after="0" w:line="240" w:lineRule="auto"/>
              <w:rPr>
                <w:b/>
                <w:color w:val="000000"/>
                <w:sz w:val="19"/>
                <w:szCs w:val="19"/>
              </w:rPr>
            </w:pPr>
          </w:p>
        </w:tc>
        <w:tc>
          <w:tcPr>
            <w:tcW w:w="900" w:type="dxa"/>
            <w:tcBorders>
              <w:top w:val="single" w:sz="4" w:space="0" w:color="auto"/>
              <w:left w:val="single" w:sz="8" w:space="0" w:color="auto"/>
              <w:bottom w:val="single" w:sz="12" w:space="0" w:color="auto"/>
              <w:right w:val="single" w:sz="4" w:space="0" w:color="auto"/>
            </w:tcBorders>
            <w:tcMar>
              <w:left w:w="58" w:type="dxa"/>
              <w:right w:w="58" w:type="dxa"/>
            </w:tcMar>
            <w:vAlign w:val="bottom"/>
          </w:tcPr>
          <w:p w14:paraId="26D74FCE" w14:textId="77777777" w:rsidR="007F18AB" w:rsidRPr="00814E2F" w:rsidRDefault="007F18AB" w:rsidP="007F18AB">
            <w:pPr>
              <w:spacing w:after="0" w:line="240" w:lineRule="auto"/>
              <w:jc w:val="center"/>
              <w:rPr>
                <w:b/>
                <w:color w:val="000000"/>
                <w:sz w:val="19"/>
                <w:szCs w:val="19"/>
              </w:rPr>
            </w:pPr>
            <w:r w:rsidRPr="00814E2F">
              <w:rPr>
                <w:b/>
                <w:color w:val="000000"/>
                <w:sz w:val="19"/>
                <w:szCs w:val="19"/>
              </w:rPr>
              <w:t>No</w:t>
            </w:r>
          </w:p>
        </w:tc>
        <w:tc>
          <w:tcPr>
            <w:tcW w:w="810" w:type="dxa"/>
            <w:tcBorders>
              <w:top w:val="single" w:sz="4" w:space="0" w:color="auto"/>
              <w:left w:val="single" w:sz="4" w:space="0" w:color="auto"/>
              <w:bottom w:val="single" w:sz="12" w:space="0" w:color="auto"/>
              <w:right w:val="single" w:sz="4" w:space="0" w:color="auto"/>
            </w:tcBorders>
            <w:tcMar>
              <w:left w:w="58" w:type="dxa"/>
              <w:right w:w="58" w:type="dxa"/>
            </w:tcMar>
            <w:vAlign w:val="bottom"/>
          </w:tcPr>
          <w:p w14:paraId="2D1D6921" w14:textId="77777777" w:rsidR="007F18AB" w:rsidRPr="00814E2F" w:rsidRDefault="007F18AB" w:rsidP="007F18AB">
            <w:pPr>
              <w:spacing w:after="0" w:line="240" w:lineRule="auto"/>
              <w:jc w:val="center"/>
              <w:rPr>
                <w:b/>
                <w:color w:val="000000"/>
                <w:sz w:val="19"/>
                <w:szCs w:val="19"/>
              </w:rPr>
            </w:pPr>
            <w:r w:rsidRPr="00814E2F">
              <w:rPr>
                <w:b/>
                <w:color w:val="000000"/>
                <w:sz w:val="19"/>
                <w:szCs w:val="19"/>
              </w:rPr>
              <w:t>Low</w:t>
            </w:r>
          </w:p>
        </w:tc>
        <w:tc>
          <w:tcPr>
            <w:tcW w:w="810" w:type="dxa"/>
            <w:tcBorders>
              <w:top w:val="single" w:sz="4" w:space="0" w:color="auto"/>
              <w:left w:val="single" w:sz="4" w:space="0" w:color="auto"/>
              <w:bottom w:val="single" w:sz="12" w:space="0" w:color="auto"/>
              <w:right w:val="single" w:sz="8" w:space="0" w:color="auto"/>
            </w:tcBorders>
            <w:tcMar>
              <w:left w:w="58" w:type="dxa"/>
              <w:right w:w="58" w:type="dxa"/>
            </w:tcMar>
            <w:vAlign w:val="bottom"/>
          </w:tcPr>
          <w:p w14:paraId="5C56E1EA" w14:textId="77777777" w:rsidR="007F18AB" w:rsidRPr="00814E2F" w:rsidRDefault="007F18AB" w:rsidP="007F18AB">
            <w:pPr>
              <w:spacing w:after="0" w:line="240" w:lineRule="auto"/>
              <w:jc w:val="center"/>
              <w:rPr>
                <w:b/>
                <w:color w:val="000000"/>
                <w:sz w:val="19"/>
                <w:szCs w:val="19"/>
              </w:rPr>
            </w:pPr>
            <w:r w:rsidRPr="00814E2F">
              <w:rPr>
                <w:b/>
                <w:color w:val="000000"/>
                <w:sz w:val="19"/>
                <w:szCs w:val="19"/>
              </w:rPr>
              <w:t>High</w:t>
            </w:r>
          </w:p>
        </w:tc>
        <w:tc>
          <w:tcPr>
            <w:tcW w:w="990" w:type="dxa"/>
            <w:vMerge/>
            <w:tcBorders>
              <w:left w:val="single" w:sz="8" w:space="0" w:color="auto"/>
              <w:bottom w:val="single" w:sz="12" w:space="0" w:color="auto"/>
              <w:right w:val="double" w:sz="4" w:space="0" w:color="auto"/>
            </w:tcBorders>
            <w:tcMar>
              <w:left w:w="58" w:type="dxa"/>
              <w:right w:w="58" w:type="dxa"/>
            </w:tcMar>
          </w:tcPr>
          <w:p w14:paraId="0C25C06D" w14:textId="77777777" w:rsidR="007F18AB" w:rsidRPr="00814E2F" w:rsidRDefault="007F18AB" w:rsidP="007F18AB">
            <w:pPr>
              <w:spacing w:after="0" w:line="240" w:lineRule="auto"/>
              <w:jc w:val="center"/>
              <w:rPr>
                <w:b/>
                <w:color w:val="000000"/>
                <w:sz w:val="19"/>
                <w:szCs w:val="19"/>
              </w:rPr>
            </w:pPr>
          </w:p>
        </w:tc>
      </w:tr>
      <w:tr w:rsidR="00ED063B" w:rsidRPr="002C1485" w14:paraId="69F57176" w14:textId="77777777" w:rsidTr="00A24926">
        <w:trPr>
          <w:trHeight w:val="288"/>
          <w:jc w:val="center"/>
        </w:trPr>
        <w:tc>
          <w:tcPr>
            <w:tcW w:w="1245" w:type="dxa"/>
            <w:vMerge w:val="restart"/>
            <w:tcBorders>
              <w:top w:val="single" w:sz="4" w:space="0" w:color="auto"/>
              <w:left w:val="double" w:sz="4" w:space="0" w:color="auto"/>
              <w:bottom w:val="single" w:sz="4" w:space="0" w:color="000000"/>
              <w:right w:val="single" w:sz="4" w:space="0" w:color="auto"/>
            </w:tcBorders>
            <w:shd w:val="clear" w:color="000000" w:fill="FFF2CC"/>
            <w:tcMar>
              <w:left w:w="58" w:type="dxa"/>
              <w:right w:w="58" w:type="dxa"/>
            </w:tcMar>
            <w:vAlign w:val="center"/>
            <w:hideMark/>
          </w:tcPr>
          <w:p w14:paraId="6E6F3763" w14:textId="77777777" w:rsidR="00ED063B" w:rsidRPr="00814E2F" w:rsidRDefault="00ED063B" w:rsidP="007F18AB">
            <w:pPr>
              <w:spacing w:after="0" w:line="240" w:lineRule="auto"/>
              <w:jc w:val="left"/>
              <w:rPr>
                <w:rFonts w:eastAsia="Times New Roman"/>
                <w:b/>
                <w:color w:val="000000"/>
                <w:sz w:val="19"/>
                <w:szCs w:val="19"/>
              </w:rPr>
            </w:pPr>
            <w:r w:rsidRPr="00814E2F">
              <w:rPr>
                <w:rFonts w:eastAsia="Times New Roman"/>
                <w:b/>
                <w:color w:val="000000"/>
                <w:sz w:val="19"/>
                <w:szCs w:val="19"/>
              </w:rPr>
              <w:t>Men with partner</w:t>
            </w:r>
          </w:p>
        </w:tc>
        <w:tc>
          <w:tcPr>
            <w:tcW w:w="972" w:type="dxa"/>
            <w:tcBorders>
              <w:top w:val="single" w:sz="12" w:space="0" w:color="auto"/>
              <w:left w:val="single" w:sz="12" w:space="0" w:color="auto"/>
              <w:bottom w:val="single" w:sz="4" w:space="0" w:color="auto"/>
              <w:right w:val="single" w:sz="12" w:space="0" w:color="auto"/>
            </w:tcBorders>
            <w:shd w:val="clear" w:color="000000" w:fill="FFF2CC"/>
            <w:tcMar>
              <w:left w:w="58" w:type="dxa"/>
              <w:right w:w="58" w:type="dxa"/>
            </w:tcMar>
          </w:tcPr>
          <w:p w14:paraId="3BACCD59" w14:textId="77777777" w:rsidR="00ED063B" w:rsidRPr="00814E2F" w:rsidRDefault="00ED063B" w:rsidP="007F18AB">
            <w:pPr>
              <w:spacing w:after="0" w:line="240" w:lineRule="auto"/>
              <w:jc w:val="center"/>
              <w:rPr>
                <w:rFonts w:eastAsia="Times New Roman"/>
                <w:color w:val="000000"/>
                <w:sz w:val="19"/>
                <w:szCs w:val="19"/>
              </w:rPr>
            </w:pPr>
            <w:r w:rsidRPr="00814E2F">
              <w:rPr>
                <w:rFonts w:eastAsia="Times New Roman"/>
                <w:color w:val="000000"/>
                <w:sz w:val="19"/>
                <w:szCs w:val="19"/>
              </w:rPr>
              <w:t>Home</w:t>
            </w:r>
          </w:p>
        </w:tc>
        <w:tc>
          <w:tcPr>
            <w:tcW w:w="843" w:type="dxa"/>
            <w:tcBorders>
              <w:top w:val="single" w:sz="12" w:space="0" w:color="auto"/>
              <w:left w:val="single" w:sz="12" w:space="0" w:color="auto"/>
              <w:bottom w:val="single" w:sz="4" w:space="0" w:color="auto"/>
              <w:right w:val="single" w:sz="4" w:space="0" w:color="auto"/>
            </w:tcBorders>
            <w:shd w:val="clear" w:color="000000" w:fill="FFF2CC"/>
            <w:tcMar>
              <w:left w:w="58" w:type="dxa"/>
              <w:right w:w="58" w:type="dxa"/>
            </w:tcMar>
            <w:vAlign w:val="bottom"/>
          </w:tcPr>
          <w:p w14:paraId="6F4E96E3" w14:textId="77777777" w:rsidR="00ED063B" w:rsidRPr="00814E2F" w:rsidRDefault="00ED063B" w:rsidP="007F18AB">
            <w:pPr>
              <w:spacing w:after="0" w:line="240" w:lineRule="auto"/>
              <w:jc w:val="right"/>
              <w:rPr>
                <w:color w:val="000000"/>
                <w:sz w:val="19"/>
                <w:szCs w:val="19"/>
              </w:rPr>
            </w:pPr>
            <w:r w:rsidRPr="00814E2F">
              <w:rPr>
                <w:color w:val="000000"/>
                <w:sz w:val="19"/>
                <w:szCs w:val="19"/>
              </w:rPr>
              <w:t>10.6</w:t>
            </w:r>
          </w:p>
        </w:tc>
        <w:tc>
          <w:tcPr>
            <w:tcW w:w="844" w:type="dxa"/>
            <w:tcBorders>
              <w:top w:val="single" w:sz="12" w:space="0" w:color="auto"/>
              <w:left w:val="single" w:sz="4" w:space="0" w:color="auto"/>
              <w:bottom w:val="single" w:sz="4" w:space="0" w:color="auto"/>
              <w:right w:val="single" w:sz="4" w:space="0" w:color="auto"/>
            </w:tcBorders>
            <w:shd w:val="clear" w:color="000000" w:fill="FFF2CC"/>
            <w:tcMar>
              <w:left w:w="58" w:type="dxa"/>
              <w:right w:w="58" w:type="dxa"/>
            </w:tcMar>
            <w:vAlign w:val="bottom"/>
          </w:tcPr>
          <w:p w14:paraId="34FF6E36" w14:textId="77777777" w:rsidR="00ED063B" w:rsidRPr="00814E2F" w:rsidRDefault="00ED063B" w:rsidP="007F18AB">
            <w:pPr>
              <w:spacing w:after="0" w:line="240" w:lineRule="auto"/>
              <w:jc w:val="right"/>
              <w:rPr>
                <w:color w:val="000000"/>
                <w:sz w:val="19"/>
                <w:szCs w:val="19"/>
              </w:rPr>
            </w:pPr>
            <w:r w:rsidRPr="00814E2F">
              <w:rPr>
                <w:color w:val="000000"/>
                <w:sz w:val="19"/>
                <w:szCs w:val="19"/>
              </w:rPr>
              <w:t>10.0</w:t>
            </w:r>
          </w:p>
        </w:tc>
        <w:tc>
          <w:tcPr>
            <w:tcW w:w="844" w:type="dxa"/>
            <w:tcBorders>
              <w:top w:val="single" w:sz="12" w:space="0" w:color="auto"/>
              <w:left w:val="single" w:sz="4" w:space="0" w:color="auto"/>
              <w:bottom w:val="single" w:sz="4" w:space="0" w:color="auto"/>
              <w:right w:val="single" w:sz="8" w:space="0" w:color="auto"/>
            </w:tcBorders>
            <w:shd w:val="clear" w:color="000000" w:fill="FFF2CC"/>
            <w:tcMar>
              <w:left w:w="58" w:type="dxa"/>
              <w:right w:w="58" w:type="dxa"/>
            </w:tcMar>
            <w:vAlign w:val="bottom"/>
          </w:tcPr>
          <w:p w14:paraId="4633EF40" w14:textId="77777777" w:rsidR="00ED063B" w:rsidRPr="00814E2F" w:rsidRDefault="00ED063B" w:rsidP="007F18AB">
            <w:pPr>
              <w:spacing w:after="0" w:line="240" w:lineRule="auto"/>
              <w:jc w:val="right"/>
              <w:rPr>
                <w:color w:val="000000"/>
                <w:sz w:val="19"/>
                <w:szCs w:val="19"/>
              </w:rPr>
            </w:pPr>
            <w:r w:rsidRPr="00814E2F">
              <w:rPr>
                <w:color w:val="000000"/>
                <w:sz w:val="19"/>
                <w:szCs w:val="19"/>
              </w:rPr>
              <w:t>8.9</w:t>
            </w:r>
          </w:p>
        </w:tc>
        <w:tc>
          <w:tcPr>
            <w:tcW w:w="982" w:type="dxa"/>
            <w:tcBorders>
              <w:top w:val="single" w:sz="12" w:space="0" w:color="auto"/>
              <w:left w:val="single" w:sz="8" w:space="0" w:color="auto"/>
              <w:bottom w:val="single" w:sz="4" w:space="0" w:color="auto"/>
              <w:right w:val="single" w:sz="8" w:space="0" w:color="auto"/>
            </w:tcBorders>
            <w:shd w:val="clear" w:color="000000" w:fill="FFF2CC"/>
            <w:tcMar>
              <w:left w:w="58" w:type="dxa"/>
              <w:right w:w="58" w:type="dxa"/>
            </w:tcMar>
            <w:vAlign w:val="bottom"/>
          </w:tcPr>
          <w:p w14:paraId="516E37BA" w14:textId="77777777" w:rsidR="00ED063B" w:rsidRPr="00814E2F" w:rsidRDefault="00ED063B" w:rsidP="007F18AB">
            <w:pPr>
              <w:spacing w:after="0" w:line="240" w:lineRule="auto"/>
              <w:jc w:val="right"/>
              <w:rPr>
                <w:b/>
                <w:color w:val="000000"/>
                <w:sz w:val="19"/>
                <w:szCs w:val="19"/>
              </w:rPr>
            </w:pPr>
            <w:r w:rsidRPr="00814E2F">
              <w:rPr>
                <w:b/>
                <w:color w:val="000000"/>
                <w:sz w:val="19"/>
                <w:szCs w:val="19"/>
              </w:rPr>
              <w:t>-15.8%</w:t>
            </w:r>
          </w:p>
        </w:tc>
        <w:tc>
          <w:tcPr>
            <w:tcW w:w="892" w:type="dxa"/>
            <w:tcBorders>
              <w:top w:val="single" w:sz="12" w:space="0" w:color="auto"/>
              <w:left w:val="single" w:sz="8" w:space="0" w:color="auto"/>
              <w:bottom w:val="single" w:sz="4" w:space="0" w:color="auto"/>
              <w:right w:val="single" w:sz="4" w:space="0" w:color="auto"/>
            </w:tcBorders>
            <w:shd w:val="clear" w:color="000000" w:fill="FFF2CC"/>
            <w:noWrap/>
            <w:tcMar>
              <w:left w:w="58" w:type="dxa"/>
              <w:right w:w="58" w:type="dxa"/>
            </w:tcMar>
            <w:vAlign w:val="bottom"/>
            <w:hideMark/>
          </w:tcPr>
          <w:p w14:paraId="0C5CAD5F" w14:textId="77777777" w:rsidR="00ED063B" w:rsidRPr="00814E2F" w:rsidRDefault="00ED063B" w:rsidP="007F18AB">
            <w:pPr>
              <w:spacing w:after="0" w:line="240" w:lineRule="auto"/>
              <w:jc w:val="right"/>
              <w:rPr>
                <w:color w:val="000000"/>
                <w:sz w:val="19"/>
                <w:szCs w:val="19"/>
              </w:rPr>
            </w:pPr>
            <w:r w:rsidRPr="00814E2F">
              <w:rPr>
                <w:color w:val="000000"/>
                <w:sz w:val="19"/>
                <w:szCs w:val="19"/>
              </w:rPr>
              <w:t>9.5</w:t>
            </w:r>
          </w:p>
        </w:tc>
        <w:tc>
          <w:tcPr>
            <w:tcW w:w="900" w:type="dxa"/>
            <w:tcBorders>
              <w:top w:val="single" w:sz="12" w:space="0" w:color="auto"/>
              <w:left w:val="nil"/>
              <w:bottom w:val="single" w:sz="4" w:space="0" w:color="auto"/>
              <w:right w:val="single" w:sz="4" w:space="0" w:color="auto"/>
            </w:tcBorders>
            <w:shd w:val="clear" w:color="000000" w:fill="FFF2CC"/>
            <w:noWrap/>
            <w:tcMar>
              <w:left w:w="58" w:type="dxa"/>
              <w:right w:w="58" w:type="dxa"/>
            </w:tcMar>
            <w:vAlign w:val="bottom"/>
            <w:hideMark/>
          </w:tcPr>
          <w:p w14:paraId="5A73BDF9" w14:textId="77777777" w:rsidR="00ED063B" w:rsidRPr="00814E2F" w:rsidRDefault="00ED063B" w:rsidP="007F18AB">
            <w:pPr>
              <w:spacing w:after="0" w:line="240" w:lineRule="auto"/>
              <w:jc w:val="right"/>
              <w:rPr>
                <w:color w:val="000000"/>
                <w:sz w:val="19"/>
                <w:szCs w:val="19"/>
              </w:rPr>
            </w:pPr>
            <w:r w:rsidRPr="00814E2F">
              <w:rPr>
                <w:color w:val="000000"/>
                <w:sz w:val="19"/>
                <w:szCs w:val="19"/>
              </w:rPr>
              <w:t>10.7</w:t>
            </w:r>
          </w:p>
        </w:tc>
        <w:tc>
          <w:tcPr>
            <w:tcW w:w="900" w:type="dxa"/>
            <w:tcBorders>
              <w:top w:val="single" w:sz="12" w:space="0" w:color="auto"/>
              <w:left w:val="nil"/>
              <w:bottom w:val="single" w:sz="4" w:space="0" w:color="auto"/>
              <w:right w:val="single" w:sz="8" w:space="0" w:color="auto"/>
            </w:tcBorders>
            <w:shd w:val="clear" w:color="000000" w:fill="FFF2CC"/>
            <w:noWrap/>
            <w:tcMar>
              <w:left w:w="58" w:type="dxa"/>
              <w:right w:w="58" w:type="dxa"/>
            </w:tcMar>
            <w:vAlign w:val="bottom"/>
            <w:hideMark/>
          </w:tcPr>
          <w:p w14:paraId="254BD698" w14:textId="77777777" w:rsidR="00ED063B" w:rsidRPr="00814E2F" w:rsidRDefault="00ED063B" w:rsidP="007F18AB">
            <w:pPr>
              <w:spacing w:after="0" w:line="240" w:lineRule="auto"/>
              <w:jc w:val="right"/>
              <w:rPr>
                <w:color w:val="000000"/>
                <w:sz w:val="19"/>
                <w:szCs w:val="19"/>
              </w:rPr>
            </w:pPr>
            <w:r w:rsidRPr="00814E2F">
              <w:rPr>
                <w:color w:val="000000"/>
                <w:sz w:val="19"/>
                <w:szCs w:val="19"/>
              </w:rPr>
              <w:t>10.7</w:t>
            </w:r>
          </w:p>
        </w:tc>
        <w:tc>
          <w:tcPr>
            <w:tcW w:w="998" w:type="dxa"/>
            <w:tcBorders>
              <w:top w:val="single" w:sz="12" w:space="0" w:color="auto"/>
              <w:left w:val="single" w:sz="8" w:space="0" w:color="auto"/>
              <w:bottom w:val="single" w:sz="4" w:space="0" w:color="auto"/>
              <w:right w:val="single" w:sz="8" w:space="0" w:color="auto"/>
            </w:tcBorders>
            <w:shd w:val="clear" w:color="000000" w:fill="FFF2CC"/>
            <w:tcMar>
              <w:left w:w="58" w:type="dxa"/>
              <w:right w:w="58" w:type="dxa"/>
            </w:tcMar>
            <w:vAlign w:val="bottom"/>
          </w:tcPr>
          <w:p w14:paraId="69745697" w14:textId="77777777" w:rsidR="00ED063B" w:rsidRPr="00814E2F" w:rsidRDefault="00ED063B" w:rsidP="007F18AB">
            <w:pPr>
              <w:spacing w:after="0" w:line="240" w:lineRule="auto"/>
              <w:jc w:val="right"/>
              <w:rPr>
                <w:b/>
                <w:color w:val="000000"/>
                <w:sz w:val="19"/>
                <w:szCs w:val="19"/>
              </w:rPr>
            </w:pPr>
            <w:r w:rsidRPr="00814E2F">
              <w:rPr>
                <w:b/>
                <w:color w:val="000000"/>
                <w:sz w:val="19"/>
                <w:szCs w:val="19"/>
              </w:rPr>
              <w:t>13.3%</w:t>
            </w:r>
          </w:p>
        </w:tc>
        <w:tc>
          <w:tcPr>
            <w:tcW w:w="900" w:type="dxa"/>
            <w:tcBorders>
              <w:top w:val="single" w:sz="12" w:space="0" w:color="auto"/>
              <w:left w:val="single" w:sz="8" w:space="0" w:color="auto"/>
              <w:bottom w:val="single" w:sz="4" w:space="0" w:color="auto"/>
              <w:right w:val="single" w:sz="4" w:space="0" w:color="auto"/>
            </w:tcBorders>
            <w:shd w:val="clear" w:color="000000" w:fill="FFF2CC"/>
            <w:tcMar>
              <w:left w:w="58" w:type="dxa"/>
              <w:right w:w="58" w:type="dxa"/>
            </w:tcMar>
            <w:vAlign w:val="bottom"/>
          </w:tcPr>
          <w:p w14:paraId="2F2AC2BC" w14:textId="77777777" w:rsidR="00ED063B" w:rsidRPr="00814E2F" w:rsidRDefault="00ED063B" w:rsidP="007F18AB">
            <w:pPr>
              <w:spacing w:after="0" w:line="240" w:lineRule="auto"/>
              <w:jc w:val="right"/>
              <w:rPr>
                <w:color w:val="000000"/>
                <w:sz w:val="19"/>
                <w:szCs w:val="19"/>
              </w:rPr>
            </w:pPr>
            <w:r w:rsidRPr="00814E2F">
              <w:rPr>
                <w:color w:val="000000"/>
                <w:sz w:val="19"/>
                <w:szCs w:val="19"/>
              </w:rPr>
              <w:t>9.7</w:t>
            </w:r>
          </w:p>
        </w:tc>
        <w:tc>
          <w:tcPr>
            <w:tcW w:w="810" w:type="dxa"/>
            <w:tcBorders>
              <w:top w:val="single" w:sz="12" w:space="0" w:color="auto"/>
              <w:left w:val="single" w:sz="4" w:space="0" w:color="auto"/>
              <w:bottom w:val="single" w:sz="4" w:space="0" w:color="auto"/>
              <w:right w:val="single" w:sz="4" w:space="0" w:color="auto"/>
            </w:tcBorders>
            <w:shd w:val="clear" w:color="000000" w:fill="FFF2CC"/>
            <w:tcMar>
              <w:left w:w="58" w:type="dxa"/>
              <w:right w:w="58" w:type="dxa"/>
            </w:tcMar>
            <w:vAlign w:val="bottom"/>
          </w:tcPr>
          <w:p w14:paraId="167D8502" w14:textId="77777777" w:rsidR="00ED063B" w:rsidRPr="00814E2F" w:rsidRDefault="00ED063B" w:rsidP="007F18AB">
            <w:pPr>
              <w:spacing w:after="0" w:line="240" w:lineRule="auto"/>
              <w:jc w:val="right"/>
              <w:rPr>
                <w:color w:val="000000"/>
                <w:sz w:val="19"/>
                <w:szCs w:val="19"/>
              </w:rPr>
            </w:pPr>
            <w:r w:rsidRPr="00814E2F">
              <w:rPr>
                <w:color w:val="000000"/>
                <w:sz w:val="19"/>
                <w:szCs w:val="19"/>
              </w:rPr>
              <w:t>9.9</w:t>
            </w:r>
          </w:p>
        </w:tc>
        <w:tc>
          <w:tcPr>
            <w:tcW w:w="810" w:type="dxa"/>
            <w:tcBorders>
              <w:top w:val="single" w:sz="12" w:space="0" w:color="auto"/>
              <w:left w:val="single" w:sz="4" w:space="0" w:color="auto"/>
              <w:bottom w:val="single" w:sz="4" w:space="0" w:color="auto"/>
              <w:right w:val="single" w:sz="8" w:space="0" w:color="auto"/>
            </w:tcBorders>
            <w:shd w:val="clear" w:color="000000" w:fill="FFF2CC"/>
            <w:tcMar>
              <w:left w:w="58" w:type="dxa"/>
              <w:right w:w="58" w:type="dxa"/>
            </w:tcMar>
            <w:vAlign w:val="bottom"/>
          </w:tcPr>
          <w:p w14:paraId="686467FA" w14:textId="77777777" w:rsidR="00ED063B" w:rsidRPr="00814E2F" w:rsidRDefault="00ED063B" w:rsidP="007F18AB">
            <w:pPr>
              <w:spacing w:after="0" w:line="240" w:lineRule="auto"/>
              <w:jc w:val="right"/>
              <w:rPr>
                <w:color w:val="000000"/>
                <w:sz w:val="19"/>
                <w:szCs w:val="19"/>
              </w:rPr>
            </w:pPr>
            <w:r w:rsidRPr="00814E2F">
              <w:rPr>
                <w:color w:val="000000"/>
                <w:sz w:val="19"/>
                <w:szCs w:val="19"/>
              </w:rPr>
              <w:t>9.9</w:t>
            </w:r>
          </w:p>
        </w:tc>
        <w:tc>
          <w:tcPr>
            <w:tcW w:w="990" w:type="dxa"/>
            <w:tcBorders>
              <w:top w:val="single" w:sz="12" w:space="0" w:color="auto"/>
              <w:left w:val="single" w:sz="8" w:space="0" w:color="auto"/>
              <w:bottom w:val="single" w:sz="4" w:space="0" w:color="auto"/>
              <w:right w:val="double" w:sz="4" w:space="0" w:color="auto"/>
            </w:tcBorders>
            <w:shd w:val="clear" w:color="000000" w:fill="FFF2CC"/>
            <w:tcMar>
              <w:left w:w="58" w:type="dxa"/>
              <w:right w:w="58" w:type="dxa"/>
            </w:tcMar>
            <w:vAlign w:val="bottom"/>
          </w:tcPr>
          <w:p w14:paraId="6EF5E23F" w14:textId="77777777" w:rsidR="00ED063B" w:rsidRPr="00814E2F" w:rsidRDefault="00ED063B" w:rsidP="007F18AB">
            <w:pPr>
              <w:spacing w:after="0" w:line="240" w:lineRule="auto"/>
              <w:jc w:val="right"/>
              <w:rPr>
                <w:b/>
                <w:color w:val="000000"/>
                <w:sz w:val="19"/>
                <w:szCs w:val="19"/>
              </w:rPr>
            </w:pPr>
            <w:r w:rsidRPr="00814E2F">
              <w:rPr>
                <w:b/>
                <w:color w:val="000000"/>
                <w:sz w:val="19"/>
                <w:szCs w:val="19"/>
              </w:rPr>
              <w:t>2.5%</w:t>
            </w:r>
          </w:p>
        </w:tc>
      </w:tr>
      <w:tr w:rsidR="00ED063B" w:rsidRPr="002C1485" w14:paraId="4F21FA14" w14:textId="77777777" w:rsidTr="00A24926">
        <w:trPr>
          <w:trHeight w:val="288"/>
          <w:jc w:val="center"/>
        </w:trPr>
        <w:tc>
          <w:tcPr>
            <w:tcW w:w="1245" w:type="dxa"/>
            <w:vMerge/>
            <w:tcBorders>
              <w:top w:val="single" w:sz="4" w:space="0" w:color="auto"/>
              <w:left w:val="double" w:sz="4" w:space="0" w:color="auto"/>
              <w:bottom w:val="single" w:sz="4" w:space="0" w:color="000000"/>
              <w:right w:val="single" w:sz="4" w:space="0" w:color="auto"/>
            </w:tcBorders>
            <w:tcMar>
              <w:left w:w="58" w:type="dxa"/>
              <w:right w:w="58" w:type="dxa"/>
            </w:tcMar>
            <w:vAlign w:val="center"/>
            <w:hideMark/>
          </w:tcPr>
          <w:p w14:paraId="080EAF56" w14:textId="77777777" w:rsidR="00ED063B" w:rsidRPr="00814E2F" w:rsidRDefault="00ED063B" w:rsidP="007F18AB">
            <w:pPr>
              <w:spacing w:after="0" w:line="240" w:lineRule="auto"/>
              <w:jc w:val="left"/>
              <w:rPr>
                <w:rFonts w:eastAsia="Times New Roman"/>
                <w:b/>
                <w:color w:val="000000"/>
                <w:sz w:val="19"/>
                <w:szCs w:val="19"/>
              </w:rPr>
            </w:pPr>
          </w:p>
        </w:tc>
        <w:tc>
          <w:tcPr>
            <w:tcW w:w="972" w:type="dxa"/>
            <w:tcBorders>
              <w:top w:val="nil"/>
              <w:left w:val="single" w:sz="12" w:space="0" w:color="auto"/>
              <w:bottom w:val="single" w:sz="4" w:space="0" w:color="auto"/>
              <w:right w:val="single" w:sz="12" w:space="0" w:color="auto"/>
            </w:tcBorders>
            <w:shd w:val="clear" w:color="000000" w:fill="FFF2CC"/>
            <w:tcMar>
              <w:left w:w="58" w:type="dxa"/>
              <w:right w:w="58" w:type="dxa"/>
            </w:tcMar>
          </w:tcPr>
          <w:p w14:paraId="36692632" w14:textId="77777777" w:rsidR="00ED063B" w:rsidRPr="00814E2F" w:rsidRDefault="00ED063B" w:rsidP="007F18AB">
            <w:pPr>
              <w:spacing w:after="0" w:line="240" w:lineRule="auto"/>
              <w:jc w:val="center"/>
              <w:rPr>
                <w:rFonts w:eastAsia="Times New Roman"/>
                <w:color w:val="000000"/>
                <w:sz w:val="19"/>
                <w:szCs w:val="19"/>
              </w:rPr>
            </w:pPr>
            <w:r w:rsidRPr="00814E2F">
              <w:rPr>
                <w:rFonts w:eastAsia="Times New Roman"/>
                <w:color w:val="000000"/>
                <w:sz w:val="19"/>
                <w:szCs w:val="19"/>
              </w:rPr>
              <w:t>Work Office</w:t>
            </w:r>
          </w:p>
        </w:tc>
        <w:tc>
          <w:tcPr>
            <w:tcW w:w="843" w:type="dxa"/>
            <w:tcBorders>
              <w:top w:val="nil"/>
              <w:left w:val="single" w:sz="12" w:space="0" w:color="auto"/>
              <w:bottom w:val="single" w:sz="4" w:space="0" w:color="auto"/>
              <w:right w:val="single" w:sz="4" w:space="0" w:color="auto"/>
            </w:tcBorders>
            <w:shd w:val="clear" w:color="000000" w:fill="FFF2CC"/>
            <w:tcMar>
              <w:left w:w="58" w:type="dxa"/>
              <w:right w:w="58" w:type="dxa"/>
            </w:tcMar>
            <w:vAlign w:val="bottom"/>
          </w:tcPr>
          <w:p w14:paraId="7AEB2F97" w14:textId="77777777" w:rsidR="00ED063B" w:rsidRPr="00814E2F" w:rsidRDefault="00ED063B" w:rsidP="007F18AB">
            <w:pPr>
              <w:spacing w:after="0" w:line="240" w:lineRule="auto"/>
              <w:jc w:val="right"/>
              <w:rPr>
                <w:color w:val="000000"/>
                <w:sz w:val="19"/>
                <w:szCs w:val="19"/>
              </w:rPr>
            </w:pPr>
            <w:r w:rsidRPr="00814E2F">
              <w:rPr>
                <w:color w:val="000000"/>
                <w:sz w:val="19"/>
                <w:szCs w:val="19"/>
              </w:rPr>
              <w:t>10.7</w:t>
            </w:r>
          </w:p>
        </w:tc>
        <w:tc>
          <w:tcPr>
            <w:tcW w:w="844" w:type="dxa"/>
            <w:tcBorders>
              <w:top w:val="nil"/>
              <w:left w:val="single" w:sz="4" w:space="0" w:color="auto"/>
              <w:bottom w:val="single" w:sz="4" w:space="0" w:color="auto"/>
              <w:right w:val="single" w:sz="4" w:space="0" w:color="auto"/>
            </w:tcBorders>
            <w:shd w:val="clear" w:color="000000" w:fill="FFF2CC"/>
            <w:tcMar>
              <w:left w:w="58" w:type="dxa"/>
              <w:right w:w="58" w:type="dxa"/>
            </w:tcMar>
            <w:vAlign w:val="bottom"/>
          </w:tcPr>
          <w:p w14:paraId="2B8DB57C" w14:textId="77777777" w:rsidR="00ED063B" w:rsidRPr="00814E2F" w:rsidRDefault="00ED063B" w:rsidP="007F18AB">
            <w:pPr>
              <w:spacing w:after="0" w:line="240" w:lineRule="auto"/>
              <w:jc w:val="right"/>
              <w:rPr>
                <w:color w:val="000000"/>
                <w:sz w:val="19"/>
                <w:szCs w:val="19"/>
              </w:rPr>
            </w:pPr>
            <w:r w:rsidRPr="00814E2F">
              <w:rPr>
                <w:color w:val="000000"/>
                <w:sz w:val="19"/>
                <w:szCs w:val="19"/>
              </w:rPr>
              <w:t>11.3</w:t>
            </w:r>
          </w:p>
        </w:tc>
        <w:tc>
          <w:tcPr>
            <w:tcW w:w="844" w:type="dxa"/>
            <w:tcBorders>
              <w:top w:val="nil"/>
              <w:left w:val="single" w:sz="4" w:space="0" w:color="auto"/>
              <w:bottom w:val="single" w:sz="4" w:space="0" w:color="auto"/>
              <w:right w:val="single" w:sz="8" w:space="0" w:color="auto"/>
            </w:tcBorders>
            <w:shd w:val="clear" w:color="000000" w:fill="FFF2CC"/>
            <w:tcMar>
              <w:left w:w="58" w:type="dxa"/>
              <w:right w:w="58" w:type="dxa"/>
            </w:tcMar>
            <w:vAlign w:val="bottom"/>
          </w:tcPr>
          <w:p w14:paraId="767812D0" w14:textId="77777777" w:rsidR="00ED063B" w:rsidRPr="00814E2F" w:rsidRDefault="00ED063B" w:rsidP="007F18AB">
            <w:pPr>
              <w:spacing w:after="0" w:line="240" w:lineRule="auto"/>
              <w:jc w:val="right"/>
              <w:rPr>
                <w:color w:val="000000"/>
                <w:sz w:val="19"/>
                <w:szCs w:val="19"/>
              </w:rPr>
            </w:pPr>
            <w:r w:rsidRPr="00814E2F">
              <w:rPr>
                <w:color w:val="000000"/>
                <w:sz w:val="19"/>
                <w:szCs w:val="19"/>
              </w:rPr>
              <w:t>12.3</w:t>
            </w:r>
          </w:p>
        </w:tc>
        <w:tc>
          <w:tcPr>
            <w:tcW w:w="982" w:type="dxa"/>
            <w:tcBorders>
              <w:top w:val="nil"/>
              <w:left w:val="single" w:sz="8" w:space="0" w:color="auto"/>
              <w:bottom w:val="single" w:sz="4" w:space="0" w:color="auto"/>
              <w:right w:val="single" w:sz="8" w:space="0" w:color="auto"/>
            </w:tcBorders>
            <w:shd w:val="clear" w:color="000000" w:fill="FFF2CC"/>
            <w:tcMar>
              <w:left w:w="58" w:type="dxa"/>
              <w:right w:w="58" w:type="dxa"/>
            </w:tcMar>
            <w:vAlign w:val="bottom"/>
          </w:tcPr>
          <w:p w14:paraId="77769B50" w14:textId="77777777" w:rsidR="00ED063B" w:rsidRPr="00814E2F" w:rsidRDefault="00ED063B" w:rsidP="007F18AB">
            <w:pPr>
              <w:spacing w:after="0" w:line="240" w:lineRule="auto"/>
              <w:jc w:val="right"/>
              <w:rPr>
                <w:b/>
                <w:color w:val="000000"/>
                <w:sz w:val="19"/>
                <w:szCs w:val="19"/>
              </w:rPr>
            </w:pPr>
            <w:r w:rsidRPr="00814E2F">
              <w:rPr>
                <w:b/>
                <w:color w:val="000000"/>
                <w:sz w:val="19"/>
                <w:szCs w:val="19"/>
              </w:rPr>
              <w:t>14.4%</w:t>
            </w:r>
          </w:p>
        </w:tc>
        <w:tc>
          <w:tcPr>
            <w:tcW w:w="892" w:type="dxa"/>
            <w:tcBorders>
              <w:top w:val="nil"/>
              <w:left w:val="single" w:sz="8" w:space="0" w:color="auto"/>
              <w:bottom w:val="single" w:sz="4" w:space="0" w:color="auto"/>
              <w:right w:val="single" w:sz="4" w:space="0" w:color="auto"/>
            </w:tcBorders>
            <w:shd w:val="clear" w:color="000000" w:fill="FFF2CC"/>
            <w:noWrap/>
            <w:tcMar>
              <w:left w:w="58" w:type="dxa"/>
              <w:right w:w="58" w:type="dxa"/>
            </w:tcMar>
            <w:vAlign w:val="bottom"/>
            <w:hideMark/>
          </w:tcPr>
          <w:p w14:paraId="1C313FAE" w14:textId="77777777" w:rsidR="00ED063B" w:rsidRPr="00814E2F" w:rsidRDefault="00ED063B" w:rsidP="007F18AB">
            <w:pPr>
              <w:spacing w:after="0" w:line="240" w:lineRule="auto"/>
              <w:jc w:val="right"/>
              <w:rPr>
                <w:color w:val="000000"/>
                <w:sz w:val="19"/>
                <w:szCs w:val="19"/>
              </w:rPr>
            </w:pPr>
            <w:r w:rsidRPr="00814E2F">
              <w:rPr>
                <w:color w:val="000000"/>
                <w:sz w:val="19"/>
                <w:szCs w:val="19"/>
              </w:rPr>
              <w:t>11.8</w:t>
            </w:r>
          </w:p>
        </w:tc>
        <w:tc>
          <w:tcPr>
            <w:tcW w:w="900" w:type="dxa"/>
            <w:tcBorders>
              <w:top w:val="nil"/>
              <w:left w:val="nil"/>
              <w:bottom w:val="single" w:sz="4" w:space="0" w:color="auto"/>
              <w:right w:val="single" w:sz="4" w:space="0" w:color="auto"/>
            </w:tcBorders>
            <w:shd w:val="clear" w:color="000000" w:fill="FFF2CC"/>
            <w:noWrap/>
            <w:tcMar>
              <w:left w:w="58" w:type="dxa"/>
              <w:right w:w="58" w:type="dxa"/>
            </w:tcMar>
            <w:vAlign w:val="bottom"/>
            <w:hideMark/>
          </w:tcPr>
          <w:p w14:paraId="2864B42E" w14:textId="77777777" w:rsidR="00ED063B" w:rsidRPr="00814E2F" w:rsidRDefault="00ED063B" w:rsidP="007F18AB">
            <w:pPr>
              <w:spacing w:after="0" w:line="240" w:lineRule="auto"/>
              <w:jc w:val="right"/>
              <w:rPr>
                <w:color w:val="000000"/>
                <w:sz w:val="19"/>
                <w:szCs w:val="19"/>
              </w:rPr>
            </w:pPr>
            <w:r w:rsidRPr="00814E2F">
              <w:rPr>
                <w:color w:val="000000"/>
                <w:sz w:val="19"/>
                <w:szCs w:val="19"/>
              </w:rPr>
              <w:t>10.4</w:t>
            </w:r>
          </w:p>
        </w:tc>
        <w:tc>
          <w:tcPr>
            <w:tcW w:w="900" w:type="dxa"/>
            <w:tcBorders>
              <w:top w:val="nil"/>
              <w:left w:val="nil"/>
              <w:bottom w:val="single" w:sz="4" w:space="0" w:color="auto"/>
              <w:right w:val="single" w:sz="8" w:space="0" w:color="auto"/>
            </w:tcBorders>
            <w:shd w:val="clear" w:color="000000" w:fill="FFF2CC"/>
            <w:noWrap/>
            <w:tcMar>
              <w:left w:w="58" w:type="dxa"/>
              <w:right w:w="58" w:type="dxa"/>
            </w:tcMar>
            <w:vAlign w:val="bottom"/>
            <w:hideMark/>
          </w:tcPr>
          <w:p w14:paraId="3A610481" w14:textId="77777777" w:rsidR="00ED063B" w:rsidRPr="00814E2F" w:rsidRDefault="00ED063B" w:rsidP="007F18AB">
            <w:pPr>
              <w:spacing w:after="0" w:line="240" w:lineRule="auto"/>
              <w:jc w:val="right"/>
              <w:rPr>
                <w:color w:val="000000"/>
                <w:sz w:val="19"/>
                <w:szCs w:val="19"/>
              </w:rPr>
            </w:pPr>
            <w:r w:rsidRPr="00814E2F">
              <w:rPr>
                <w:color w:val="000000"/>
                <w:sz w:val="19"/>
                <w:szCs w:val="19"/>
              </w:rPr>
              <w:t>10.4</w:t>
            </w:r>
          </w:p>
        </w:tc>
        <w:tc>
          <w:tcPr>
            <w:tcW w:w="998" w:type="dxa"/>
            <w:tcBorders>
              <w:top w:val="nil"/>
              <w:left w:val="single" w:sz="8" w:space="0" w:color="auto"/>
              <w:bottom w:val="single" w:sz="4" w:space="0" w:color="auto"/>
              <w:right w:val="single" w:sz="8" w:space="0" w:color="auto"/>
            </w:tcBorders>
            <w:shd w:val="clear" w:color="000000" w:fill="FFF2CC"/>
            <w:tcMar>
              <w:left w:w="58" w:type="dxa"/>
              <w:right w:w="58" w:type="dxa"/>
            </w:tcMar>
            <w:vAlign w:val="bottom"/>
          </w:tcPr>
          <w:p w14:paraId="36F6A0C1" w14:textId="77777777" w:rsidR="00ED063B" w:rsidRPr="00814E2F" w:rsidRDefault="00ED063B" w:rsidP="007F18AB">
            <w:pPr>
              <w:spacing w:after="0" w:line="240" w:lineRule="auto"/>
              <w:jc w:val="right"/>
              <w:rPr>
                <w:b/>
                <w:color w:val="000000"/>
                <w:sz w:val="19"/>
                <w:szCs w:val="19"/>
              </w:rPr>
            </w:pPr>
            <w:r w:rsidRPr="00814E2F">
              <w:rPr>
                <w:b/>
                <w:color w:val="000000"/>
                <w:sz w:val="19"/>
                <w:szCs w:val="19"/>
              </w:rPr>
              <w:t>-11.6%</w:t>
            </w:r>
          </w:p>
        </w:tc>
        <w:tc>
          <w:tcPr>
            <w:tcW w:w="900" w:type="dxa"/>
            <w:tcBorders>
              <w:top w:val="nil"/>
              <w:left w:val="single" w:sz="8" w:space="0" w:color="auto"/>
              <w:bottom w:val="single" w:sz="4" w:space="0" w:color="auto"/>
              <w:right w:val="single" w:sz="4" w:space="0" w:color="auto"/>
            </w:tcBorders>
            <w:shd w:val="clear" w:color="000000" w:fill="FFF2CC"/>
            <w:tcMar>
              <w:left w:w="58" w:type="dxa"/>
              <w:right w:w="58" w:type="dxa"/>
            </w:tcMar>
            <w:vAlign w:val="bottom"/>
          </w:tcPr>
          <w:p w14:paraId="2E81E86D" w14:textId="77777777" w:rsidR="00ED063B" w:rsidRPr="00814E2F" w:rsidRDefault="00ED063B" w:rsidP="007F18AB">
            <w:pPr>
              <w:spacing w:after="0" w:line="240" w:lineRule="auto"/>
              <w:jc w:val="right"/>
              <w:rPr>
                <w:color w:val="000000"/>
                <w:sz w:val="19"/>
                <w:szCs w:val="19"/>
              </w:rPr>
            </w:pPr>
            <w:r w:rsidRPr="00814E2F">
              <w:rPr>
                <w:color w:val="000000"/>
                <w:sz w:val="19"/>
                <w:szCs w:val="19"/>
              </w:rPr>
              <w:t>11.3</w:t>
            </w:r>
          </w:p>
        </w:tc>
        <w:tc>
          <w:tcPr>
            <w:tcW w:w="810" w:type="dxa"/>
            <w:tcBorders>
              <w:top w:val="nil"/>
              <w:left w:val="single" w:sz="4" w:space="0" w:color="auto"/>
              <w:bottom w:val="single" w:sz="4" w:space="0" w:color="auto"/>
              <w:right w:val="single" w:sz="4" w:space="0" w:color="auto"/>
            </w:tcBorders>
            <w:shd w:val="clear" w:color="000000" w:fill="FFF2CC"/>
            <w:tcMar>
              <w:left w:w="58" w:type="dxa"/>
              <w:right w:w="58" w:type="dxa"/>
            </w:tcMar>
            <w:vAlign w:val="bottom"/>
          </w:tcPr>
          <w:p w14:paraId="48BE6F0B" w14:textId="77777777" w:rsidR="00ED063B" w:rsidRPr="00814E2F" w:rsidRDefault="00ED063B" w:rsidP="007F18AB">
            <w:pPr>
              <w:spacing w:after="0" w:line="240" w:lineRule="auto"/>
              <w:jc w:val="right"/>
              <w:rPr>
                <w:color w:val="000000"/>
                <w:sz w:val="19"/>
                <w:szCs w:val="19"/>
              </w:rPr>
            </w:pPr>
            <w:r w:rsidRPr="00814E2F">
              <w:rPr>
                <w:color w:val="000000"/>
                <w:sz w:val="19"/>
                <w:szCs w:val="19"/>
              </w:rPr>
              <w:t>11.5</w:t>
            </w:r>
          </w:p>
        </w:tc>
        <w:tc>
          <w:tcPr>
            <w:tcW w:w="810" w:type="dxa"/>
            <w:tcBorders>
              <w:top w:val="nil"/>
              <w:left w:val="single" w:sz="4" w:space="0" w:color="auto"/>
              <w:bottom w:val="single" w:sz="4" w:space="0" w:color="auto"/>
              <w:right w:val="single" w:sz="8" w:space="0" w:color="auto"/>
            </w:tcBorders>
            <w:shd w:val="clear" w:color="000000" w:fill="FFF2CC"/>
            <w:tcMar>
              <w:left w:w="58" w:type="dxa"/>
              <w:right w:w="58" w:type="dxa"/>
            </w:tcMar>
            <w:vAlign w:val="bottom"/>
          </w:tcPr>
          <w:p w14:paraId="4CB6E3D8" w14:textId="77777777" w:rsidR="00ED063B" w:rsidRPr="00814E2F" w:rsidRDefault="00ED063B" w:rsidP="007F18AB">
            <w:pPr>
              <w:spacing w:after="0" w:line="240" w:lineRule="auto"/>
              <w:jc w:val="right"/>
              <w:rPr>
                <w:color w:val="000000"/>
                <w:sz w:val="19"/>
                <w:szCs w:val="19"/>
              </w:rPr>
            </w:pPr>
            <w:r w:rsidRPr="00814E2F">
              <w:rPr>
                <w:color w:val="000000"/>
                <w:sz w:val="19"/>
                <w:szCs w:val="19"/>
              </w:rPr>
              <w:t>11.6</w:t>
            </w:r>
          </w:p>
        </w:tc>
        <w:tc>
          <w:tcPr>
            <w:tcW w:w="990" w:type="dxa"/>
            <w:tcBorders>
              <w:top w:val="nil"/>
              <w:left w:val="single" w:sz="8" w:space="0" w:color="auto"/>
              <w:bottom w:val="single" w:sz="4" w:space="0" w:color="auto"/>
              <w:right w:val="double" w:sz="4" w:space="0" w:color="auto"/>
            </w:tcBorders>
            <w:shd w:val="clear" w:color="000000" w:fill="FFF2CC"/>
            <w:tcMar>
              <w:left w:w="58" w:type="dxa"/>
              <w:right w:w="58" w:type="dxa"/>
            </w:tcMar>
            <w:vAlign w:val="bottom"/>
          </w:tcPr>
          <w:p w14:paraId="1F4FB00F" w14:textId="77777777" w:rsidR="00ED063B" w:rsidRPr="00814E2F" w:rsidRDefault="00ED063B" w:rsidP="007F18AB">
            <w:pPr>
              <w:spacing w:after="0" w:line="240" w:lineRule="auto"/>
              <w:jc w:val="right"/>
              <w:rPr>
                <w:b/>
                <w:color w:val="000000"/>
                <w:sz w:val="19"/>
                <w:szCs w:val="19"/>
              </w:rPr>
            </w:pPr>
            <w:r w:rsidRPr="00814E2F">
              <w:rPr>
                <w:b/>
                <w:color w:val="000000"/>
                <w:sz w:val="19"/>
                <w:szCs w:val="19"/>
              </w:rPr>
              <w:t>2.2%</w:t>
            </w:r>
          </w:p>
        </w:tc>
      </w:tr>
      <w:tr w:rsidR="00ED063B" w:rsidRPr="002C1485" w14:paraId="5F855F54" w14:textId="77777777" w:rsidTr="00A24926">
        <w:trPr>
          <w:trHeight w:val="288"/>
          <w:jc w:val="center"/>
        </w:trPr>
        <w:tc>
          <w:tcPr>
            <w:tcW w:w="1245" w:type="dxa"/>
            <w:vMerge/>
            <w:tcBorders>
              <w:top w:val="single" w:sz="4" w:space="0" w:color="auto"/>
              <w:left w:val="double" w:sz="4" w:space="0" w:color="auto"/>
              <w:bottom w:val="single" w:sz="12" w:space="0" w:color="auto"/>
              <w:right w:val="single" w:sz="4" w:space="0" w:color="auto"/>
            </w:tcBorders>
            <w:tcMar>
              <w:left w:w="58" w:type="dxa"/>
              <w:right w:w="58" w:type="dxa"/>
            </w:tcMar>
            <w:vAlign w:val="center"/>
            <w:hideMark/>
          </w:tcPr>
          <w:p w14:paraId="6583A7CE" w14:textId="77777777" w:rsidR="00ED063B" w:rsidRPr="00814E2F" w:rsidRDefault="00ED063B" w:rsidP="007F18AB">
            <w:pPr>
              <w:spacing w:after="0" w:line="240" w:lineRule="auto"/>
              <w:jc w:val="left"/>
              <w:rPr>
                <w:rFonts w:eastAsia="Times New Roman"/>
                <w:b/>
                <w:color w:val="000000"/>
                <w:sz w:val="19"/>
                <w:szCs w:val="19"/>
              </w:rPr>
            </w:pPr>
          </w:p>
        </w:tc>
        <w:tc>
          <w:tcPr>
            <w:tcW w:w="972" w:type="dxa"/>
            <w:tcBorders>
              <w:top w:val="nil"/>
              <w:left w:val="single" w:sz="12" w:space="0" w:color="auto"/>
              <w:bottom w:val="single" w:sz="12" w:space="0" w:color="auto"/>
              <w:right w:val="single" w:sz="12" w:space="0" w:color="auto"/>
            </w:tcBorders>
            <w:shd w:val="clear" w:color="000000" w:fill="FFF2CC"/>
            <w:tcMar>
              <w:left w:w="58" w:type="dxa"/>
              <w:right w:w="58" w:type="dxa"/>
            </w:tcMar>
          </w:tcPr>
          <w:p w14:paraId="06C9822D" w14:textId="77777777" w:rsidR="00ED063B" w:rsidRPr="00814E2F" w:rsidRDefault="00ED063B" w:rsidP="007F18AB">
            <w:pPr>
              <w:spacing w:after="0" w:line="240" w:lineRule="auto"/>
              <w:jc w:val="center"/>
              <w:rPr>
                <w:rFonts w:eastAsia="Times New Roman"/>
                <w:color w:val="000000"/>
                <w:sz w:val="19"/>
                <w:szCs w:val="19"/>
              </w:rPr>
            </w:pPr>
            <w:r w:rsidRPr="00814E2F">
              <w:rPr>
                <w:rFonts w:eastAsia="Times New Roman"/>
                <w:color w:val="000000"/>
                <w:sz w:val="19"/>
                <w:szCs w:val="19"/>
              </w:rPr>
              <w:t>Third WPL</w:t>
            </w:r>
          </w:p>
        </w:tc>
        <w:tc>
          <w:tcPr>
            <w:tcW w:w="843" w:type="dxa"/>
            <w:tcBorders>
              <w:top w:val="nil"/>
              <w:left w:val="single" w:sz="12" w:space="0" w:color="auto"/>
              <w:bottom w:val="single" w:sz="12" w:space="0" w:color="auto"/>
              <w:right w:val="single" w:sz="4" w:space="0" w:color="auto"/>
            </w:tcBorders>
            <w:shd w:val="clear" w:color="000000" w:fill="FFF2CC"/>
            <w:tcMar>
              <w:left w:w="58" w:type="dxa"/>
              <w:right w:w="58" w:type="dxa"/>
            </w:tcMar>
            <w:vAlign w:val="bottom"/>
          </w:tcPr>
          <w:p w14:paraId="7B93A0E1" w14:textId="77777777" w:rsidR="00ED063B" w:rsidRPr="00814E2F" w:rsidRDefault="00ED063B" w:rsidP="007F18AB">
            <w:pPr>
              <w:spacing w:after="0" w:line="240" w:lineRule="auto"/>
              <w:jc w:val="right"/>
              <w:rPr>
                <w:color w:val="000000"/>
                <w:sz w:val="19"/>
                <w:szCs w:val="19"/>
              </w:rPr>
            </w:pPr>
            <w:r w:rsidRPr="00814E2F">
              <w:rPr>
                <w:color w:val="000000"/>
                <w:sz w:val="19"/>
                <w:szCs w:val="19"/>
              </w:rPr>
              <w:t>0.7</w:t>
            </w:r>
          </w:p>
        </w:tc>
        <w:tc>
          <w:tcPr>
            <w:tcW w:w="844" w:type="dxa"/>
            <w:tcBorders>
              <w:top w:val="nil"/>
              <w:left w:val="single" w:sz="4" w:space="0" w:color="auto"/>
              <w:bottom w:val="single" w:sz="12" w:space="0" w:color="auto"/>
              <w:right w:val="single" w:sz="4" w:space="0" w:color="auto"/>
            </w:tcBorders>
            <w:shd w:val="clear" w:color="000000" w:fill="FFF2CC"/>
            <w:tcMar>
              <w:left w:w="58" w:type="dxa"/>
              <w:right w:w="58" w:type="dxa"/>
            </w:tcMar>
            <w:vAlign w:val="bottom"/>
          </w:tcPr>
          <w:p w14:paraId="698FE234" w14:textId="77777777" w:rsidR="00ED063B" w:rsidRPr="00814E2F" w:rsidRDefault="00ED063B" w:rsidP="007F18AB">
            <w:pPr>
              <w:spacing w:after="0" w:line="240" w:lineRule="auto"/>
              <w:jc w:val="right"/>
              <w:rPr>
                <w:color w:val="000000"/>
                <w:sz w:val="19"/>
                <w:szCs w:val="19"/>
              </w:rPr>
            </w:pPr>
            <w:r w:rsidRPr="00814E2F">
              <w:rPr>
                <w:color w:val="000000"/>
                <w:sz w:val="19"/>
                <w:szCs w:val="19"/>
              </w:rPr>
              <w:t>0.7</w:t>
            </w:r>
          </w:p>
        </w:tc>
        <w:tc>
          <w:tcPr>
            <w:tcW w:w="844" w:type="dxa"/>
            <w:tcBorders>
              <w:top w:val="nil"/>
              <w:left w:val="single" w:sz="4" w:space="0" w:color="auto"/>
              <w:bottom w:val="single" w:sz="12" w:space="0" w:color="auto"/>
              <w:right w:val="single" w:sz="8" w:space="0" w:color="auto"/>
            </w:tcBorders>
            <w:shd w:val="clear" w:color="000000" w:fill="FFF2CC"/>
            <w:tcMar>
              <w:left w:w="58" w:type="dxa"/>
              <w:right w:w="58" w:type="dxa"/>
            </w:tcMar>
            <w:vAlign w:val="bottom"/>
          </w:tcPr>
          <w:p w14:paraId="4FE5D881" w14:textId="77777777" w:rsidR="00ED063B" w:rsidRPr="00814E2F" w:rsidRDefault="00ED063B" w:rsidP="007F18AB">
            <w:pPr>
              <w:spacing w:after="0" w:line="240" w:lineRule="auto"/>
              <w:jc w:val="right"/>
              <w:rPr>
                <w:color w:val="000000"/>
                <w:sz w:val="19"/>
                <w:szCs w:val="19"/>
              </w:rPr>
            </w:pPr>
            <w:r w:rsidRPr="00814E2F">
              <w:rPr>
                <w:color w:val="000000"/>
                <w:sz w:val="19"/>
                <w:szCs w:val="19"/>
              </w:rPr>
              <w:t>0.8</w:t>
            </w:r>
          </w:p>
        </w:tc>
        <w:tc>
          <w:tcPr>
            <w:tcW w:w="982" w:type="dxa"/>
            <w:tcBorders>
              <w:top w:val="nil"/>
              <w:left w:val="single" w:sz="8" w:space="0" w:color="auto"/>
              <w:bottom w:val="single" w:sz="12" w:space="0" w:color="auto"/>
              <w:right w:val="single" w:sz="8" w:space="0" w:color="auto"/>
            </w:tcBorders>
            <w:shd w:val="clear" w:color="000000" w:fill="FFF2CC"/>
            <w:tcMar>
              <w:left w:w="58" w:type="dxa"/>
              <w:right w:w="58" w:type="dxa"/>
            </w:tcMar>
            <w:vAlign w:val="bottom"/>
          </w:tcPr>
          <w:p w14:paraId="3FAFB11E" w14:textId="77777777" w:rsidR="00ED063B" w:rsidRPr="00814E2F" w:rsidRDefault="00ED063B" w:rsidP="007F18AB">
            <w:pPr>
              <w:spacing w:after="0" w:line="240" w:lineRule="auto"/>
              <w:jc w:val="right"/>
              <w:rPr>
                <w:b/>
                <w:color w:val="000000"/>
                <w:sz w:val="19"/>
                <w:szCs w:val="19"/>
              </w:rPr>
            </w:pPr>
            <w:r w:rsidRPr="00814E2F">
              <w:rPr>
                <w:b/>
                <w:color w:val="000000"/>
                <w:sz w:val="19"/>
                <w:szCs w:val="19"/>
              </w:rPr>
              <w:t>19.5%</w:t>
            </w:r>
          </w:p>
        </w:tc>
        <w:tc>
          <w:tcPr>
            <w:tcW w:w="892" w:type="dxa"/>
            <w:tcBorders>
              <w:top w:val="nil"/>
              <w:left w:val="single" w:sz="8" w:space="0" w:color="auto"/>
              <w:bottom w:val="single" w:sz="12" w:space="0" w:color="auto"/>
              <w:right w:val="single" w:sz="4" w:space="0" w:color="auto"/>
            </w:tcBorders>
            <w:shd w:val="clear" w:color="000000" w:fill="FFF2CC"/>
            <w:noWrap/>
            <w:tcMar>
              <w:left w:w="58" w:type="dxa"/>
              <w:right w:w="58" w:type="dxa"/>
            </w:tcMar>
            <w:vAlign w:val="bottom"/>
            <w:hideMark/>
          </w:tcPr>
          <w:p w14:paraId="522AA716" w14:textId="77777777" w:rsidR="00ED063B" w:rsidRPr="00814E2F" w:rsidRDefault="00ED063B" w:rsidP="007F18AB">
            <w:pPr>
              <w:spacing w:after="0" w:line="240" w:lineRule="auto"/>
              <w:jc w:val="right"/>
              <w:rPr>
                <w:color w:val="000000"/>
                <w:sz w:val="19"/>
                <w:szCs w:val="19"/>
              </w:rPr>
            </w:pPr>
            <w:r w:rsidRPr="00814E2F">
              <w:rPr>
                <w:color w:val="000000"/>
                <w:sz w:val="19"/>
                <w:szCs w:val="19"/>
              </w:rPr>
              <w:t>0.7</w:t>
            </w:r>
          </w:p>
        </w:tc>
        <w:tc>
          <w:tcPr>
            <w:tcW w:w="900" w:type="dxa"/>
            <w:tcBorders>
              <w:top w:val="nil"/>
              <w:left w:val="nil"/>
              <w:bottom w:val="single" w:sz="12" w:space="0" w:color="auto"/>
              <w:right w:val="single" w:sz="4" w:space="0" w:color="auto"/>
            </w:tcBorders>
            <w:shd w:val="clear" w:color="000000" w:fill="FFF2CC"/>
            <w:noWrap/>
            <w:tcMar>
              <w:left w:w="58" w:type="dxa"/>
              <w:right w:w="58" w:type="dxa"/>
            </w:tcMar>
            <w:vAlign w:val="bottom"/>
            <w:hideMark/>
          </w:tcPr>
          <w:p w14:paraId="4958D301" w14:textId="77777777" w:rsidR="00ED063B" w:rsidRPr="00814E2F" w:rsidRDefault="00ED063B" w:rsidP="007F18AB">
            <w:pPr>
              <w:spacing w:after="0" w:line="240" w:lineRule="auto"/>
              <w:jc w:val="right"/>
              <w:rPr>
                <w:color w:val="000000"/>
                <w:sz w:val="19"/>
                <w:szCs w:val="19"/>
              </w:rPr>
            </w:pPr>
            <w:r w:rsidRPr="00814E2F">
              <w:rPr>
                <w:color w:val="000000"/>
                <w:sz w:val="19"/>
                <w:szCs w:val="19"/>
              </w:rPr>
              <w:t>0.8</w:t>
            </w:r>
          </w:p>
        </w:tc>
        <w:tc>
          <w:tcPr>
            <w:tcW w:w="900" w:type="dxa"/>
            <w:tcBorders>
              <w:top w:val="nil"/>
              <w:left w:val="nil"/>
              <w:bottom w:val="single" w:sz="12" w:space="0" w:color="auto"/>
              <w:right w:val="single" w:sz="8" w:space="0" w:color="auto"/>
            </w:tcBorders>
            <w:shd w:val="clear" w:color="000000" w:fill="FFF2CC"/>
            <w:noWrap/>
            <w:tcMar>
              <w:left w:w="58" w:type="dxa"/>
              <w:right w:w="58" w:type="dxa"/>
            </w:tcMar>
            <w:vAlign w:val="bottom"/>
            <w:hideMark/>
          </w:tcPr>
          <w:p w14:paraId="6FA3A94C" w14:textId="77777777" w:rsidR="00ED063B" w:rsidRPr="00814E2F" w:rsidRDefault="00ED063B" w:rsidP="007F18AB">
            <w:pPr>
              <w:spacing w:after="0" w:line="240" w:lineRule="auto"/>
              <w:jc w:val="right"/>
              <w:rPr>
                <w:color w:val="000000"/>
                <w:sz w:val="19"/>
                <w:szCs w:val="19"/>
              </w:rPr>
            </w:pPr>
            <w:r w:rsidRPr="00814E2F">
              <w:rPr>
                <w:color w:val="000000"/>
                <w:sz w:val="19"/>
                <w:szCs w:val="19"/>
              </w:rPr>
              <w:t>0.8</w:t>
            </w:r>
          </w:p>
        </w:tc>
        <w:tc>
          <w:tcPr>
            <w:tcW w:w="998" w:type="dxa"/>
            <w:tcBorders>
              <w:top w:val="nil"/>
              <w:left w:val="single" w:sz="8" w:space="0" w:color="auto"/>
              <w:bottom w:val="single" w:sz="12" w:space="0" w:color="auto"/>
              <w:right w:val="single" w:sz="8" w:space="0" w:color="auto"/>
            </w:tcBorders>
            <w:shd w:val="clear" w:color="000000" w:fill="FFF2CC"/>
            <w:tcMar>
              <w:left w:w="58" w:type="dxa"/>
              <w:right w:w="58" w:type="dxa"/>
            </w:tcMar>
            <w:vAlign w:val="bottom"/>
          </w:tcPr>
          <w:p w14:paraId="74A2C3F0" w14:textId="77777777" w:rsidR="00ED063B" w:rsidRPr="00814E2F" w:rsidRDefault="00ED063B" w:rsidP="007F18AB">
            <w:pPr>
              <w:spacing w:after="0" w:line="240" w:lineRule="auto"/>
              <w:jc w:val="right"/>
              <w:rPr>
                <w:b/>
                <w:color w:val="000000"/>
                <w:sz w:val="19"/>
                <w:szCs w:val="19"/>
              </w:rPr>
            </w:pPr>
            <w:r w:rsidRPr="00814E2F">
              <w:rPr>
                <w:b/>
                <w:color w:val="000000"/>
                <w:sz w:val="19"/>
                <w:szCs w:val="19"/>
              </w:rPr>
              <w:t>16.0%</w:t>
            </w:r>
          </w:p>
        </w:tc>
        <w:tc>
          <w:tcPr>
            <w:tcW w:w="900" w:type="dxa"/>
            <w:tcBorders>
              <w:top w:val="nil"/>
              <w:left w:val="single" w:sz="8" w:space="0" w:color="auto"/>
              <w:bottom w:val="single" w:sz="12" w:space="0" w:color="auto"/>
              <w:right w:val="single" w:sz="4" w:space="0" w:color="auto"/>
            </w:tcBorders>
            <w:shd w:val="clear" w:color="000000" w:fill="FFF2CC"/>
            <w:tcMar>
              <w:left w:w="58" w:type="dxa"/>
              <w:right w:w="58" w:type="dxa"/>
            </w:tcMar>
            <w:vAlign w:val="bottom"/>
          </w:tcPr>
          <w:p w14:paraId="2343CDCB" w14:textId="77777777" w:rsidR="00ED063B" w:rsidRPr="00814E2F" w:rsidRDefault="00ED063B" w:rsidP="007F18AB">
            <w:pPr>
              <w:spacing w:after="0" w:line="240" w:lineRule="auto"/>
              <w:jc w:val="right"/>
              <w:rPr>
                <w:color w:val="000000"/>
                <w:sz w:val="19"/>
                <w:szCs w:val="19"/>
              </w:rPr>
            </w:pPr>
            <w:r w:rsidRPr="00814E2F">
              <w:rPr>
                <w:color w:val="000000"/>
                <w:sz w:val="19"/>
                <w:szCs w:val="19"/>
              </w:rPr>
              <w:t>1.0</w:t>
            </w:r>
          </w:p>
        </w:tc>
        <w:tc>
          <w:tcPr>
            <w:tcW w:w="810" w:type="dxa"/>
            <w:tcBorders>
              <w:top w:val="nil"/>
              <w:left w:val="single" w:sz="4" w:space="0" w:color="auto"/>
              <w:bottom w:val="single" w:sz="12" w:space="0" w:color="auto"/>
              <w:right w:val="single" w:sz="4" w:space="0" w:color="auto"/>
            </w:tcBorders>
            <w:shd w:val="clear" w:color="000000" w:fill="FFF2CC"/>
            <w:tcMar>
              <w:left w:w="58" w:type="dxa"/>
              <w:right w:w="58" w:type="dxa"/>
            </w:tcMar>
            <w:vAlign w:val="bottom"/>
          </w:tcPr>
          <w:p w14:paraId="7B3AA51B" w14:textId="77777777" w:rsidR="00ED063B" w:rsidRPr="00814E2F" w:rsidRDefault="00ED063B" w:rsidP="007F18AB">
            <w:pPr>
              <w:spacing w:after="0" w:line="240" w:lineRule="auto"/>
              <w:jc w:val="right"/>
              <w:rPr>
                <w:color w:val="000000"/>
                <w:sz w:val="19"/>
                <w:szCs w:val="19"/>
              </w:rPr>
            </w:pPr>
            <w:r w:rsidRPr="00814E2F">
              <w:rPr>
                <w:color w:val="000000"/>
                <w:sz w:val="19"/>
                <w:szCs w:val="19"/>
              </w:rPr>
              <w:t>0.6</w:t>
            </w:r>
          </w:p>
        </w:tc>
        <w:tc>
          <w:tcPr>
            <w:tcW w:w="810" w:type="dxa"/>
            <w:tcBorders>
              <w:top w:val="nil"/>
              <w:left w:val="single" w:sz="4" w:space="0" w:color="auto"/>
              <w:bottom w:val="single" w:sz="12" w:space="0" w:color="auto"/>
              <w:right w:val="single" w:sz="8" w:space="0" w:color="auto"/>
            </w:tcBorders>
            <w:shd w:val="clear" w:color="000000" w:fill="FFF2CC"/>
            <w:tcMar>
              <w:left w:w="58" w:type="dxa"/>
              <w:right w:w="58" w:type="dxa"/>
            </w:tcMar>
            <w:vAlign w:val="bottom"/>
          </w:tcPr>
          <w:p w14:paraId="13DCFE23" w14:textId="77777777" w:rsidR="00ED063B" w:rsidRPr="00814E2F" w:rsidRDefault="00ED063B" w:rsidP="007F18AB">
            <w:pPr>
              <w:spacing w:after="0" w:line="240" w:lineRule="auto"/>
              <w:jc w:val="right"/>
              <w:rPr>
                <w:color w:val="000000"/>
                <w:sz w:val="19"/>
                <w:szCs w:val="19"/>
              </w:rPr>
            </w:pPr>
            <w:r w:rsidRPr="00814E2F">
              <w:rPr>
                <w:color w:val="000000"/>
                <w:sz w:val="19"/>
                <w:szCs w:val="19"/>
              </w:rPr>
              <w:t>0.5</w:t>
            </w:r>
          </w:p>
        </w:tc>
        <w:tc>
          <w:tcPr>
            <w:tcW w:w="990" w:type="dxa"/>
            <w:tcBorders>
              <w:top w:val="nil"/>
              <w:left w:val="single" w:sz="8" w:space="0" w:color="auto"/>
              <w:bottom w:val="single" w:sz="12" w:space="0" w:color="auto"/>
              <w:right w:val="double" w:sz="4" w:space="0" w:color="auto"/>
            </w:tcBorders>
            <w:shd w:val="clear" w:color="000000" w:fill="FFF2CC"/>
            <w:tcMar>
              <w:left w:w="58" w:type="dxa"/>
              <w:right w:w="58" w:type="dxa"/>
            </w:tcMar>
            <w:vAlign w:val="bottom"/>
          </w:tcPr>
          <w:p w14:paraId="200E4BF9" w14:textId="77777777" w:rsidR="00ED063B" w:rsidRPr="00814E2F" w:rsidRDefault="00ED063B" w:rsidP="007F18AB">
            <w:pPr>
              <w:spacing w:after="0" w:line="240" w:lineRule="auto"/>
              <w:jc w:val="right"/>
              <w:rPr>
                <w:b/>
                <w:color w:val="000000"/>
                <w:sz w:val="19"/>
                <w:szCs w:val="19"/>
              </w:rPr>
            </w:pPr>
            <w:r w:rsidRPr="00814E2F">
              <w:rPr>
                <w:b/>
                <w:color w:val="000000"/>
                <w:sz w:val="19"/>
                <w:szCs w:val="19"/>
              </w:rPr>
              <w:t>-50.8%</w:t>
            </w:r>
          </w:p>
        </w:tc>
      </w:tr>
      <w:tr w:rsidR="00ED063B" w:rsidRPr="002C1485" w14:paraId="731D71F7" w14:textId="77777777" w:rsidTr="00A24926">
        <w:trPr>
          <w:trHeight w:val="288"/>
          <w:jc w:val="center"/>
        </w:trPr>
        <w:tc>
          <w:tcPr>
            <w:tcW w:w="1245" w:type="dxa"/>
            <w:vMerge w:val="restart"/>
            <w:tcBorders>
              <w:top w:val="nil"/>
              <w:left w:val="double" w:sz="4" w:space="0" w:color="auto"/>
              <w:bottom w:val="single" w:sz="4" w:space="0" w:color="000000"/>
              <w:right w:val="single" w:sz="4" w:space="0" w:color="auto"/>
            </w:tcBorders>
            <w:shd w:val="clear" w:color="000000" w:fill="FFE699"/>
            <w:tcMar>
              <w:left w:w="58" w:type="dxa"/>
              <w:right w:w="58" w:type="dxa"/>
            </w:tcMar>
            <w:vAlign w:val="center"/>
            <w:hideMark/>
          </w:tcPr>
          <w:p w14:paraId="1AA70B7C" w14:textId="77777777" w:rsidR="00ED063B" w:rsidRPr="00814E2F" w:rsidRDefault="00ED063B" w:rsidP="007F18AB">
            <w:pPr>
              <w:spacing w:after="0" w:line="240" w:lineRule="auto"/>
              <w:jc w:val="left"/>
              <w:rPr>
                <w:rFonts w:eastAsia="Times New Roman"/>
                <w:b/>
                <w:color w:val="000000"/>
                <w:sz w:val="19"/>
                <w:szCs w:val="19"/>
              </w:rPr>
            </w:pPr>
            <w:r w:rsidRPr="00814E2F">
              <w:rPr>
                <w:rFonts w:eastAsia="Times New Roman"/>
                <w:b/>
                <w:color w:val="000000"/>
                <w:sz w:val="19"/>
                <w:szCs w:val="19"/>
              </w:rPr>
              <w:t>Women with young child with partner</w:t>
            </w:r>
          </w:p>
        </w:tc>
        <w:tc>
          <w:tcPr>
            <w:tcW w:w="972" w:type="dxa"/>
            <w:tcBorders>
              <w:top w:val="single" w:sz="12" w:space="0" w:color="auto"/>
              <w:left w:val="single" w:sz="12" w:space="0" w:color="auto"/>
              <w:bottom w:val="single" w:sz="4" w:space="0" w:color="auto"/>
              <w:right w:val="single" w:sz="12" w:space="0" w:color="auto"/>
            </w:tcBorders>
            <w:shd w:val="clear" w:color="000000" w:fill="FFE699"/>
            <w:tcMar>
              <w:left w:w="58" w:type="dxa"/>
              <w:right w:w="58" w:type="dxa"/>
            </w:tcMar>
          </w:tcPr>
          <w:p w14:paraId="15705217" w14:textId="77777777" w:rsidR="00ED063B" w:rsidRPr="00814E2F" w:rsidRDefault="00ED063B" w:rsidP="007F18AB">
            <w:pPr>
              <w:spacing w:after="0" w:line="240" w:lineRule="auto"/>
              <w:jc w:val="center"/>
              <w:rPr>
                <w:rFonts w:eastAsia="Times New Roman"/>
                <w:color w:val="000000"/>
                <w:sz w:val="19"/>
                <w:szCs w:val="19"/>
              </w:rPr>
            </w:pPr>
            <w:r w:rsidRPr="00814E2F">
              <w:rPr>
                <w:rFonts w:eastAsia="Times New Roman"/>
                <w:color w:val="000000"/>
                <w:sz w:val="19"/>
                <w:szCs w:val="19"/>
              </w:rPr>
              <w:t>Home</w:t>
            </w:r>
          </w:p>
        </w:tc>
        <w:tc>
          <w:tcPr>
            <w:tcW w:w="843" w:type="dxa"/>
            <w:tcBorders>
              <w:top w:val="single" w:sz="12" w:space="0" w:color="auto"/>
              <w:left w:val="single" w:sz="12" w:space="0" w:color="auto"/>
              <w:bottom w:val="single" w:sz="4" w:space="0" w:color="auto"/>
              <w:right w:val="single" w:sz="4" w:space="0" w:color="auto"/>
            </w:tcBorders>
            <w:shd w:val="clear" w:color="000000" w:fill="FFE699"/>
            <w:tcMar>
              <w:left w:w="58" w:type="dxa"/>
              <w:right w:w="58" w:type="dxa"/>
            </w:tcMar>
            <w:vAlign w:val="bottom"/>
          </w:tcPr>
          <w:p w14:paraId="1109FF1F" w14:textId="77777777" w:rsidR="00ED063B" w:rsidRPr="00814E2F" w:rsidRDefault="00ED063B" w:rsidP="007F18AB">
            <w:pPr>
              <w:spacing w:after="0" w:line="240" w:lineRule="auto"/>
              <w:jc w:val="right"/>
              <w:rPr>
                <w:color w:val="000000"/>
                <w:sz w:val="19"/>
                <w:szCs w:val="19"/>
              </w:rPr>
            </w:pPr>
            <w:r w:rsidRPr="00814E2F">
              <w:rPr>
                <w:color w:val="000000"/>
                <w:sz w:val="19"/>
                <w:szCs w:val="19"/>
              </w:rPr>
              <w:t>12.4</w:t>
            </w:r>
          </w:p>
        </w:tc>
        <w:tc>
          <w:tcPr>
            <w:tcW w:w="844" w:type="dxa"/>
            <w:tcBorders>
              <w:top w:val="single" w:sz="12" w:space="0" w:color="auto"/>
              <w:left w:val="single" w:sz="4" w:space="0" w:color="auto"/>
              <w:bottom w:val="single" w:sz="4" w:space="0" w:color="auto"/>
              <w:right w:val="single" w:sz="4" w:space="0" w:color="auto"/>
            </w:tcBorders>
            <w:shd w:val="clear" w:color="000000" w:fill="FFE699"/>
            <w:tcMar>
              <w:left w:w="58" w:type="dxa"/>
              <w:right w:w="58" w:type="dxa"/>
            </w:tcMar>
            <w:vAlign w:val="bottom"/>
          </w:tcPr>
          <w:p w14:paraId="478CF5AB" w14:textId="77777777" w:rsidR="00ED063B" w:rsidRPr="00814E2F" w:rsidRDefault="00ED063B" w:rsidP="007F18AB">
            <w:pPr>
              <w:spacing w:after="0" w:line="240" w:lineRule="auto"/>
              <w:jc w:val="right"/>
              <w:rPr>
                <w:color w:val="000000"/>
                <w:sz w:val="19"/>
                <w:szCs w:val="19"/>
              </w:rPr>
            </w:pPr>
            <w:r w:rsidRPr="00814E2F">
              <w:rPr>
                <w:color w:val="000000"/>
                <w:sz w:val="19"/>
                <w:szCs w:val="19"/>
              </w:rPr>
              <w:t>11.8</w:t>
            </w:r>
          </w:p>
        </w:tc>
        <w:tc>
          <w:tcPr>
            <w:tcW w:w="844" w:type="dxa"/>
            <w:tcBorders>
              <w:top w:val="single" w:sz="12" w:space="0" w:color="auto"/>
              <w:left w:val="single" w:sz="4" w:space="0" w:color="auto"/>
              <w:bottom w:val="single" w:sz="4" w:space="0" w:color="auto"/>
              <w:right w:val="single" w:sz="8" w:space="0" w:color="auto"/>
            </w:tcBorders>
            <w:shd w:val="clear" w:color="000000" w:fill="FFE699"/>
            <w:tcMar>
              <w:left w:w="58" w:type="dxa"/>
              <w:right w:w="58" w:type="dxa"/>
            </w:tcMar>
            <w:vAlign w:val="bottom"/>
          </w:tcPr>
          <w:p w14:paraId="05B97DD0" w14:textId="77777777" w:rsidR="00ED063B" w:rsidRPr="00814E2F" w:rsidRDefault="00ED063B" w:rsidP="007F18AB">
            <w:pPr>
              <w:spacing w:after="0" w:line="240" w:lineRule="auto"/>
              <w:jc w:val="right"/>
              <w:rPr>
                <w:color w:val="000000"/>
                <w:sz w:val="19"/>
                <w:szCs w:val="19"/>
              </w:rPr>
            </w:pPr>
            <w:r w:rsidRPr="00814E2F">
              <w:rPr>
                <w:color w:val="000000"/>
                <w:sz w:val="19"/>
                <w:szCs w:val="19"/>
              </w:rPr>
              <w:t>10.7</w:t>
            </w:r>
          </w:p>
        </w:tc>
        <w:tc>
          <w:tcPr>
            <w:tcW w:w="982" w:type="dxa"/>
            <w:tcBorders>
              <w:top w:val="single" w:sz="12" w:space="0" w:color="auto"/>
              <w:left w:val="single" w:sz="8" w:space="0" w:color="auto"/>
              <w:bottom w:val="single" w:sz="4" w:space="0" w:color="auto"/>
              <w:right w:val="single" w:sz="8" w:space="0" w:color="auto"/>
            </w:tcBorders>
            <w:shd w:val="clear" w:color="000000" w:fill="FFE699"/>
            <w:tcMar>
              <w:left w:w="58" w:type="dxa"/>
              <w:right w:w="58" w:type="dxa"/>
            </w:tcMar>
            <w:vAlign w:val="bottom"/>
          </w:tcPr>
          <w:p w14:paraId="381C3C20" w14:textId="77777777" w:rsidR="00ED063B" w:rsidRPr="00814E2F" w:rsidRDefault="00ED063B" w:rsidP="007F18AB">
            <w:pPr>
              <w:spacing w:after="0" w:line="240" w:lineRule="auto"/>
              <w:jc w:val="right"/>
              <w:rPr>
                <w:b/>
                <w:color w:val="000000"/>
                <w:sz w:val="19"/>
                <w:szCs w:val="19"/>
              </w:rPr>
            </w:pPr>
            <w:r w:rsidRPr="00814E2F">
              <w:rPr>
                <w:b/>
                <w:color w:val="000000"/>
                <w:sz w:val="19"/>
                <w:szCs w:val="19"/>
              </w:rPr>
              <w:t>-13.5%</w:t>
            </w:r>
          </w:p>
        </w:tc>
        <w:tc>
          <w:tcPr>
            <w:tcW w:w="892" w:type="dxa"/>
            <w:tcBorders>
              <w:top w:val="single" w:sz="12" w:space="0" w:color="auto"/>
              <w:left w:val="single" w:sz="8" w:space="0" w:color="auto"/>
              <w:bottom w:val="single" w:sz="4" w:space="0" w:color="auto"/>
              <w:right w:val="single" w:sz="4" w:space="0" w:color="auto"/>
            </w:tcBorders>
            <w:shd w:val="clear" w:color="000000" w:fill="FFE699"/>
            <w:noWrap/>
            <w:tcMar>
              <w:left w:w="58" w:type="dxa"/>
              <w:right w:w="58" w:type="dxa"/>
            </w:tcMar>
            <w:vAlign w:val="bottom"/>
            <w:hideMark/>
          </w:tcPr>
          <w:p w14:paraId="2E3B6DDE" w14:textId="77777777" w:rsidR="00ED063B" w:rsidRPr="00814E2F" w:rsidRDefault="00ED063B" w:rsidP="007F18AB">
            <w:pPr>
              <w:spacing w:after="0" w:line="240" w:lineRule="auto"/>
              <w:jc w:val="right"/>
              <w:rPr>
                <w:color w:val="000000"/>
                <w:sz w:val="19"/>
                <w:szCs w:val="19"/>
              </w:rPr>
            </w:pPr>
            <w:r w:rsidRPr="00814E2F">
              <w:rPr>
                <w:color w:val="000000"/>
                <w:sz w:val="19"/>
                <w:szCs w:val="19"/>
              </w:rPr>
              <w:t>10.9</w:t>
            </w:r>
          </w:p>
        </w:tc>
        <w:tc>
          <w:tcPr>
            <w:tcW w:w="900" w:type="dxa"/>
            <w:tcBorders>
              <w:top w:val="single" w:sz="12" w:space="0" w:color="auto"/>
              <w:left w:val="nil"/>
              <w:bottom w:val="single" w:sz="4" w:space="0" w:color="auto"/>
              <w:right w:val="single" w:sz="4" w:space="0" w:color="auto"/>
            </w:tcBorders>
            <w:shd w:val="clear" w:color="000000" w:fill="FFE699"/>
            <w:noWrap/>
            <w:tcMar>
              <w:left w:w="58" w:type="dxa"/>
              <w:right w:w="58" w:type="dxa"/>
            </w:tcMar>
            <w:vAlign w:val="bottom"/>
            <w:hideMark/>
          </w:tcPr>
          <w:p w14:paraId="38F2BA1C" w14:textId="77777777" w:rsidR="00ED063B" w:rsidRPr="00814E2F" w:rsidRDefault="00ED063B" w:rsidP="007F18AB">
            <w:pPr>
              <w:spacing w:after="0" w:line="240" w:lineRule="auto"/>
              <w:jc w:val="right"/>
              <w:rPr>
                <w:color w:val="000000"/>
                <w:sz w:val="19"/>
                <w:szCs w:val="19"/>
              </w:rPr>
            </w:pPr>
            <w:r w:rsidRPr="00814E2F">
              <w:rPr>
                <w:color w:val="000000"/>
                <w:sz w:val="19"/>
                <w:szCs w:val="19"/>
              </w:rPr>
              <w:t>12.3</w:t>
            </w:r>
          </w:p>
        </w:tc>
        <w:tc>
          <w:tcPr>
            <w:tcW w:w="900" w:type="dxa"/>
            <w:tcBorders>
              <w:top w:val="single" w:sz="12" w:space="0" w:color="auto"/>
              <w:left w:val="nil"/>
              <w:bottom w:val="single" w:sz="4" w:space="0" w:color="auto"/>
              <w:right w:val="single" w:sz="8" w:space="0" w:color="auto"/>
            </w:tcBorders>
            <w:shd w:val="clear" w:color="000000" w:fill="FFE699"/>
            <w:noWrap/>
            <w:tcMar>
              <w:left w:w="58" w:type="dxa"/>
              <w:right w:w="58" w:type="dxa"/>
            </w:tcMar>
            <w:vAlign w:val="bottom"/>
            <w:hideMark/>
          </w:tcPr>
          <w:p w14:paraId="52DAA38E" w14:textId="77777777" w:rsidR="00ED063B" w:rsidRPr="00814E2F" w:rsidRDefault="00ED063B" w:rsidP="007F18AB">
            <w:pPr>
              <w:spacing w:after="0" w:line="240" w:lineRule="auto"/>
              <w:jc w:val="right"/>
              <w:rPr>
                <w:color w:val="000000"/>
                <w:sz w:val="19"/>
                <w:szCs w:val="19"/>
              </w:rPr>
            </w:pPr>
            <w:r w:rsidRPr="00814E2F">
              <w:rPr>
                <w:color w:val="000000"/>
                <w:sz w:val="19"/>
                <w:szCs w:val="19"/>
              </w:rPr>
              <w:t>12.3</w:t>
            </w:r>
          </w:p>
        </w:tc>
        <w:tc>
          <w:tcPr>
            <w:tcW w:w="998" w:type="dxa"/>
            <w:tcBorders>
              <w:top w:val="single" w:sz="12" w:space="0" w:color="auto"/>
              <w:left w:val="single" w:sz="8" w:space="0" w:color="auto"/>
              <w:bottom w:val="single" w:sz="4" w:space="0" w:color="auto"/>
              <w:right w:val="single" w:sz="8" w:space="0" w:color="auto"/>
            </w:tcBorders>
            <w:shd w:val="clear" w:color="000000" w:fill="FFE699"/>
            <w:tcMar>
              <w:left w:w="58" w:type="dxa"/>
              <w:right w:w="58" w:type="dxa"/>
            </w:tcMar>
            <w:vAlign w:val="bottom"/>
          </w:tcPr>
          <w:p w14:paraId="28C16131" w14:textId="77777777" w:rsidR="00ED063B" w:rsidRPr="00814E2F" w:rsidRDefault="00ED063B" w:rsidP="007F18AB">
            <w:pPr>
              <w:spacing w:after="0" w:line="240" w:lineRule="auto"/>
              <w:jc w:val="right"/>
              <w:rPr>
                <w:b/>
                <w:color w:val="000000"/>
                <w:sz w:val="19"/>
                <w:szCs w:val="19"/>
              </w:rPr>
            </w:pPr>
            <w:r w:rsidRPr="00814E2F">
              <w:rPr>
                <w:b/>
                <w:color w:val="000000"/>
                <w:sz w:val="19"/>
                <w:szCs w:val="19"/>
              </w:rPr>
              <w:t>12.9%</w:t>
            </w:r>
          </w:p>
        </w:tc>
        <w:tc>
          <w:tcPr>
            <w:tcW w:w="900" w:type="dxa"/>
            <w:tcBorders>
              <w:top w:val="single" w:sz="12" w:space="0" w:color="auto"/>
              <w:left w:val="single" w:sz="8" w:space="0" w:color="auto"/>
              <w:bottom w:val="single" w:sz="4" w:space="0" w:color="auto"/>
              <w:right w:val="single" w:sz="4" w:space="0" w:color="auto"/>
            </w:tcBorders>
            <w:shd w:val="clear" w:color="000000" w:fill="FFE699"/>
            <w:tcMar>
              <w:left w:w="58" w:type="dxa"/>
              <w:right w:w="58" w:type="dxa"/>
            </w:tcMar>
            <w:vAlign w:val="bottom"/>
          </w:tcPr>
          <w:p w14:paraId="1DBA7024" w14:textId="77777777" w:rsidR="00ED063B" w:rsidRPr="00814E2F" w:rsidRDefault="00ED063B" w:rsidP="007F18AB">
            <w:pPr>
              <w:spacing w:after="0" w:line="240" w:lineRule="auto"/>
              <w:jc w:val="right"/>
              <w:rPr>
                <w:color w:val="000000"/>
                <w:sz w:val="19"/>
                <w:szCs w:val="19"/>
              </w:rPr>
            </w:pPr>
            <w:r w:rsidRPr="00814E2F">
              <w:rPr>
                <w:color w:val="000000"/>
                <w:sz w:val="19"/>
                <w:szCs w:val="19"/>
              </w:rPr>
              <w:t>11.3</w:t>
            </w:r>
          </w:p>
        </w:tc>
        <w:tc>
          <w:tcPr>
            <w:tcW w:w="810" w:type="dxa"/>
            <w:tcBorders>
              <w:top w:val="single" w:sz="12" w:space="0" w:color="auto"/>
              <w:left w:val="single" w:sz="4" w:space="0" w:color="auto"/>
              <w:bottom w:val="single" w:sz="4" w:space="0" w:color="auto"/>
              <w:right w:val="single" w:sz="4" w:space="0" w:color="auto"/>
            </w:tcBorders>
            <w:shd w:val="clear" w:color="000000" w:fill="FFE699"/>
            <w:tcMar>
              <w:left w:w="58" w:type="dxa"/>
              <w:right w:w="58" w:type="dxa"/>
            </w:tcMar>
            <w:vAlign w:val="bottom"/>
          </w:tcPr>
          <w:p w14:paraId="146CD8AB" w14:textId="77777777" w:rsidR="00ED063B" w:rsidRPr="00814E2F" w:rsidRDefault="00ED063B" w:rsidP="007F18AB">
            <w:pPr>
              <w:spacing w:after="0" w:line="240" w:lineRule="auto"/>
              <w:jc w:val="right"/>
              <w:rPr>
                <w:color w:val="000000"/>
                <w:sz w:val="19"/>
                <w:szCs w:val="19"/>
              </w:rPr>
            </w:pPr>
            <w:r w:rsidRPr="00814E2F">
              <w:rPr>
                <w:color w:val="000000"/>
                <w:sz w:val="19"/>
                <w:szCs w:val="19"/>
              </w:rPr>
              <w:t>11.8</w:t>
            </w:r>
          </w:p>
        </w:tc>
        <w:tc>
          <w:tcPr>
            <w:tcW w:w="810" w:type="dxa"/>
            <w:tcBorders>
              <w:top w:val="single" w:sz="12" w:space="0" w:color="auto"/>
              <w:left w:val="single" w:sz="4" w:space="0" w:color="auto"/>
              <w:bottom w:val="single" w:sz="4" w:space="0" w:color="auto"/>
              <w:right w:val="single" w:sz="8" w:space="0" w:color="auto"/>
            </w:tcBorders>
            <w:shd w:val="clear" w:color="000000" w:fill="FFE699"/>
            <w:tcMar>
              <w:left w:w="58" w:type="dxa"/>
              <w:right w:w="58" w:type="dxa"/>
            </w:tcMar>
            <w:vAlign w:val="bottom"/>
          </w:tcPr>
          <w:p w14:paraId="2EC0C574" w14:textId="77777777" w:rsidR="00ED063B" w:rsidRPr="00814E2F" w:rsidRDefault="00ED063B" w:rsidP="007F18AB">
            <w:pPr>
              <w:spacing w:after="0" w:line="240" w:lineRule="auto"/>
              <w:jc w:val="right"/>
              <w:rPr>
                <w:color w:val="000000"/>
                <w:sz w:val="19"/>
                <w:szCs w:val="19"/>
              </w:rPr>
            </w:pPr>
            <w:r w:rsidRPr="00814E2F">
              <w:rPr>
                <w:color w:val="000000"/>
                <w:sz w:val="19"/>
                <w:szCs w:val="19"/>
              </w:rPr>
              <w:t>11.9</w:t>
            </w:r>
          </w:p>
        </w:tc>
        <w:tc>
          <w:tcPr>
            <w:tcW w:w="990" w:type="dxa"/>
            <w:tcBorders>
              <w:top w:val="single" w:sz="12" w:space="0" w:color="auto"/>
              <w:left w:val="single" w:sz="8" w:space="0" w:color="auto"/>
              <w:bottom w:val="single" w:sz="4" w:space="0" w:color="auto"/>
              <w:right w:val="double" w:sz="4" w:space="0" w:color="auto"/>
            </w:tcBorders>
            <w:shd w:val="clear" w:color="000000" w:fill="FFE699"/>
            <w:tcMar>
              <w:left w:w="58" w:type="dxa"/>
              <w:right w:w="58" w:type="dxa"/>
            </w:tcMar>
            <w:vAlign w:val="bottom"/>
          </w:tcPr>
          <w:p w14:paraId="3463C8DC" w14:textId="77777777" w:rsidR="00ED063B" w:rsidRPr="00814E2F" w:rsidRDefault="00ED063B" w:rsidP="007F18AB">
            <w:pPr>
              <w:spacing w:after="0" w:line="240" w:lineRule="auto"/>
              <w:jc w:val="right"/>
              <w:rPr>
                <w:b/>
                <w:color w:val="000000"/>
                <w:sz w:val="19"/>
                <w:szCs w:val="19"/>
              </w:rPr>
            </w:pPr>
            <w:r w:rsidRPr="00814E2F">
              <w:rPr>
                <w:b/>
                <w:color w:val="000000"/>
                <w:sz w:val="19"/>
                <w:szCs w:val="19"/>
              </w:rPr>
              <w:t>5.1%</w:t>
            </w:r>
          </w:p>
        </w:tc>
      </w:tr>
      <w:tr w:rsidR="00ED063B" w:rsidRPr="002C1485" w14:paraId="5ABC2C5B" w14:textId="77777777" w:rsidTr="00A24926">
        <w:trPr>
          <w:trHeight w:val="288"/>
          <w:jc w:val="center"/>
        </w:trPr>
        <w:tc>
          <w:tcPr>
            <w:tcW w:w="1245" w:type="dxa"/>
            <w:vMerge/>
            <w:tcBorders>
              <w:top w:val="nil"/>
              <w:left w:val="double" w:sz="4" w:space="0" w:color="auto"/>
              <w:bottom w:val="single" w:sz="4" w:space="0" w:color="000000"/>
              <w:right w:val="single" w:sz="4" w:space="0" w:color="auto"/>
            </w:tcBorders>
            <w:tcMar>
              <w:left w:w="58" w:type="dxa"/>
              <w:right w:w="58" w:type="dxa"/>
            </w:tcMar>
            <w:vAlign w:val="center"/>
            <w:hideMark/>
          </w:tcPr>
          <w:p w14:paraId="4BAA0CF6" w14:textId="77777777" w:rsidR="00ED063B" w:rsidRPr="00814E2F" w:rsidRDefault="00ED063B" w:rsidP="007F18AB">
            <w:pPr>
              <w:spacing w:after="0" w:line="240" w:lineRule="auto"/>
              <w:jc w:val="left"/>
              <w:rPr>
                <w:rFonts w:eastAsia="Times New Roman"/>
                <w:b/>
                <w:color w:val="000000"/>
                <w:sz w:val="19"/>
                <w:szCs w:val="19"/>
              </w:rPr>
            </w:pPr>
          </w:p>
        </w:tc>
        <w:tc>
          <w:tcPr>
            <w:tcW w:w="972" w:type="dxa"/>
            <w:tcBorders>
              <w:top w:val="nil"/>
              <w:left w:val="single" w:sz="12" w:space="0" w:color="auto"/>
              <w:bottom w:val="single" w:sz="4" w:space="0" w:color="auto"/>
              <w:right w:val="single" w:sz="12" w:space="0" w:color="auto"/>
            </w:tcBorders>
            <w:shd w:val="clear" w:color="000000" w:fill="FFE699"/>
            <w:tcMar>
              <w:left w:w="58" w:type="dxa"/>
              <w:right w:w="58" w:type="dxa"/>
            </w:tcMar>
          </w:tcPr>
          <w:p w14:paraId="55C01980" w14:textId="77777777" w:rsidR="00ED063B" w:rsidRPr="00814E2F" w:rsidRDefault="00ED063B" w:rsidP="007F18AB">
            <w:pPr>
              <w:spacing w:after="0" w:line="240" w:lineRule="auto"/>
              <w:jc w:val="center"/>
              <w:rPr>
                <w:rFonts w:eastAsia="Times New Roman"/>
                <w:color w:val="000000"/>
                <w:sz w:val="19"/>
                <w:szCs w:val="19"/>
              </w:rPr>
            </w:pPr>
            <w:r w:rsidRPr="00814E2F">
              <w:rPr>
                <w:rFonts w:eastAsia="Times New Roman"/>
                <w:color w:val="000000"/>
                <w:sz w:val="19"/>
                <w:szCs w:val="19"/>
              </w:rPr>
              <w:t>Work Office</w:t>
            </w:r>
          </w:p>
        </w:tc>
        <w:tc>
          <w:tcPr>
            <w:tcW w:w="843" w:type="dxa"/>
            <w:tcBorders>
              <w:top w:val="nil"/>
              <w:left w:val="single" w:sz="12" w:space="0" w:color="auto"/>
              <w:bottom w:val="single" w:sz="4" w:space="0" w:color="auto"/>
              <w:right w:val="single" w:sz="4" w:space="0" w:color="auto"/>
            </w:tcBorders>
            <w:shd w:val="clear" w:color="000000" w:fill="FFE699"/>
            <w:tcMar>
              <w:left w:w="58" w:type="dxa"/>
              <w:right w:w="58" w:type="dxa"/>
            </w:tcMar>
            <w:vAlign w:val="bottom"/>
          </w:tcPr>
          <w:p w14:paraId="459F1F10" w14:textId="77777777" w:rsidR="00ED063B" w:rsidRPr="00814E2F" w:rsidRDefault="00ED063B" w:rsidP="007F18AB">
            <w:pPr>
              <w:spacing w:after="0" w:line="240" w:lineRule="auto"/>
              <w:jc w:val="right"/>
              <w:rPr>
                <w:color w:val="000000"/>
                <w:sz w:val="19"/>
                <w:szCs w:val="19"/>
              </w:rPr>
            </w:pPr>
            <w:r w:rsidRPr="00814E2F">
              <w:rPr>
                <w:color w:val="000000"/>
                <w:sz w:val="19"/>
                <w:szCs w:val="19"/>
              </w:rPr>
              <w:t>8.2</w:t>
            </w:r>
          </w:p>
        </w:tc>
        <w:tc>
          <w:tcPr>
            <w:tcW w:w="844" w:type="dxa"/>
            <w:tcBorders>
              <w:top w:val="nil"/>
              <w:left w:val="single" w:sz="4" w:space="0" w:color="auto"/>
              <w:bottom w:val="single" w:sz="4" w:space="0" w:color="auto"/>
              <w:right w:val="single" w:sz="4" w:space="0" w:color="auto"/>
            </w:tcBorders>
            <w:shd w:val="clear" w:color="000000" w:fill="FFE699"/>
            <w:tcMar>
              <w:left w:w="58" w:type="dxa"/>
              <w:right w:w="58" w:type="dxa"/>
            </w:tcMar>
            <w:vAlign w:val="bottom"/>
          </w:tcPr>
          <w:p w14:paraId="0477814F" w14:textId="77777777" w:rsidR="00ED063B" w:rsidRPr="00814E2F" w:rsidRDefault="00ED063B" w:rsidP="007F18AB">
            <w:pPr>
              <w:spacing w:after="0" w:line="240" w:lineRule="auto"/>
              <w:jc w:val="right"/>
              <w:rPr>
                <w:color w:val="000000"/>
                <w:sz w:val="19"/>
                <w:szCs w:val="19"/>
              </w:rPr>
            </w:pPr>
            <w:r w:rsidRPr="00814E2F">
              <w:rPr>
                <w:color w:val="000000"/>
                <w:sz w:val="19"/>
                <w:szCs w:val="19"/>
              </w:rPr>
              <w:t>8.7</w:t>
            </w:r>
          </w:p>
        </w:tc>
        <w:tc>
          <w:tcPr>
            <w:tcW w:w="844" w:type="dxa"/>
            <w:tcBorders>
              <w:top w:val="nil"/>
              <w:left w:val="single" w:sz="4" w:space="0" w:color="auto"/>
              <w:bottom w:val="single" w:sz="4" w:space="0" w:color="auto"/>
              <w:right w:val="single" w:sz="8" w:space="0" w:color="auto"/>
            </w:tcBorders>
            <w:shd w:val="clear" w:color="000000" w:fill="FFE699"/>
            <w:tcMar>
              <w:left w:w="58" w:type="dxa"/>
              <w:right w:w="58" w:type="dxa"/>
            </w:tcMar>
            <w:vAlign w:val="bottom"/>
          </w:tcPr>
          <w:p w14:paraId="77A854AA" w14:textId="77777777" w:rsidR="00ED063B" w:rsidRPr="00814E2F" w:rsidRDefault="00ED063B" w:rsidP="007F18AB">
            <w:pPr>
              <w:spacing w:after="0" w:line="240" w:lineRule="auto"/>
              <w:jc w:val="right"/>
              <w:rPr>
                <w:color w:val="000000"/>
                <w:sz w:val="19"/>
                <w:szCs w:val="19"/>
              </w:rPr>
            </w:pPr>
            <w:r w:rsidRPr="00814E2F">
              <w:rPr>
                <w:color w:val="000000"/>
                <w:sz w:val="19"/>
                <w:szCs w:val="19"/>
              </w:rPr>
              <w:t>9.5</w:t>
            </w:r>
          </w:p>
        </w:tc>
        <w:tc>
          <w:tcPr>
            <w:tcW w:w="982" w:type="dxa"/>
            <w:tcBorders>
              <w:top w:val="nil"/>
              <w:left w:val="single" w:sz="8" w:space="0" w:color="auto"/>
              <w:bottom w:val="single" w:sz="4" w:space="0" w:color="auto"/>
              <w:right w:val="single" w:sz="8" w:space="0" w:color="auto"/>
            </w:tcBorders>
            <w:shd w:val="clear" w:color="000000" w:fill="FFE699"/>
            <w:tcMar>
              <w:left w:w="58" w:type="dxa"/>
              <w:right w:w="58" w:type="dxa"/>
            </w:tcMar>
            <w:vAlign w:val="bottom"/>
          </w:tcPr>
          <w:p w14:paraId="0FC4FAF7" w14:textId="77777777" w:rsidR="00ED063B" w:rsidRPr="00814E2F" w:rsidRDefault="00ED063B" w:rsidP="007F18AB">
            <w:pPr>
              <w:spacing w:after="0" w:line="240" w:lineRule="auto"/>
              <w:jc w:val="right"/>
              <w:rPr>
                <w:b/>
                <w:color w:val="000000"/>
                <w:sz w:val="19"/>
                <w:szCs w:val="19"/>
              </w:rPr>
            </w:pPr>
            <w:r w:rsidRPr="00814E2F">
              <w:rPr>
                <w:b/>
                <w:color w:val="000000"/>
                <w:sz w:val="19"/>
                <w:szCs w:val="19"/>
              </w:rPr>
              <w:t>16.6%</w:t>
            </w:r>
          </w:p>
        </w:tc>
        <w:tc>
          <w:tcPr>
            <w:tcW w:w="892" w:type="dxa"/>
            <w:tcBorders>
              <w:top w:val="nil"/>
              <w:left w:val="single" w:sz="8" w:space="0" w:color="auto"/>
              <w:bottom w:val="single" w:sz="4" w:space="0" w:color="auto"/>
              <w:right w:val="single" w:sz="4" w:space="0" w:color="auto"/>
            </w:tcBorders>
            <w:shd w:val="clear" w:color="000000" w:fill="FFE699"/>
            <w:noWrap/>
            <w:tcMar>
              <w:left w:w="58" w:type="dxa"/>
              <w:right w:w="58" w:type="dxa"/>
            </w:tcMar>
            <w:vAlign w:val="bottom"/>
            <w:hideMark/>
          </w:tcPr>
          <w:p w14:paraId="12DC9D4A" w14:textId="77777777" w:rsidR="00ED063B" w:rsidRPr="00814E2F" w:rsidRDefault="00ED063B" w:rsidP="007F18AB">
            <w:pPr>
              <w:spacing w:after="0" w:line="240" w:lineRule="auto"/>
              <w:jc w:val="right"/>
              <w:rPr>
                <w:color w:val="000000"/>
                <w:sz w:val="19"/>
                <w:szCs w:val="19"/>
              </w:rPr>
            </w:pPr>
            <w:r w:rsidRPr="00814E2F">
              <w:rPr>
                <w:color w:val="000000"/>
                <w:sz w:val="19"/>
                <w:szCs w:val="19"/>
              </w:rPr>
              <w:t>9.6</w:t>
            </w:r>
          </w:p>
        </w:tc>
        <w:tc>
          <w:tcPr>
            <w:tcW w:w="900" w:type="dxa"/>
            <w:tcBorders>
              <w:top w:val="nil"/>
              <w:left w:val="nil"/>
              <w:bottom w:val="single" w:sz="4" w:space="0" w:color="auto"/>
              <w:right w:val="single" w:sz="4" w:space="0" w:color="auto"/>
            </w:tcBorders>
            <w:shd w:val="clear" w:color="000000" w:fill="FFE699"/>
            <w:noWrap/>
            <w:tcMar>
              <w:left w:w="58" w:type="dxa"/>
              <w:right w:w="58" w:type="dxa"/>
            </w:tcMar>
            <w:vAlign w:val="bottom"/>
            <w:hideMark/>
          </w:tcPr>
          <w:p w14:paraId="348AE544" w14:textId="77777777" w:rsidR="00ED063B" w:rsidRPr="00814E2F" w:rsidRDefault="00ED063B" w:rsidP="007F18AB">
            <w:pPr>
              <w:spacing w:after="0" w:line="240" w:lineRule="auto"/>
              <w:jc w:val="right"/>
              <w:rPr>
                <w:color w:val="000000"/>
                <w:sz w:val="19"/>
                <w:szCs w:val="19"/>
              </w:rPr>
            </w:pPr>
            <w:r w:rsidRPr="00814E2F">
              <w:rPr>
                <w:color w:val="000000"/>
                <w:sz w:val="19"/>
                <w:szCs w:val="19"/>
              </w:rPr>
              <w:t>8.0</w:t>
            </w:r>
          </w:p>
        </w:tc>
        <w:tc>
          <w:tcPr>
            <w:tcW w:w="900" w:type="dxa"/>
            <w:tcBorders>
              <w:top w:val="nil"/>
              <w:left w:val="nil"/>
              <w:bottom w:val="single" w:sz="4" w:space="0" w:color="auto"/>
              <w:right w:val="single" w:sz="8" w:space="0" w:color="auto"/>
            </w:tcBorders>
            <w:shd w:val="clear" w:color="000000" w:fill="FFE699"/>
            <w:noWrap/>
            <w:tcMar>
              <w:left w:w="58" w:type="dxa"/>
              <w:right w:w="58" w:type="dxa"/>
            </w:tcMar>
            <w:vAlign w:val="bottom"/>
            <w:hideMark/>
          </w:tcPr>
          <w:p w14:paraId="4F8A432F" w14:textId="77777777" w:rsidR="00ED063B" w:rsidRPr="00814E2F" w:rsidRDefault="00ED063B" w:rsidP="007F18AB">
            <w:pPr>
              <w:spacing w:after="0" w:line="240" w:lineRule="auto"/>
              <w:jc w:val="right"/>
              <w:rPr>
                <w:color w:val="000000"/>
                <w:sz w:val="19"/>
                <w:szCs w:val="19"/>
              </w:rPr>
            </w:pPr>
            <w:r w:rsidRPr="00814E2F">
              <w:rPr>
                <w:color w:val="000000"/>
                <w:sz w:val="19"/>
                <w:szCs w:val="19"/>
              </w:rPr>
              <w:t>8.0</w:t>
            </w:r>
          </w:p>
        </w:tc>
        <w:tc>
          <w:tcPr>
            <w:tcW w:w="998" w:type="dxa"/>
            <w:tcBorders>
              <w:top w:val="nil"/>
              <w:left w:val="single" w:sz="8" w:space="0" w:color="auto"/>
              <w:bottom w:val="single" w:sz="4" w:space="0" w:color="auto"/>
              <w:right w:val="single" w:sz="8" w:space="0" w:color="auto"/>
            </w:tcBorders>
            <w:shd w:val="clear" w:color="000000" w:fill="FFE699"/>
            <w:tcMar>
              <w:left w:w="58" w:type="dxa"/>
              <w:right w:w="58" w:type="dxa"/>
            </w:tcMar>
            <w:vAlign w:val="bottom"/>
          </w:tcPr>
          <w:p w14:paraId="064047FB" w14:textId="77777777" w:rsidR="00ED063B" w:rsidRPr="00814E2F" w:rsidRDefault="00ED063B" w:rsidP="007F18AB">
            <w:pPr>
              <w:spacing w:after="0" w:line="240" w:lineRule="auto"/>
              <w:jc w:val="right"/>
              <w:rPr>
                <w:b/>
                <w:color w:val="000000"/>
                <w:sz w:val="19"/>
                <w:szCs w:val="19"/>
              </w:rPr>
            </w:pPr>
            <w:r w:rsidRPr="00814E2F">
              <w:rPr>
                <w:b/>
                <w:color w:val="000000"/>
                <w:sz w:val="19"/>
                <w:szCs w:val="19"/>
              </w:rPr>
              <w:t>-17.1%</w:t>
            </w:r>
          </w:p>
        </w:tc>
        <w:tc>
          <w:tcPr>
            <w:tcW w:w="900" w:type="dxa"/>
            <w:tcBorders>
              <w:top w:val="nil"/>
              <w:left w:val="single" w:sz="8" w:space="0" w:color="auto"/>
              <w:bottom w:val="single" w:sz="4" w:space="0" w:color="auto"/>
              <w:right w:val="single" w:sz="4" w:space="0" w:color="auto"/>
            </w:tcBorders>
            <w:shd w:val="clear" w:color="000000" w:fill="FFE699"/>
            <w:tcMar>
              <w:left w:w="58" w:type="dxa"/>
              <w:right w:w="58" w:type="dxa"/>
            </w:tcMar>
            <w:vAlign w:val="bottom"/>
          </w:tcPr>
          <w:p w14:paraId="6B161CDB" w14:textId="77777777" w:rsidR="00ED063B" w:rsidRPr="00814E2F" w:rsidRDefault="00ED063B" w:rsidP="007F18AB">
            <w:pPr>
              <w:spacing w:after="0" w:line="240" w:lineRule="auto"/>
              <w:jc w:val="right"/>
              <w:rPr>
                <w:color w:val="000000"/>
                <w:sz w:val="19"/>
                <w:szCs w:val="19"/>
              </w:rPr>
            </w:pPr>
            <w:r w:rsidRPr="00814E2F">
              <w:rPr>
                <w:color w:val="000000"/>
                <w:sz w:val="19"/>
                <w:szCs w:val="19"/>
              </w:rPr>
              <w:t>8.6</w:t>
            </w:r>
          </w:p>
        </w:tc>
        <w:tc>
          <w:tcPr>
            <w:tcW w:w="810" w:type="dxa"/>
            <w:tcBorders>
              <w:top w:val="nil"/>
              <w:left w:val="single" w:sz="4" w:space="0" w:color="auto"/>
              <w:bottom w:val="single" w:sz="4" w:space="0" w:color="auto"/>
              <w:right w:val="single" w:sz="4" w:space="0" w:color="auto"/>
            </w:tcBorders>
            <w:shd w:val="clear" w:color="000000" w:fill="FFE699"/>
            <w:tcMar>
              <w:left w:w="58" w:type="dxa"/>
              <w:right w:w="58" w:type="dxa"/>
            </w:tcMar>
            <w:vAlign w:val="bottom"/>
          </w:tcPr>
          <w:p w14:paraId="4A5DF1FF" w14:textId="77777777" w:rsidR="00ED063B" w:rsidRPr="00814E2F" w:rsidRDefault="00ED063B" w:rsidP="007F18AB">
            <w:pPr>
              <w:spacing w:after="0" w:line="240" w:lineRule="auto"/>
              <w:jc w:val="right"/>
              <w:rPr>
                <w:color w:val="000000"/>
                <w:sz w:val="19"/>
                <w:szCs w:val="19"/>
              </w:rPr>
            </w:pPr>
            <w:r w:rsidRPr="00814E2F">
              <w:rPr>
                <w:color w:val="000000"/>
                <w:sz w:val="19"/>
                <w:szCs w:val="19"/>
              </w:rPr>
              <w:t>9.0</w:t>
            </w:r>
          </w:p>
        </w:tc>
        <w:tc>
          <w:tcPr>
            <w:tcW w:w="810" w:type="dxa"/>
            <w:tcBorders>
              <w:top w:val="nil"/>
              <w:left w:val="single" w:sz="4" w:space="0" w:color="auto"/>
              <w:bottom w:val="single" w:sz="4" w:space="0" w:color="auto"/>
              <w:right w:val="single" w:sz="8" w:space="0" w:color="auto"/>
            </w:tcBorders>
            <w:shd w:val="clear" w:color="000000" w:fill="FFE699"/>
            <w:tcMar>
              <w:left w:w="58" w:type="dxa"/>
              <w:right w:w="58" w:type="dxa"/>
            </w:tcMar>
            <w:vAlign w:val="bottom"/>
          </w:tcPr>
          <w:p w14:paraId="1119A7F8" w14:textId="77777777" w:rsidR="00ED063B" w:rsidRPr="00814E2F" w:rsidRDefault="00ED063B" w:rsidP="007F18AB">
            <w:pPr>
              <w:spacing w:after="0" w:line="240" w:lineRule="auto"/>
              <w:jc w:val="right"/>
              <w:rPr>
                <w:color w:val="000000"/>
                <w:sz w:val="19"/>
                <w:szCs w:val="19"/>
              </w:rPr>
            </w:pPr>
            <w:r w:rsidRPr="00814E2F">
              <w:rPr>
                <w:color w:val="000000"/>
                <w:sz w:val="19"/>
                <w:szCs w:val="19"/>
              </w:rPr>
              <w:t>9.0</w:t>
            </w:r>
          </w:p>
        </w:tc>
        <w:tc>
          <w:tcPr>
            <w:tcW w:w="990" w:type="dxa"/>
            <w:tcBorders>
              <w:top w:val="nil"/>
              <w:left w:val="single" w:sz="8" w:space="0" w:color="auto"/>
              <w:bottom w:val="single" w:sz="4" w:space="0" w:color="auto"/>
              <w:right w:val="double" w:sz="4" w:space="0" w:color="auto"/>
            </w:tcBorders>
            <w:shd w:val="clear" w:color="000000" w:fill="FFE699"/>
            <w:tcMar>
              <w:left w:w="58" w:type="dxa"/>
              <w:right w:w="58" w:type="dxa"/>
            </w:tcMar>
            <w:vAlign w:val="bottom"/>
          </w:tcPr>
          <w:p w14:paraId="204D90E4" w14:textId="77777777" w:rsidR="00ED063B" w:rsidRPr="00814E2F" w:rsidRDefault="00ED063B" w:rsidP="007F18AB">
            <w:pPr>
              <w:spacing w:after="0" w:line="240" w:lineRule="auto"/>
              <w:jc w:val="right"/>
              <w:rPr>
                <w:b/>
                <w:color w:val="000000"/>
                <w:sz w:val="19"/>
                <w:szCs w:val="19"/>
              </w:rPr>
            </w:pPr>
            <w:r w:rsidRPr="00814E2F">
              <w:rPr>
                <w:b/>
                <w:color w:val="000000"/>
                <w:sz w:val="19"/>
                <w:szCs w:val="19"/>
              </w:rPr>
              <w:t>5.0%</w:t>
            </w:r>
          </w:p>
        </w:tc>
      </w:tr>
      <w:tr w:rsidR="00ED063B" w:rsidRPr="002C1485" w14:paraId="3C661831" w14:textId="77777777" w:rsidTr="00A24926">
        <w:trPr>
          <w:trHeight w:val="288"/>
          <w:jc w:val="center"/>
        </w:trPr>
        <w:tc>
          <w:tcPr>
            <w:tcW w:w="1245" w:type="dxa"/>
            <w:vMerge/>
            <w:tcBorders>
              <w:top w:val="nil"/>
              <w:left w:val="double" w:sz="4" w:space="0" w:color="auto"/>
              <w:bottom w:val="single" w:sz="12" w:space="0" w:color="auto"/>
              <w:right w:val="single" w:sz="4" w:space="0" w:color="auto"/>
            </w:tcBorders>
            <w:tcMar>
              <w:left w:w="58" w:type="dxa"/>
              <w:right w:w="58" w:type="dxa"/>
            </w:tcMar>
            <w:vAlign w:val="center"/>
            <w:hideMark/>
          </w:tcPr>
          <w:p w14:paraId="7FFE7B5E" w14:textId="77777777" w:rsidR="00ED063B" w:rsidRPr="00814E2F" w:rsidRDefault="00ED063B" w:rsidP="007F18AB">
            <w:pPr>
              <w:spacing w:after="0" w:line="240" w:lineRule="auto"/>
              <w:jc w:val="left"/>
              <w:rPr>
                <w:rFonts w:eastAsia="Times New Roman"/>
                <w:b/>
                <w:color w:val="000000"/>
                <w:sz w:val="19"/>
                <w:szCs w:val="19"/>
              </w:rPr>
            </w:pPr>
          </w:p>
        </w:tc>
        <w:tc>
          <w:tcPr>
            <w:tcW w:w="972" w:type="dxa"/>
            <w:tcBorders>
              <w:top w:val="nil"/>
              <w:left w:val="single" w:sz="12" w:space="0" w:color="auto"/>
              <w:bottom w:val="single" w:sz="12" w:space="0" w:color="auto"/>
              <w:right w:val="single" w:sz="12" w:space="0" w:color="auto"/>
            </w:tcBorders>
            <w:shd w:val="clear" w:color="000000" w:fill="FFE699"/>
            <w:tcMar>
              <w:left w:w="58" w:type="dxa"/>
              <w:right w:w="58" w:type="dxa"/>
            </w:tcMar>
          </w:tcPr>
          <w:p w14:paraId="60CFBCF5" w14:textId="77777777" w:rsidR="00ED063B" w:rsidRPr="00814E2F" w:rsidRDefault="00ED063B" w:rsidP="007F18AB">
            <w:pPr>
              <w:spacing w:after="0" w:line="240" w:lineRule="auto"/>
              <w:jc w:val="center"/>
              <w:rPr>
                <w:rFonts w:eastAsia="Times New Roman"/>
                <w:color w:val="000000"/>
                <w:sz w:val="19"/>
                <w:szCs w:val="19"/>
              </w:rPr>
            </w:pPr>
            <w:r w:rsidRPr="00814E2F">
              <w:rPr>
                <w:rFonts w:eastAsia="Times New Roman"/>
                <w:color w:val="000000"/>
                <w:sz w:val="19"/>
                <w:szCs w:val="19"/>
              </w:rPr>
              <w:t>Third WPL</w:t>
            </w:r>
          </w:p>
        </w:tc>
        <w:tc>
          <w:tcPr>
            <w:tcW w:w="843" w:type="dxa"/>
            <w:tcBorders>
              <w:top w:val="nil"/>
              <w:left w:val="single" w:sz="12" w:space="0" w:color="auto"/>
              <w:bottom w:val="single" w:sz="12" w:space="0" w:color="auto"/>
              <w:right w:val="single" w:sz="4" w:space="0" w:color="auto"/>
            </w:tcBorders>
            <w:shd w:val="clear" w:color="000000" w:fill="FFE699"/>
            <w:tcMar>
              <w:left w:w="58" w:type="dxa"/>
              <w:right w:w="58" w:type="dxa"/>
            </w:tcMar>
            <w:vAlign w:val="bottom"/>
          </w:tcPr>
          <w:p w14:paraId="1C90EDEE" w14:textId="77777777" w:rsidR="00ED063B" w:rsidRPr="00814E2F" w:rsidRDefault="00ED063B" w:rsidP="007F18AB">
            <w:pPr>
              <w:spacing w:after="0" w:line="240" w:lineRule="auto"/>
              <w:jc w:val="right"/>
              <w:rPr>
                <w:color w:val="000000"/>
                <w:sz w:val="19"/>
                <w:szCs w:val="19"/>
              </w:rPr>
            </w:pPr>
            <w:r w:rsidRPr="00814E2F">
              <w:rPr>
                <w:color w:val="000000"/>
                <w:sz w:val="19"/>
                <w:szCs w:val="19"/>
              </w:rPr>
              <w:t>1.5</w:t>
            </w:r>
          </w:p>
        </w:tc>
        <w:tc>
          <w:tcPr>
            <w:tcW w:w="844" w:type="dxa"/>
            <w:tcBorders>
              <w:top w:val="nil"/>
              <w:left w:val="single" w:sz="4" w:space="0" w:color="auto"/>
              <w:bottom w:val="single" w:sz="12" w:space="0" w:color="auto"/>
              <w:right w:val="single" w:sz="4" w:space="0" w:color="auto"/>
            </w:tcBorders>
            <w:shd w:val="clear" w:color="000000" w:fill="FFE699"/>
            <w:tcMar>
              <w:left w:w="58" w:type="dxa"/>
              <w:right w:w="58" w:type="dxa"/>
            </w:tcMar>
            <w:vAlign w:val="bottom"/>
          </w:tcPr>
          <w:p w14:paraId="7F047EA7" w14:textId="77777777" w:rsidR="00ED063B" w:rsidRPr="00814E2F" w:rsidRDefault="00ED063B" w:rsidP="007F18AB">
            <w:pPr>
              <w:spacing w:after="0" w:line="240" w:lineRule="auto"/>
              <w:jc w:val="right"/>
              <w:rPr>
                <w:color w:val="000000"/>
                <w:sz w:val="19"/>
                <w:szCs w:val="19"/>
              </w:rPr>
            </w:pPr>
            <w:r w:rsidRPr="00814E2F">
              <w:rPr>
                <w:color w:val="000000"/>
                <w:sz w:val="19"/>
                <w:szCs w:val="19"/>
              </w:rPr>
              <w:t>1.6</w:t>
            </w:r>
          </w:p>
        </w:tc>
        <w:tc>
          <w:tcPr>
            <w:tcW w:w="844" w:type="dxa"/>
            <w:tcBorders>
              <w:top w:val="nil"/>
              <w:left w:val="single" w:sz="4" w:space="0" w:color="auto"/>
              <w:bottom w:val="single" w:sz="12" w:space="0" w:color="auto"/>
              <w:right w:val="single" w:sz="8" w:space="0" w:color="auto"/>
            </w:tcBorders>
            <w:shd w:val="clear" w:color="000000" w:fill="FFE699"/>
            <w:tcMar>
              <w:left w:w="58" w:type="dxa"/>
              <w:right w:w="58" w:type="dxa"/>
            </w:tcMar>
            <w:vAlign w:val="bottom"/>
          </w:tcPr>
          <w:p w14:paraId="6A7BB989" w14:textId="77777777" w:rsidR="00ED063B" w:rsidRPr="00814E2F" w:rsidRDefault="00ED063B" w:rsidP="007F18AB">
            <w:pPr>
              <w:spacing w:after="0" w:line="240" w:lineRule="auto"/>
              <w:jc w:val="right"/>
              <w:rPr>
                <w:color w:val="000000"/>
                <w:sz w:val="19"/>
                <w:szCs w:val="19"/>
              </w:rPr>
            </w:pPr>
            <w:r w:rsidRPr="00814E2F">
              <w:rPr>
                <w:color w:val="000000"/>
                <w:sz w:val="19"/>
                <w:szCs w:val="19"/>
              </w:rPr>
              <w:t>1.8</w:t>
            </w:r>
          </w:p>
        </w:tc>
        <w:tc>
          <w:tcPr>
            <w:tcW w:w="982" w:type="dxa"/>
            <w:tcBorders>
              <w:top w:val="nil"/>
              <w:left w:val="single" w:sz="8" w:space="0" w:color="auto"/>
              <w:bottom w:val="single" w:sz="12" w:space="0" w:color="auto"/>
              <w:right w:val="single" w:sz="8" w:space="0" w:color="auto"/>
            </w:tcBorders>
            <w:shd w:val="clear" w:color="000000" w:fill="FFE699"/>
            <w:tcMar>
              <w:left w:w="58" w:type="dxa"/>
              <w:right w:w="58" w:type="dxa"/>
            </w:tcMar>
            <w:vAlign w:val="bottom"/>
          </w:tcPr>
          <w:p w14:paraId="2789BA20" w14:textId="77777777" w:rsidR="00ED063B" w:rsidRPr="00814E2F" w:rsidRDefault="00ED063B" w:rsidP="007F18AB">
            <w:pPr>
              <w:spacing w:after="0" w:line="240" w:lineRule="auto"/>
              <w:jc w:val="right"/>
              <w:rPr>
                <w:b/>
                <w:color w:val="000000"/>
                <w:sz w:val="19"/>
                <w:szCs w:val="19"/>
              </w:rPr>
            </w:pPr>
            <w:r w:rsidRPr="00814E2F">
              <w:rPr>
                <w:b/>
                <w:color w:val="000000"/>
                <w:sz w:val="19"/>
                <w:szCs w:val="19"/>
              </w:rPr>
              <w:t>21.4%</w:t>
            </w:r>
          </w:p>
        </w:tc>
        <w:tc>
          <w:tcPr>
            <w:tcW w:w="892" w:type="dxa"/>
            <w:tcBorders>
              <w:top w:val="nil"/>
              <w:left w:val="single" w:sz="8" w:space="0" w:color="auto"/>
              <w:bottom w:val="single" w:sz="12" w:space="0" w:color="auto"/>
              <w:right w:val="single" w:sz="4" w:space="0" w:color="auto"/>
            </w:tcBorders>
            <w:shd w:val="clear" w:color="000000" w:fill="FFE699"/>
            <w:noWrap/>
            <w:tcMar>
              <w:left w:w="58" w:type="dxa"/>
              <w:right w:w="58" w:type="dxa"/>
            </w:tcMar>
            <w:vAlign w:val="bottom"/>
            <w:hideMark/>
          </w:tcPr>
          <w:p w14:paraId="69B6330B" w14:textId="77777777" w:rsidR="00ED063B" w:rsidRPr="00814E2F" w:rsidRDefault="00ED063B" w:rsidP="007F18AB">
            <w:pPr>
              <w:spacing w:after="0" w:line="240" w:lineRule="auto"/>
              <w:jc w:val="right"/>
              <w:rPr>
                <w:color w:val="000000"/>
                <w:sz w:val="19"/>
                <w:szCs w:val="19"/>
              </w:rPr>
            </w:pPr>
            <w:r w:rsidRPr="00814E2F">
              <w:rPr>
                <w:color w:val="000000"/>
                <w:sz w:val="19"/>
                <w:szCs w:val="19"/>
              </w:rPr>
              <w:t>1.5</w:t>
            </w:r>
          </w:p>
        </w:tc>
        <w:tc>
          <w:tcPr>
            <w:tcW w:w="900" w:type="dxa"/>
            <w:tcBorders>
              <w:top w:val="nil"/>
              <w:left w:val="nil"/>
              <w:bottom w:val="single" w:sz="12" w:space="0" w:color="auto"/>
              <w:right w:val="single" w:sz="4" w:space="0" w:color="auto"/>
            </w:tcBorders>
            <w:shd w:val="clear" w:color="000000" w:fill="FFE699"/>
            <w:noWrap/>
            <w:tcMar>
              <w:left w:w="58" w:type="dxa"/>
              <w:right w:w="58" w:type="dxa"/>
            </w:tcMar>
            <w:vAlign w:val="bottom"/>
            <w:hideMark/>
          </w:tcPr>
          <w:p w14:paraId="0DD10989" w14:textId="77777777" w:rsidR="00ED063B" w:rsidRPr="00814E2F" w:rsidRDefault="00ED063B" w:rsidP="007F18AB">
            <w:pPr>
              <w:spacing w:after="0" w:line="240" w:lineRule="auto"/>
              <w:jc w:val="right"/>
              <w:rPr>
                <w:color w:val="000000"/>
                <w:sz w:val="19"/>
                <w:szCs w:val="19"/>
              </w:rPr>
            </w:pPr>
            <w:r w:rsidRPr="00814E2F">
              <w:rPr>
                <w:color w:val="000000"/>
                <w:sz w:val="19"/>
                <w:szCs w:val="19"/>
              </w:rPr>
              <w:t>1.7</w:t>
            </w:r>
          </w:p>
        </w:tc>
        <w:tc>
          <w:tcPr>
            <w:tcW w:w="900" w:type="dxa"/>
            <w:tcBorders>
              <w:top w:val="nil"/>
              <w:left w:val="nil"/>
              <w:bottom w:val="single" w:sz="12" w:space="0" w:color="auto"/>
              <w:right w:val="single" w:sz="8" w:space="0" w:color="auto"/>
            </w:tcBorders>
            <w:shd w:val="clear" w:color="000000" w:fill="FFE699"/>
            <w:noWrap/>
            <w:tcMar>
              <w:left w:w="58" w:type="dxa"/>
              <w:right w:w="58" w:type="dxa"/>
            </w:tcMar>
            <w:vAlign w:val="bottom"/>
            <w:hideMark/>
          </w:tcPr>
          <w:p w14:paraId="27678CC3" w14:textId="77777777" w:rsidR="00ED063B" w:rsidRPr="00814E2F" w:rsidRDefault="00ED063B" w:rsidP="007F18AB">
            <w:pPr>
              <w:spacing w:after="0" w:line="240" w:lineRule="auto"/>
              <w:jc w:val="right"/>
              <w:rPr>
                <w:color w:val="000000"/>
                <w:sz w:val="19"/>
                <w:szCs w:val="19"/>
              </w:rPr>
            </w:pPr>
            <w:r w:rsidRPr="00814E2F">
              <w:rPr>
                <w:color w:val="000000"/>
                <w:sz w:val="19"/>
                <w:szCs w:val="19"/>
              </w:rPr>
              <w:t>1.7</w:t>
            </w:r>
          </w:p>
        </w:tc>
        <w:tc>
          <w:tcPr>
            <w:tcW w:w="998" w:type="dxa"/>
            <w:tcBorders>
              <w:top w:val="nil"/>
              <w:left w:val="single" w:sz="8" w:space="0" w:color="auto"/>
              <w:bottom w:val="single" w:sz="12" w:space="0" w:color="auto"/>
              <w:right w:val="single" w:sz="8" w:space="0" w:color="auto"/>
            </w:tcBorders>
            <w:shd w:val="clear" w:color="000000" w:fill="FFE699"/>
            <w:tcMar>
              <w:left w:w="58" w:type="dxa"/>
              <w:right w:w="58" w:type="dxa"/>
            </w:tcMar>
            <w:vAlign w:val="bottom"/>
          </w:tcPr>
          <w:p w14:paraId="4A8FCCF6" w14:textId="77777777" w:rsidR="00ED063B" w:rsidRPr="00814E2F" w:rsidRDefault="00ED063B" w:rsidP="007F18AB">
            <w:pPr>
              <w:spacing w:after="0" w:line="240" w:lineRule="auto"/>
              <w:jc w:val="right"/>
              <w:rPr>
                <w:b/>
                <w:color w:val="000000"/>
                <w:sz w:val="19"/>
                <w:szCs w:val="19"/>
              </w:rPr>
            </w:pPr>
            <w:r w:rsidRPr="00814E2F">
              <w:rPr>
                <w:b/>
                <w:color w:val="000000"/>
                <w:sz w:val="19"/>
                <w:szCs w:val="19"/>
              </w:rPr>
              <w:t>16.1%</w:t>
            </w:r>
          </w:p>
        </w:tc>
        <w:tc>
          <w:tcPr>
            <w:tcW w:w="900" w:type="dxa"/>
            <w:tcBorders>
              <w:top w:val="nil"/>
              <w:left w:val="single" w:sz="8" w:space="0" w:color="auto"/>
              <w:bottom w:val="single" w:sz="12" w:space="0" w:color="auto"/>
              <w:right w:val="single" w:sz="4" w:space="0" w:color="auto"/>
            </w:tcBorders>
            <w:shd w:val="clear" w:color="000000" w:fill="FFE699"/>
            <w:tcMar>
              <w:left w:w="58" w:type="dxa"/>
              <w:right w:w="58" w:type="dxa"/>
            </w:tcMar>
            <w:vAlign w:val="bottom"/>
          </w:tcPr>
          <w:p w14:paraId="09B6D515" w14:textId="77777777" w:rsidR="00ED063B" w:rsidRPr="00814E2F" w:rsidRDefault="00ED063B" w:rsidP="007F18AB">
            <w:pPr>
              <w:spacing w:after="0" w:line="240" w:lineRule="auto"/>
              <w:jc w:val="right"/>
              <w:rPr>
                <w:color w:val="000000"/>
                <w:sz w:val="19"/>
                <w:szCs w:val="19"/>
              </w:rPr>
            </w:pPr>
            <w:r w:rsidRPr="00814E2F">
              <w:rPr>
                <w:color w:val="000000"/>
                <w:sz w:val="19"/>
                <w:szCs w:val="19"/>
              </w:rPr>
              <w:t>2.1</w:t>
            </w:r>
          </w:p>
        </w:tc>
        <w:tc>
          <w:tcPr>
            <w:tcW w:w="810" w:type="dxa"/>
            <w:tcBorders>
              <w:top w:val="nil"/>
              <w:left w:val="single" w:sz="4" w:space="0" w:color="auto"/>
              <w:bottom w:val="single" w:sz="12" w:space="0" w:color="auto"/>
              <w:right w:val="single" w:sz="4" w:space="0" w:color="auto"/>
            </w:tcBorders>
            <w:shd w:val="clear" w:color="000000" w:fill="FFE699"/>
            <w:tcMar>
              <w:left w:w="58" w:type="dxa"/>
              <w:right w:w="58" w:type="dxa"/>
            </w:tcMar>
            <w:vAlign w:val="bottom"/>
          </w:tcPr>
          <w:p w14:paraId="461946B1" w14:textId="77777777" w:rsidR="00ED063B" w:rsidRPr="00814E2F" w:rsidRDefault="00ED063B" w:rsidP="007F18AB">
            <w:pPr>
              <w:spacing w:after="0" w:line="240" w:lineRule="auto"/>
              <w:jc w:val="right"/>
              <w:rPr>
                <w:color w:val="000000"/>
                <w:sz w:val="19"/>
                <w:szCs w:val="19"/>
              </w:rPr>
            </w:pPr>
            <w:r w:rsidRPr="00814E2F">
              <w:rPr>
                <w:color w:val="000000"/>
                <w:sz w:val="19"/>
                <w:szCs w:val="19"/>
              </w:rPr>
              <w:t>1.2</w:t>
            </w:r>
          </w:p>
        </w:tc>
        <w:tc>
          <w:tcPr>
            <w:tcW w:w="810" w:type="dxa"/>
            <w:tcBorders>
              <w:top w:val="nil"/>
              <w:left w:val="single" w:sz="4" w:space="0" w:color="auto"/>
              <w:bottom w:val="single" w:sz="12" w:space="0" w:color="auto"/>
              <w:right w:val="single" w:sz="8" w:space="0" w:color="auto"/>
            </w:tcBorders>
            <w:shd w:val="clear" w:color="000000" w:fill="FFE699"/>
            <w:tcMar>
              <w:left w:w="58" w:type="dxa"/>
              <w:right w:w="58" w:type="dxa"/>
            </w:tcMar>
            <w:vAlign w:val="bottom"/>
          </w:tcPr>
          <w:p w14:paraId="52B9D9C1" w14:textId="77777777" w:rsidR="00ED063B" w:rsidRPr="00814E2F" w:rsidRDefault="00ED063B" w:rsidP="007F18AB">
            <w:pPr>
              <w:spacing w:after="0" w:line="240" w:lineRule="auto"/>
              <w:jc w:val="right"/>
              <w:rPr>
                <w:color w:val="000000"/>
                <w:sz w:val="19"/>
                <w:szCs w:val="19"/>
              </w:rPr>
            </w:pPr>
            <w:r w:rsidRPr="00814E2F">
              <w:rPr>
                <w:color w:val="000000"/>
                <w:sz w:val="19"/>
                <w:szCs w:val="19"/>
              </w:rPr>
              <w:t>1.1</w:t>
            </w:r>
          </w:p>
        </w:tc>
        <w:tc>
          <w:tcPr>
            <w:tcW w:w="990" w:type="dxa"/>
            <w:tcBorders>
              <w:top w:val="nil"/>
              <w:left w:val="single" w:sz="8" w:space="0" w:color="auto"/>
              <w:bottom w:val="single" w:sz="12" w:space="0" w:color="auto"/>
              <w:right w:val="double" w:sz="4" w:space="0" w:color="auto"/>
            </w:tcBorders>
            <w:shd w:val="clear" w:color="000000" w:fill="FFE699"/>
            <w:tcMar>
              <w:left w:w="58" w:type="dxa"/>
              <w:right w:w="58" w:type="dxa"/>
            </w:tcMar>
            <w:vAlign w:val="bottom"/>
          </w:tcPr>
          <w:p w14:paraId="3EE398B4" w14:textId="77777777" w:rsidR="00ED063B" w:rsidRPr="00814E2F" w:rsidRDefault="00ED063B" w:rsidP="007F18AB">
            <w:pPr>
              <w:spacing w:after="0" w:line="240" w:lineRule="auto"/>
              <w:jc w:val="right"/>
              <w:rPr>
                <w:b/>
                <w:color w:val="000000"/>
                <w:sz w:val="19"/>
                <w:szCs w:val="19"/>
              </w:rPr>
            </w:pPr>
            <w:r w:rsidRPr="00814E2F">
              <w:rPr>
                <w:b/>
                <w:color w:val="000000"/>
                <w:sz w:val="19"/>
                <w:szCs w:val="19"/>
              </w:rPr>
              <w:t>-48.5%</w:t>
            </w:r>
          </w:p>
        </w:tc>
      </w:tr>
      <w:tr w:rsidR="00ED063B" w:rsidRPr="002C1485" w14:paraId="1A5322F7" w14:textId="77777777" w:rsidTr="00A24926">
        <w:trPr>
          <w:trHeight w:val="288"/>
          <w:jc w:val="center"/>
        </w:trPr>
        <w:tc>
          <w:tcPr>
            <w:tcW w:w="1245" w:type="dxa"/>
            <w:vMerge w:val="restart"/>
            <w:tcBorders>
              <w:top w:val="nil"/>
              <w:left w:val="double" w:sz="4" w:space="0" w:color="auto"/>
              <w:bottom w:val="single" w:sz="4" w:space="0" w:color="000000"/>
              <w:right w:val="single" w:sz="4" w:space="0" w:color="auto"/>
            </w:tcBorders>
            <w:shd w:val="clear" w:color="000000" w:fill="C6E0B4"/>
            <w:tcMar>
              <w:left w:w="58" w:type="dxa"/>
              <w:right w:w="58" w:type="dxa"/>
            </w:tcMar>
            <w:vAlign w:val="center"/>
            <w:hideMark/>
          </w:tcPr>
          <w:p w14:paraId="33BAF1BC" w14:textId="77777777" w:rsidR="00ED063B" w:rsidRPr="00814E2F" w:rsidRDefault="00ED063B" w:rsidP="007F18AB">
            <w:pPr>
              <w:spacing w:after="0" w:line="240" w:lineRule="auto"/>
              <w:jc w:val="left"/>
              <w:rPr>
                <w:rFonts w:eastAsia="Times New Roman"/>
                <w:b/>
                <w:bCs/>
                <w:color w:val="000000"/>
                <w:sz w:val="19"/>
                <w:szCs w:val="19"/>
              </w:rPr>
            </w:pPr>
            <w:r w:rsidRPr="00814E2F">
              <w:rPr>
                <w:rFonts w:eastAsia="Times New Roman"/>
                <w:b/>
                <w:bCs/>
                <w:color w:val="000000"/>
                <w:sz w:val="19"/>
                <w:szCs w:val="19"/>
              </w:rPr>
              <w:t>Women with young child without partner</w:t>
            </w:r>
          </w:p>
        </w:tc>
        <w:tc>
          <w:tcPr>
            <w:tcW w:w="972" w:type="dxa"/>
            <w:tcBorders>
              <w:top w:val="single" w:sz="12" w:space="0" w:color="auto"/>
              <w:left w:val="single" w:sz="12" w:space="0" w:color="auto"/>
              <w:bottom w:val="single" w:sz="4" w:space="0" w:color="auto"/>
              <w:right w:val="single" w:sz="12" w:space="0" w:color="auto"/>
            </w:tcBorders>
            <w:shd w:val="clear" w:color="000000" w:fill="C6E0B4"/>
            <w:tcMar>
              <w:left w:w="58" w:type="dxa"/>
              <w:right w:w="58" w:type="dxa"/>
            </w:tcMar>
            <w:vAlign w:val="center"/>
          </w:tcPr>
          <w:p w14:paraId="25D87C49" w14:textId="77777777" w:rsidR="00ED063B" w:rsidRPr="00814E2F" w:rsidRDefault="00ED063B" w:rsidP="007F18AB">
            <w:pPr>
              <w:spacing w:after="0" w:line="240" w:lineRule="auto"/>
              <w:jc w:val="center"/>
              <w:rPr>
                <w:rFonts w:eastAsia="Times New Roman"/>
                <w:color w:val="000000"/>
                <w:sz w:val="19"/>
                <w:szCs w:val="19"/>
              </w:rPr>
            </w:pPr>
            <w:r w:rsidRPr="00814E2F">
              <w:rPr>
                <w:rFonts w:eastAsia="Times New Roman"/>
                <w:color w:val="000000"/>
                <w:sz w:val="19"/>
                <w:szCs w:val="19"/>
              </w:rPr>
              <w:t>Home</w:t>
            </w:r>
          </w:p>
        </w:tc>
        <w:tc>
          <w:tcPr>
            <w:tcW w:w="843" w:type="dxa"/>
            <w:tcBorders>
              <w:top w:val="single" w:sz="12" w:space="0" w:color="auto"/>
              <w:left w:val="single" w:sz="12" w:space="0" w:color="auto"/>
              <w:bottom w:val="single" w:sz="4" w:space="0" w:color="auto"/>
              <w:right w:val="single" w:sz="4" w:space="0" w:color="auto"/>
            </w:tcBorders>
            <w:shd w:val="clear" w:color="000000" w:fill="C6E0B4"/>
            <w:tcMar>
              <w:left w:w="58" w:type="dxa"/>
              <w:right w:w="58" w:type="dxa"/>
            </w:tcMar>
            <w:vAlign w:val="bottom"/>
          </w:tcPr>
          <w:p w14:paraId="7D24BED4" w14:textId="77777777" w:rsidR="00ED063B" w:rsidRPr="00814E2F" w:rsidRDefault="00ED063B" w:rsidP="007F18AB">
            <w:pPr>
              <w:spacing w:after="0" w:line="240" w:lineRule="auto"/>
              <w:jc w:val="right"/>
              <w:rPr>
                <w:color w:val="000000"/>
                <w:sz w:val="19"/>
                <w:szCs w:val="19"/>
              </w:rPr>
            </w:pPr>
            <w:r w:rsidRPr="00814E2F">
              <w:rPr>
                <w:color w:val="000000"/>
                <w:sz w:val="19"/>
                <w:szCs w:val="19"/>
              </w:rPr>
              <w:t>20.2</w:t>
            </w:r>
          </w:p>
        </w:tc>
        <w:tc>
          <w:tcPr>
            <w:tcW w:w="844" w:type="dxa"/>
            <w:tcBorders>
              <w:top w:val="single" w:sz="12" w:space="0" w:color="auto"/>
              <w:left w:val="single" w:sz="4" w:space="0" w:color="auto"/>
              <w:bottom w:val="single" w:sz="4" w:space="0" w:color="auto"/>
              <w:right w:val="single" w:sz="4" w:space="0" w:color="auto"/>
            </w:tcBorders>
            <w:shd w:val="clear" w:color="000000" w:fill="C6E0B4"/>
            <w:tcMar>
              <w:left w:w="58" w:type="dxa"/>
              <w:right w:w="58" w:type="dxa"/>
            </w:tcMar>
            <w:vAlign w:val="bottom"/>
          </w:tcPr>
          <w:p w14:paraId="05B9C1B5" w14:textId="77777777" w:rsidR="00ED063B" w:rsidRPr="00814E2F" w:rsidRDefault="00ED063B" w:rsidP="007F18AB">
            <w:pPr>
              <w:spacing w:after="0" w:line="240" w:lineRule="auto"/>
              <w:jc w:val="right"/>
              <w:rPr>
                <w:color w:val="000000"/>
                <w:sz w:val="19"/>
                <w:szCs w:val="19"/>
              </w:rPr>
            </w:pPr>
            <w:r w:rsidRPr="00814E2F">
              <w:rPr>
                <w:color w:val="000000"/>
                <w:sz w:val="19"/>
                <w:szCs w:val="19"/>
              </w:rPr>
              <w:t>20.0</w:t>
            </w:r>
          </w:p>
        </w:tc>
        <w:tc>
          <w:tcPr>
            <w:tcW w:w="844" w:type="dxa"/>
            <w:tcBorders>
              <w:top w:val="single" w:sz="12" w:space="0" w:color="auto"/>
              <w:left w:val="single" w:sz="4" w:space="0" w:color="auto"/>
              <w:bottom w:val="single" w:sz="4" w:space="0" w:color="auto"/>
              <w:right w:val="single" w:sz="8" w:space="0" w:color="auto"/>
            </w:tcBorders>
            <w:shd w:val="clear" w:color="000000" w:fill="C6E0B4"/>
            <w:tcMar>
              <w:left w:w="58" w:type="dxa"/>
              <w:right w:w="58" w:type="dxa"/>
            </w:tcMar>
            <w:vAlign w:val="bottom"/>
          </w:tcPr>
          <w:p w14:paraId="4248E571" w14:textId="77777777" w:rsidR="00ED063B" w:rsidRPr="00814E2F" w:rsidRDefault="00ED063B" w:rsidP="007F18AB">
            <w:pPr>
              <w:spacing w:after="0" w:line="240" w:lineRule="auto"/>
              <w:jc w:val="right"/>
              <w:rPr>
                <w:color w:val="000000"/>
                <w:sz w:val="19"/>
                <w:szCs w:val="19"/>
              </w:rPr>
            </w:pPr>
            <w:r w:rsidRPr="00814E2F">
              <w:rPr>
                <w:color w:val="000000"/>
                <w:sz w:val="19"/>
                <w:szCs w:val="19"/>
              </w:rPr>
              <w:t>19.6</w:t>
            </w:r>
          </w:p>
        </w:tc>
        <w:tc>
          <w:tcPr>
            <w:tcW w:w="982" w:type="dxa"/>
            <w:tcBorders>
              <w:top w:val="single" w:sz="12" w:space="0" w:color="auto"/>
              <w:left w:val="single" w:sz="8" w:space="0" w:color="auto"/>
              <w:bottom w:val="single" w:sz="4" w:space="0" w:color="auto"/>
              <w:right w:val="single" w:sz="8" w:space="0" w:color="auto"/>
            </w:tcBorders>
            <w:shd w:val="clear" w:color="000000" w:fill="C6E0B4"/>
            <w:tcMar>
              <w:left w:w="58" w:type="dxa"/>
              <w:right w:w="58" w:type="dxa"/>
            </w:tcMar>
            <w:vAlign w:val="bottom"/>
          </w:tcPr>
          <w:p w14:paraId="0196EBBC" w14:textId="77777777" w:rsidR="00ED063B" w:rsidRPr="00814E2F" w:rsidRDefault="00ED063B" w:rsidP="007F18AB">
            <w:pPr>
              <w:spacing w:after="0" w:line="240" w:lineRule="auto"/>
              <w:jc w:val="right"/>
              <w:rPr>
                <w:b/>
                <w:color w:val="FF0000"/>
                <w:sz w:val="19"/>
                <w:szCs w:val="19"/>
              </w:rPr>
            </w:pPr>
            <w:r w:rsidRPr="00814E2F">
              <w:rPr>
                <w:b/>
                <w:sz w:val="19"/>
                <w:szCs w:val="19"/>
              </w:rPr>
              <w:t>-3.2%</w:t>
            </w:r>
          </w:p>
        </w:tc>
        <w:tc>
          <w:tcPr>
            <w:tcW w:w="892" w:type="dxa"/>
            <w:tcBorders>
              <w:top w:val="single" w:sz="12" w:space="0" w:color="auto"/>
              <w:left w:val="single" w:sz="8" w:space="0" w:color="auto"/>
              <w:bottom w:val="single" w:sz="4" w:space="0" w:color="auto"/>
              <w:right w:val="single" w:sz="4" w:space="0" w:color="auto"/>
            </w:tcBorders>
            <w:shd w:val="clear" w:color="000000" w:fill="C6E0B4"/>
            <w:noWrap/>
            <w:tcMar>
              <w:left w:w="58" w:type="dxa"/>
              <w:right w:w="58" w:type="dxa"/>
            </w:tcMar>
            <w:vAlign w:val="bottom"/>
            <w:hideMark/>
          </w:tcPr>
          <w:p w14:paraId="15DE29F2" w14:textId="77777777" w:rsidR="00ED063B" w:rsidRPr="00814E2F" w:rsidRDefault="00ED063B" w:rsidP="007F18AB">
            <w:pPr>
              <w:spacing w:after="0" w:line="240" w:lineRule="auto"/>
              <w:jc w:val="right"/>
              <w:rPr>
                <w:color w:val="000000"/>
                <w:sz w:val="19"/>
                <w:szCs w:val="19"/>
              </w:rPr>
            </w:pPr>
            <w:r w:rsidRPr="00814E2F">
              <w:rPr>
                <w:color w:val="000000"/>
                <w:sz w:val="19"/>
                <w:szCs w:val="19"/>
              </w:rPr>
              <w:t>19.7</w:t>
            </w:r>
          </w:p>
        </w:tc>
        <w:tc>
          <w:tcPr>
            <w:tcW w:w="900" w:type="dxa"/>
            <w:tcBorders>
              <w:top w:val="single" w:sz="12" w:space="0" w:color="auto"/>
              <w:left w:val="nil"/>
              <w:bottom w:val="single" w:sz="4" w:space="0" w:color="auto"/>
              <w:right w:val="single" w:sz="4" w:space="0" w:color="auto"/>
            </w:tcBorders>
            <w:shd w:val="clear" w:color="000000" w:fill="C6E0B4"/>
            <w:noWrap/>
            <w:tcMar>
              <w:left w:w="58" w:type="dxa"/>
              <w:right w:w="58" w:type="dxa"/>
            </w:tcMar>
            <w:vAlign w:val="bottom"/>
            <w:hideMark/>
          </w:tcPr>
          <w:p w14:paraId="06FBE78F" w14:textId="77777777" w:rsidR="00ED063B" w:rsidRPr="00814E2F" w:rsidRDefault="00ED063B" w:rsidP="007F18AB">
            <w:pPr>
              <w:spacing w:after="0" w:line="240" w:lineRule="auto"/>
              <w:jc w:val="right"/>
              <w:rPr>
                <w:color w:val="000000"/>
                <w:sz w:val="19"/>
                <w:szCs w:val="19"/>
              </w:rPr>
            </w:pPr>
            <w:r w:rsidRPr="00814E2F">
              <w:rPr>
                <w:color w:val="000000"/>
                <w:sz w:val="19"/>
                <w:szCs w:val="19"/>
              </w:rPr>
              <w:t>20.2</w:t>
            </w:r>
          </w:p>
        </w:tc>
        <w:tc>
          <w:tcPr>
            <w:tcW w:w="900" w:type="dxa"/>
            <w:tcBorders>
              <w:top w:val="single" w:sz="12" w:space="0" w:color="auto"/>
              <w:left w:val="nil"/>
              <w:bottom w:val="single" w:sz="4" w:space="0" w:color="auto"/>
              <w:right w:val="single" w:sz="8" w:space="0" w:color="auto"/>
            </w:tcBorders>
            <w:shd w:val="clear" w:color="000000" w:fill="C6E0B4"/>
            <w:noWrap/>
            <w:tcMar>
              <w:left w:w="58" w:type="dxa"/>
              <w:right w:w="58" w:type="dxa"/>
            </w:tcMar>
            <w:vAlign w:val="bottom"/>
            <w:hideMark/>
          </w:tcPr>
          <w:p w14:paraId="08EF123C" w14:textId="77777777" w:rsidR="00ED063B" w:rsidRPr="00814E2F" w:rsidRDefault="00ED063B" w:rsidP="007F18AB">
            <w:pPr>
              <w:spacing w:after="0" w:line="240" w:lineRule="auto"/>
              <w:jc w:val="right"/>
              <w:rPr>
                <w:color w:val="000000"/>
                <w:sz w:val="19"/>
                <w:szCs w:val="19"/>
              </w:rPr>
            </w:pPr>
            <w:r w:rsidRPr="00814E2F">
              <w:rPr>
                <w:color w:val="000000"/>
                <w:sz w:val="19"/>
                <w:szCs w:val="19"/>
              </w:rPr>
              <w:t>20.2</w:t>
            </w:r>
          </w:p>
        </w:tc>
        <w:tc>
          <w:tcPr>
            <w:tcW w:w="998" w:type="dxa"/>
            <w:tcBorders>
              <w:top w:val="single" w:sz="12" w:space="0" w:color="auto"/>
              <w:left w:val="single" w:sz="8" w:space="0" w:color="auto"/>
              <w:bottom w:val="single" w:sz="4" w:space="0" w:color="auto"/>
              <w:right w:val="single" w:sz="8" w:space="0" w:color="auto"/>
            </w:tcBorders>
            <w:shd w:val="clear" w:color="000000" w:fill="C6E0B4"/>
            <w:tcMar>
              <w:left w:w="58" w:type="dxa"/>
              <w:right w:w="58" w:type="dxa"/>
            </w:tcMar>
            <w:vAlign w:val="bottom"/>
          </w:tcPr>
          <w:p w14:paraId="569B493F" w14:textId="77777777" w:rsidR="00ED063B" w:rsidRPr="00814E2F" w:rsidRDefault="00ED063B" w:rsidP="007F18AB">
            <w:pPr>
              <w:spacing w:after="0" w:line="240" w:lineRule="auto"/>
              <w:jc w:val="right"/>
              <w:rPr>
                <w:b/>
                <w:color w:val="000000"/>
                <w:sz w:val="19"/>
                <w:szCs w:val="19"/>
              </w:rPr>
            </w:pPr>
            <w:r w:rsidRPr="00814E2F">
              <w:rPr>
                <w:b/>
                <w:color w:val="000000"/>
                <w:sz w:val="19"/>
                <w:szCs w:val="19"/>
              </w:rPr>
              <w:t>3.0%</w:t>
            </w:r>
          </w:p>
        </w:tc>
        <w:tc>
          <w:tcPr>
            <w:tcW w:w="900" w:type="dxa"/>
            <w:tcBorders>
              <w:top w:val="single" w:sz="12" w:space="0" w:color="auto"/>
              <w:left w:val="single" w:sz="8" w:space="0" w:color="auto"/>
              <w:bottom w:val="single" w:sz="4" w:space="0" w:color="auto"/>
              <w:right w:val="single" w:sz="4" w:space="0" w:color="auto"/>
            </w:tcBorders>
            <w:shd w:val="clear" w:color="000000" w:fill="C6E0B4"/>
            <w:tcMar>
              <w:left w:w="58" w:type="dxa"/>
              <w:right w:w="58" w:type="dxa"/>
            </w:tcMar>
            <w:vAlign w:val="bottom"/>
          </w:tcPr>
          <w:p w14:paraId="1E55D5FC" w14:textId="77777777" w:rsidR="00ED063B" w:rsidRPr="00814E2F" w:rsidRDefault="00ED063B" w:rsidP="007F18AB">
            <w:pPr>
              <w:spacing w:after="0" w:line="240" w:lineRule="auto"/>
              <w:jc w:val="right"/>
              <w:rPr>
                <w:color w:val="000000"/>
                <w:sz w:val="19"/>
                <w:szCs w:val="19"/>
              </w:rPr>
            </w:pPr>
            <w:r w:rsidRPr="00814E2F">
              <w:rPr>
                <w:color w:val="000000"/>
                <w:sz w:val="19"/>
                <w:szCs w:val="19"/>
              </w:rPr>
              <w:t>19.9</w:t>
            </w:r>
          </w:p>
        </w:tc>
        <w:tc>
          <w:tcPr>
            <w:tcW w:w="810" w:type="dxa"/>
            <w:tcBorders>
              <w:top w:val="single" w:sz="12" w:space="0" w:color="auto"/>
              <w:left w:val="single" w:sz="4" w:space="0" w:color="auto"/>
              <w:bottom w:val="single" w:sz="4" w:space="0" w:color="auto"/>
              <w:right w:val="single" w:sz="4" w:space="0" w:color="auto"/>
            </w:tcBorders>
            <w:shd w:val="clear" w:color="000000" w:fill="C6E0B4"/>
            <w:tcMar>
              <w:left w:w="58" w:type="dxa"/>
              <w:right w:w="58" w:type="dxa"/>
            </w:tcMar>
            <w:vAlign w:val="bottom"/>
          </w:tcPr>
          <w:p w14:paraId="5DFEE97B" w14:textId="77777777" w:rsidR="00ED063B" w:rsidRPr="00814E2F" w:rsidRDefault="00ED063B" w:rsidP="007F18AB">
            <w:pPr>
              <w:spacing w:after="0" w:line="240" w:lineRule="auto"/>
              <w:jc w:val="right"/>
              <w:rPr>
                <w:color w:val="000000"/>
                <w:sz w:val="19"/>
                <w:szCs w:val="19"/>
              </w:rPr>
            </w:pPr>
            <w:r w:rsidRPr="00814E2F">
              <w:rPr>
                <w:color w:val="000000"/>
                <w:sz w:val="19"/>
                <w:szCs w:val="19"/>
              </w:rPr>
              <w:t>20.0</w:t>
            </w:r>
          </w:p>
        </w:tc>
        <w:tc>
          <w:tcPr>
            <w:tcW w:w="810" w:type="dxa"/>
            <w:tcBorders>
              <w:top w:val="single" w:sz="12" w:space="0" w:color="auto"/>
              <w:left w:val="single" w:sz="4" w:space="0" w:color="auto"/>
              <w:bottom w:val="single" w:sz="4" w:space="0" w:color="auto"/>
              <w:right w:val="single" w:sz="8" w:space="0" w:color="auto"/>
            </w:tcBorders>
            <w:shd w:val="clear" w:color="000000" w:fill="C6E0B4"/>
            <w:tcMar>
              <w:left w:w="58" w:type="dxa"/>
              <w:right w:w="58" w:type="dxa"/>
            </w:tcMar>
            <w:vAlign w:val="bottom"/>
          </w:tcPr>
          <w:p w14:paraId="174FF1B9" w14:textId="77777777" w:rsidR="00ED063B" w:rsidRPr="00814E2F" w:rsidRDefault="00ED063B" w:rsidP="007F18AB">
            <w:pPr>
              <w:spacing w:after="0" w:line="240" w:lineRule="auto"/>
              <w:jc w:val="right"/>
              <w:rPr>
                <w:color w:val="000000"/>
                <w:sz w:val="19"/>
                <w:szCs w:val="19"/>
              </w:rPr>
            </w:pPr>
            <w:r w:rsidRPr="00814E2F">
              <w:rPr>
                <w:color w:val="000000"/>
                <w:sz w:val="19"/>
                <w:szCs w:val="19"/>
              </w:rPr>
              <w:t>20.0</w:t>
            </w:r>
          </w:p>
        </w:tc>
        <w:tc>
          <w:tcPr>
            <w:tcW w:w="990" w:type="dxa"/>
            <w:tcBorders>
              <w:top w:val="single" w:sz="12" w:space="0" w:color="auto"/>
              <w:left w:val="single" w:sz="8" w:space="0" w:color="auto"/>
              <w:bottom w:val="single" w:sz="4" w:space="0" w:color="auto"/>
              <w:right w:val="double" w:sz="4" w:space="0" w:color="auto"/>
            </w:tcBorders>
            <w:shd w:val="clear" w:color="000000" w:fill="C6E0B4"/>
            <w:tcMar>
              <w:left w:w="58" w:type="dxa"/>
              <w:right w:w="58" w:type="dxa"/>
            </w:tcMar>
            <w:vAlign w:val="bottom"/>
          </w:tcPr>
          <w:p w14:paraId="70F8F81B" w14:textId="77777777" w:rsidR="00ED063B" w:rsidRPr="00814E2F" w:rsidRDefault="00ED063B" w:rsidP="007F18AB">
            <w:pPr>
              <w:spacing w:after="0" w:line="240" w:lineRule="auto"/>
              <w:jc w:val="right"/>
              <w:rPr>
                <w:b/>
                <w:color w:val="000000"/>
                <w:sz w:val="19"/>
                <w:szCs w:val="19"/>
              </w:rPr>
            </w:pPr>
            <w:r w:rsidRPr="00814E2F">
              <w:rPr>
                <w:b/>
                <w:color w:val="000000"/>
                <w:sz w:val="19"/>
                <w:szCs w:val="19"/>
              </w:rPr>
              <w:t>0.6%</w:t>
            </w:r>
          </w:p>
        </w:tc>
      </w:tr>
      <w:tr w:rsidR="00ED063B" w:rsidRPr="002C1485" w14:paraId="175ED944" w14:textId="77777777" w:rsidTr="00A24926">
        <w:trPr>
          <w:trHeight w:val="288"/>
          <w:jc w:val="center"/>
        </w:trPr>
        <w:tc>
          <w:tcPr>
            <w:tcW w:w="1245" w:type="dxa"/>
            <w:vMerge/>
            <w:tcBorders>
              <w:top w:val="nil"/>
              <w:left w:val="double" w:sz="4" w:space="0" w:color="auto"/>
              <w:bottom w:val="single" w:sz="4" w:space="0" w:color="000000"/>
              <w:right w:val="single" w:sz="4" w:space="0" w:color="auto"/>
            </w:tcBorders>
            <w:tcMar>
              <w:left w:w="58" w:type="dxa"/>
              <w:right w:w="58" w:type="dxa"/>
            </w:tcMar>
            <w:vAlign w:val="center"/>
            <w:hideMark/>
          </w:tcPr>
          <w:p w14:paraId="02711AA7" w14:textId="77777777" w:rsidR="00ED063B" w:rsidRPr="00814E2F" w:rsidRDefault="00ED063B" w:rsidP="007F18AB">
            <w:pPr>
              <w:spacing w:after="0" w:line="240" w:lineRule="auto"/>
              <w:rPr>
                <w:rFonts w:eastAsia="Times New Roman"/>
                <w:b/>
                <w:bCs/>
                <w:color w:val="000000"/>
                <w:sz w:val="19"/>
                <w:szCs w:val="19"/>
              </w:rPr>
            </w:pPr>
          </w:p>
        </w:tc>
        <w:tc>
          <w:tcPr>
            <w:tcW w:w="972" w:type="dxa"/>
            <w:tcBorders>
              <w:top w:val="nil"/>
              <w:left w:val="single" w:sz="12" w:space="0" w:color="auto"/>
              <w:bottom w:val="single" w:sz="4" w:space="0" w:color="auto"/>
              <w:right w:val="single" w:sz="12" w:space="0" w:color="auto"/>
            </w:tcBorders>
            <w:shd w:val="clear" w:color="000000" w:fill="C6E0B4"/>
            <w:tcMar>
              <w:left w:w="58" w:type="dxa"/>
              <w:right w:w="58" w:type="dxa"/>
            </w:tcMar>
            <w:vAlign w:val="center"/>
          </w:tcPr>
          <w:p w14:paraId="48181FA1" w14:textId="77777777" w:rsidR="00ED063B" w:rsidRPr="00814E2F" w:rsidRDefault="00ED063B" w:rsidP="007F18AB">
            <w:pPr>
              <w:spacing w:after="0" w:line="240" w:lineRule="auto"/>
              <w:jc w:val="center"/>
              <w:rPr>
                <w:rFonts w:eastAsia="Times New Roman"/>
                <w:color w:val="000000"/>
                <w:sz w:val="19"/>
                <w:szCs w:val="19"/>
              </w:rPr>
            </w:pPr>
            <w:r w:rsidRPr="00814E2F">
              <w:rPr>
                <w:rFonts w:eastAsia="Times New Roman"/>
                <w:color w:val="000000"/>
                <w:sz w:val="19"/>
                <w:szCs w:val="19"/>
              </w:rPr>
              <w:t>Work Office</w:t>
            </w:r>
          </w:p>
        </w:tc>
        <w:tc>
          <w:tcPr>
            <w:tcW w:w="843" w:type="dxa"/>
            <w:tcBorders>
              <w:top w:val="nil"/>
              <w:left w:val="single" w:sz="12" w:space="0" w:color="auto"/>
              <w:bottom w:val="single" w:sz="4" w:space="0" w:color="auto"/>
              <w:right w:val="single" w:sz="4" w:space="0" w:color="auto"/>
            </w:tcBorders>
            <w:shd w:val="clear" w:color="000000" w:fill="C6E0B4"/>
            <w:tcMar>
              <w:left w:w="58" w:type="dxa"/>
              <w:right w:w="58" w:type="dxa"/>
            </w:tcMar>
            <w:vAlign w:val="bottom"/>
          </w:tcPr>
          <w:p w14:paraId="60824EB6" w14:textId="77777777" w:rsidR="00ED063B" w:rsidRPr="00814E2F" w:rsidRDefault="00ED063B" w:rsidP="007F18AB">
            <w:pPr>
              <w:spacing w:after="0" w:line="240" w:lineRule="auto"/>
              <w:jc w:val="right"/>
              <w:rPr>
                <w:color w:val="000000"/>
                <w:sz w:val="19"/>
                <w:szCs w:val="19"/>
              </w:rPr>
            </w:pPr>
            <w:r w:rsidRPr="00814E2F">
              <w:rPr>
                <w:color w:val="000000"/>
                <w:sz w:val="19"/>
                <w:szCs w:val="19"/>
              </w:rPr>
              <w:t>1.6</w:t>
            </w:r>
          </w:p>
        </w:tc>
        <w:tc>
          <w:tcPr>
            <w:tcW w:w="844" w:type="dxa"/>
            <w:tcBorders>
              <w:top w:val="nil"/>
              <w:left w:val="single" w:sz="4" w:space="0" w:color="auto"/>
              <w:bottom w:val="single" w:sz="4" w:space="0" w:color="auto"/>
              <w:right w:val="single" w:sz="4" w:space="0" w:color="auto"/>
            </w:tcBorders>
            <w:shd w:val="clear" w:color="000000" w:fill="C6E0B4"/>
            <w:tcMar>
              <w:left w:w="58" w:type="dxa"/>
              <w:right w:w="58" w:type="dxa"/>
            </w:tcMar>
            <w:vAlign w:val="bottom"/>
          </w:tcPr>
          <w:p w14:paraId="02128A31" w14:textId="77777777" w:rsidR="00ED063B" w:rsidRPr="00814E2F" w:rsidRDefault="00ED063B" w:rsidP="007F18AB">
            <w:pPr>
              <w:spacing w:after="0" w:line="240" w:lineRule="auto"/>
              <w:jc w:val="right"/>
              <w:rPr>
                <w:color w:val="000000"/>
                <w:sz w:val="19"/>
                <w:szCs w:val="19"/>
              </w:rPr>
            </w:pPr>
            <w:r w:rsidRPr="00814E2F">
              <w:rPr>
                <w:color w:val="000000"/>
                <w:sz w:val="19"/>
                <w:szCs w:val="19"/>
              </w:rPr>
              <w:t>1.8</w:t>
            </w:r>
          </w:p>
        </w:tc>
        <w:tc>
          <w:tcPr>
            <w:tcW w:w="844" w:type="dxa"/>
            <w:tcBorders>
              <w:top w:val="nil"/>
              <w:left w:val="single" w:sz="4" w:space="0" w:color="auto"/>
              <w:bottom w:val="single" w:sz="4" w:space="0" w:color="auto"/>
              <w:right w:val="single" w:sz="8" w:space="0" w:color="auto"/>
            </w:tcBorders>
            <w:shd w:val="clear" w:color="000000" w:fill="C6E0B4"/>
            <w:tcMar>
              <w:left w:w="58" w:type="dxa"/>
              <w:right w:w="58" w:type="dxa"/>
            </w:tcMar>
            <w:vAlign w:val="bottom"/>
          </w:tcPr>
          <w:p w14:paraId="1C4C26C3" w14:textId="77777777" w:rsidR="00ED063B" w:rsidRPr="00814E2F" w:rsidRDefault="00ED063B" w:rsidP="007F18AB">
            <w:pPr>
              <w:spacing w:after="0" w:line="240" w:lineRule="auto"/>
              <w:jc w:val="right"/>
              <w:rPr>
                <w:color w:val="000000"/>
                <w:sz w:val="19"/>
                <w:szCs w:val="19"/>
              </w:rPr>
            </w:pPr>
            <w:r w:rsidRPr="00814E2F">
              <w:rPr>
                <w:color w:val="000000"/>
                <w:sz w:val="19"/>
                <w:szCs w:val="19"/>
              </w:rPr>
              <w:t>2.2</w:t>
            </w:r>
          </w:p>
        </w:tc>
        <w:tc>
          <w:tcPr>
            <w:tcW w:w="982" w:type="dxa"/>
            <w:tcBorders>
              <w:top w:val="nil"/>
              <w:left w:val="single" w:sz="8" w:space="0" w:color="auto"/>
              <w:bottom w:val="single" w:sz="4" w:space="0" w:color="auto"/>
              <w:right w:val="single" w:sz="8" w:space="0" w:color="auto"/>
            </w:tcBorders>
            <w:shd w:val="clear" w:color="000000" w:fill="C6E0B4"/>
            <w:tcMar>
              <w:left w:w="58" w:type="dxa"/>
              <w:right w:w="58" w:type="dxa"/>
            </w:tcMar>
            <w:vAlign w:val="bottom"/>
          </w:tcPr>
          <w:p w14:paraId="3077B9B8" w14:textId="77777777" w:rsidR="00ED063B" w:rsidRPr="00814E2F" w:rsidRDefault="00ED063B" w:rsidP="007F18AB">
            <w:pPr>
              <w:spacing w:after="0" w:line="240" w:lineRule="auto"/>
              <w:jc w:val="right"/>
              <w:rPr>
                <w:b/>
                <w:color w:val="FF0000"/>
                <w:sz w:val="19"/>
                <w:szCs w:val="19"/>
              </w:rPr>
            </w:pPr>
            <w:r w:rsidRPr="00814E2F">
              <w:rPr>
                <w:b/>
                <w:sz w:val="19"/>
                <w:szCs w:val="19"/>
              </w:rPr>
              <w:t>36.5%</w:t>
            </w:r>
          </w:p>
        </w:tc>
        <w:tc>
          <w:tcPr>
            <w:tcW w:w="892" w:type="dxa"/>
            <w:tcBorders>
              <w:top w:val="nil"/>
              <w:left w:val="single" w:sz="8" w:space="0" w:color="auto"/>
              <w:bottom w:val="single" w:sz="4" w:space="0" w:color="auto"/>
              <w:right w:val="single" w:sz="4" w:space="0" w:color="auto"/>
            </w:tcBorders>
            <w:shd w:val="clear" w:color="000000" w:fill="C6E0B4"/>
            <w:noWrap/>
            <w:tcMar>
              <w:left w:w="58" w:type="dxa"/>
              <w:right w:w="58" w:type="dxa"/>
            </w:tcMar>
            <w:vAlign w:val="bottom"/>
            <w:hideMark/>
          </w:tcPr>
          <w:p w14:paraId="7C1C9F22" w14:textId="77777777" w:rsidR="00ED063B" w:rsidRPr="00814E2F" w:rsidRDefault="00ED063B" w:rsidP="007F18AB">
            <w:pPr>
              <w:spacing w:after="0" w:line="240" w:lineRule="auto"/>
              <w:jc w:val="right"/>
              <w:rPr>
                <w:color w:val="000000"/>
                <w:sz w:val="19"/>
                <w:szCs w:val="19"/>
              </w:rPr>
            </w:pPr>
            <w:r w:rsidRPr="00814E2F">
              <w:rPr>
                <w:color w:val="000000"/>
                <w:sz w:val="19"/>
                <w:szCs w:val="19"/>
              </w:rPr>
              <w:t>2.1</w:t>
            </w:r>
          </w:p>
        </w:tc>
        <w:tc>
          <w:tcPr>
            <w:tcW w:w="900" w:type="dxa"/>
            <w:tcBorders>
              <w:top w:val="nil"/>
              <w:left w:val="nil"/>
              <w:bottom w:val="single" w:sz="4" w:space="0" w:color="auto"/>
              <w:right w:val="single" w:sz="4" w:space="0" w:color="auto"/>
            </w:tcBorders>
            <w:shd w:val="clear" w:color="000000" w:fill="C6E0B4"/>
            <w:noWrap/>
            <w:tcMar>
              <w:left w:w="58" w:type="dxa"/>
              <w:right w:w="58" w:type="dxa"/>
            </w:tcMar>
            <w:vAlign w:val="bottom"/>
            <w:hideMark/>
          </w:tcPr>
          <w:p w14:paraId="7111CCA4" w14:textId="77777777" w:rsidR="00ED063B" w:rsidRPr="00814E2F" w:rsidRDefault="00ED063B" w:rsidP="007F18AB">
            <w:pPr>
              <w:spacing w:after="0" w:line="240" w:lineRule="auto"/>
              <w:jc w:val="right"/>
              <w:rPr>
                <w:color w:val="000000"/>
                <w:sz w:val="19"/>
                <w:szCs w:val="19"/>
              </w:rPr>
            </w:pPr>
            <w:r w:rsidRPr="00814E2F">
              <w:rPr>
                <w:color w:val="000000"/>
                <w:sz w:val="19"/>
                <w:szCs w:val="19"/>
              </w:rPr>
              <w:t>1.5</w:t>
            </w:r>
          </w:p>
        </w:tc>
        <w:tc>
          <w:tcPr>
            <w:tcW w:w="900" w:type="dxa"/>
            <w:tcBorders>
              <w:top w:val="nil"/>
              <w:left w:val="nil"/>
              <w:bottom w:val="single" w:sz="4" w:space="0" w:color="auto"/>
              <w:right w:val="single" w:sz="8" w:space="0" w:color="auto"/>
            </w:tcBorders>
            <w:shd w:val="clear" w:color="000000" w:fill="C6E0B4"/>
            <w:noWrap/>
            <w:tcMar>
              <w:left w:w="58" w:type="dxa"/>
              <w:right w:w="58" w:type="dxa"/>
            </w:tcMar>
            <w:vAlign w:val="bottom"/>
            <w:hideMark/>
          </w:tcPr>
          <w:p w14:paraId="52E4A1FE" w14:textId="77777777" w:rsidR="00ED063B" w:rsidRPr="00814E2F" w:rsidRDefault="00ED063B" w:rsidP="007F18AB">
            <w:pPr>
              <w:spacing w:after="0" w:line="240" w:lineRule="auto"/>
              <w:jc w:val="right"/>
              <w:rPr>
                <w:color w:val="000000"/>
                <w:sz w:val="19"/>
                <w:szCs w:val="19"/>
              </w:rPr>
            </w:pPr>
            <w:r w:rsidRPr="00814E2F">
              <w:rPr>
                <w:color w:val="000000"/>
                <w:sz w:val="19"/>
                <w:szCs w:val="19"/>
              </w:rPr>
              <w:t>1.5</w:t>
            </w:r>
          </w:p>
        </w:tc>
        <w:tc>
          <w:tcPr>
            <w:tcW w:w="998" w:type="dxa"/>
            <w:tcBorders>
              <w:top w:val="nil"/>
              <w:left w:val="single" w:sz="8" w:space="0" w:color="auto"/>
              <w:bottom w:val="single" w:sz="4" w:space="0" w:color="auto"/>
              <w:right w:val="single" w:sz="8" w:space="0" w:color="auto"/>
            </w:tcBorders>
            <w:shd w:val="clear" w:color="000000" w:fill="C6E0B4"/>
            <w:tcMar>
              <w:left w:w="58" w:type="dxa"/>
              <w:right w:w="58" w:type="dxa"/>
            </w:tcMar>
            <w:vAlign w:val="bottom"/>
          </w:tcPr>
          <w:p w14:paraId="28277533" w14:textId="77777777" w:rsidR="00ED063B" w:rsidRPr="00814E2F" w:rsidRDefault="00ED063B" w:rsidP="007F18AB">
            <w:pPr>
              <w:spacing w:after="0" w:line="240" w:lineRule="auto"/>
              <w:jc w:val="right"/>
              <w:rPr>
                <w:b/>
                <w:color w:val="000000"/>
                <w:sz w:val="19"/>
                <w:szCs w:val="19"/>
              </w:rPr>
            </w:pPr>
            <w:r w:rsidRPr="00814E2F">
              <w:rPr>
                <w:b/>
                <w:color w:val="000000"/>
                <w:sz w:val="19"/>
                <w:szCs w:val="19"/>
              </w:rPr>
              <w:t>-27.9%</w:t>
            </w:r>
          </w:p>
        </w:tc>
        <w:tc>
          <w:tcPr>
            <w:tcW w:w="900" w:type="dxa"/>
            <w:tcBorders>
              <w:top w:val="nil"/>
              <w:left w:val="single" w:sz="8" w:space="0" w:color="auto"/>
              <w:bottom w:val="single" w:sz="4" w:space="0" w:color="auto"/>
              <w:right w:val="single" w:sz="4" w:space="0" w:color="auto"/>
            </w:tcBorders>
            <w:shd w:val="clear" w:color="000000" w:fill="C6E0B4"/>
            <w:tcMar>
              <w:left w:w="58" w:type="dxa"/>
              <w:right w:w="58" w:type="dxa"/>
            </w:tcMar>
            <w:vAlign w:val="bottom"/>
          </w:tcPr>
          <w:p w14:paraId="0CC7FCE6" w14:textId="77777777" w:rsidR="00ED063B" w:rsidRPr="00814E2F" w:rsidRDefault="00ED063B" w:rsidP="007F18AB">
            <w:pPr>
              <w:spacing w:after="0" w:line="240" w:lineRule="auto"/>
              <w:jc w:val="right"/>
              <w:rPr>
                <w:color w:val="000000"/>
                <w:sz w:val="19"/>
                <w:szCs w:val="19"/>
              </w:rPr>
            </w:pPr>
            <w:r w:rsidRPr="00814E2F">
              <w:rPr>
                <w:color w:val="000000"/>
                <w:sz w:val="19"/>
                <w:szCs w:val="19"/>
              </w:rPr>
              <w:t>1.8</w:t>
            </w:r>
          </w:p>
        </w:tc>
        <w:tc>
          <w:tcPr>
            <w:tcW w:w="810" w:type="dxa"/>
            <w:tcBorders>
              <w:top w:val="nil"/>
              <w:left w:val="single" w:sz="4" w:space="0" w:color="auto"/>
              <w:bottom w:val="single" w:sz="4" w:space="0" w:color="auto"/>
              <w:right w:val="single" w:sz="4" w:space="0" w:color="auto"/>
            </w:tcBorders>
            <w:shd w:val="clear" w:color="000000" w:fill="C6E0B4"/>
            <w:tcMar>
              <w:left w:w="58" w:type="dxa"/>
              <w:right w:w="58" w:type="dxa"/>
            </w:tcMar>
            <w:vAlign w:val="bottom"/>
          </w:tcPr>
          <w:p w14:paraId="6F3DAF16" w14:textId="77777777" w:rsidR="00ED063B" w:rsidRPr="00814E2F" w:rsidRDefault="00ED063B" w:rsidP="007F18AB">
            <w:pPr>
              <w:spacing w:after="0" w:line="240" w:lineRule="auto"/>
              <w:jc w:val="right"/>
              <w:rPr>
                <w:color w:val="000000"/>
                <w:sz w:val="19"/>
                <w:szCs w:val="19"/>
              </w:rPr>
            </w:pPr>
            <w:r w:rsidRPr="00814E2F">
              <w:rPr>
                <w:color w:val="000000"/>
                <w:sz w:val="19"/>
                <w:szCs w:val="19"/>
              </w:rPr>
              <w:t>1.9</w:t>
            </w:r>
          </w:p>
        </w:tc>
        <w:tc>
          <w:tcPr>
            <w:tcW w:w="810" w:type="dxa"/>
            <w:tcBorders>
              <w:top w:val="nil"/>
              <w:left w:val="single" w:sz="4" w:space="0" w:color="auto"/>
              <w:bottom w:val="single" w:sz="4" w:space="0" w:color="auto"/>
              <w:right w:val="single" w:sz="8" w:space="0" w:color="auto"/>
            </w:tcBorders>
            <w:shd w:val="clear" w:color="000000" w:fill="C6E0B4"/>
            <w:tcMar>
              <w:left w:w="58" w:type="dxa"/>
              <w:right w:w="58" w:type="dxa"/>
            </w:tcMar>
            <w:vAlign w:val="bottom"/>
          </w:tcPr>
          <w:p w14:paraId="2C72CD4A" w14:textId="77777777" w:rsidR="00ED063B" w:rsidRPr="00814E2F" w:rsidRDefault="00ED063B" w:rsidP="007F18AB">
            <w:pPr>
              <w:spacing w:after="0" w:line="240" w:lineRule="auto"/>
              <w:jc w:val="right"/>
              <w:rPr>
                <w:color w:val="000000"/>
                <w:sz w:val="19"/>
                <w:szCs w:val="19"/>
              </w:rPr>
            </w:pPr>
            <w:r w:rsidRPr="00814E2F">
              <w:rPr>
                <w:color w:val="000000"/>
                <w:sz w:val="19"/>
                <w:szCs w:val="19"/>
              </w:rPr>
              <w:t>1.9</w:t>
            </w:r>
          </w:p>
        </w:tc>
        <w:tc>
          <w:tcPr>
            <w:tcW w:w="990" w:type="dxa"/>
            <w:tcBorders>
              <w:top w:val="nil"/>
              <w:left w:val="single" w:sz="8" w:space="0" w:color="auto"/>
              <w:bottom w:val="single" w:sz="4" w:space="0" w:color="auto"/>
              <w:right w:val="double" w:sz="4" w:space="0" w:color="auto"/>
            </w:tcBorders>
            <w:shd w:val="clear" w:color="000000" w:fill="C6E0B4"/>
            <w:tcMar>
              <w:left w:w="58" w:type="dxa"/>
              <w:right w:w="58" w:type="dxa"/>
            </w:tcMar>
            <w:vAlign w:val="bottom"/>
          </w:tcPr>
          <w:p w14:paraId="4B3A51BF" w14:textId="77777777" w:rsidR="00ED063B" w:rsidRPr="00814E2F" w:rsidRDefault="00ED063B" w:rsidP="007F18AB">
            <w:pPr>
              <w:spacing w:after="0" w:line="240" w:lineRule="auto"/>
              <w:jc w:val="right"/>
              <w:rPr>
                <w:b/>
                <w:color w:val="000000"/>
                <w:sz w:val="19"/>
                <w:szCs w:val="19"/>
              </w:rPr>
            </w:pPr>
            <w:r w:rsidRPr="00814E2F">
              <w:rPr>
                <w:b/>
                <w:color w:val="000000"/>
                <w:sz w:val="19"/>
                <w:szCs w:val="19"/>
              </w:rPr>
              <w:t>0.9%</w:t>
            </w:r>
          </w:p>
        </w:tc>
      </w:tr>
      <w:tr w:rsidR="00ED063B" w:rsidRPr="002C1485" w14:paraId="3AB3D183" w14:textId="77777777" w:rsidTr="00A24926">
        <w:trPr>
          <w:trHeight w:val="288"/>
          <w:jc w:val="center"/>
        </w:trPr>
        <w:tc>
          <w:tcPr>
            <w:tcW w:w="1245" w:type="dxa"/>
            <w:vMerge/>
            <w:tcBorders>
              <w:top w:val="nil"/>
              <w:left w:val="double" w:sz="4" w:space="0" w:color="auto"/>
              <w:bottom w:val="double" w:sz="4" w:space="0" w:color="auto"/>
              <w:right w:val="single" w:sz="4" w:space="0" w:color="auto"/>
            </w:tcBorders>
            <w:tcMar>
              <w:left w:w="58" w:type="dxa"/>
              <w:right w:w="58" w:type="dxa"/>
            </w:tcMar>
            <w:vAlign w:val="center"/>
            <w:hideMark/>
          </w:tcPr>
          <w:p w14:paraId="2CC1C71E" w14:textId="77777777" w:rsidR="00ED063B" w:rsidRPr="00814E2F" w:rsidRDefault="00ED063B" w:rsidP="007F18AB">
            <w:pPr>
              <w:spacing w:after="0" w:line="240" w:lineRule="auto"/>
              <w:rPr>
                <w:rFonts w:eastAsia="Times New Roman"/>
                <w:b/>
                <w:bCs/>
                <w:color w:val="000000"/>
                <w:sz w:val="19"/>
                <w:szCs w:val="19"/>
              </w:rPr>
            </w:pPr>
          </w:p>
        </w:tc>
        <w:tc>
          <w:tcPr>
            <w:tcW w:w="972" w:type="dxa"/>
            <w:tcBorders>
              <w:top w:val="nil"/>
              <w:left w:val="single" w:sz="12" w:space="0" w:color="auto"/>
              <w:bottom w:val="double" w:sz="4" w:space="0" w:color="auto"/>
              <w:right w:val="single" w:sz="12" w:space="0" w:color="auto"/>
            </w:tcBorders>
            <w:shd w:val="clear" w:color="000000" w:fill="C6E0B4"/>
            <w:tcMar>
              <w:left w:w="58" w:type="dxa"/>
              <w:right w:w="58" w:type="dxa"/>
            </w:tcMar>
            <w:vAlign w:val="center"/>
          </w:tcPr>
          <w:p w14:paraId="21009355" w14:textId="77777777" w:rsidR="00ED063B" w:rsidRPr="00814E2F" w:rsidRDefault="00ED063B" w:rsidP="007F18AB">
            <w:pPr>
              <w:spacing w:after="0" w:line="240" w:lineRule="auto"/>
              <w:jc w:val="center"/>
              <w:rPr>
                <w:rFonts w:eastAsia="Times New Roman"/>
                <w:color w:val="000000"/>
                <w:sz w:val="19"/>
                <w:szCs w:val="19"/>
              </w:rPr>
            </w:pPr>
            <w:r w:rsidRPr="00814E2F">
              <w:rPr>
                <w:rFonts w:eastAsia="Times New Roman"/>
                <w:color w:val="000000"/>
                <w:sz w:val="19"/>
                <w:szCs w:val="19"/>
              </w:rPr>
              <w:t>Third WPL</w:t>
            </w:r>
          </w:p>
        </w:tc>
        <w:tc>
          <w:tcPr>
            <w:tcW w:w="843" w:type="dxa"/>
            <w:tcBorders>
              <w:top w:val="nil"/>
              <w:left w:val="single" w:sz="12" w:space="0" w:color="auto"/>
              <w:bottom w:val="double" w:sz="4" w:space="0" w:color="auto"/>
              <w:right w:val="single" w:sz="4" w:space="0" w:color="auto"/>
            </w:tcBorders>
            <w:shd w:val="clear" w:color="000000" w:fill="C6E0B4"/>
            <w:tcMar>
              <w:left w:w="58" w:type="dxa"/>
              <w:right w:w="58" w:type="dxa"/>
            </w:tcMar>
            <w:vAlign w:val="bottom"/>
          </w:tcPr>
          <w:p w14:paraId="2E20D7A8" w14:textId="77777777" w:rsidR="00ED063B" w:rsidRPr="00814E2F" w:rsidRDefault="00ED063B" w:rsidP="007F18AB">
            <w:pPr>
              <w:spacing w:after="0" w:line="240" w:lineRule="auto"/>
              <w:jc w:val="right"/>
              <w:rPr>
                <w:color w:val="000000"/>
                <w:sz w:val="19"/>
                <w:szCs w:val="19"/>
              </w:rPr>
            </w:pPr>
            <w:r w:rsidRPr="00814E2F">
              <w:rPr>
                <w:color w:val="000000"/>
                <w:sz w:val="19"/>
                <w:szCs w:val="19"/>
              </w:rPr>
              <w:t>0.2</w:t>
            </w:r>
          </w:p>
        </w:tc>
        <w:tc>
          <w:tcPr>
            <w:tcW w:w="844" w:type="dxa"/>
            <w:tcBorders>
              <w:top w:val="nil"/>
              <w:left w:val="single" w:sz="4" w:space="0" w:color="auto"/>
              <w:bottom w:val="double" w:sz="4" w:space="0" w:color="auto"/>
              <w:right w:val="single" w:sz="4" w:space="0" w:color="auto"/>
            </w:tcBorders>
            <w:shd w:val="clear" w:color="000000" w:fill="C6E0B4"/>
            <w:tcMar>
              <w:left w:w="58" w:type="dxa"/>
              <w:right w:w="58" w:type="dxa"/>
            </w:tcMar>
            <w:vAlign w:val="bottom"/>
          </w:tcPr>
          <w:p w14:paraId="3CFE0F37" w14:textId="77777777" w:rsidR="00ED063B" w:rsidRPr="00814E2F" w:rsidRDefault="00ED063B" w:rsidP="007F18AB">
            <w:pPr>
              <w:spacing w:after="0" w:line="240" w:lineRule="auto"/>
              <w:jc w:val="right"/>
              <w:rPr>
                <w:color w:val="000000"/>
                <w:sz w:val="19"/>
                <w:szCs w:val="19"/>
              </w:rPr>
            </w:pPr>
            <w:r w:rsidRPr="00814E2F">
              <w:rPr>
                <w:color w:val="000000"/>
                <w:sz w:val="19"/>
                <w:szCs w:val="19"/>
              </w:rPr>
              <w:t>0.2</w:t>
            </w:r>
          </w:p>
        </w:tc>
        <w:tc>
          <w:tcPr>
            <w:tcW w:w="844" w:type="dxa"/>
            <w:tcBorders>
              <w:top w:val="nil"/>
              <w:left w:val="single" w:sz="4" w:space="0" w:color="auto"/>
              <w:bottom w:val="double" w:sz="4" w:space="0" w:color="auto"/>
              <w:right w:val="single" w:sz="8" w:space="0" w:color="auto"/>
            </w:tcBorders>
            <w:shd w:val="clear" w:color="000000" w:fill="C6E0B4"/>
            <w:tcMar>
              <w:left w:w="58" w:type="dxa"/>
              <w:right w:w="58" w:type="dxa"/>
            </w:tcMar>
            <w:vAlign w:val="bottom"/>
          </w:tcPr>
          <w:p w14:paraId="799A79E2" w14:textId="77777777" w:rsidR="00ED063B" w:rsidRPr="00814E2F" w:rsidRDefault="00ED063B" w:rsidP="007F18AB">
            <w:pPr>
              <w:spacing w:after="0" w:line="240" w:lineRule="auto"/>
              <w:jc w:val="right"/>
              <w:rPr>
                <w:color w:val="000000"/>
                <w:sz w:val="19"/>
                <w:szCs w:val="19"/>
              </w:rPr>
            </w:pPr>
            <w:r w:rsidRPr="00814E2F">
              <w:rPr>
                <w:color w:val="000000"/>
                <w:sz w:val="19"/>
                <w:szCs w:val="19"/>
              </w:rPr>
              <w:t>0.2</w:t>
            </w:r>
          </w:p>
        </w:tc>
        <w:tc>
          <w:tcPr>
            <w:tcW w:w="982" w:type="dxa"/>
            <w:tcBorders>
              <w:top w:val="nil"/>
              <w:left w:val="single" w:sz="8" w:space="0" w:color="auto"/>
              <w:bottom w:val="double" w:sz="4" w:space="0" w:color="auto"/>
              <w:right w:val="single" w:sz="8" w:space="0" w:color="auto"/>
            </w:tcBorders>
            <w:shd w:val="clear" w:color="000000" w:fill="C6E0B4"/>
            <w:tcMar>
              <w:left w:w="58" w:type="dxa"/>
              <w:right w:w="58" w:type="dxa"/>
            </w:tcMar>
            <w:vAlign w:val="bottom"/>
          </w:tcPr>
          <w:p w14:paraId="3642C931" w14:textId="77777777" w:rsidR="00ED063B" w:rsidRPr="00814E2F" w:rsidRDefault="00ED063B" w:rsidP="007F18AB">
            <w:pPr>
              <w:spacing w:after="0" w:line="240" w:lineRule="auto"/>
              <w:jc w:val="right"/>
              <w:rPr>
                <w:b/>
                <w:color w:val="FF0000"/>
                <w:sz w:val="19"/>
                <w:szCs w:val="19"/>
              </w:rPr>
            </w:pPr>
            <w:r w:rsidRPr="00814E2F">
              <w:rPr>
                <w:b/>
                <w:sz w:val="19"/>
                <w:szCs w:val="19"/>
              </w:rPr>
              <w:t>40.7%</w:t>
            </w:r>
          </w:p>
        </w:tc>
        <w:tc>
          <w:tcPr>
            <w:tcW w:w="892" w:type="dxa"/>
            <w:tcBorders>
              <w:top w:val="nil"/>
              <w:left w:val="single" w:sz="8" w:space="0" w:color="auto"/>
              <w:bottom w:val="double" w:sz="4" w:space="0" w:color="auto"/>
              <w:right w:val="single" w:sz="4" w:space="0" w:color="auto"/>
            </w:tcBorders>
            <w:shd w:val="clear" w:color="000000" w:fill="C6E0B4"/>
            <w:noWrap/>
            <w:tcMar>
              <w:left w:w="58" w:type="dxa"/>
              <w:right w:w="58" w:type="dxa"/>
            </w:tcMar>
            <w:vAlign w:val="bottom"/>
            <w:hideMark/>
          </w:tcPr>
          <w:p w14:paraId="3B2D1A78" w14:textId="77777777" w:rsidR="00ED063B" w:rsidRPr="00814E2F" w:rsidRDefault="00ED063B" w:rsidP="007F18AB">
            <w:pPr>
              <w:spacing w:after="0" w:line="240" w:lineRule="auto"/>
              <w:jc w:val="right"/>
              <w:rPr>
                <w:color w:val="000000"/>
                <w:sz w:val="19"/>
                <w:szCs w:val="19"/>
              </w:rPr>
            </w:pPr>
            <w:r w:rsidRPr="00814E2F">
              <w:rPr>
                <w:color w:val="000000"/>
                <w:sz w:val="19"/>
                <w:szCs w:val="19"/>
              </w:rPr>
              <w:t>0.2</w:t>
            </w:r>
          </w:p>
        </w:tc>
        <w:tc>
          <w:tcPr>
            <w:tcW w:w="900" w:type="dxa"/>
            <w:tcBorders>
              <w:top w:val="nil"/>
              <w:left w:val="nil"/>
              <w:bottom w:val="double" w:sz="4" w:space="0" w:color="auto"/>
              <w:right w:val="single" w:sz="4" w:space="0" w:color="auto"/>
            </w:tcBorders>
            <w:shd w:val="clear" w:color="000000" w:fill="C6E0B4"/>
            <w:noWrap/>
            <w:tcMar>
              <w:left w:w="58" w:type="dxa"/>
              <w:right w:w="58" w:type="dxa"/>
            </w:tcMar>
            <w:vAlign w:val="bottom"/>
            <w:hideMark/>
          </w:tcPr>
          <w:p w14:paraId="4C5D33E0" w14:textId="77777777" w:rsidR="00ED063B" w:rsidRPr="00814E2F" w:rsidRDefault="00ED063B" w:rsidP="007F18AB">
            <w:pPr>
              <w:spacing w:after="0" w:line="240" w:lineRule="auto"/>
              <w:jc w:val="right"/>
              <w:rPr>
                <w:color w:val="000000"/>
                <w:sz w:val="19"/>
                <w:szCs w:val="19"/>
              </w:rPr>
            </w:pPr>
            <w:r w:rsidRPr="00814E2F">
              <w:rPr>
                <w:color w:val="000000"/>
                <w:sz w:val="19"/>
                <w:szCs w:val="19"/>
              </w:rPr>
              <w:t>0.2</w:t>
            </w:r>
          </w:p>
        </w:tc>
        <w:tc>
          <w:tcPr>
            <w:tcW w:w="900" w:type="dxa"/>
            <w:tcBorders>
              <w:top w:val="nil"/>
              <w:left w:val="nil"/>
              <w:bottom w:val="double" w:sz="4" w:space="0" w:color="auto"/>
              <w:right w:val="single" w:sz="8" w:space="0" w:color="auto"/>
            </w:tcBorders>
            <w:shd w:val="clear" w:color="000000" w:fill="C6E0B4"/>
            <w:noWrap/>
            <w:tcMar>
              <w:left w:w="58" w:type="dxa"/>
              <w:right w:w="58" w:type="dxa"/>
            </w:tcMar>
            <w:vAlign w:val="bottom"/>
            <w:hideMark/>
          </w:tcPr>
          <w:p w14:paraId="2E9C00C0" w14:textId="77777777" w:rsidR="00ED063B" w:rsidRPr="00814E2F" w:rsidRDefault="00ED063B" w:rsidP="007F18AB">
            <w:pPr>
              <w:spacing w:after="0" w:line="240" w:lineRule="auto"/>
              <w:jc w:val="right"/>
              <w:rPr>
                <w:color w:val="000000"/>
                <w:sz w:val="19"/>
                <w:szCs w:val="19"/>
              </w:rPr>
            </w:pPr>
            <w:r w:rsidRPr="00814E2F">
              <w:rPr>
                <w:color w:val="000000"/>
                <w:sz w:val="19"/>
                <w:szCs w:val="19"/>
              </w:rPr>
              <w:t>0.2</w:t>
            </w:r>
          </w:p>
        </w:tc>
        <w:tc>
          <w:tcPr>
            <w:tcW w:w="998" w:type="dxa"/>
            <w:tcBorders>
              <w:top w:val="nil"/>
              <w:left w:val="single" w:sz="8" w:space="0" w:color="auto"/>
              <w:bottom w:val="double" w:sz="4" w:space="0" w:color="auto"/>
              <w:right w:val="single" w:sz="8" w:space="0" w:color="auto"/>
            </w:tcBorders>
            <w:shd w:val="clear" w:color="000000" w:fill="C6E0B4"/>
            <w:tcMar>
              <w:left w:w="58" w:type="dxa"/>
              <w:right w:w="58" w:type="dxa"/>
            </w:tcMar>
            <w:vAlign w:val="bottom"/>
          </w:tcPr>
          <w:p w14:paraId="31D5A090" w14:textId="77777777" w:rsidR="00ED063B" w:rsidRPr="00814E2F" w:rsidRDefault="00ED063B" w:rsidP="007F18AB">
            <w:pPr>
              <w:spacing w:after="0" w:line="240" w:lineRule="auto"/>
              <w:jc w:val="right"/>
              <w:rPr>
                <w:b/>
                <w:color w:val="000000"/>
                <w:sz w:val="19"/>
                <w:szCs w:val="19"/>
              </w:rPr>
            </w:pPr>
            <w:r w:rsidRPr="00814E2F">
              <w:rPr>
                <w:b/>
                <w:color w:val="000000"/>
                <w:sz w:val="19"/>
                <w:szCs w:val="19"/>
              </w:rPr>
              <w:t>4.9%</w:t>
            </w:r>
          </w:p>
        </w:tc>
        <w:tc>
          <w:tcPr>
            <w:tcW w:w="900" w:type="dxa"/>
            <w:tcBorders>
              <w:top w:val="nil"/>
              <w:left w:val="single" w:sz="8" w:space="0" w:color="auto"/>
              <w:bottom w:val="double" w:sz="4" w:space="0" w:color="auto"/>
              <w:right w:val="single" w:sz="4" w:space="0" w:color="auto"/>
            </w:tcBorders>
            <w:shd w:val="clear" w:color="000000" w:fill="C6E0B4"/>
            <w:tcMar>
              <w:left w:w="58" w:type="dxa"/>
              <w:right w:w="58" w:type="dxa"/>
            </w:tcMar>
            <w:vAlign w:val="bottom"/>
          </w:tcPr>
          <w:p w14:paraId="6B7D93D8" w14:textId="77777777" w:rsidR="00ED063B" w:rsidRPr="00814E2F" w:rsidRDefault="00ED063B" w:rsidP="007F18AB">
            <w:pPr>
              <w:spacing w:after="0" w:line="240" w:lineRule="auto"/>
              <w:jc w:val="right"/>
              <w:rPr>
                <w:color w:val="000000"/>
                <w:sz w:val="19"/>
                <w:szCs w:val="19"/>
              </w:rPr>
            </w:pPr>
            <w:r w:rsidRPr="00814E2F">
              <w:rPr>
                <w:color w:val="000000"/>
                <w:sz w:val="19"/>
                <w:szCs w:val="19"/>
              </w:rPr>
              <w:t>0.3</w:t>
            </w:r>
          </w:p>
        </w:tc>
        <w:tc>
          <w:tcPr>
            <w:tcW w:w="810" w:type="dxa"/>
            <w:tcBorders>
              <w:top w:val="nil"/>
              <w:left w:val="single" w:sz="4" w:space="0" w:color="auto"/>
              <w:bottom w:val="double" w:sz="4" w:space="0" w:color="auto"/>
              <w:right w:val="single" w:sz="4" w:space="0" w:color="auto"/>
            </w:tcBorders>
            <w:shd w:val="clear" w:color="000000" w:fill="C6E0B4"/>
            <w:tcMar>
              <w:left w:w="58" w:type="dxa"/>
              <w:right w:w="58" w:type="dxa"/>
            </w:tcMar>
            <w:vAlign w:val="bottom"/>
          </w:tcPr>
          <w:p w14:paraId="4B9DB603" w14:textId="77777777" w:rsidR="00ED063B" w:rsidRPr="00814E2F" w:rsidRDefault="00ED063B" w:rsidP="007F18AB">
            <w:pPr>
              <w:spacing w:after="0" w:line="240" w:lineRule="auto"/>
              <w:jc w:val="right"/>
              <w:rPr>
                <w:color w:val="000000"/>
                <w:sz w:val="19"/>
                <w:szCs w:val="19"/>
              </w:rPr>
            </w:pPr>
            <w:r w:rsidRPr="00814E2F">
              <w:rPr>
                <w:color w:val="000000"/>
                <w:sz w:val="19"/>
                <w:szCs w:val="19"/>
              </w:rPr>
              <w:t>0.2</w:t>
            </w:r>
          </w:p>
        </w:tc>
        <w:tc>
          <w:tcPr>
            <w:tcW w:w="810" w:type="dxa"/>
            <w:tcBorders>
              <w:top w:val="nil"/>
              <w:left w:val="single" w:sz="4" w:space="0" w:color="auto"/>
              <w:bottom w:val="double" w:sz="4" w:space="0" w:color="auto"/>
              <w:right w:val="single" w:sz="8" w:space="0" w:color="auto"/>
            </w:tcBorders>
            <w:shd w:val="clear" w:color="000000" w:fill="C6E0B4"/>
            <w:tcMar>
              <w:left w:w="58" w:type="dxa"/>
              <w:right w:w="58" w:type="dxa"/>
            </w:tcMar>
            <w:vAlign w:val="bottom"/>
          </w:tcPr>
          <w:p w14:paraId="7C5C6455" w14:textId="77777777" w:rsidR="00ED063B" w:rsidRPr="00814E2F" w:rsidRDefault="00ED063B" w:rsidP="007F18AB">
            <w:pPr>
              <w:spacing w:after="0" w:line="240" w:lineRule="auto"/>
              <w:jc w:val="right"/>
              <w:rPr>
                <w:color w:val="000000"/>
                <w:sz w:val="19"/>
                <w:szCs w:val="19"/>
              </w:rPr>
            </w:pPr>
            <w:r w:rsidRPr="00814E2F">
              <w:rPr>
                <w:color w:val="000000"/>
                <w:sz w:val="19"/>
                <w:szCs w:val="19"/>
              </w:rPr>
              <w:t>0.1</w:t>
            </w:r>
          </w:p>
        </w:tc>
        <w:tc>
          <w:tcPr>
            <w:tcW w:w="990" w:type="dxa"/>
            <w:tcBorders>
              <w:top w:val="nil"/>
              <w:left w:val="single" w:sz="8" w:space="0" w:color="auto"/>
              <w:bottom w:val="double" w:sz="4" w:space="0" w:color="auto"/>
              <w:right w:val="double" w:sz="4" w:space="0" w:color="auto"/>
            </w:tcBorders>
            <w:shd w:val="clear" w:color="000000" w:fill="C6E0B4"/>
            <w:tcMar>
              <w:left w:w="58" w:type="dxa"/>
              <w:right w:w="58" w:type="dxa"/>
            </w:tcMar>
            <w:vAlign w:val="bottom"/>
          </w:tcPr>
          <w:p w14:paraId="7F820983" w14:textId="77777777" w:rsidR="00ED063B" w:rsidRPr="00814E2F" w:rsidRDefault="00ED063B" w:rsidP="007F18AB">
            <w:pPr>
              <w:spacing w:after="0" w:line="240" w:lineRule="auto"/>
              <w:jc w:val="right"/>
              <w:rPr>
                <w:b/>
                <w:color w:val="000000"/>
                <w:sz w:val="19"/>
                <w:szCs w:val="19"/>
              </w:rPr>
            </w:pPr>
            <w:r w:rsidRPr="00814E2F">
              <w:rPr>
                <w:b/>
                <w:color w:val="000000"/>
                <w:sz w:val="19"/>
                <w:szCs w:val="19"/>
              </w:rPr>
              <w:t>-52.3%</w:t>
            </w:r>
          </w:p>
        </w:tc>
      </w:tr>
    </w:tbl>
    <w:p w14:paraId="2177F6E6" w14:textId="62F7F81C" w:rsidR="007F18AB" w:rsidRDefault="007F18AB" w:rsidP="007F18AB">
      <w:pPr>
        <w:spacing w:after="0" w:line="240" w:lineRule="auto"/>
        <w:jc w:val="left"/>
      </w:pPr>
    </w:p>
    <w:p w14:paraId="5DF63A30" w14:textId="4A23327B" w:rsidR="007F18AB" w:rsidRDefault="007F18AB" w:rsidP="007F18AB">
      <w:pPr>
        <w:spacing w:after="0" w:line="240" w:lineRule="auto"/>
        <w:jc w:val="left"/>
      </w:pPr>
      <w:r>
        <w:rPr>
          <w:b/>
        </w:rPr>
        <w:t>Table 7: Occupation ATEs</w:t>
      </w:r>
    </w:p>
    <w:tbl>
      <w:tblPr>
        <w:tblW w:w="12960" w:type="dxa"/>
        <w:tblInd w:w="-15" w:type="dxa"/>
        <w:tblLayout w:type="fixed"/>
        <w:tblLook w:val="04A0" w:firstRow="1" w:lastRow="0" w:firstColumn="1" w:lastColumn="0" w:noHBand="0" w:noVBand="1"/>
      </w:tblPr>
      <w:tblGrid>
        <w:gridCol w:w="1980"/>
        <w:gridCol w:w="1530"/>
        <w:gridCol w:w="1530"/>
        <w:gridCol w:w="1530"/>
        <w:gridCol w:w="1530"/>
        <w:gridCol w:w="1530"/>
        <w:gridCol w:w="1530"/>
        <w:gridCol w:w="1800"/>
      </w:tblGrid>
      <w:tr w:rsidR="007F18AB" w:rsidRPr="00814E2F" w14:paraId="620D286D" w14:textId="77777777" w:rsidTr="007F18AB">
        <w:trPr>
          <w:trHeight w:val="20"/>
        </w:trPr>
        <w:tc>
          <w:tcPr>
            <w:tcW w:w="1980" w:type="dxa"/>
            <w:vMerge w:val="restart"/>
            <w:tcBorders>
              <w:top w:val="double" w:sz="4" w:space="0" w:color="auto"/>
              <w:left w:val="double" w:sz="4" w:space="0" w:color="auto"/>
              <w:right w:val="single" w:sz="4" w:space="0" w:color="auto"/>
            </w:tcBorders>
            <w:shd w:val="clear" w:color="auto" w:fill="auto"/>
            <w:noWrap/>
            <w:vAlign w:val="bottom"/>
          </w:tcPr>
          <w:p w14:paraId="6C4127FB" w14:textId="77777777" w:rsidR="007F18AB" w:rsidRPr="00814E2F" w:rsidRDefault="007F18AB" w:rsidP="007F18AB">
            <w:pPr>
              <w:spacing w:after="0" w:line="240" w:lineRule="auto"/>
              <w:jc w:val="center"/>
              <w:rPr>
                <w:rFonts w:eastAsia="Times New Roman"/>
                <w:b/>
                <w:color w:val="000000"/>
                <w:sz w:val="19"/>
                <w:szCs w:val="19"/>
              </w:rPr>
            </w:pPr>
            <w:r w:rsidRPr="00814E2F">
              <w:rPr>
                <w:rFonts w:eastAsia="Times New Roman"/>
                <w:b/>
                <w:color w:val="000000"/>
                <w:sz w:val="19"/>
                <w:szCs w:val="19"/>
              </w:rPr>
              <w:t>Gendered Lifecycle</w:t>
            </w:r>
          </w:p>
        </w:tc>
        <w:tc>
          <w:tcPr>
            <w:tcW w:w="1530" w:type="dxa"/>
            <w:vMerge w:val="restart"/>
            <w:tcBorders>
              <w:top w:val="double" w:sz="4" w:space="0" w:color="auto"/>
              <w:left w:val="single" w:sz="12" w:space="0" w:color="auto"/>
              <w:right w:val="single" w:sz="12" w:space="0" w:color="auto"/>
            </w:tcBorders>
          </w:tcPr>
          <w:p w14:paraId="1AA7BAAD" w14:textId="77777777" w:rsidR="007F18AB" w:rsidRPr="00814E2F" w:rsidRDefault="007F18AB" w:rsidP="007F18AB">
            <w:pPr>
              <w:spacing w:after="0" w:line="240" w:lineRule="auto"/>
              <w:rPr>
                <w:rFonts w:eastAsia="Times New Roman"/>
                <w:b/>
                <w:sz w:val="19"/>
                <w:szCs w:val="19"/>
              </w:rPr>
            </w:pPr>
          </w:p>
        </w:tc>
        <w:tc>
          <w:tcPr>
            <w:tcW w:w="9450" w:type="dxa"/>
            <w:gridSpan w:val="6"/>
            <w:tcBorders>
              <w:top w:val="double" w:sz="4" w:space="0" w:color="auto"/>
              <w:left w:val="single" w:sz="12" w:space="0" w:color="auto"/>
              <w:bottom w:val="single" w:sz="4" w:space="0" w:color="auto"/>
              <w:right w:val="double" w:sz="4" w:space="0" w:color="auto"/>
            </w:tcBorders>
            <w:vAlign w:val="bottom"/>
          </w:tcPr>
          <w:p w14:paraId="2FB1474E" w14:textId="77777777" w:rsidR="007F18AB" w:rsidRPr="00814E2F" w:rsidRDefault="007F18AB" w:rsidP="007F18AB">
            <w:pPr>
              <w:spacing w:after="0" w:line="240" w:lineRule="auto"/>
              <w:jc w:val="center"/>
              <w:rPr>
                <w:rFonts w:eastAsia="Times New Roman"/>
                <w:b/>
                <w:color w:val="000000"/>
                <w:sz w:val="19"/>
                <w:szCs w:val="19"/>
              </w:rPr>
            </w:pPr>
            <w:r w:rsidRPr="00814E2F">
              <w:rPr>
                <w:rFonts w:eastAsia="Times New Roman"/>
                <w:b/>
                <w:color w:val="000000"/>
                <w:sz w:val="19"/>
                <w:szCs w:val="19"/>
              </w:rPr>
              <w:t xml:space="preserve">Attribute Levels </w:t>
            </w:r>
          </w:p>
          <w:p w14:paraId="3F09479D" w14:textId="77777777" w:rsidR="007F18AB" w:rsidRPr="00814E2F" w:rsidRDefault="007F18AB" w:rsidP="007F18AB">
            <w:pPr>
              <w:spacing w:after="0" w:line="240" w:lineRule="auto"/>
              <w:jc w:val="center"/>
              <w:rPr>
                <w:b/>
                <w:color w:val="000000"/>
                <w:sz w:val="19"/>
                <w:szCs w:val="19"/>
              </w:rPr>
            </w:pPr>
            <w:r w:rsidRPr="00814E2F">
              <w:rPr>
                <w:rFonts w:eastAsia="Times New Roman"/>
                <w:color w:val="000000"/>
                <w:sz w:val="19"/>
                <w:szCs w:val="19"/>
              </w:rPr>
              <w:t>Alternative split (days)</w:t>
            </w:r>
          </w:p>
        </w:tc>
      </w:tr>
      <w:tr w:rsidR="007F18AB" w:rsidRPr="00814E2F" w14:paraId="34D58D9A" w14:textId="77777777" w:rsidTr="007F18AB">
        <w:trPr>
          <w:trHeight w:val="20"/>
        </w:trPr>
        <w:tc>
          <w:tcPr>
            <w:tcW w:w="1980" w:type="dxa"/>
            <w:vMerge/>
            <w:tcBorders>
              <w:left w:val="double" w:sz="4" w:space="0" w:color="auto"/>
              <w:right w:val="single" w:sz="4" w:space="0" w:color="auto"/>
            </w:tcBorders>
            <w:shd w:val="clear" w:color="auto" w:fill="auto"/>
            <w:noWrap/>
            <w:vAlign w:val="bottom"/>
            <w:hideMark/>
          </w:tcPr>
          <w:p w14:paraId="2DD4C7FF" w14:textId="77777777" w:rsidR="007F18AB" w:rsidRPr="00814E2F" w:rsidRDefault="007F18AB" w:rsidP="007F18AB">
            <w:pPr>
              <w:spacing w:after="0" w:line="240" w:lineRule="auto"/>
              <w:jc w:val="center"/>
              <w:rPr>
                <w:rFonts w:eastAsia="Times New Roman"/>
                <w:b/>
                <w:color w:val="000000"/>
                <w:sz w:val="19"/>
                <w:szCs w:val="19"/>
              </w:rPr>
            </w:pPr>
          </w:p>
        </w:tc>
        <w:tc>
          <w:tcPr>
            <w:tcW w:w="1530" w:type="dxa"/>
            <w:vMerge/>
            <w:tcBorders>
              <w:left w:val="single" w:sz="12" w:space="0" w:color="auto"/>
              <w:bottom w:val="nil"/>
              <w:right w:val="single" w:sz="12" w:space="0" w:color="auto"/>
            </w:tcBorders>
          </w:tcPr>
          <w:p w14:paraId="570958C7" w14:textId="77777777" w:rsidR="007F18AB" w:rsidRPr="00814E2F" w:rsidRDefault="007F18AB" w:rsidP="007F18AB">
            <w:pPr>
              <w:spacing w:after="0" w:line="240" w:lineRule="auto"/>
              <w:rPr>
                <w:rFonts w:eastAsia="Times New Roman"/>
                <w:b/>
                <w:sz w:val="19"/>
                <w:szCs w:val="19"/>
              </w:rPr>
            </w:pPr>
          </w:p>
        </w:tc>
        <w:tc>
          <w:tcPr>
            <w:tcW w:w="9450" w:type="dxa"/>
            <w:gridSpan w:val="6"/>
            <w:tcBorders>
              <w:top w:val="double" w:sz="4" w:space="0" w:color="auto"/>
              <w:left w:val="single" w:sz="12" w:space="0" w:color="auto"/>
              <w:bottom w:val="single" w:sz="4" w:space="0" w:color="auto"/>
              <w:right w:val="double" w:sz="4" w:space="0" w:color="auto"/>
            </w:tcBorders>
            <w:vAlign w:val="bottom"/>
          </w:tcPr>
          <w:p w14:paraId="1C9FADA6" w14:textId="77777777" w:rsidR="007F18AB" w:rsidRPr="00814E2F" w:rsidRDefault="007F18AB" w:rsidP="007F18AB">
            <w:pPr>
              <w:spacing w:after="0" w:line="240" w:lineRule="auto"/>
              <w:jc w:val="center"/>
              <w:rPr>
                <w:rFonts w:eastAsia="Times New Roman"/>
                <w:b/>
                <w:color w:val="000000"/>
                <w:sz w:val="19"/>
                <w:szCs w:val="19"/>
              </w:rPr>
            </w:pPr>
            <w:r w:rsidRPr="00814E2F">
              <w:rPr>
                <w:rFonts w:eastAsia="Times New Roman"/>
                <w:b/>
                <w:sz w:val="19"/>
                <w:szCs w:val="19"/>
              </w:rPr>
              <w:t>Occupation</w:t>
            </w:r>
          </w:p>
        </w:tc>
      </w:tr>
      <w:tr w:rsidR="00A24926" w:rsidRPr="00814E2F" w14:paraId="17380D00" w14:textId="77777777" w:rsidTr="00A24926">
        <w:trPr>
          <w:trHeight w:val="20"/>
        </w:trPr>
        <w:tc>
          <w:tcPr>
            <w:tcW w:w="1980" w:type="dxa"/>
            <w:vMerge/>
            <w:tcBorders>
              <w:left w:val="double" w:sz="4" w:space="0" w:color="auto"/>
              <w:bottom w:val="single" w:sz="12" w:space="0" w:color="auto"/>
              <w:right w:val="single" w:sz="4" w:space="0" w:color="auto"/>
            </w:tcBorders>
            <w:shd w:val="clear" w:color="auto" w:fill="auto"/>
            <w:noWrap/>
            <w:vAlign w:val="bottom"/>
            <w:hideMark/>
          </w:tcPr>
          <w:p w14:paraId="7FA60DAE" w14:textId="77777777" w:rsidR="007F18AB" w:rsidRPr="00814E2F" w:rsidRDefault="007F18AB" w:rsidP="007F18AB">
            <w:pPr>
              <w:spacing w:after="0" w:line="240" w:lineRule="auto"/>
              <w:jc w:val="center"/>
              <w:rPr>
                <w:rFonts w:eastAsia="Times New Roman"/>
                <w:b/>
                <w:color w:val="000000"/>
                <w:sz w:val="19"/>
                <w:szCs w:val="19"/>
              </w:rPr>
            </w:pPr>
          </w:p>
        </w:tc>
        <w:tc>
          <w:tcPr>
            <w:tcW w:w="1530" w:type="dxa"/>
            <w:tcBorders>
              <w:top w:val="nil"/>
              <w:left w:val="single" w:sz="12" w:space="0" w:color="auto"/>
              <w:bottom w:val="single" w:sz="12" w:space="0" w:color="auto"/>
              <w:right w:val="single" w:sz="12" w:space="0" w:color="auto"/>
            </w:tcBorders>
            <w:vAlign w:val="bottom"/>
          </w:tcPr>
          <w:p w14:paraId="2067CA05" w14:textId="77777777" w:rsidR="007F18AB" w:rsidRPr="00814E2F" w:rsidRDefault="007F18AB" w:rsidP="007F18AB">
            <w:pPr>
              <w:spacing w:after="0" w:line="240" w:lineRule="auto"/>
              <w:jc w:val="center"/>
              <w:rPr>
                <w:rFonts w:eastAsia="Times New Roman"/>
                <w:b/>
                <w:color w:val="000000"/>
                <w:sz w:val="19"/>
                <w:szCs w:val="19"/>
              </w:rPr>
            </w:pPr>
            <w:r w:rsidRPr="00814E2F">
              <w:rPr>
                <w:rFonts w:eastAsia="Times New Roman"/>
                <w:b/>
                <w:color w:val="000000"/>
                <w:sz w:val="19"/>
                <w:szCs w:val="19"/>
              </w:rPr>
              <w:t>WPL</w:t>
            </w:r>
          </w:p>
        </w:tc>
        <w:tc>
          <w:tcPr>
            <w:tcW w:w="1530" w:type="dxa"/>
            <w:tcBorders>
              <w:top w:val="nil"/>
              <w:left w:val="single" w:sz="12" w:space="0" w:color="auto"/>
              <w:bottom w:val="single" w:sz="12" w:space="0" w:color="auto"/>
              <w:right w:val="single" w:sz="4" w:space="0" w:color="auto"/>
            </w:tcBorders>
            <w:vAlign w:val="bottom"/>
          </w:tcPr>
          <w:p w14:paraId="48BDD465" w14:textId="77777777" w:rsidR="007F18AB" w:rsidRPr="00814E2F" w:rsidRDefault="007F18AB" w:rsidP="007F18AB">
            <w:pPr>
              <w:spacing w:after="0" w:line="240" w:lineRule="auto"/>
              <w:jc w:val="center"/>
              <w:rPr>
                <w:b/>
                <w:color w:val="000000"/>
                <w:sz w:val="19"/>
                <w:szCs w:val="19"/>
              </w:rPr>
            </w:pPr>
            <w:r w:rsidRPr="00814E2F">
              <w:rPr>
                <w:b/>
                <w:color w:val="000000"/>
                <w:sz w:val="19"/>
                <w:szCs w:val="19"/>
              </w:rPr>
              <w:t>Healthcare</w:t>
            </w:r>
          </w:p>
        </w:tc>
        <w:tc>
          <w:tcPr>
            <w:tcW w:w="1530" w:type="dxa"/>
            <w:tcBorders>
              <w:top w:val="nil"/>
              <w:left w:val="single" w:sz="4" w:space="0" w:color="auto"/>
              <w:bottom w:val="single" w:sz="12" w:space="0" w:color="auto"/>
              <w:right w:val="single" w:sz="4" w:space="0" w:color="auto"/>
            </w:tcBorders>
            <w:vAlign w:val="bottom"/>
          </w:tcPr>
          <w:p w14:paraId="3589F179" w14:textId="77777777" w:rsidR="007F18AB" w:rsidRPr="00814E2F" w:rsidRDefault="007F18AB" w:rsidP="007F18AB">
            <w:pPr>
              <w:spacing w:after="0" w:line="240" w:lineRule="auto"/>
              <w:jc w:val="center"/>
              <w:rPr>
                <w:b/>
                <w:color w:val="000000"/>
                <w:sz w:val="19"/>
                <w:szCs w:val="19"/>
              </w:rPr>
            </w:pPr>
            <w:r w:rsidRPr="00814E2F">
              <w:rPr>
                <w:b/>
                <w:color w:val="000000"/>
                <w:sz w:val="19"/>
                <w:szCs w:val="19"/>
              </w:rPr>
              <w:t>Retail Sales/</w:t>
            </w:r>
          </w:p>
          <w:p w14:paraId="08016D14" w14:textId="77777777" w:rsidR="007F18AB" w:rsidRPr="00814E2F" w:rsidRDefault="007F18AB" w:rsidP="007F18AB">
            <w:pPr>
              <w:spacing w:after="0" w:line="240" w:lineRule="auto"/>
              <w:jc w:val="center"/>
              <w:rPr>
                <w:b/>
                <w:color w:val="000000"/>
                <w:sz w:val="19"/>
                <w:szCs w:val="19"/>
              </w:rPr>
            </w:pPr>
            <w:r w:rsidRPr="00814E2F">
              <w:rPr>
                <w:b/>
                <w:color w:val="000000"/>
                <w:sz w:val="19"/>
                <w:szCs w:val="19"/>
              </w:rPr>
              <w:t>Food Services</w:t>
            </w:r>
          </w:p>
        </w:tc>
        <w:tc>
          <w:tcPr>
            <w:tcW w:w="1530" w:type="dxa"/>
            <w:tcBorders>
              <w:top w:val="nil"/>
              <w:left w:val="single" w:sz="4" w:space="0" w:color="auto"/>
              <w:bottom w:val="single" w:sz="12" w:space="0" w:color="auto"/>
              <w:right w:val="single" w:sz="4" w:space="0" w:color="auto"/>
            </w:tcBorders>
            <w:vAlign w:val="bottom"/>
          </w:tcPr>
          <w:p w14:paraId="39C23BA2" w14:textId="77777777" w:rsidR="007F18AB" w:rsidRPr="00814E2F" w:rsidRDefault="007F18AB" w:rsidP="007F18AB">
            <w:pPr>
              <w:spacing w:after="0" w:line="240" w:lineRule="auto"/>
              <w:jc w:val="center"/>
              <w:rPr>
                <w:b/>
                <w:color w:val="000000"/>
                <w:sz w:val="19"/>
                <w:szCs w:val="19"/>
              </w:rPr>
            </w:pPr>
            <w:r w:rsidRPr="00814E2F">
              <w:rPr>
                <w:b/>
                <w:color w:val="000000"/>
                <w:sz w:val="19"/>
                <w:szCs w:val="19"/>
              </w:rPr>
              <w:t>Education</w:t>
            </w:r>
          </w:p>
        </w:tc>
        <w:tc>
          <w:tcPr>
            <w:tcW w:w="1530" w:type="dxa"/>
            <w:tcBorders>
              <w:left w:val="single" w:sz="4" w:space="0" w:color="auto"/>
              <w:bottom w:val="single" w:sz="12" w:space="0" w:color="auto"/>
              <w:right w:val="single" w:sz="4" w:space="0" w:color="auto"/>
            </w:tcBorders>
            <w:vAlign w:val="bottom"/>
          </w:tcPr>
          <w:p w14:paraId="6B76857F" w14:textId="77777777" w:rsidR="007F18AB" w:rsidRPr="00814E2F" w:rsidRDefault="007F18AB" w:rsidP="007F18AB">
            <w:pPr>
              <w:spacing w:after="0" w:line="240" w:lineRule="auto"/>
              <w:jc w:val="center"/>
              <w:rPr>
                <w:b/>
                <w:color w:val="000000"/>
                <w:sz w:val="19"/>
                <w:szCs w:val="19"/>
              </w:rPr>
            </w:pPr>
            <w:r w:rsidRPr="00814E2F">
              <w:rPr>
                <w:b/>
                <w:color w:val="000000"/>
                <w:sz w:val="19"/>
                <w:szCs w:val="19"/>
              </w:rPr>
              <w:t>Public Administration</w:t>
            </w:r>
          </w:p>
        </w:tc>
        <w:tc>
          <w:tcPr>
            <w:tcW w:w="1530" w:type="dxa"/>
            <w:tcBorders>
              <w:left w:val="single" w:sz="4" w:space="0" w:color="auto"/>
              <w:right w:val="single" w:sz="4" w:space="0" w:color="auto"/>
            </w:tcBorders>
            <w:vAlign w:val="bottom"/>
          </w:tcPr>
          <w:p w14:paraId="3CEC5C90" w14:textId="77777777" w:rsidR="007F18AB" w:rsidRPr="00814E2F" w:rsidRDefault="007F18AB" w:rsidP="007F18AB">
            <w:pPr>
              <w:spacing w:after="0" w:line="240" w:lineRule="auto"/>
              <w:jc w:val="center"/>
              <w:rPr>
                <w:b/>
                <w:color w:val="000000"/>
                <w:sz w:val="19"/>
                <w:szCs w:val="19"/>
              </w:rPr>
            </w:pPr>
            <w:r w:rsidRPr="00814E2F">
              <w:rPr>
                <w:b/>
                <w:color w:val="000000"/>
                <w:sz w:val="19"/>
                <w:szCs w:val="19"/>
              </w:rPr>
              <w:t>Information/</w:t>
            </w:r>
          </w:p>
          <w:p w14:paraId="52A7CADE" w14:textId="77777777" w:rsidR="007F18AB" w:rsidRPr="00814E2F" w:rsidRDefault="007F18AB" w:rsidP="007F18AB">
            <w:pPr>
              <w:spacing w:after="0" w:line="240" w:lineRule="auto"/>
              <w:jc w:val="center"/>
              <w:rPr>
                <w:b/>
                <w:color w:val="000000"/>
                <w:sz w:val="19"/>
                <w:szCs w:val="19"/>
              </w:rPr>
            </w:pPr>
            <w:r w:rsidRPr="00814E2F">
              <w:rPr>
                <w:b/>
                <w:color w:val="000000"/>
                <w:sz w:val="19"/>
                <w:szCs w:val="19"/>
              </w:rPr>
              <w:t>Finance</w:t>
            </w:r>
          </w:p>
        </w:tc>
        <w:tc>
          <w:tcPr>
            <w:tcW w:w="1800" w:type="dxa"/>
            <w:tcBorders>
              <w:left w:val="single" w:sz="4" w:space="0" w:color="auto"/>
              <w:right w:val="double" w:sz="4" w:space="0" w:color="auto"/>
            </w:tcBorders>
            <w:vAlign w:val="bottom"/>
          </w:tcPr>
          <w:p w14:paraId="0A1E763A" w14:textId="77777777" w:rsidR="007F18AB" w:rsidRPr="00814E2F" w:rsidRDefault="007F18AB" w:rsidP="007F18AB">
            <w:pPr>
              <w:spacing w:after="0" w:line="240" w:lineRule="auto"/>
              <w:jc w:val="center"/>
              <w:rPr>
                <w:b/>
                <w:color w:val="000000"/>
                <w:sz w:val="19"/>
                <w:szCs w:val="19"/>
              </w:rPr>
            </w:pPr>
            <w:r w:rsidRPr="00814E2F">
              <w:rPr>
                <w:b/>
                <w:color w:val="000000"/>
                <w:sz w:val="19"/>
                <w:szCs w:val="19"/>
              </w:rPr>
              <w:t>Professional/</w:t>
            </w:r>
          </w:p>
          <w:p w14:paraId="4DAA3ECD" w14:textId="77777777" w:rsidR="007F18AB" w:rsidRPr="00814E2F" w:rsidRDefault="007F18AB" w:rsidP="007F18AB">
            <w:pPr>
              <w:spacing w:after="0" w:line="240" w:lineRule="auto"/>
              <w:jc w:val="center"/>
              <w:rPr>
                <w:b/>
                <w:color w:val="000000"/>
                <w:sz w:val="19"/>
                <w:szCs w:val="19"/>
              </w:rPr>
            </w:pPr>
            <w:r w:rsidRPr="00814E2F">
              <w:rPr>
                <w:b/>
                <w:color w:val="000000"/>
                <w:sz w:val="19"/>
                <w:szCs w:val="19"/>
              </w:rPr>
              <w:t>Managerial/ Technical job</w:t>
            </w:r>
          </w:p>
        </w:tc>
      </w:tr>
      <w:tr w:rsidR="00A24926" w:rsidRPr="00814E2F" w14:paraId="47086827" w14:textId="77777777" w:rsidTr="00A24926">
        <w:trPr>
          <w:trHeight w:val="230"/>
        </w:trPr>
        <w:tc>
          <w:tcPr>
            <w:tcW w:w="1980" w:type="dxa"/>
            <w:vMerge w:val="restart"/>
            <w:tcBorders>
              <w:top w:val="single" w:sz="4" w:space="0" w:color="auto"/>
              <w:left w:val="double" w:sz="4" w:space="0" w:color="auto"/>
              <w:bottom w:val="single" w:sz="4" w:space="0" w:color="000000"/>
              <w:right w:val="single" w:sz="4" w:space="0" w:color="auto"/>
            </w:tcBorders>
            <w:shd w:val="clear" w:color="000000" w:fill="FFF2CC"/>
            <w:vAlign w:val="center"/>
            <w:hideMark/>
          </w:tcPr>
          <w:p w14:paraId="5C577A43" w14:textId="77777777" w:rsidR="007F18AB" w:rsidRPr="00814E2F" w:rsidRDefault="007F18AB" w:rsidP="007F18AB">
            <w:pPr>
              <w:spacing w:after="0" w:line="240" w:lineRule="auto"/>
              <w:jc w:val="left"/>
              <w:rPr>
                <w:rFonts w:eastAsia="Times New Roman"/>
                <w:b/>
                <w:color w:val="000000"/>
                <w:sz w:val="19"/>
                <w:szCs w:val="19"/>
              </w:rPr>
            </w:pPr>
            <w:r w:rsidRPr="00814E2F">
              <w:rPr>
                <w:rFonts w:eastAsia="Times New Roman"/>
                <w:b/>
                <w:color w:val="000000"/>
                <w:sz w:val="19"/>
                <w:szCs w:val="19"/>
              </w:rPr>
              <w:t>Men with partner</w:t>
            </w:r>
          </w:p>
        </w:tc>
        <w:tc>
          <w:tcPr>
            <w:tcW w:w="1530" w:type="dxa"/>
            <w:tcBorders>
              <w:top w:val="single" w:sz="12" w:space="0" w:color="auto"/>
              <w:left w:val="single" w:sz="12" w:space="0" w:color="auto"/>
              <w:bottom w:val="single" w:sz="4" w:space="0" w:color="auto"/>
              <w:right w:val="single" w:sz="12" w:space="0" w:color="auto"/>
            </w:tcBorders>
            <w:shd w:val="clear" w:color="000000" w:fill="FFF2CC"/>
          </w:tcPr>
          <w:p w14:paraId="22FA3E33" w14:textId="77777777" w:rsidR="007F18AB" w:rsidRPr="00814E2F" w:rsidRDefault="007F18AB" w:rsidP="007F18AB">
            <w:pPr>
              <w:spacing w:after="0" w:line="240" w:lineRule="auto"/>
              <w:jc w:val="center"/>
              <w:rPr>
                <w:rFonts w:eastAsia="Times New Roman"/>
                <w:color w:val="000000"/>
                <w:sz w:val="19"/>
                <w:szCs w:val="19"/>
              </w:rPr>
            </w:pPr>
            <w:r w:rsidRPr="00814E2F">
              <w:rPr>
                <w:rFonts w:eastAsia="Times New Roman"/>
                <w:color w:val="000000"/>
                <w:sz w:val="19"/>
                <w:szCs w:val="19"/>
              </w:rPr>
              <w:t>Home</w:t>
            </w:r>
          </w:p>
        </w:tc>
        <w:tc>
          <w:tcPr>
            <w:tcW w:w="1530" w:type="dxa"/>
            <w:tcBorders>
              <w:top w:val="single" w:sz="12" w:space="0" w:color="auto"/>
              <w:left w:val="single" w:sz="12" w:space="0" w:color="auto"/>
              <w:bottom w:val="single" w:sz="4" w:space="0" w:color="auto"/>
              <w:right w:val="single" w:sz="4" w:space="0" w:color="auto"/>
            </w:tcBorders>
            <w:shd w:val="clear" w:color="000000" w:fill="FFF2CC"/>
            <w:vAlign w:val="bottom"/>
          </w:tcPr>
          <w:p w14:paraId="7530E68B" w14:textId="77777777" w:rsidR="007F18AB" w:rsidRPr="00814E2F" w:rsidRDefault="007F18AB" w:rsidP="007F18AB">
            <w:pPr>
              <w:spacing w:after="0" w:line="240" w:lineRule="auto"/>
              <w:jc w:val="right"/>
              <w:rPr>
                <w:color w:val="000000"/>
                <w:sz w:val="19"/>
                <w:szCs w:val="19"/>
              </w:rPr>
            </w:pPr>
            <w:r w:rsidRPr="00814E2F">
              <w:rPr>
                <w:color w:val="000000"/>
                <w:sz w:val="19"/>
                <w:szCs w:val="19"/>
              </w:rPr>
              <w:t>7.3</w:t>
            </w:r>
          </w:p>
        </w:tc>
        <w:tc>
          <w:tcPr>
            <w:tcW w:w="1530" w:type="dxa"/>
            <w:tcBorders>
              <w:top w:val="single" w:sz="12" w:space="0" w:color="auto"/>
              <w:left w:val="single" w:sz="4" w:space="0" w:color="auto"/>
              <w:bottom w:val="single" w:sz="4" w:space="0" w:color="auto"/>
              <w:right w:val="single" w:sz="4" w:space="0" w:color="auto"/>
            </w:tcBorders>
            <w:shd w:val="clear" w:color="000000" w:fill="FFF2CC"/>
            <w:vAlign w:val="bottom"/>
          </w:tcPr>
          <w:p w14:paraId="70094F4A" w14:textId="77777777" w:rsidR="007F18AB" w:rsidRPr="00814E2F" w:rsidRDefault="007F18AB" w:rsidP="007F18AB">
            <w:pPr>
              <w:spacing w:after="0" w:line="240" w:lineRule="auto"/>
              <w:jc w:val="right"/>
              <w:rPr>
                <w:color w:val="000000"/>
                <w:sz w:val="19"/>
                <w:szCs w:val="19"/>
              </w:rPr>
            </w:pPr>
            <w:r w:rsidRPr="00814E2F">
              <w:rPr>
                <w:color w:val="000000"/>
                <w:sz w:val="19"/>
                <w:szCs w:val="19"/>
              </w:rPr>
              <w:t>7.2</w:t>
            </w:r>
          </w:p>
        </w:tc>
        <w:tc>
          <w:tcPr>
            <w:tcW w:w="1530" w:type="dxa"/>
            <w:tcBorders>
              <w:top w:val="single" w:sz="12" w:space="0" w:color="auto"/>
              <w:left w:val="single" w:sz="4" w:space="0" w:color="auto"/>
              <w:bottom w:val="single" w:sz="4" w:space="0" w:color="auto"/>
              <w:right w:val="single" w:sz="4" w:space="0" w:color="auto"/>
            </w:tcBorders>
            <w:shd w:val="clear" w:color="000000" w:fill="FFF2CC"/>
            <w:vAlign w:val="bottom"/>
          </w:tcPr>
          <w:p w14:paraId="3033C032" w14:textId="77777777" w:rsidR="007F18AB" w:rsidRPr="00814E2F" w:rsidRDefault="007F18AB" w:rsidP="007F18AB">
            <w:pPr>
              <w:spacing w:after="0" w:line="240" w:lineRule="auto"/>
              <w:jc w:val="right"/>
              <w:rPr>
                <w:color w:val="000000"/>
                <w:sz w:val="19"/>
                <w:szCs w:val="19"/>
              </w:rPr>
            </w:pPr>
            <w:r w:rsidRPr="00814E2F">
              <w:rPr>
                <w:color w:val="000000"/>
                <w:sz w:val="19"/>
                <w:szCs w:val="19"/>
              </w:rPr>
              <w:t>8.3</w:t>
            </w:r>
          </w:p>
        </w:tc>
        <w:tc>
          <w:tcPr>
            <w:tcW w:w="1530" w:type="dxa"/>
            <w:tcBorders>
              <w:top w:val="single" w:sz="12" w:space="0" w:color="auto"/>
              <w:left w:val="single" w:sz="4" w:space="0" w:color="auto"/>
              <w:bottom w:val="single" w:sz="4" w:space="0" w:color="auto"/>
              <w:right w:val="single" w:sz="4" w:space="0" w:color="auto"/>
            </w:tcBorders>
            <w:shd w:val="clear" w:color="000000" w:fill="FFF2CC"/>
            <w:vAlign w:val="bottom"/>
          </w:tcPr>
          <w:p w14:paraId="4C6110CF" w14:textId="77777777" w:rsidR="007F18AB" w:rsidRPr="00814E2F" w:rsidRDefault="007F18AB" w:rsidP="007F18AB">
            <w:pPr>
              <w:spacing w:after="0" w:line="240" w:lineRule="auto"/>
              <w:jc w:val="right"/>
              <w:rPr>
                <w:color w:val="000000"/>
                <w:sz w:val="19"/>
                <w:szCs w:val="19"/>
              </w:rPr>
            </w:pPr>
            <w:r w:rsidRPr="00814E2F">
              <w:rPr>
                <w:color w:val="000000"/>
                <w:sz w:val="19"/>
                <w:szCs w:val="19"/>
              </w:rPr>
              <w:t>12.3</w:t>
            </w:r>
          </w:p>
        </w:tc>
        <w:tc>
          <w:tcPr>
            <w:tcW w:w="1530" w:type="dxa"/>
            <w:tcBorders>
              <w:top w:val="single" w:sz="12" w:space="0" w:color="auto"/>
              <w:left w:val="single" w:sz="4" w:space="0" w:color="auto"/>
              <w:bottom w:val="single" w:sz="4" w:space="0" w:color="auto"/>
              <w:right w:val="single" w:sz="4" w:space="0" w:color="auto"/>
            </w:tcBorders>
            <w:shd w:val="clear" w:color="000000" w:fill="FFF2CC"/>
            <w:vAlign w:val="bottom"/>
          </w:tcPr>
          <w:p w14:paraId="42CEBC73" w14:textId="77777777" w:rsidR="007F18AB" w:rsidRPr="00814E2F" w:rsidRDefault="007F18AB" w:rsidP="007F18AB">
            <w:pPr>
              <w:spacing w:after="0" w:line="240" w:lineRule="auto"/>
              <w:jc w:val="right"/>
              <w:rPr>
                <w:color w:val="000000"/>
                <w:sz w:val="19"/>
                <w:szCs w:val="19"/>
              </w:rPr>
            </w:pPr>
            <w:r w:rsidRPr="00814E2F">
              <w:rPr>
                <w:color w:val="000000"/>
                <w:sz w:val="19"/>
                <w:szCs w:val="19"/>
              </w:rPr>
              <w:t>14.6</w:t>
            </w:r>
          </w:p>
        </w:tc>
        <w:tc>
          <w:tcPr>
            <w:tcW w:w="1800" w:type="dxa"/>
            <w:tcBorders>
              <w:top w:val="single" w:sz="12" w:space="0" w:color="auto"/>
              <w:left w:val="single" w:sz="4" w:space="0" w:color="auto"/>
              <w:bottom w:val="single" w:sz="4" w:space="0" w:color="auto"/>
              <w:right w:val="double" w:sz="4" w:space="0" w:color="auto"/>
            </w:tcBorders>
            <w:shd w:val="clear" w:color="000000" w:fill="FFF2CC"/>
            <w:vAlign w:val="bottom"/>
          </w:tcPr>
          <w:p w14:paraId="10206D29" w14:textId="77777777" w:rsidR="007F18AB" w:rsidRPr="00814E2F" w:rsidRDefault="007F18AB" w:rsidP="007F18AB">
            <w:pPr>
              <w:spacing w:after="0" w:line="240" w:lineRule="auto"/>
              <w:jc w:val="right"/>
              <w:rPr>
                <w:color w:val="000000"/>
                <w:sz w:val="19"/>
                <w:szCs w:val="19"/>
              </w:rPr>
            </w:pPr>
            <w:r w:rsidRPr="00814E2F">
              <w:rPr>
                <w:color w:val="000000"/>
                <w:sz w:val="19"/>
                <w:szCs w:val="19"/>
              </w:rPr>
              <w:t>10.2</w:t>
            </w:r>
          </w:p>
        </w:tc>
      </w:tr>
      <w:tr w:rsidR="00A24926" w:rsidRPr="00814E2F" w14:paraId="334AB975" w14:textId="77777777" w:rsidTr="00A24926">
        <w:trPr>
          <w:trHeight w:val="230"/>
        </w:trPr>
        <w:tc>
          <w:tcPr>
            <w:tcW w:w="1980" w:type="dxa"/>
            <w:vMerge/>
            <w:tcBorders>
              <w:top w:val="single" w:sz="4" w:space="0" w:color="auto"/>
              <w:left w:val="double" w:sz="4" w:space="0" w:color="auto"/>
              <w:bottom w:val="single" w:sz="4" w:space="0" w:color="000000"/>
              <w:right w:val="single" w:sz="4" w:space="0" w:color="auto"/>
            </w:tcBorders>
            <w:vAlign w:val="center"/>
            <w:hideMark/>
          </w:tcPr>
          <w:p w14:paraId="28908B18" w14:textId="77777777" w:rsidR="007F18AB" w:rsidRPr="00814E2F" w:rsidRDefault="007F18AB" w:rsidP="007F18AB">
            <w:pPr>
              <w:spacing w:after="0" w:line="240" w:lineRule="auto"/>
              <w:jc w:val="left"/>
              <w:rPr>
                <w:rFonts w:eastAsia="Times New Roman"/>
                <w:b/>
                <w:color w:val="000000"/>
                <w:sz w:val="19"/>
                <w:szCs w:val="19"/>
              </w:rPr>
            </w:pPr>
          </w:p>
        </w:tc>
        <w:tc>
          <w:tcPr>
            <w:tcW w:w="1530" w:type="dxa"/>
            <w:tcBorders>
              <w:top w:val="nil"/>
              <w:left w:val="single" w:sz="12" w:space="0" w:color="auto"/>
              <w:bottom w:val="single" w:sz="4" w:space="0" w:color="auto"/>
              <w:right w:val="single" w:sz="12" w:space="0" w:color="auto"/>
            </w:tcBorders>
            <w:shd w:val="clear" w:color="000000" w:fill="FFF2CC"/>
          </w:tcPr>
          <w:p w14:paraId="4C34D2E9" w14:textId="77777777" w:rsidR="007F18AB" w:rsidRPr="00814E2F" w:rsidRDefault="007F18AB" w:rsidP="007F18AB">
            <w:pPr>
              <w:spacing w:after="0" w:line="240" w:lineRule="auto"/>
              <w:jc w:val="center"/>
              <w:rPr>
                <w:rFonts w:eastAsia="Times New Roman"/>
                <w:color w:val="000000"/>
                <w:sz w:val="19"/>
                <w:szCs w:val="19"/>
              </w:rPr>
            </w:pPr>
            <w:r w:rsidRPr="00814E2F">
              <w:rPr>
                <w:rFonts w:eastAsia="Times New Roman"/>
                <w:color w:val="000000"/>
                <w:sz w:val="19"/>
                <w:szCs w:val="19"/>
              </w:rPr>
              <w:t>Work Office</w:t>
            </w:r>
          </w:p>
        </w:tc>
        <w:tc>
          <w:tcPr>
            <w:tcW w:w="1530" w:type="dxa"/>
            <w:tcBorders>
              <w:top w:val="nil"/>
              <w:left w:val="single" w:sz="12" w:space="0" w:color="auto"/>
              <w:bottom w:val="single" w:sz="4" w:space="0" w:color="auto"/>
              <w:right w:val="single" w:sz="4" w:space="0" w:color="auto"/>
            </w:tcBorders>
            <w:shd w:val="clear" w:color="000000" w:fill="FFF2CC"/>
            <w:vAlign w:val="bottom"/>
          </w:tcPr>
          <w:p w14:paraId="218C2184" w14:textId="77777777" w:rsidR="007F18AB" w:rsidRPr="00814E2F" w:rsidRDefault="007F18AB" w:rsidP="007F18AB">
            <w:pPr>
              <w:spacing w:after="0" w:line="240" w:lineRule="auto"/>
              <w:jc w:val="right"/>
              <w:rPr>
                <w:color w:val="000000"/>
                <w:sz w:val="19"/>
                <w:szCs w:val="19"/>
              </w:rPr>
            </w:pPr>
            <w:r w:rsidRPr="00814E2F">
              <w:rPr>
                <w:color w:val="000000"/>
                <w:sz w:val="19"/>
                <w:szCs w:val="19"/>
              </w:rPr>
              <w:t>14.1</w:t>
            </w:r>
          </w:p>
        </w:tc>
        <w:tc>
          <w:tcPr>
            <w:tcW w:w="1530" w:type="dxa"/>
            <w:tcBorders>
              <w:top w:val="nil"/>
              <w:left w:val="single" w:sz="4" w:space="0" w:color="auto"/>
              <w:bottom w:val="single" w:sz="4" w:space="0" w:color="auto"/>
              <w:right w:val="single" w:sz="4" w:space="0" w:color="auto"/>
            </w:tcBorders>
            <w:shd w:val="clear" w:color="000000" w:fill="FFF2CC"/>
            <w:vAlign w:val="bottom"/>
          </w:tcPr>
          <w:p w14:paraId="17EE9BDF" w14:textId="77777777" w:rsidR="007F18AB" w:rsidRPr="00814E2F" w:rsidRDefault="007F18AB" w:rsidP="007F18AB">
            <w:pPr>
              <w:spacing w:after="0" w:line="240" w:lineRule="auto"/>
              <w:jc w:val="right"/>
              <w:rPr>
                <w:color w:val="000000"/>
                <w:sz w:val="19"/>
                <w:szCs w:val="19"/>
              </w:rPr>
            </w:pPr>
            <w:r w:rsidRPr="00814E2F">
              <w:rPr>
                <w:color w:val="000000"/>
                <w:sz w:val="19"/>
                <w:szCs w:val="19"/>
              </w:rPr>
              <w:t>14.2</w:t>
            </w:r>
          </w:p>
        </w:tc>
        <w:tc>
          <w:tcPr>
            <w:tcW w:w="1530" w:type="dxa"/>
            <w:tcBorders>
              <w:top w:val="nil"/>
              <w:left w:val="single" w:sz="4" w:space="0" w:color="auto"/>
              <w:bottom w:val="single" w:sz="4" w:space="0" w:color="auto"/>
              <w:right w:val="single" w:sz="4" w:space="0" w:color="auto"/>
            </w:tcBorders>
            <w:shd w:val="clear" w:color="000000" w:fill="FFF2CC"/>
            <w:vAlign w:val="bottom"/>
          </w:tcPr>
          <w:p w14:paraId="37DE8876" w14:textId="77777777" w:rsidR="007F18AB" w:rsidRPr="00814E2F" w:rsidRDefault="007F18AB" w:rsidP="007F18AB">
            <w:pPr>
              <w:spacing w:after="0" w:line="240" w:lineRule="auto"/>
              <w:jc w:val="right"/>
              <w:rPr>
                <w:color w:val="000000"/>
                <w:sz w:val="19"/>
                <w:szCs w:val="19"/>
              </w:rPr>
            </w:pPr>
            <w:r w:rsidRPr="00814E2F">
              <w:rPr>
                <w:color w:val="000000"/>
                <w:sz w:val="19"/>
                <w:szCs w:val="19"/>
              </w:rPr>
              <w:t>13.2</w:t>
            </w:r>
          </w:p>
        </w:tc>
        <w:tc>
          <w:tcPr>
            <w:tcW w:w="1530" w:type="dxa"/>
            <w:tcBorders>
              <w:top w:val="nil"/>
              <w:left w:val="single" w:sz="4" w:space="0" w:color="auto"/>
              <w:bottom w:val="single" w:sz="4" w:space="0" w:color="auto"/>
              <w:right w:val="single" w:sz="4" w:space="0" w:color="auto"/>
            </w:tcBorders>
            <w:shd w:val="clear" w:color="000000" w:fill="FFF2CC"/>
            <w:vAlign w:val="bottom"/>
          </w:tcPr>
          <w:p w14:paraId="6F25F786" w14:textId="77777777" w:rsidR="007F18AB" w:rsidRPr="00814E2F" w:rsidRDefault="007F18AB" w:rsidP="007F18AB">
            <w:pPr>
              <w:spacing w:after="0" w:line="240" w:lineRule="auto"/>
              <w:jc w:val="right"/>
              <w:rPr>
                <w:color w:val="000000"/>
                <w:sz w:val="19"/>
                <w:szCs w:val="19"/>
              </w:rPr>
            </w:pPr>
            <w:r w:rsidRPr="00814E2F">
              <w:rPr>
                <w:color w:val="000000"/>
                <w:sz w:val="19"/>
                <w:szCs w:val="19"/>
              </w:rPr>
              <w:t>8.6</w:t>
            </w:r>
          </w:p>
        </w:tc>
        <w:tc>
          <w:tcPr>
            <w:tcW w:w="1530" w:type="dxa"/>
            <w:tcBorders>
              <w:top w:val="nil"/>
              <w:left w:val="single" w:sz="4" w:space="0" w:color="auto"/>
              <w:bottom w:val="single" w:sz="4" w:space="0" w:color="auto"/>
              <w:right w:val="single" w:sz="4" w:space="0" w:color="auto"/>
            </w:tcBorders>
            <w:shd w:val="clear" w:color="000000" w:fill="FFF2CC"/>
            <w:vAlign w:val="bottom"/>
          </w:tcPr>
          <w:p w14:paraId="1E95B5A9" w14:textId="77777777" w:rsidR="007F18AB" w:rsidRPr="00814E2F" w:rsidRDefault="007F18AB" w:rsidP="007F18AB">
            <w:pPr>
              <w:spacing w:after="0" w:line="240" w:lineRule="auto"/>
              <w:jc w:val="right"/>
              <w:rPr>
                <w:color w:val="000000"/>
                <w:sz w:val="19"/>
                <w:szCs w:val="19"/>
              </w:rPr>
            </w:pPr>
            <w:r w:rsidRPr="00814E2F">
              <w:rPr>
                <w:color w:val="000000"/>
                <w:sz w:val="19"/>
                <w:szCs w:val="19"/>
              </w:rPr>
              <w:t>6.4</w:t>
            </w:r>
          </w:p>
        </w:tc>
        <w:tc>
          <w:tcPr>
            <w:tcW w:w="1800" w:type="dxa"/>
            <w:tcBorders>
              <w:top w:val="nil"/>
              <w:left w:val="single" w:sz="4" w:space="0" w:color="auto"/>
              <w:bottom w:val="single" w:sz="4" w:space="0" w:color="auto"/>
              <w:right w:val="double" w:sz="4" w:space="0" w:color="auto"/>
            </w:tcBorders>
            <w:shd w:val="clear" w:color="000000" w:fill="FFF2CC"/>
            <w:vAlign w:val="bottom"/>
          </w:tcPr>
          <w:p w14:paraId="7066D01C" w14:textId="77777777" w:rsidR="007F18AB" w:rsidRPr="00814E2F" w:rsidRDefault="007F18AB" w:rsidP="007F18AB">
            <w:pPr>
              <w:spacing w:after="0" w:line="240" w:lineRule="auto"/>
              <w:jc w:val="right"/>
              <w:rPr>
                <w:color w:val="000000"/>
                <w:sz w:val="19"/>
                <w:szCs w:val="19"/>
              </w:rPr>
            </w:pPr>
            <w:r w:rsidRPr="00814E2F">
              <w:rPr>
                <w:color w:val="000000"/>
                <w:sz w:val="19"/>
                <w:szCs w:val="19"/>
              </w:rPr>
              <w:t>10.9</w:t>
            </w:r>
          </w:p>
        </w:tc>
      </w:tr>
      <w:tr w:rsidR="00A24926" w:rsidRPr="00814E2F" w14:paraId="464F9B75" w14:textId="77777777" w:rsidTr="00A24926">
        <w:trPr>
          <w:trHeight w:val="230"/>
        </w:trPr>
        <w:tc>
          <w:tcPr>
            <w:tcW w:w="1980" w:type="dxa"/>
            <w:vMerge/>
            <w:tcBorders>
              <w:top w:val="single" w:sz="4" w:space="0" w:color="auto"/>
              <w:left w:val="double" w:sz="4" w:space="0" w:color="auto"/>
              <w:bottom w:val="single" w:sz="12" w:space="0" w:color="auto"/>
              <w:right w:val="single" w:sz="4" w:space="0" w:color="auto"/>
            </w:tcBorders>
            <w:vAlign w:val="center"/>
            <w:hideMark/>
          </w:tcPr>
          <w:p w14:paraId="54B99DF0" w14:textId="77777777" w:rsidR="007F18AB" w:rsidRPr="00814E2F" w:rsidRDefault="007F18AB" w:rsidP="007F18AB">
            <w:pPr>
              <w:spacing w:after="0" w:line="240" w:lineRule="auto"/>
              <w:jc w:val="left"/>
              <w:rPr>
                <w:rFonts w:eastAsia="Times New Roman"/>
                <w:b/>
                <w:color w:val="000000"/>
                <w:sz w:val="19"/>
                <w:szCs w:val="19"/>
              </w:rPr>
            </w:pPr>
          </w:p>
        </w:tc>
        <w:tc>
          <w:tcPr>
            <w:tcW w:w="1530" w:type="dxa"/>
            <w:tcBorders>
              <w:top w:val="nil"/>
              <w:left w:val="single" w:sz="12" w:space="0" w:color="auto"/>
              <w:bottom w:val="single" w:sz="12" w:space="0" w:color="auto"/>
              <w:right w:val="single" w:sz="12" w:space="0" w:color="auto"/>
            </w:tcBorders>
            <w:shd w:val="clear" w:color="000000" w:fill="FFF2CC"/>
          </w:tcPr>
          <w:p w14:paraId="6FECD142" w14:textId="77777777" w:rsidR="007F18AB" w:rsidRPr="00814E2F" w:rsidRDefault="007F18AB" w:rsidP="007F18AB">
            <w:pPr>
              <w:spacing w:after="0" w:line="240" w:lineRule="auto"/>
              <w:jc w:val="center"/>
              <w:rPr>
                <w:rFonts w:eastAsia="Times New Roman"/>
                <w:color w:val="000000"/>
                <w:sz w:val="19"/>
                <w:szCs w:val="19"/>
              </w:rPr>
            </w:pPr>
            <w:r w:rsidRPr="00814E2F">
              <w:rPr>
                <w:rFonts w:eastAsia="Times New Roman"/>
                <w:color w:val="000000"/>
                <w:sz w:val="19"/>
                <w:szCs w:val="19"/>
              </w:rPr>
              <w:t>Third WPL</w:t>
            </w:r>
          </w:p>
        </w:tc>
        <w:tc>
          <w:tcPr>
            <w:tcW w:w="1530" w:type="dxa"/>
            <w:tcBorders>
              <w:top w:val="nil"/>
              <w:left w:val="single" w:sz="12" w:space="0" w:color="auto"/>
              <w:bottom w:val="single" w:sz="12" w:space="0" w:color="auto"/>
              <w:right w:val="single" w:sz="4" w:space="0" w:color="auto"/>
            </w:tcBorders>
            <w:shd w:val="clear" w:color="000000" w:fill="FFF2CC"/>
            <w:vAlign w:val="bottom"/>
          </w:tcPr>
          <w:p w14:paraId="6B24BF58" w14:textId="77777777" w:rsidR="007F18AB" w:rsidRPr="00814E2F" w:rsidRDefault="007F18AB" w:rsidP="007F18AB">
            <w:pPr>
              <w:spacing w:after="0" w:line="240" w:lineRule="auto"/>
              <w:jc w:val="right"/>
              <w:rPr>
                <w:color w:val="000000"/>
                <w:sz w:val="19"/>
                <w:szCs w:val="19"/>
              </w:rPr>
            </w:pPr>
            <w:r w:rsidRPr="00814E2F">
              <w:rPr>
                <w:color w:val="000000"/>
                <w:sz w:val="19"/>
                <w:szCs w:val="19"/>
              </w:rPr>
              <w:t>0.6</w:t>
            </w:r>
          </w:p>
        </w:tc>
        <w:tc>
          <w:tcPr>
            <w:tcW w:w="1530" w:type="dxa"/>
            <w:tcBorders>
              <w:top w:val="nil"/>
              <w:left w:val="single" w:sz="4" w:space="0" w:color="auto"/>
              <w:bottom w:val="single" w:sz="12" w:space="0" w:color="auto"/>
              <w:right w:val="single" w:sz="4" w:space="0" w:color="auto"/>
            </w:tcBorders>
            <w:shd w:val="clear" w:color="000000" w:fill="FFF2CC"/>
            <w:vAlign w:val="bottom"/>
          </w:tcPr>
          <w:p w14:paraId="7BCD823C" w14:textId="77777777" w:rsidR="007F18AB" w:rsidRPr="00814E2F" w:rsidRDefault="007F18AB" w:rsidP="007F18AB">
            <w:pPr>
              <w:spacing w:after="0" w:line="240" w:lineRule="auto"/>
              <w:jc w:val="right"/>
              <w:rPr>
                <w:color w:val="000000"/>
                <w:sz w:val="19"/>
                <w:szCs w:val="19"/>
              </w:rPr>
            </w:pPr>
            <w:r w:rsidRPr="00814E2F">
              <w:rPr>
                <w:color w:val="000000"/>
                <w:sz w:val="19"/>
                <w:szCs w:val="19"/>
              </w:rPr>
              <w:t>0.6</w:t>
            </w:r>
          </w:p>
        </w:tc>
        <w:tc>
          <w:tcPr>
            <w:tcW w:w="1530" w:type="dxa"/>
            <w:tcBorders>
              <w:top w:val="nil"/>
              <w:left w:val="single" w:sz="4" w:space="0" w:color="auto"/>
              <w:bottom w:val="single" w:sz="12" w:space="0" w:color="auto"/>
              <w:right w:val="single" w:sz="4" w:space="0" w:color="auto"/>
            </w:tcBorders>
            <w:shd w:val="clear" w:color="000000" w:fill="FFF2CC"/>
            <w:vAlign w:val="bottom"/>
          </w:tcPr>
          <w:p w14:paraId="160A2DF6" w14:textId="77777777" w:rsidR="007F18AB" w:rsidRPr="00814E2F" w:rsidRDefault="007F18AB" w:rsidP="007F18AB">
            <w:pPr>
              <w:spacing w:after="0" w:line="240" w:lineRule="auto"/>
              <w:jc w:val="right"/>
              <w:rPr>
                <w:color w:val="000000"/>
                <w:sz w:val="19"/>
                <w:szCs w:val="19"/>
              </w:rPr>
            </w:pPr>
            <w:r w:rsidRPr="00814E2F">
              <w:rPr>
                <w:color w:val="000000"/>
                <w:sz w:val="19"/>
                <w:szCs w:val="19"/>
              </w:rPr>
              <w:t>0.6</w:t>
            </w:r>
          </w:p>
        </w:tc>
        <w:tc>
          <w:tcPr>
            <w:tcW w:w="1530" w:type="dxa"/>
            <w:tcBorders>
              <w:top w:val="nil"/>
              <w:left w:val="single" w:sz="4" w:space="0" w:color="auto"/>
              <w:bottom w:val="single" w:sz="12" w:space="0" w:color="auto"/>
              <w:right w:val="single" w:sz="4" w:space="0" w:color="auto"/>
            </w:tcBorders>
            <w:shd w:val="clear" w:color="000000" w:fill="FFF2CC"/>
            <w:vAlign w:val="bottom"/>
          </w:tcPr>
          <w:p w14:paraId="1F91FB14" w14:textId="77777777" w:rsidR="007F18AB" w:rsidRPr="00814E2F" w:rsidRDefault="007F18AB" w:rsidP="007F18AB">
            <w:pPr>
              <w:spacing w:after="0" w:line="240" w:lineRule="auto"/>
              <w:jc w:val="right"/>
              <w:rPr>
                <w:color w:val="000000"/>
                <w:sz w:val="19"/>
                <w:szCs w:val="19"/>
              </w:rPr>
            </w:pPr>
            <w:r w:rsidRPr="00814E2F">
              <w:rPr>
                <w:color w:val="000000"/>
                <w:sz w:val="19"/>
                <w:szCs w:val="19"/>
              </w:rPr>
              <w:t>1.1</w:t>
            </w:r>
          </w:p>
        </w:tc>
        <w:tc>
          <w:tcPr>
            <w:tcW w:w="1530" w:type="dxa"/>
            <w:tcBorders>
              <w:top w:val="nil"/>
              <w:left w:val="single" w:sz="4" w:space="0" w:color="auto"/>
              <w:bottom w:val="single" w:sz="12" w:space="0" w:color="auto"/>
              <w:right w:val="single" w:sz="4" w:space="0" w:color="auto"/>
            </w:tcBorders>
            <w:shd w:val="clear" w:color="000000" w:fill="FFF2CC"/>
            <w:vAlign w:val="bottom"/>
          </w:tcPr>
          <w:p w14:paraId="3E59F765" w14:textId="77777777" w:rsidR="007F18AB" w:rsidRPr="00814E2F" w:rsidRDefault="007F18AB" w:rsidP="007F18AB">
            <w:pPr>
              <w:spacing w:after="0" w:line="240" w:lineRule="auto"/>
              <w:jc w:val="right"/>
              <w:rPr>
                <w:color w:val="000000"/>
                <w:sz w:val="19"/>
                <w:szCs w:val="19"/>
              </w:rPr>
            </w:pPr>
            <w:r w:rsidRPr="00814E2F">
              <w:rPr>
                <w:color w:val="000000"/>
                <w:sz w:val="19"/>
                <w:szCs w:val="19"/>
              </w:rPr>
              <w:t>1.0</w:t>
            </w:r>
          </w:p>
        </w:tc>
        <w:tc>
          <w:tcPr>
            <w:tcW w:w="1800" w:type="dxa"/>
            <w:tcBorders>
              <w:top w:val="nil"/>
              <w:left w:val="single" w:sz="4" w:space="0" w:color="auto"/>
              <w:bottom w:val="single" w:sz="12" w:space="0" w:color="auto"/>
              <w:right w:val="double" w:sz="4" w:space="0" w:color="auto"/>
            </w:tcBorders>
            <w:shd w:val="clear" w:color="000000" w:fill="FFF2CC"/>
            <w:vAlign w:val="bottom"/>
          </w:tcPr>
          <w:p w14:paraId="1C74C253" w14:textId="77777777" w:rsidR="007F18AB" w:rsidRPr="00814E2F" w:rsidRDefault="007F18AB" w:rsidP="007F18AB">
            <w:pPr>
              <w:spacing w:after="0" w:line="240" w:lineRule="auto"/>
              <w:jc w:val="right"/>
              <w:rPr>
                <w:color w:val="000000"/>
                <w:sz w:val="19"/>
                <w:szCs w:val="19"/>
              </w:rPr>
            </w:pPr>
            <w:r w:rsidRPr="00814E2F">
              <w:rPr>
                <w:color w:val="000000"/>
                <w:sz w:val="19"/>
                <w:szCs w:val="19"/>
              </w:rPr>
              <w:t>0.9</w:t>
            </w:r>
          </w:p>
        </w:tc>
      </w:tr>
      <w:tr w:rsidR="00A24926" w:rsidRPr="00814E2F" w14:paraId="0F9509AD" w14:textId="77777777" w:rsidTr="00A24926">
        <w:trPr>
          <w:trHeight w:val="230"/>
        </w:trPr>
        <w:tc>
          <w:tcPr>
            <w:tcW w:w="1980" w:type="dxa"/>
            <w:vMerge w:val="restart"/>
            <w:tcBorders>
              <w:top w:val="nil"/>
              <w:left w:val="double" w:sz="4" w:space="0" w:color="auto"/>
              <w:bottom w:val="single" w:sz="4" w:space="0" w:color="000000"/>
              <w:right w:val="single" w:sz="4" w:space="0" w:color="auto"/>
            </w:tcBorders>
            <w:shd w:val="clear" w:color="000000" w:fill="FFE699"/>
            <w:vAlign w:val="center"/>
            <w:hideMark/>
          </w:tcPr>
          <w:p w14:paraId="770B9EE8" w14:textId="77777777" w:rsidR="007F18AB" w:rsidRPr="00814E2F" w:rsidRDefault="007F18AB" w:rsidP="007F18AB">
            <w:pPr>
              <w:spacing w:after="0" w:line="240" w:lineRule="auto"/>
              <w:jc w:val="left"/>
              <w:rPr>
                <w:rFonts w:eastAsia="Times New Roman"/>
                <w:b/>
                <w:color w:val="000000"/>
                <w:sz w:val="19"/>
                <w:szCs w:val="19"/>
              </w:rPr>
            </w:pPr>
            <w:r w:rsidRPr="00814E2F">
              <w:rPr>
                <w:rFonts w:eastAsia="Times New Roman"/>
                <w:b/>
                <w:color w:val="000000"/>
                <w:sz w:val="19"/>
                <w:szCs w:val="19"/>
              </w:rPr>
              <w:t>Women with young child with partner</w:t>
            </w:r>
          </w:p>
        </w:tc>
        <w:tc>
          <w:tcPr>
            <w:tcW w:w="1530" w:type="dxa"/>
            <w:tcBorders>
              <w:top w:val="single" w:sz="12" w:space="0" w:color="auto"/>
              <w:left w:val="single" w:sz="12" w:space="0" w:color="auto"/>
              <w:bottom w:val="single" w:sz="4" w:space="0" w:color="auto"/>
              <w:right w:val="single" w:sz="12" w:space="0" w:color="auto"/>
            </w:tcBorders>
            <w:shd w:val="clear" w:color="000000" w:fill="FFE699"/>
          </w:tcPr>
          <w:p w14:paraId="13DC2E75" w14:textId="77777777" w:rsidR="007F18AB" w:rsidRPr="00814E2F" w:rsidRDefault="007F18AB" w:rsidP="007F18AB">
            <w:pPr>
              <w:spacing w:after="0" w:line="240" w:lineRule="auto"/>
              <w:jc w:val="center"/>
              <w:rPr>
                <w:rFonts w:eastAsia="Times New Roman"/>
                <w:color w:val="000000"/>
                <w:sz w:val="19"/>
                <w:szCs w:val="19"/>
              </w:rPr>
            </w:pPr>
            <w:r w:rsidRPr="00814E2F">
              <w:rPr>
                <w:rFonts w:eastAsia="Times New Roman"/>
                <w:color w:val="000000"/>
                <w:sz w:val="19"/>
                <w:szCs w:val="19"/>
              </w:rPr>
              <w:t>Home</w:t>
            </w:r>
          </w:p>
        </w:tc>
        <w:tc>
          <w:tcPr>
            <w:tcW w:w="1530" w:type="dxa"/>
            <w:tcBorders>
              <w:top w:val="single" w:sz="12" w:space="0" w:color="auto"/>
              <w:left w:val="single" w:sz="12" w:space="0" w:color="auto"/>
              <w:bottom w:val="single" w:sz="4" w:space="0" w:color="auto"/>
              <w:right w:val="single" w:sz="4" w:space="0" w:color="auto"/>
            </w:tcBorders>
            <w:shd w:val="clear" w:color="000000" w:fill="FFE699"/>
            <w:vAlign w:val="bottom"/>
          </w:tcPr>
          <w:p w14:paraId="00EF01DE" w14:textId="77777777" w:rsidR="007F18AB" w:rsidRPr="00814E2F" w:rsidRDefault="007F18AB" w:rsidP="007F18AB">
            <w:pPr>
              <w:spacing w:after="0" w:line="240" w:lineRule="auto"/>
              <w:jc w:val="right"/>
              <w:rPr>
                <w:color w:val="000000"/>
                <w:sz w:val="19"/>
                <w:szCs w:val="19"/>
              </w:rPr>
            </w:pPr>
            <w:r w:rsidRPr="00814E2F">
              <w:rPr>
                <w:color w:val="000000"/>
                <w:sz w:val="19"/>
                <w:szCs w:val="19"/>
              </w:rPr>
              <w:t>9.3</w:t>
            </w:r>
          </w:p>
        </w:tc>
        <w:tc>
          <w:tcPr>
            <w:tcW w:w="1530" w:type="dxa"/>
            <w:tcBorders>
              <w:top w:val="single" w:sz="12" w:space="0" w:color="auto"/>
              <w:left w:val="single" w:sz="4" w:space="0" w:color="auto"/>
              <w:bottom w:val="single" w:sz="4" w:space="0" w:color="auto"/>
              <w:right w:val="single" w:sz="4" w:space="0" w:color="auto"/>
            </w:tcBorders>
            <w:shd w:val="clear" w:color="000000" w:fill="FFE699"/>
            <w:vAlign w:val="bottom"/>
          </w:tcPr>
          <w:p w14:paraId="6C276070" w14:textId="77777777" w:rsidR="007F18AB" w:rsidRPr="00814E2F" w:rsidRDefault="007F18AB" w:rsidP="007F18AB">
            <w:pPr>
              <w:spacing w:after="0" w:line="240" w:lineRule="auto"/>
              <w:jc w:val="right"/>
              <w:rPr>
                <w:color w:val="000000"/>
                <w:sz w:val="19"/>
                <w:szCs w:val="19"/>
              </w:rPr>
            </w:pPr>
            <w:r w:rsidRPr="00814E2F">
              <w:rPr>
                <w:color w:val="000000"/>
                <w:sz w:val="19"/>
                <w:szCs w:val="19"/>
              </w:rPr>
              <w:t>9.2</w:t>
            </w:r>
          </w:p>
        </w:tc>
        <w:tc>
          <w:tcPr>
            <w:tcW w:w="1530" w:type="dxa"/>
            <w:tcBorders>
              <w:top w:val="single" w:sz="12" w:space="0" w:color="auto"/>
              <w:left w:val="single" w:sz="4" w:space="0" w:color="auto"/>
              <w:bottom w:val="single" w:sz="4" w:space="0" w:color="auto"/>
              <w:right w:val="single" w:sz="4" w:space="0" w:color="auto"/>
            </w:tcBorders>
            <w:shd w:val="clear" w:color="000000" w:fill="FFE699"/>
            <w:vAlign w:val="bottom"/>
          </w:tcPr>
          <w:p w14:paraId="3DAB8AC5" w14:textId="77777777" w:rsidR="007F18AB" w:rsidRPr="00814E2F" w:rsidRDefault="007F18AB" w:rsidP="007F18AB">
            <w:pPr>
              <w:spacing w:after="0" w:line="240" w:lineRule="auto"/>
              <w:jc w:val="right"/>
              <w:rPr>
                <w:color w:val="000000"/>
                <w:sz w:val="19"/>
                <w:szCs w:val="19"/>
              </w:rPr>
            </w:pPr>
            <w:r w:rsidRPr="00814E2F">
              <w:rPr>
                <w:color w:val="000000"/>
                <w:sz w:val="19"/>
                <w:szCs w:val="19"/>
              </w:rPr>
              <w:t>10.3</w:t>
            </w:r>
          </w:p>
        </w:tc>
        <w:tc>
          <w:tcPr>
            <w:tcW w:w="1530" w:type="dxa"/>
            <w:tcBorders>
              <w:top w:val="single" w:sz="12" w:space="0" w:color="auto"/>
              <w:left w:val="single" w:sz="4" w:space="0" w:color="auto"/>
              <w:bottom w:val="single" w:sz="4" w:space="0" w:color="auto"/>
              <w:right w:val="single" w:sz="4" w:space="0" w:color="auto"/>
            </w:tcBorders>
            <w:shd w:val="clear" w:color="000000" w:fill="FFE699"/>
            <w:vAlign w:val="bottom"/>
          </w:tcPr>
          <w:p w14:paraId="78F7841A" w14:textId="77777777" w:rsidR="007F18AB" w:rsidRPr="00814E2F" w:rsidRDefault="007F18AB" w:rsidP="007F18AB">
            <w:pPr>
              <w:spacing w:after="0" w:line="240" w:lineRule="auto"/>
              <w:jc w:val="right"/>
              <w:rPr>
                <w:color w:val="000000"/>
                <w:sz w:val="19"/>
                <w:szCs w:val="19"/>
              </w:rPr>
            </w:pPr>
            <w:r w:rsidRPr="00814E2F">
              <w:rPr>
                <w:color w:val="000000"/>
                <w:sz w:val="19"/>
                <w:szCs w:val="19"/>
              </w:rPr>
              <w:t>13.6</w:t>
            </w:r>
          </w:p>
        </w:tc>
        <w:tc>
          <w:tcPr>
            <w:tcW w:w="1530" w:type="dxa"/>
            <w:tcBorders>
              <w:top w:val="single" w:sz="12" w:space="0" w:color="auto"/>
              <w:left w:val="single" w:sz="4" w:space="0" w:color="auto"/>
              <w:bottom w:val="single" w:sz="4" w:space="0" w:color="auto"/>
              <w:right w:val="single" w:sz="4" w:space="0" w:color="auto"/>
            </w:tcBorders>
            <w:shd w:val="clear" w:color="000000" w:fill="FFE699"/>
            <w:vAlign w:val="bottom"/>
          </w:tcPr>
          <w:p w14:paraId="4A93BFCC" w14:textId="77777777" w:rsidR="007F18AB" w:rsidRPr="00814E2F" w:rsidRDefault="007F18AB" w:rsidP="007F18AB">
            <w:pPr>
              <w:spacing w:after="0" w:line="240" w:lineRule="auto"/>
              <w:jc w:val="right"/>
              <w:rPr>
                <w:color w:val="000000"/>
                <w:sz w:val="19"/>
                <w:szCs w:val="19"/>
              </w:rPr>
            </w:pPr>
            <w:r w:rsidRPr="00814E2F">
              <w:rPr>
                <w:color w:val="000000"/>
                <w:sz w:val="19"/>
                <w:szCs w:val="19"/>
              </w:rPr>
              <w:t>15.7</w:t>
            </w:r>
          </w:p>
        </w:tc>
        <w:tc>
          <w:tcPr>
            <w:tcW w:w="1800" w:type="dxa"/>
            <w:tcBorders>
              <w:top w:val="single" w:sz="12" w:space="0" w:color="auto"/>
              <w:left w:val="single" w:sz="4" w:space="0" w:color="auto"/>
              <w:bottom w:val="single" w:sz="4" w:space="0" w:color="auto"/>
              <w:right w:val="double" w:sz="4" w:space="0" w:color="auto"/>
            </w:tcBorders>
            <w:shd w:val="clear" w:color="000000" w:fill="FFE699"/>
            <w:vAlign w:val="bottom"/>
          </w:tcPr>
          <w:p w14:paraId="2131D3BF" w14:textId="77777777" w:rsidR="007F18AB" w:rsidRPr="00814E2F" w:rsidRDefault="007F18AB" w:rsidP="007F18AB">
            <w:pPr>
              <w:spacing w:after="0" w:line="240" w:lineRule="auto"/>
              <w:jc w:val="right"/>
              <w:rPr>
                <w:color w:val="000000"/>
                <w:sz w:val="19"/>
                <w:szCs w:val="19"/>
              </w:rPr>
            </w:pPr>
            <w:r w:rsidRPr="00814E2F">
              <w:rPr>
                <w:color w:val="000000"/>
                <w:sz w:val="19"/>
                <w:szCs w:val="19"/>
              </w:rPr>
              <w:t>12.0</w:t>
            </w:r>
          </w:p>
        </w:tc>
      </w:tr>
      <w:tr w:rsidR="00A24926" w:rsidRPr="00814E2F" w14:paraId="23A015E6" w14:textId="77777777" w:rsidTr="00A24926">
        <w:trPr>
          <w:trHeight w:val="230"/>
        </w:trPr>
        <w:tc>
          <w:tcPr>
            <w:tcW w:w="1980" w:type="dxa"/>
            <w:vMerge/>
            <w:tcBorders>
              <w:top w:val="nil"/>
              <w:left w:val="double" w:sz="4" w:space="0" w:color="auto"/>
              <w:bottom w:val="single" w:sz="4" w:space="0" w:color="000000"/>
              <w:right w:val="single" w:sz="4" w:space="0" w:color="auto"/>
            </w:tcBorders>
            <w:vAlign w:val="center"/>
            <w:hideMark/>
          </w:tcPr>
          <w:p w14:paraId="63A0E9AB" w14:textId="77777777" w:rsidR="007F18AB" w:rsidRPr="00814E2F" w:rsidRDefault="007F18AB" w:rsidP="007F18AB">
            <w:pPr>
              <w:spacing w:after="0" w:line="240" w:lineRule="auto"/>
              <w:jc w:val="left"/>
              <w:rPr>
                <w:rFonts w:eastAsia="Times New Roman"/>
                <w:b/>
                <w:color w:val="000000"/>
                <w:sz w:val="19"/>
                <w:szCs w:val="19"/>
              </w:rPr>
            </w:pPr>
          </w:p>
        </w:tc>
        <w:tc>
          <w:tcPr>
            <w:tcW w:w="1530" w:type="dxa"/>
            <w:tcBorders>
              <w:top w:val="nil"/>
              <w:left w:val="single" w:sz="12" w:space="0" w:color="auto"/>
              <w:bottom w:val="single" w:sz="4" w:space="0" w:color="auto"/>
              <w:right w:val="single" w:sz="12" w:space="0" w:color="auto"/>
            </w:tcBorders>
            <w:shd w:val="clear" w:color="000000" w:fill="FFE699"/>
          </w:tcPr>
          <w:p w14:paraId="2F312B53" w14:textId="77777777" w:rsidR="007F18AB" w:rsidRPr="00814E2F" w:rsidRDefault="007F18AB" w:rsidP="007F18AB">
            <w:pPr>
              <w:spacing w:after="0" w:line="240" w:lineRule="auto"/>
              <w:jc w:val="center"/>
              <w:rPr>
                <w:rFonts w:eastAsia="Times New Roman"/>
                <w:color w:val="000000"/>
                <w:sz w:val="19"/>
                <w:szCs w:val="19"/>
              </w:rPr>
            </w:pPr>
            <w:r w:rsidRPr="00814E2F">
              <w:rPr>
                <w:rFonts w:eastAsia="Times New Roman"/>
                <w:color w:val="000000"/>
                <w:sz w:val="19"/>
                <w:szCs w:val="19"/>
              </w:rPr>
              <w:t>Work Office</w:t>
            </w:r>
          </w:p>
        </w:tc>
        <w:tc>
          <w:tcPr>
            <w:tcW w:w="1530" w:type="dxa"/>
            <w:tcBorders>
              <w:top w:val="nil"/>
              <w:left w:val="single" w:sz="12" w:space="0" w:color="auto"/>
              <w:bottom w:val="single" w:sz="4" w:space="0" w:color="auto"/>
              <w:right w:val="single" w:sz="4" w:space="0" w:color="auto"/>
            </w:tcBorders>
            <w:shd w:val="clear" w:color="000000" w:fill="FFE699"/>
            <w:vAlign w:val="bottom"/>
          </w:tcPr>
          <w:p w14:paraId="0C57DFB4" w14:textId="77777777" w:rsidR="007F18AB" w:rsidRPr="00814E2F" w:rsidRDefault="007F18AB" w:rsidP="007F18AB">
            <w:pPr>
              <w:spacing w:after="0" w:line="240" w:lineRule="auto"/>
              <w:jc w:val="right"/>
              <w:rPr>
                <w:color w:val="000000"/>
                <w:sz w:val="19"/>
                <w:szCs w:val="19"/>
              </w:rPr>
            </w:pPr>
            <w:r w:rsidRPr="00814E2F">
              <w:rPr>
                <w:color w:val="000000"/>
                <w:sz w:val="19"/>
                <w:szCs w:val="19"/>
              </w:rPr>
              <w:t>11.3</w:t>
            </w:r>
          </w:p>
        </w:tc>
        <w:tc>
          <w:tcPr>
            <w:tcW w:w="1530" w:type="dxa"/>
            <w:tcBorders>
              <w:top w:val="nil"/>
              <w:left w:val="single" w:sz="4" w:space="0" w:color="auto"/>
              <w:bottom w:val="single" w:sz="4" w:space="0" w:color="auto"/>
              <w:right w:val="single" w:sz="4" w:space="0" w:color="auto"/>
            </w:tcBorders>
            <w:shd w:val="clear" w:color="000000" w:fill="FFE699"/>
            <w:vAlign w:val="bottom"/>
          </w:tcPr>
          <w:p w14:paraId="222DB9FC" w14:textId="77777777" w:rsidR="007F18AB" w:rsidRPr="00814E2F" w:rsidRDefault="007F18AB" w:rsidP="007F18AB">
            <w:pPr>
              <w:spacing w:after="0" w:line="240" w:lineRule="auto"/>
              <w:jc w:val="right"/>
              <w:rPr>
                <w:color w:val="000000"/>
                <w:sz w:val="19"/>
                <w:szCs w:val="19"/>
              </w:rPr>
            </w:pPr>
            <w:r w:rsidRPr="00814E2F">
              <w:rPr>
                <w:color w:val="000000"/>
                <w:sz w:val="19"/>
                <w:szCs w:val="19"/>
              </w:rPr>
              <w:t>11.4</w:t>
            </w:r>
          </w:p>
        </w:tc>
        <w:tc>
          <w:tcPr>
            <w:tcW w:w="1530" w:type="dxa"/>
            <w:tcBorders>
              <w:top w:val="nil"/>
              <w:left w:val="single" w:sz="4" w:space="0" w:color="auto"/>
              <w:bottom w:val="single" w:sz="4" w:space="0" w:color="auto"/>
              <w:right w:val="single" w:sz="4" w:space="0" w:color="auto"/>
            </w:tcBorders>
            <w:shd w:val="clear" w:color="000000" w:fill="FFE699"/>
            <w:vAlign w:val="bottom"/>
          </w:tcPr>
          <w:p w14:paraId="4F44B7DC" w14:textId="77777777" w:rsidR="007F18AB" w:rsidRPr="00814E2F" w:rsidRDefault="007F18AB" w:rsidP="007F18AB">
            <w:pPr>
              <w:spacing w:after="0" w:line="240" w:lineRule="auto"/>
              <w:jc w:val="right"/>
              <w:rPr>
                <w:color w:val="000000"/>
                <w:sz w:val="19"/>
                <w:szCs w:val="19"/>
              </w:rPr>
            </w:pPr>
            <w:r w:rsidRPr="00814E2F">
              <w:rPr>
                <w:color w:val="000000"/>
                <w:sz w:val="19"/>
                <w:szCs w:val="19"/>
              </w:rPr>
              <w:t>10.4</w:t>
            </w:r>
          </w:p>
        </w:tc>
        <w:tc>
          <w:tcPr>
            <w:tcW w:w="1530" w:type="dxa"/>
            <w:tcBorders>
              <w:top w:val="nil"/>
              <w:left w:val="single" w:sz="4" w:space="0" w:color="auto"/>
              <w:bottom w:val="single" w:sz="4" w:space="0" w:color="auto"/>
              <w:right w:val="single" w:sz="4" w:space="0" w:color="auto"/>
            </w:tcBorders>
            <w:shd w:val="clear" w:color="000000" w:fill="FFE699"/>
            <w:vAlign w:val="bottom"/>
          </w:tcPr>
          <w:p w14:paraId="1A4E5F6C" w14:textId="77777777" w:rsidR="007F18AB" w:rsidRPr="00814E2F" w:rsidRDefault="007F18AB" w:rsidP="007F18AB">
            <w:pPr>
              <w:spacing w:after="0" w:line="240" w:lineRule="auto"/>
              <w:jc w:val="right"/>
              <w:rPr>
                <w:color w:val="000000"/>
                <w:sz w:val="19"/>
                <w:szCs w:val="19"/>
              </w:rPr>
            </w:pPr>
            <w:r w:rsidRPr="00814E2F">
              <w:rPr>
                <w:color w:val="000000"/>
                <w:sz w:val="19"/>
                <w:szCs w:val="19"/>
              </w:rPr>
              <w:t>6.2</w:t>
            </w:r>
          </w:p>
        </w:tc>
        <w:tc>
          <w:tcPr>
            <w:tcW w:w="1530" w:type="dxa"/>
            <w:tcBorders>
              <w:top w:val="nil"/>
              <w:left w:val="single" w:sz="4" w:space="0" w:color="auto"/>
              <w:bottom w:val="single" w:sz="4" w:space="0" w:color="auto"/>
              <w:right w:val="single" w:sz="4" w:space="0" w:color="auto"/>
            </w:tcBorders>
            <w:shd w:val="clear" w:color="000000" w:fill="FFE699"/>
            <w:vAlign w:val="bottom"/>
          </w:tcPr>
          <w:p w14:paraId="4BAF664F" w14:textId="77777777" w:rsidR="007F18AB" w:rsidRPr="00814E2F" w:rsidRDefault="007F18AB" w:rsidP="007F18AB">
            <w:pPr>
              <w:spacing w:after="0" w:line="240" w:lineRule="auto"/>
              <w:jc w:val="right"/>
              <w:rPr>
                <w:color w:val="000000"/>
                <w:sz w:val="19"/>
                <w:szCs w:val="19"/>
              </w:rPr>
            </w:pPr>
            <w:r w:rsidRPr="00814E2F">
              <w:rPr>
                <w:color w:val="000000"/>
                <w:sz w:val="19"/>
                <w:szCs w:val="19"/>
              </w:rPr>
              <w:t>4.4</w:t>
            </w:r>
          </w:p>
        </w:tc>
        <w:tc>
          <w:tcPr>
            <w:tcW w:w="1800" w:type="dxa"/>
            <w:tcBorders>
              <w:top w:val="nil"/>
              <w:left w:val="single" w:sz="4" w:space="0" w:color="auto"/>
              <w:bottom w:val="single" w:sz="4" w:space="0" w:color="auto"/>
              <w:right w:val="double" w:sz="4" w:space="0" w:color="auto"/>
            </w:tcBorders>
            <w:shd w:val="clear" w:color="000000" w:fill="FFE699"/>
            <w:vAlign w:val="bottom"/>
          </w:tcPr>
          <w:p w14:paraId="22F4C7C2" w14:textId="77777777" w:rsidR="007F18AB" w:rsidRPr="00814E2F" w:rsidRDefault="007F18AB" w:rsidP="007F18AB">
            <w:pPr>
              <w:spacing w:after="0" w:line="240" w:lineRule="auto"/>
              <w:jc w:val="right"/>
              <w:rPr>
                <w:color w:val="000000"/>
                <w:sz w:val="19"/>
                <w:szCs w:val="19"/>
              </w:rPr>
            </w:pPr>
            <w:r w:rsidRPr="00814E2F">
              <w:rPr>
                <w:color w:val="000000"/>
                <w:sz w:val="19"/>
                <w:szCs w:val="19"/>
              </w:rPr>
              <w:t>8.2</w:t>
            </w:r>
          </w:p>
        </w:tc>
      </w:tr>
      <w:tr w:rsidR="00A24926" w:rsidRPr="00814E2F" w14:paraId="217E3332" w14:textId="77777777" w:rsidTr="00A24926">
        <w:trPr>
          <w:trHeight w:val="230"/>
        </w:trPr>
        <w:tc>
          <w:tcPr>
            <w:tcW w:w="1980" w:type="dxa"/>
            <w:vMerge/>
            <w:tcBorders>
              <w:top w:val="nil"/>
              <w:left w:val="double" w:sz="4" w:space="0" w:color="auto"/>
              <w:bottom w:val="single" w:sz="12" w:space="0" w:color="auto"/>
              <w:right w:val="single" w:sz="4" w:space="0" w:color="auto"/>
            </w:tcBorders>
            <w:vAlign w:val="center"/>
            <w:hideMark/>
          </w:tcPr>
          <w:p w14:paraId="4F74E9C7" w14:textId="77777777" w:rsidR="007F18AB" w:rsidRPr="00814E2F" w:rsidRDefault="007F18AB" w:rsidP="007F18AB">
            <w:pPr>
              <w:spacing w:after="0" w:line="240" w:lineRule="auto"/>
              <w:jc w:val="left"/>
              <w:rPr>
                <w:rFonts w:eastAsia="Times New Roman"/>
                <w:b/>
                <w:color w:val="000000"/>
                <w:sz w:val="19"/>
                <w:szCs w:val="19"/>
              </w:rPr>
            </w:pPr>
          </w:p>
        </w:tc>
        <w:tc>
          <w:tcPr>
            <w:tcW w:w="1530" w:type="dxa"/>
            <w:tcBorders>
              <w:top w:val="nil"/>
              <w:left w:val="single" w:sz="12" w:space="0" w:color="auto"/>
              <w:bottom w:val="single" w:sz="12" w:space="0" w:color="auto"/>
              <w:right w:val="single" w:sz="12" w:space="0" w:color="auto"/>
            </w:tcBorders>
            <w:shd w:val="clear" w:color="000000" w:fill="FFE699"/>
          </w:tcPr>
          <w:p w14:paraId="53394D3C" w14:textId="77777777" w:rsidR="007F18AB" w:rsidRPr="00814E2F" w:rsidRDefault="007F18AB" w:rsidP="007F18AB">
            <w:pPr>
              <w:spacing w:after="0" w:line="240" w:lineRule="auto"/>
              <w:jc w:val="center"/>
              <w:rPr>
                <w:rFonts w:eastAsia="Times New Roman"/>
                <w:color w:val="000000"/>
                <w:sz w:val="19"/>
                <w:szCs w:val="19"/>
              </w:rPr>
            </w:pPr>
            <w:r w:rsidRPr="00814E2F">
              <w:rPr>
                <w:rFonts w:eastAsia="Times New Roman"/>
                <w:color w:val="000000"/>
                <w:sz w:val="19"/>
                <w:szCs w:val="19"/>
              </w:rPr>
              <w:t>Third WPL</w:t>
            </w:r>
          </w:p>
        </w:tc>
        <w:tc>
          <w:tcPr>
            <w:tcW w:w="1530" w:type="dxa"/>
            <w:tcBorders>
              <w:top w:val="nil"/>
              <w:left w:val="single" w:sz="12" w:space="0" w:color="auto"/>
              <w:bottom w:val="single" w:sz="12" w:space="0" w:color="auto"/>
              <w:right w:val="single" w:sz="4" w:space="0" w:color="auto"/>
            </w:tcBorders>
            <w:shd w:val="clear" w:color="000000" w:fill="FFE699"/>
            <w:vAlign w:val="bottom"/>
          </w:tcPr>
          <w:p w14:paraId="5854DDBF" w14:textId="77777777" w:rsidR="007F18AB" w:rsidRPr="00814E2F" w:rsidRDefault="007F18AB" w:rsidP="007F18AB">
            <w:pPr>
              <w:spacing w:after="0" w:line="240" w:lineRule="auto"/>
              <w:jc w:val="right"/>
              <w:rPr>
                <w:color w:val="000000"/>
                <w:sz w:val="19"/>
                <w:szCs w:val="19"/>
              </w:rPr>
            </w:pPr>
            <w:r w:rsidRPr="00814E2F">
              <w:rPr>
                <w:color w:val="000000"/>
                <w:sz w:val="19"/>
                <w:szCs w:val="19"/>
              </w:rPr>
              <w:t>1.4</w:t>
            </w:r>
          </w:p>
        </w:tc>
        <w:tc>
          <w:tcPr>
            <w:tcW w:w="1530" w:type="dxa"/>
            <w:tcBorders>
              <w:top w:val="nil"/>
              <w:left w:val="single" w:sz="4" w:space="0" w:color="auto"/>
              <w:bottom w:val="single" w:sz="12" w:space="0" w:color="auto"/>
              <w:right w:val="single" w:sz="4" w:space="0" w:color="auto"/>
            </w:tcBorders>
            <w:shd w:val="clear" w:color="000000" w:fill="FFE699"/>
            <w:vAlign w:val="bottom"/>
          </w:tcPr>
          <w:p w14:paraId="4ACBD841" w14:textId="77777777" w:rsidR="007F18AB" w:rsidRPr="00814E2F" w:rsidRDefault="007F18AB" w:rsidP="007F18AB">
            <w:pPr>
              <w:spacing w:after="0" w:line="240" w:lineRule="auto"/>
              <w:jc w:val="right"/>
              <w:rPr>
                <w:color w:val="000000"/>
                <w:sz w:val="19"/>
                <w:szCs w:val="19"/>
              </w:rPr>
            </w:pPr>
            <w:r w:rsidRPr="00814E2F">
              <w:rPr>
                <w:color w:val="000000"/>
                <w:sz w:val="19"/>
                <w:szCs w:val="19"/>
              </w:rPr>
              <w:t>1.4</w:t>
            </w:r>
          </w:p>
        </w:tc>
        <w:tc>
          <w:tcPr>
            <w:tcW w:w="1530" w:type="dxa"/>
            <w:tcBorders>
              <w:top w:val="nil"/>
              <w:left w:val="single" w:sz="4" w:space="0" w:color="auto"/>
              <w:bottom w:val="single" w:sz="12" w:space="0" w:color="auto"/>
              <w:right w:val="single" w:sz="4" w:space="0" w:color="auto"/>
            </w:tcBorders>
            <w:shd w:val="clear" w:color="000000" w:fill="FFE699"/>
            <w:vAlign w:val="bottom"/>
          </w:tcPr>
          <w:p w14:paraId="093416B9" w14:textId="77777777" w:rsidR="007F18AB" w:rsidRPr="00814E2F" w:rsidRDefault="007F18AB" w:rsidP="007F18AB">
            <w:pPr>
              <w:spacing w:after="0" w:line="240" w:lineRule="auto"/>
              <w:jc w:val="right"/>
              <w:rPr>
                <w:color w:val="000000"/>
                <w:sz w:val="19"/>
                <w:szCs w:val="19"/>
              </w:rPr>
            </w:pPr>
            <w:r w:rsidRPr="00814E2F">
              <w:rPr>
                <w:color w:val="000000"/>
                <w:sz w:val="19"/>
                <w:szCs w:val="19"/>
              </w:rPr>
              <w:t>1.3</w:t>
            </w:r>
          </w:p>
        </w:tc>
        <w:tc>
          <w:tcPr>
            <w:tcW w:w="1530" w:type="dxa"/>
            <w:tcBorders>
              <w:top w:val="nil"/>
              <w:left w:val="single" w:sz="4" w:space="0" w:color="auto"/>
              <w:bottom w:val="single" w:sz="12" w:space="0" w:color="auto"/>
              <w:right w:val="single" w:sz="4" w:space="0" w:color="auto"/>
            </w:tcBorders>
            <w:shd w:val="clear" w:color="000000" w:fill="FFE699"/>
            <w:vAlign w:val="bottom"/>
          </w:tcPr>
          <w:p w14:paraId="2E587A45" w14:textId="77777777" w:rsidR="007F18AB" w:rsidRPr="00814E2F" w:rsidRDefault="007F18AB" w:rsidP="007F18AB">
            <w:pPr>
              <w:spacing w:after="0" w:line="240" w:lineRule="auto"/>
              <w:jc w:val="right"/>
              <w:rPr>
                <w:color w:val="000000"/>
                <w:sz w:val="19"/>
                <w:szCs w:val="19"/>
              </w:rPr>
            </w:pPr>
            <w:r w:rsidRPr="00814E2F">
              <w:rPr>
                <w:color w:val="000000"/>
                <w:sz w:val="19"/>
                <w:szCs w:val="19"/>
              </w:rPr>
              <w:t>2.2</w:t>
            </w:r>
          </w:p>
        </w:tc>
        <w:tc>
          <w:tcPr>
            <w:tcW w:w="1530" w:type="dxa"/>
            <w:tcBorders>
              <w:top w:val="nil"/>
              <w:left w:val="single" w:sz="4" w:space="0" w:color="auto"/>
              <w:bottom w:val="single" w:sz="12" w:space="0" w:color="auto"/>
              <w:right w:val="single" w:sz="4" w:space="0" w:color="auto"/>
            </w:tcBorders>
            <w:shd w:val="clear" w:color="000000" w:fill="FFE699"/>
            <w:vAlign w:val="bottom"/>
          </w:tcPr>
          <w:p w14:paraId="13577259" w14:textId="77777777" w:rsidR="007F18AB" w:rsidRPr="00814E2F" w:rsidRDefault="007F18AB" w:rsidP="007F18AB">
            <w:pPr>
              <w:spacing w:after="0" w:line="240" w:lineRule="auto"/>
              <w:jc w:val="right"/>
              <w:rPr>
                <w:color w:val="000000"/>
                <w:sz w:val="19"/>
                <w:szCs w:val="19"/>
              </w:rPr>
            </w:pPr>
            <w:r w:rsidRPr="00814E2F">
              <w:rPr>
                <w:color w:val="000000"/>
                <w:sz w:val="19"/>
                <w:szCs w:val="19"/>
              </w:rPr>
              <w:t>1.9</w:t>
            </w:r>
          </w:p>
        </w:tc>
        <w:tc>
          <w:tcPr>
            <w:tcW w:w="1800" w:type="dxa"/>
            <w:tcBorders>
              <w:top w:val="nil"/>
              <w:left w:val="single" w:sz="4" w:space="0" w:color="auto"/>
              <w:bottom w:val="single" w:sz="12" w:space="0" w:color="auto"/>
              <w:right w:val="double" w:sz="4" w:space="0" w:color="auto"/>
            </w:tcBorders>
            <w:shd w:val="clear" w:color="000000" w:fill="FFE699"/>
            <w:vAlign w:val="bottom"/>
          </w:tcPr>
          <w:p w14:paraId="1CCA8C89" w14:textId="77777777" w:rsidR="007F18AB" w:rsidRPr="00814E2F" w:rsidRDefault="007F18AB" w:rsidP="007F18AB">
            <w:pPr>
              <w:spacing w:after="0" w:line="240" w:lineRule="auto"/>
              <w:jc w:val="right"/>
              <w:rPr>
                <w:color w:val="000000"/>
                <w:sz w:val="19"/>
                <w:szCs w:val="19"/>
              </w:rPr>
            </w:pPr>
            <w:r w:rsidRPr="00814E2F">
              <w:rPr>
                <w:color w:val="000000"/>
                <w:sz w:val="19"/>
                <w:szCs w:val="19"/>
              </w:rPr>
              <w:t>1.9</w:t>
            </w:r>
          </w:p>
        </w:tc>
      </w:tr>
      <w:tr w:rsidR="00A24926" w:rsidRPr="00814E2F" w14:paraId="783E5DA1" w14:textId="77777777" w:rsidTr="00A24926">
        <w:trPr>
          <w:trHeight w:val="230"/>
        </w:trPr>
        <w:tc>
          <w:tcPr>
            <w:tcW w:w="1980" w:type="dxa"/>
            <w:vMerge w:val="restart"/>
            <w:tcBorders>
              <w:top w:val="nil"/>
              <w:left w:val="double" w:sz="4" w:space="0" w:color="auto"/>
              <w:bottom w:val="single" w:sz="4" w:space="0" w:color="000000"/>
              <w:right w:val="single" w:sz="4" w:space="0" w:color="auto"/>
            </w:tcBorders>
            <w:shd w:val="clear" w:color="000000" w:fill="C6E0B4"/>
            <w:vAlign w:val="center"/>
            <w:hideMark/>
          </w:tcPr>
          <w:p w14:paraId="017ECD53" w14:textId="77777777" w:rsidR="007F18AB" w:rsidRPr="00814E2F" w:rsidRDefault="007F18AB" w:rsidP="007F18AB">
            <w:pPr>
              <w:spacing w:after="0" w:line="240" w:lineRule="auto"/>
              <w:jc w:val="left"/>
              <w:rPr>
                <w:rFonts w:eastAsia="Times New Roman"/>
                <w:b/>
                <w:bCs/>
                <w:color w:val="000000"/>
                <w:sz w:val="19"/>
                <w:szCs w:val="19"/>
              </w:rPr>
            </w:pPr>
            <w:r w:rsidRPr="00814E2F">
              <w:rPr>
                <w:rFonts w:eastAsia="Times New Roman"/>
                <w:b/>
                <w:bCs/>
                <w:color w:val="000000"/>
                <w:sz w:val="19"/>
                <w:szCs w:val="19"/>
              </w:rPr>
              <w:t>Women with young child without partner</w:t>
            </w:r>
          </w:p>
        </w:tc>
        <w:tc>
          <w:tcPr>
            <w:tcW w:w="1530" w:type="dxa"/>
            <w:tcBorders>
              <w:top w:val="single" w:sz="12" w:space="0" w:color="auto"/>
              <w:left w:val="single" w:sz="12" w:space="0" w:color="auto"/>
              <w:bottom w:val="single" w:sz="4" w:space="0" w:color="auto"/>
              <w:right w:val="single" w:sz="12" w:space="0" w:color="auto"/>
            </w:tcBorders>
            <w:shd w:val="clear" w:color="000000" w:fill="C6E0B4"/>
            <w:vAlign w:val="center"/>
          </w:tcPr>
          <w:p w14:paraId="7897998E" w14:textId="77777777" w:rsidR="007F18AB" w:rsidRPr="00814E2F" w:rsidRDefault="007F18AB" w:rsidP="007F18AB">
            <w:pPr>
              <w:spacing w:after="0" w:line="240" w:lineRule="auto"/>
              <w:jc w:val="center"/>
              <w:rPr>
                <w:rFonts w:eastAsia="Times New Roman"/>
                <w:color w:val="000000"/>
                <w:sz w:val="19"/>
                <w:szCs w:val="19"/>
              </w:rPr>
            </w:pPr>
            <w:r w:rsidRPr="00814E2F">
              <w:rPr>
                <w:rFonts w:eastAsia="Times New Roman"/>
                <w:color w:val="000000"/>
                <w:sz w:val="19"/>
                <w:szCs w:val="19"/>
              </w:rPr>
              <w:t>Home</w:t>
            </w:r>
          </w:p>
        </w:tc>
        <w:tc>
          <w:tcPr>
            <w:tcW w:w="1530" w:type="dxa"/>
            <w:tcBorders>
              <w:top w:val="single" w:sz="12" w:space="0" w:color="auto"/>
              <w:left w:val="single" w:sz="12" w:space="0" w:color="auto"/>
              <w:bottom w:val="single" w:sz="4" w:space="0" w:color="auto"/>
              <w:right w:val="single" w:sz="4" w:space="0" w:color="auto"/>
            </w:tcBorders>
            <w:shd w:val="clear" w:color="000000" w:fill="C6E0B4"/>
            <w:vAlign w:val="bottom"/>
          </w:tcPr>
          <w:p w14:paraId="6AEAC376" w14:textId="77777777" w:rsidR="007F18AB" w:rsidRPr="00814E2F" w:rsidRDefault="007F18AB" w:rsidP="007F18AB">
            <w:pPr>
              <w:spacing w:after="0" w:line="240" w:lineRule="auto"/>
              <w:jc w:val="right"/>
              <w:rPr>
                <w:color w:val="000000"/>
                <w:sz w:val="19"/>
                <w:szCs w:val="19"/>
              </w:rPr>
            </w:pPr>
            <w:r w:rsidRPr="00814E2F">
              <w:rPr>
                <w:color w:val="000000"/>
                <w:sz w:val="19"/>
                <w:szCs w:val="19"/>
              </w:rPr>
              <w:t>19.0</w:t>
            </w:r>
          </w:p>
        </w:tc>
        <w:tc>
          <w:tcPr>
            <w:tcW w:w="1530" w:type="dxa"/>
            <w:tcBorders>
              <w:top w:val="single" w:sz="12" w:space="0" w:color="auto"/>
              <w:left w:val="single" w:sz="4" w:space="0" w:color="auto"/>
              <w:bottom w:val="single" w:sz="4" w:space="0" w:color="auto"/>
              <w:right w:val="single" w:sz="4" w:space="0" w:color="auto"/>
            </w:tcBorders>
            <w:shd w:val="clear" w:color="000000" w:fill="C6E0B4"/>
            <w:vAlign w:val="bottom"/>
          </w:tcPr>
          <w:p w14:paraId="4B597A61" w14:textId="77777777" w:rsidR="007F18AB" w:rsidRPr="00814E2F" w:rsidRDefault="007F18AB" w:rsidP="007F18AB">
            <w:pPr>
              <w:spacing w:after="0" w:line="240" w:lineRule="auto"/>
              <w:jc w:val="right"/>
              <w:rPr>
                <w:color w:val="000000"/>
                <w:sz w:val="19"/>
                <w:szCs w:val="19"/>
              </w:rPr>
            </w:pPr>
            <w:r w:rsidRPr="00814E2F">
              <w:rPr>
                <w:color w:val="000000"/>
                <w:sz w:val="19"/>
                <w:szCs w:val="19"/>
              </w:rPr>
              <w:t>19.0</w:t>
            </w:r>
          </w:p>
        </w:tc>
        <w:tc>
          <w:tcPr>
            <w:tcW w:w="1530" w:type="dxa"/>
            <w:tcBorders>
              <w:top w:val="single" w:sz="12" w:space="0" w:color="auto"/>
              <w:left w:val="single" w:sz="4" w:space="0" w:color="auto"/>
              <w:bottom w:val="single" w:sz="4" w:space="0" w:color="auto"/>
              <w:right w:val="single" w:sz="4" w:space="0" w:color="auto"/>
            </w:tcBorders>
            <w:shd w:val="clear" w:color="000000" w:fill="C6E0B4"/>
            <w:vAlign w:val="bottom"/>
          </w:tcPr>
          <w:p w14:paraId="42B8C676" w14:textId="77777777" w:rsidR="007F18AB" w:rsidRPr="00814E2F" w:rsidRDefault="007F18AB" w:rsidP="007F18AB">
            <w:pPr>
              <w:spacing w:after="0" w:line="240" w:lineRule="auto"/>
              <w:jc w:val="right"/>
              <w:rPr>
                <w:color w:val="000000"/>
                <w:sz w:val="19"/>
                <w:szCs w:val="19"/>
              </w:rPr>
            </w:pPr>
            <w:r w:rsidRPr="00814E2F">
              <w:rPr>
                <w:color w:val="000000"/>
                <w:sz w:val="19"/>
                <w:szCs w:val="19"/>
              </w:rPr>
              <w:t>19.5</w:t>
            </w:r>
          </w:p>
        </w:tc>
        <w:tc>
          <w:tcPr>
            <w:tcW w:w="1530" w:type="dxa"/>
            <w:tcBorders>
              <w:top w:val="single" w:sz="12" w:space="0" w:color="auto"/>
              <w:left w:val="single" w:sz="4" w:space="0" w:color="auto"/>
              <w:bottom w:val="single" w:sz="4" w:space="0" w:color="auto"/>
              <w:right w:val="single" w:sz="4" w:space="0" w:color="auto"/>
            </w:tcBorders>
            <w:shd w:val="clear" w:color="000000" w:fill="C6E0B4"/>
            <w:vAlign w:val="bottom"/>
          </w:tcPr>
          <w:p w14:paraId="45A273EF" w14:textId="77777777" w:rsidR="007F18AB" w:rsidRPr="00814E2F" w:rsidRDefault="007F18AB" w:rsidP="007F18AB">
            <w:pPr>
              <w:spacing w:after="0" w:line="240" w:lineRule="auto"/>
              <w:jc w:val="right"/>
              <w:rPr>
                <w:color w:val="000000"/>
                <w:sz w:val="19"/>
                <w:szCs w:val="19"/>
              </w:rPr>
            </w:pPr>
            <w:r w:rsidRPr="00814E2F">
              <w:rPr>
                <w:color w:val="000000"/>
                <w:sz w:val="19"/>
                <w:szCs w:val="19"/>
              </w:rPr>
              <w:t>20.8</w:t>
            </w:r>
          </w:p>
        </w:tc>
        <w:tc>
          <w:tcPr>
            <w:tcW w:w="1530" w:type="dxa"/>
            <w:tcBorders>
              <w:top w:val="single" w:sz="12" w:space="0" w:color="auto"/>
              <w:left w:val="single" w:sz="4" w:space="0" w:color="auto"/>
              <w:bottom w:val="single" w:sz="4" w:space="0" w:color="auto"/>
              <w:right w:val="single" w:sz="4" w:space="0" w:color="auto"/>
            </w:tcBorders>
            <w:shd w:val="clear" w:color="000000" w:fill="C6E0B4"/>
            <w:vAlign w:val="bottom"/>
          </w:tcPr>
          <w:p w14:paraId="04467437" w14:textId="77777777" w:rsidR="007F18AB" w:rsidRPr="00814E2F" w:rsidRDefault="007F18AB" w:rsidP="007F18AB">
            <w:pPr>
              <w:spacing w:after="0" w:line="240" w:lineRule="auto"/>
              <w:jc w:val="right"/>
              <w:rPr>
                <w:color w:val="000000"/>
                <w:sz w:val="19"/>
                <w:szCs w:val="19"/>
              </w:rPr>
            </w:pPr>
            <w:r w:rsidRPr="00814E2F">
              <w:rPr>
                <w:color w:val="000000"/>
                <w:sz w:val="19"/>
                <w:szCs w:val="19"/>
              </w:rPr>
              <w:t>21.2</w:t>
            </w:r>
          </w:p>
        </w:tc>
        <w:tc>
          <w:tcPr>
            <w:tcW w:w="1800" w:type="dxa"/>
            <w:tcBorders>
              <w:top w:val="single" w:sz="12" w:space="0" w:color="auto"/>
              <w:left w:val="single" w:sz="4" w:space="0" w:color="auto"/>
              <w:bottom w:val="single" w:sz="4" w:space="0" w:color="auto"/>
              <w:right w:val="double" w:sz="4" w:space="0" w:color="auto"/>
            </w:tcBorders>
            <w:shd w:val="clear" w:color="000000" w:fill="C6E0B4"/>
            <w:vAlign w:val="bottom"/>
          </w:tcPr>
          <w:p w14:paraId="1DE51409" w14:textId="77777777" w:rsidR="007F18AB" w:rsidRPr="00814E2F" w:rsidRDefault="007F18AB" w:rsidP="007F18AB">
            <w:pPr>
              <w:spacing w:after="0" w:line="240" w:lineRule="auto"/>
              <w:jc w:val="right"/>
              <w:rPr>
                <w:color w:val="000000"/>
                <w:sz w:val="19"/>
                <w:szCs w:val="19"/>
              </w:rPr>
            </w:pPr>
            <w:r w:rsidRPr="00814E2F">
              <w:rPr>
                <w:color w:val="000000"/>
                <w:sz w:val="19"/>
                <w:szCs w:val="19"/>
              </w:rPr>
              <w:t>20.2</w:t>
            </w:r>
          </w:p>
        </w:tc>
      </w:tr>
      <w:tr w:rsidR="00A24926" w:rsidRPr="00814E2F" w14:paraId="0F082F52" w14:textId="77777777" w:rsidTr="00A24926">
        <w:trPr>
          <w:trHeight w:val="230"/>
        </w:trPr>
        <w:tc>
          <w:tcPr>
            <w:tcW w:w="1980" w:type="dxa"/>
            <w:vMerge/>
            <w:tcBorders>
              <w:top w:val="nil"/>
              <w:left w:val="double" w:sz="4" w:space="0" w:color="auto"/>
              <w:bottom w:val="single" w:sz="4" w:space="0" w:color="000000"/>
              <w:right w:val="single" w:sz="4" w:space="0" w:color="auto"/>
            </w:tcBorders>
            <w:vAlign w:val="center"/>
            <w:hideMark/>
          </w:tcPr>
          <w:p w14:paraId="0B9AEAD1" w14:textId="77777777" w:rsidR="007F18AB" w:rsidRPr="00814E2F" w:rsidRDefault="007F18AB" w:rsidP="007F18AB">
            <w:pPr>
              <w:spacing w:after="0" w:line="240" w:lineRule="auto"/>
              <w:rPr>
                <w:rFonts w:eastAsia="Times New Roman"/>
                <w:b/>
                <w:bCs/>
                <w:color w:val="000000"/>
                <w:sz w:val="19"/>
                <w:szCs w:val="19"/>
              </w:rPr>
            </w:pPr>
          </w:p>
        </w:tc>
        <w:tc>
          <w:tcPr>
            <w:tcW w:w="1530" w:type="dxa"/>
            <w:tcBorders>
              <w:top w:val="nil"/>
              <w:left w:val="single" w:sz="12" w:space="0" w:color="auto"/>
              <w:bottom w:val="single" w:sz="4" w:space="0" w:color="auto"/>
              <w:right w:val="single" w:sz="12" w:space="0" w:color="auto"/>
            </w:tcBorders>
            <w:shd w:val="clear" w:color="000000" w:fill="C6E0B4"/>
            <w:vAlign w:val="center"/>
          </w:tcPr>
          <w:p w14:paraId="512F1B2F" w14:textId="77777777" w:rsidR="007F18AB" w:rsidRPr="00814E2F" w:rsidRDefault="007F18AB" w:rsidP="007F18AB">
            <w:pPr>
              <w:spacing w:after="0" w:line="240" w:lineRule="auto"/>
              <w:jc w:val="center"/>
              <w:rPr>
                <w:rFonts w:eastAsia="Times New Roman"/>
                <w:color w:val="000000"/>
                <w:sz w:val="19"/>
                <w:szCs w:val="19"/>
              </w:rPr>
            </w:pPr>
            <w:r w:rsidRPr="00814E2F">
              <w:rPr>
                <w:rFonts w:eastAsia="Times New Roman"/>
                <w:color w:val="000000"/>
                <w:sz w:val="19"/>
                <w:szCs w:val="19"/>
              </w:rPr>
              <w:t>Work Office</w:t>
            </w:r>
          </w:p>
        </w:tc>
        <w:tc>
          <w:tcPr>
            <w:tcW w:w="1530" w:type="dxa"/>
            <w:tcBorders>
              <w:top w:val="nil"/>
              <w:left w:val="single" w:sz="12" w:space="0" w:color="auto"/>
              <w:bottom w:val="single" w:sz="4" w:space="0" w:color="auto"/>
              <w:right w:val="single" w:sz="4" w:space="0" w:color="auto"/>
            </w:tcBorders>
            <w:shd w:val="clear" w:color="000000" w:fill="C6E0B4"/>
            <w:vAlign w:val="bottom"/>
          </w:tcPr>
          <w:p w14:paraId="1732A9F3" w14:textId="77777777" w:rsidR="007F18AB" w:rsidRPr="00814E2F" w:rsidRDefault="007F18AB" w:rsidP="007F18AB">
            <w:pPr>
              <w:spacing w:after="0" w:line="240" w:lineRule="auto"/>
              <w:jc w:val="right"/>
              <w:rPr>
                <w:color w:val="000000"/>
                <w:sz w:val="19"/>
                <w:szCs w:val="19"/>
              </w:rPr>
            </w:pPr>
            <w:r w:rsidRPr="00814E2F">
              <w:rPr>
                <w:color w:val="000000"/>
                <w:sz w:val="19"/>
                <w:szCs w:val="19"/>
              </w:rPr>
              <w:t>2.8</w:t>
            </w:r>
          </w:p>
        </w:tc>
        <w:tc>
          <w:tcPr>
            <w:tcW w:w="1530" w:type="dxa"/>
            <w:tcBorders>
              <w:top w:val="nil"/>
              <w:left w:val="single" w:sz="4" w:space="0" w:color="auto"/>
              <w:bottom w:val="single" w:sz="4" w:space="0" w:color="auto"/>
              <w:right w:val="single" w:sz="4" w:space="0" w:color="auto"/>
            </w:tcBorders>
            <w:shd w:val="clear" w:color="000000" w:fill="C6E0B4"/>
            <w:vAlign w:val="bottom"/>
          </w:tcPr>
          <w:p w14:paraId="0DAE9AE2" w14:textId="77777777" w:rsidR="007F18AB" w:rsidRPr="00814E2F" w:rsidRDefault="007F18AB" w:rsidP="007F18AB">
            <w:pPr>
              <w:spacing w:after="0" w:line="240" w:lineRule="auto"/>
              <w:jc w:val="right"/>
              <w:rPr>
                <w:color w:val="000000"/>
                <w:sz w:val="19"/>
                <w:szCs w:val="19"/>
              </w:rPr>
            </w:pPr>
            <w:r w:rsidRPr="00814E2F">
              <w:rPr>
                <w:color w:val="000000"/>
                <w:sz w:val="19"/>
                <w:szCs w:val="19"/>
              </w:rPr>
              <w:t>2.8</w:t>
            </w:r>
          </w:p>
        </w:tc>
        <w:tc>
          <w:tcPr>
            <w:tcW w:w="1530" w:type="dxa"/>
            <w:tcBorders>
              <w:top w:val="nil"/>
              <w:left w:val="single" w:sz="4" w:space="0" w:color="auto"/>
              <w:bottom w:val="single" w:sz="4" w:space="0" w:color="auto"/>
              <w:right w:val="single" w:sz="4" w:space="0" w:color="auto"/>
            </w:tcBorders>
            <w:shd w:val="clear" w:color="000000" w:fill="C6E0B4"/>
            <w:vAlign w:val="bottom"/>
          </w:tcPr>
          <w:p w14:paraId="7E788E24" w14:textId="77777777" w:rsidR="007F18AB" w:rsidRPr="00814E2F" w:rsidRDefault="007F18AB" w:rsidP="007F18AB">
            <w:pPr>
              <w:spacing w:after="0" w:line="240" w:lineRule="auto"/>
              <w:jc w:val="right"/>
              <w:rPr>
                <w:color w:val="000000"/>
                <w:sz w:val="19"/>
                <w:szCs w:val="19"/>
              </w:rPr>
            </w:pPr>
            <w:r w:rsidRPr="00814E2F">
              <w:rPr>
                <w:color w:val="000000"/>
                <w:sz w:val="19"/>
                <w:szCs w:val="19"/>
              </w:rPr>
              <w:t>2.3</w:t>
            </w:r>
          </w:p>
        </w:tc>
        <w:tc>
          <w:tcPr>
            <w:tcW w:w="1530" w:type="dxa"/>
            <w:tcBorders>
              <w:top w:val="nil"/>
              <w:left w:val="single" w:sz="4" w:space="0" w:color="auto"/>
              <w:bottom w:val="single" w:sz="4" w:space="0" w:color="auto"/>
              <w:right w:val="single" w:sz="4" w:space="0" w:color="auto"/>
            </w:tcBorders>
            <w:shd w:val="clear" w:color="000000" w:fill="C6E0B4"/>
            <w:vAlign w:val="bottom"/>
          </w:tcPr>
          <w:p w14:paraId="71F1E433" w14:textId="77777777" w:rsidR="007F18AB" w:rsidRPr="00814E2F" w:rsidRDefault="007F18AB" w:rsidP="007F18AB">
            <w:pPr>
              <w:spacing w:after="0" w:line="240" w:lineRule="auto"/>
              <w:jc w:val="right"/>
              <w:rPr>
                <w:color w:val="000000"/>
                <w:sz w:val="19"/>
                <w:szCs w:val="19"/>
              </w:rPr>
            </w:pPr>
            <w:r w:rsidRPr="00814E2F">
              <w:rPr>
                <w:color w:val="000000"/>
                <w:sz w:val="19"/>
                <w:szCs w:val="19"/>
              </w:rPr>
              <w:t>1.0</w:t>
            </w:r>
          </w:p>
        </w:tc>
        <w:tc>
          <w:tcPr>
            <w:tcW w:w="1530" w:type="dxa"/>
            <w:tcBorders>
              <w:top w:val="nil"/>
              <w:left w:val="single" w:sz="4" w:space="0" w:color="auto"/>
              <w:bottom w:val="single" w:sz="4" w:space="0" w:color="auto"/>
              <w:right w:val="single" w:sz="4" w:space="0" w:color="auto"/>
            </w:tcBorders>
            <w:shd w:val="clear" w:color="000000" w:fill="C6E0B4"/>
            <w:vAlign w:val="bottom"/>
          </w:tcPr>
          <w:p w14:paraId="67CC72BC" w14:textId="77777777" w:rsidR="007F18AB" w:rsidRPr="00814E2F" w:rsidRDefault="007F18AB" w:rsidP="007F18AB">
            <w:pPr>
              <w:spacing w:after="0" w:line="240" w:lineRule="auto"/>
              <w:jc w:val="right"/>
              <w:rPr>
                <w:color w:val="000000"/>
                <w:sz w:val="19"/>
                <w:szCs w:val="19"/>
              </w:rPr>
            </w:pPr>
            <w:r w:rsidRPr="00814E2F">
              <w:rPr>
                <w:color w:val="000000"/>
                <w:sz w:val="19"/>
                <w:szCs w:val="19"/>
              </w:rPr>
              <w:t>0.6</w:t>
            </w:r>
          </w:p>
        </w:tc>
        <w:tc>
          <w:tcPr>
            <w:tcW w:w="1800" w:type="dxa"/>
            <w:tcBorders>
              <w:top w:val="nil"/>
              <w:left w:val="single" w:sz="4" w:space="0" w:color="auto"/>
              <w:bottom w:val="single" w:sz="4" w:space="0" w:color="auto"/>
              <w:right w:val="double" w:sz="4" w:space="0" w:color="auto"/>
            </w:tcBorders>
            <w:shd w:val="clear" w:color="000000" w:fill="C6E0B4"/>
            <w:vAlign w:val="bottom"/>
          </w:tcPr>
          <w:p w14:paraId="295A7A07" w14:textId="77777777" w:rsidR="007F18AB" w:rsidRPr="00814E2F" w:rsidRDefault="007F18AB" w:rsidP="007F18AB">
            <w:pPr>
              <w:spacing w:after="0" w:line="240" w:lineRule="auto"/>
              <w:jc w:val="right"/>
              <w:rPr>
                <w:color w:val="000000"/>
                <w:sz w:val="19"/>
                <w:szCs w:val="19"/>
              </w:rPr>
            </w:pPr>
            <w:r w:rsidRPr="00814E2F">
              <w:rPr>
                <w:color w:val="000000"/>
                <w:sz w:val="19"/>
                <w:szCs w:val="19"/>
              </w:rPr>
              <w:t>1.5</w:t>
            </w:r>
          </w:p>
        </w:tc>
      </w:tr>
      <w:tr w:rsidR="00A24926" w:rsidRPr="00814E2F" w14:paraId="7EBAB734" w14:textId="77777777" w:rsidTr="00A24926">
        <w:trPr>
          <w:trHeight w:val="230"/>
        </w:trPr>
        <w:tc>
          <w:tcPr>
            <w:tcW w:w="1980" w:type="dxa"/>
            <w:vMerge/>
            <w:tcBorders>
              <w:top w:val="nil"/>
              <w:left w:val="double" w:sz="4" w:space="0" w:color="auto"/>
              <w:bottom w:val="double" w:sz="4" w:space="0" w:color="auto"/>
              <w:right w:val="single" w:sz="4" w:space="0" w:color="auto"/>
            </w:tcBorders>
            <w:vAlign w:val="center"/>
            <w:hideMark/>
          </w:tcPr>
          <w:p w14:paraId="480C08EC" w14:textId="77777777" w:rsidR="007F18AB" w:rsidRPr="00814E2F" w:rsidRDefault="007F18AB" w:rsidP="007F18AB">
            <w:pPr>
              <w:spacing w:after="0" w:line="240" w:lineRule="auto"/>
              <w:rPr>
                <w:rFonts w:eastAsia="Times New Roman"/>
                <w:b/>
                <w:bCs/>
                <w:color w:val="000000"/>
                <w:sz w:val="19"/>
                <w:szCs w:val="19"/>
              </w:rPr>
            </w:pPr>
          </w:p>
        </w:tc>
        <w:tc>
          <w:tcPr>
            <w:tcW w:w="1530" w:type="dxa"/>
            <w:tcBorders>
              <w:top w:val="nil"/>
              <w:left w:val="single" w:sz="12" w:space="0" w:color="auto"/>
              <w:bottom w:val="double" w:sz="4" w:space="0" w:color="auto"/>
              <w:right w:val="single" w:sz="12" w:space="0" w:color="auto"/>
            </w:tcBorders>
            <w:shd w:val="clear" w:color="000000" w:fill="C6E0B4"/>
            <w:vAlign w:val="center"/>
          </w:tcPr>
          <w:p w14:paraId="10BF1F0D" w14:textId="77777777" w:rsidR="007F18AB" w:rsidRPr="00814E2F" w:rsidRDefault="007F18AB" w:rsidP="007F18AB">
            <w:pPr>
              <w:spacing w:after="0" w:line="240" w:lineRule="auto"/>
              <w:jc w:val="center"/>
              <w:rPr>
                <w:rFonts w:eastAsia="Times New Roman"/>
                <w:color w:val="000000"/>
                <w:sz w:val="19"/>
                <w:szCs w:val="19"/>
              </w:rPr>
            </w:pPr>
            <w:r w:rsidRPr="00814E2F">
              <w:rPr>
                <w:rFonts w:eastAsia="Times New Roman"/>
                <w:color w:val="000000"/>
                <w:sz w:val="19"/>
                <w:szCs w:val="19"/>
              </w:rPr>
              <w:t>Third WPL</w:t>
            </w:r>
          </w:p>
        </w:tc>
        <w:tc>
          <w:tcPr>
            <w:tcW w:w="1530" w:type="dxa"/>
            <w:tcBorders>
              <w:top w:val="nil"/>
              <w:left w:val="single" w:sz="12" w:space="0" w:color="auto"/>
              <w:bottom w:val="double" w:sz="4" w:space="0" w:color="auto"/>
              <w:right w:val="single" w:sz="4" w:space="0" w:color="auto"/>
            </w:tcBorders>
            <w:shd w:val="clear" w:color="000000" w:fill="C6E0B4"/>
            <w:vAlign w:val="bottom"/>
          </w:tcPr>
          <w:p w14:paraId="0F16FCFC" w14:textId="77777777" w:rsidR="007F18AB" w:rsidRPr="00814E2F" w:rsidRDefault="007F18AB" w:rsidP="007F18AB">
            <w:pPr>
              <w:spacing w:after="0" w:line="240" w:lineRule="auto"/>
              <w:jc w:val="right"/>
              <w:rPr>
                <w:color w:val="000000"/>
                <w:sz w:val="19"/>
                <w:szCs w:val="19"/>
              </w:rPr>
            </w:pPr>
            <w:r w:rsidRPr="00814E2F">
              <w:rPr>
                <w:color w:val="000000"/>
                <w:sz w:val="19"/>
                <w:szCs w:val="19"/>
              </w:rPr>
              <w:t>0.2</w:t>
            </w:r>
          </w:p>
        </w:tc>
        <w:tc>
          <w:tcPr>
            <w:tcW w:w="1530" w:type="dxa"/>
            <w:tcBorders>
              <w:top w:val="nil"/>
              <w:left w:val="single" w:sz="4" w:space="0" w:color="auto"/>
              <w:bottom w:val="double" w:sz="4" w:space="0" w:color="auto"/>
              <w:right w:val="single" w:sz="4" w:space="0" w:color="auto"/>
            </w:tcBorders>
            <w:shd w:val="clear" w:color="000000" w:fill="C6E0B4"/>
            <w:vAlign w:val="bottom"/>
          </w:tcPr>
          <w:p w14:paraId="7FF3F90E" w14:textId="77777777" w:rsidR="007F18AB" w:rsidRPr="00814E2F" w:rsidRDefault="007F18AB" w:rsidP="007F18AB">
            <w:pPr>
              <w:spacing w:after="0" w:line="240" w:lineRule="auto"/>
              <w:jc w:val="right"/>
              <w:rPr>
                <w:color w:val="000000"/>
                <w:sz w:val="19"/>
                <w:szCs w:val="19"/>
              </w:rPr>
            </w:pPr>
            <w:r w:rsidRPr="00814E2F">
              <w:rPr>
                <w:color w:val="000000"/>
                <w:sz w:val="19"/>
                <w:szCs w:val="19"/>
              </w:rPr>
              <w:t>0.2</w:t>
            </w:r>
          </w:p>
        </w:tc>
        <w:tc>
          <w:tcPr>
            <w:tcW w:w="1530" w:type="dxa"/>
            <w:tcBorders>
              <w:top w:val="nil"/>
              <w:left w:val="single" w:sz="4" w:space="0" w:color="auto"/>
              <w:bottom w:val="double" w:sz="4" w:space="0" w:color="auto"/>
              <w:right w:val="single" w:sz="4" w:space="0" w:color="auto"/>
            </w:tcBorders>
            <w:shd w:val="clear" w:color="000000" w:fill="C6E0B4"/>
            <w:vAlign w:val="bottom"/>
          </w:tcPr>
          <w:p w14:paraId="4DA6800D" w14:textId="77777777" w:rsidR="007F18AB" w:rsidRPr="00814E2F" w:rsidRDefault="007F18AB" w:rsidP="007F18AB">
            <w:pPr>
              <w:spacing w:after="0" w:line="240" w:lineRule="auto"/>
              <w:jc w:val="right"/>
              <w:rPr>
                <w:color w:val="000000"/>
                <w:sz w:val="19"/>
                <w:szCs w:val="19"/>
              </w:rPr>
            </w:pPr>
            <w:r w:rsidRPr="00814E2F">
              <w:rPr>
                <w:color w:val="000000"/>
                <w:sz w:val="19"/>
                <w:szCs w:val="19"/>
              </w:rPr>
              <w:t>0.2</w:t>
            </w:r>
          </w:p>
        </w:tc>
        <w:tc>
          <w:tcPr>
            <w:tcW w:w="1530" w:type="dxa"/>
            <w:tcBorders>
              <w:top w:val="nil"/>
              <w:left w:val="single" w:sz="4" w:space="0" w:color="auto"/>
              <w:bottom w:val="double" w:sz="4" w:space="0" w:color="auto"/>
              <w:right w:val="single" w:sz="4" w:space="0" w:color="auto"/>
            </w:tcBorders>
            <w:shd w:val="clear" w:color="000000" w:fill="C6E0B4"/>
            <w:vAlign w:val="bottom"/>
          </w:tcPr>
          <w:p w14:paraId="078B5735" w14:textId="77777777" w:rsidR="007F18AB" w:rsidRPr="00814E2F" w:rsidRDefault="007F18AB" w:rsidP="007F18AB">
            <w:pPr>
              <w:spacing w:after="0" w:line="240" w:lineRule="auto"/>
              <w:jc w:val="right"/>
              <w:rPr>
                <w:color w:val="000000"/>
                <w:sz w:val="19"/>
                <w:szCs w:val="19"/>
              </w:rPr>
            </w:pPr>
            <w:r w:rsidRPr="00814E2F">
              <w:rPr>
                <w:color w:val="000000"/>
                <w:sz w:val="19"/>
                <w:szCs w:val="19"/>
              </w:rPr>
              <w:t>0.2</w:t>
            </w:r>
          </w:p>
        </w:tc>
        <w:tc>
          <w:tcPr>
            <w:tcW w:w="1530" w:type="dxa"/>
            <w:tcBorders>
              <w:top w:val="nil"/>
              <w:left w:val="single" w:sz="4" w:space="0" w:color="auto"/>
              <w:bottom w:val="double" w:sz="4" w:space="0" w:color="auto"/>
              <w:right w:val="single" w:sz="4" w:space="0" w:color="auto"/>
            </w:tcBorders>
            <w:shd w:val="clear" w:color="000000" w:fill="C6E0B4"/>
            <w:vAlign w:val="bottom"/>
          </w:tcPr>
          <w:p w14:paraId="079D2FA0" w14:textId="77777777" w:rsidR="007F18AB" w:rsidRPr="00814E2F" w:rsidRDefault="007F18AB" w:rsidP="007F18AB">
            <w:pPr>
              <w:spacing w:after="0" w:line="240" w:lineRule="auto"/>
              <w:jc w:val="right"/>
              <w:rPr>
                <w:color w:val="000000"/>
                <w:sz w:val="19"/>
                <w:szCs w:val="19"/>
              </w:rPr>
            </w:pPr>
            <w:r w:rsidRPr="00814E2F">
              <w:rPr>
                <w:color w:val="000000"/>
                <w:sz w:val="19"/>
                <w:szCs w:val="19"/>
              </w:rPr>
              <w:t>0.2</w:t>
            </w:r>
          </w:p>
        </w:tc>
        <w:tc>
          <w:tcPr>
            <w:tcW w:w="1800" w:type="dxa"/>
            <w:tcBorders>
              <w:top w:val="nil"/>
              <w:left w:val="single" w:sz="4" w:space="0" w:color="auto"/>
              <w:bottom w:val="double" w:sz="4" w:space="0" w:color="auto"/>
              <w:right w:val="double" w:sz="4" w:space="0" w:color="auto"/>
            </w:tcBorders>
            <w:shd w:val="clear" w:color="000000" w:fill="C6E0B4"/>
            <w:vAlign w:val="bottom"/>
          </w:tcPr>
          <w:p w14:paraId="3438B669" w14:textId="77777777" w:rsidR="007F18AB" w:rsidRPr="00814E2F" w:rsidRDefault="007F18AB" w:rsidP="007F18AB">
            <w:pPr>
              <w:spacing w:after="0" w:line="240" w:lineRule="auto"/>
              <w:jc w:val="right"/>
              <w:rPr>
                <w:color w:val="000000"/>
                <w:sz w:val="19"/>
                <w:szCs w:val="19"/>
              </w:rPr>
            </w:pPr>
            <w:r w:rsidRPr="00814E2F">
              <w:rPr>
                <w:color w:val="000000"/>
                <w:sz w:val="19"/>
                <w:szCs w:val="19"/>
              </w:rPr>
              <w:t>0.2</w:t>
            </w:r>
          </w:p>
        </w:tc>
      </w:tr>
    </w:tbl>
    <w:p w14:paraId="0B9EF3F6" w14:textId="26F1B34A" w:rsidR="00814E2F" w:rsidRDefault="00814E2F" w:rsidP="007F18AB">
      <w:pPr>
        <w:spacing w:after="0" w:line="240" w:lineRule="auto"/>
        <w:jc w:val="left"/>
      </w:pPr>
      <w:r>
        <w:t xml:space="preserve"> </w:t>
      </w:r>
      <w:r>
        <w:br w:type="page"/>
      </w:r>
    </w:p>
    <w:p w14:paraId="06235660" w14:textId="7648B405" w:rsidR="00ED063B" w:rsidRPr="00ED063B" w:rsidRDefault="00392EAD" w:rsidP="00814E2F">
      <w:pPr>
        <w:spacing w:after="0"/>
        <w:jc w:val="left"/>
      </w:pPr>
      <w:r>
        <w:rPr>
          <w:b/>
        </w:rPr>
        <w:lastRenderedPageBreak/>
        <w:t>Table 8</w:t>
      </w:r>
      <w:r w:rsidR="00ED063B">
        <w:rPr>
          <w:b/>
        </w:rPr>
        <w:t xml:space="preserve">: </w:t>
      </w:r>
      <w:proofErr w:type="spellStart"/>
      <w:r w:rsidR="00ED063B">
        <w:rPr>
          <w:b/>
        </w:rPr>
        <w:t>Covid</w:t>
      </w:r>
      <w:proofErr w:type="spellEnd"/>
      <w:r w:rsidR="00ED063B">
        <w:rPr>
          <w:b/>
        </w:rPr>
        <w:t xml:space="preserve"> Risk ATEs</w:t>
      </w:r>
    </w:p>
    <w:tbl>
      <w:tblPr>
        <w:tblW w:w="13215" w:type="dxa"/>
        <w:tblLayout w:type="fixed"/>
        <w:tblLook w:val="04A0" w:firstRow="1" w:lastRow="0" w:firstColumn="1" w:lastColumn="0" w:noHBand="0" w:noVBand="1"/>
      </w:tblPr>
      <w:tblGrid>
        <w:gridCol w:w="1245"/>
        <w:gridCol w:w="1267"/>
        <w:gridCol w:w="1035"/>
        <w:gridCol w:w="945"/>
        <w:gridCol w:w="945"/>
        <w:gridCol w:w="945"/>
        <w:gridCol w:w="1080"/>
        <w:gridCol w:w="1163"/>
        <w:gridCol w:w="720"/>
        <w:gridCol w:w="720"/>
        <w:gridCol w:w="983"/>
        <w:gridCol w:w="1087"/>
        <w:gridCol w:w="1080"/>
      </w:tblGrid>
      <w:tr w:rsidR="00814E2F" w:rsidRPr="00D20303" w14:paraId="1182085D" w14:textId="77777777" w:rsidTr="00A24926">
        <w:trPr>
          <w:trHeight w:val="288"/>
        </w:trPr>
        <w:tc>
          <w:tcPr>
            <w:tcW w:w="1245" w:type="dxa"/>
            <w:vMerge w:val="restart"/>
            <w:tcBorders>
              <w:top w:val="double" w:sz="4" w:space="0" w:color="auto"/>
              <w:left w:val="double" w:sz="4" w:space="0" w:color="auto"/>
              <w:right w:val="single" w:sz="4" w:space="0" w:color="auto"/>
            </w:tcBorders>
            <w:shd w:val="clear" w:color="auto" w:fill="auto"/>
            <w:noWrap/>
            <w:tcMar>
              <w:left w:w="58" w:type="dxa"/>
              <w:right w:w="58" w:type="dxa"/>
            </w:tcMar>
            <w:vAlign w:val="bottom"/>
          </w:tcPr>
          <w:bookmarkEnd w:id="68"/>
          <w:p w14:paraId="66754998" w14:textId="77777777" w:rsidR="00814E2F" w:rsidRPr="00D20303" w:rsidRDefault="00814E2F" w:rsidP="007F18AB">
            <w:pPr>
              <w:spacing w:after="0" w:line="240" w:lineRule="auto"/>
              <w:jc w:val="center"/>
              <w:rPr>
                <w:rFonts w:eastAsia="Times New Roman"/>
                <w:b/>
                <w:color w:val="000000"/>
                <w:sz w:val="20"/>
                <w:szCs w:val="20"/>
              </w:rPr>
            </w:pPr>
            <w:r w:rsidRPr="00D20303">
              <w:rPr>
                <w:rFonts w:eastAsia="Times New Roman"/>
                <w:b/>
                <w:color w:val="000000"/>
                <w:sz w:val="20"/>
                <w:szCs w:val="20"/>
              </w:rPr>
              <w:t>Gendered Life</w:t>
            </w:r>
            <w:r>
              <w:rPr>
                <w:rFonts w:eastAsia="Times New Roman"/>
                <w:b/>
                <w:color w:val="000000"/>
                <w:sz w:val="20"/>
                <w:szCs w:val="20"/>
              </w:rPr>
              <w:t>cycle</w:t>
            </w:r>
          </w:p>
        </w:tc>
        <w:tc>
          <w:tcPr>
            <w:tcW w:w="1267" w:type="dxa"/>
            <w:vMerge w:val="restart"/>
            <w:tcBorders>
              <w:top w:val="double" w:sz="4" w:space="0" w:color="auto"/>
              <w:left w:val="single" w:sz="12" w:space="0" w:color="auto"/>
              <w:right w:val="single" w:sz="12" w:space="0" w:color="auto"/>
            </w:tcBorders>
            <w:tcMar>
              <w:left w:w="58" w:type="dxa"/>
              <w:right w:w="58" w:type="dxa"/>
            </w:tcMar>
          </w:tcPr>
          <w:p w14:paraId="3C953126" w14:textId="77777777" w:rsidR="00814E2F" w:rsidRPr="00D20303" w:rsidRDefault="00814E2F" w:rsidP="007F18AB">
            <w:pPr>
              <w:spacing w:after="0" w:line="240" w:lineRule="auto"/>
              <w:rPr>
                <w:rFonts w:eastAsia="Times New Roman"/>
                <w:b/>
                <w:sz w:val="20"/>
                <w:szCs w:val="20"/>
              </w:rPr>
            </w:pPr>
          </w:p>
        </w:tc>
        <w:tc>
          <w:tcPr>
            <w:tcW w:w="3870" w:type="dxa"/>
            <w:gridSpan w:val="4"/>
            <w:tcBorders>
              <w:top w:val="double" w:sz="4" w:space="0" w:color="auto"/>
              <w:left w:val="single" w:sz="12" w:space="0" w:color="auto"/>
              <w:bottom w:val="single" w:sz="4" w:space="0" w:color="auto"/>
              <w:right w:val="single" w:sz="12" w:space="0" w:color="auto"/>
            </w:tcBorders>
            <w:tcMar>
              <w:left w:w="58" w:type="dxa"/>
              <w:right w:w="58" w:type="dxa"/>
            </w:tcMar>
            <w:vAlign w:val="bottom"/>
          </w:tcPr>
          <w:p w14:paraId="428B4BFB" w14:textId="77777777" w:rsidR="00814E2F" w:rsidRPr="00D20303" w:rsidRDefault="00814E2F" w:rsidP="007F18AB">
            <w:pPr>
              <w:spacing w:after="0" w:line="240" w:lineRule="auto"/>
              <w:jc w:val="center"/>
              <w:rPr>
                <w:rFonts w:eastAsia="Times New Roman"/>
                <w:b/>
                <w:color w:val="000000"/>
                <w:sz w:val="20"/>
                <w:szCs w:val="20"/>
              </w:rPr>
            </w:pPr>
            <w:r w:rsidRPr="00D20303">
              <w:rPr>
                <w:rFonts w:eastAsia="Times New Roman"/>
                <w:b/>
                <w:color w:val="000000"/>
                <w:sz w:val="20"/>
                <w:szCs w:val="20"/>
              </w:rPr>
              <w:t xml:space="preserve">Attribute Levels </w:t>
            </w:r>
          </w:p>
          <w:p w14:paraId="74EEB977" w14:textId="77777777" w:rsidR="00814E2F" w:rsidRPr="00D20303" w:rsidRDefault="00814E2F" w:rsidP="007F18AB">
            <w:pPr>
              <w:spacing w:after="0" w:line="240" w:lineRule="auto"/>
              <w:jc w:val="center"/>
              <w:rPr>
                <w:rFonts w:eastAsia="Times New Roman"/>
                <w:b/>
                <w:color w:val="000000"/>
                <w:sz w:val="20"/>
                <w:szCs w:val="20"/>
              </w:rPr>
            </w:pPr>
            <w:r w:rsidRPr="00D20303">
              <w:rPr>
                <w:rFonts w:eastAsia="Times New Roman"/>
                <w:color w:val="000000"/>
                <w:sz w:val="20"/>
                <w:szCs w:val="20"/>
              </w:rPr>
              <w:t>Alternative split (days)</w:t>
            </w:r>
          </w:p>
        </w:tc>
        <w:tc>
          <w:tcPr>
            <w:tcW w:w="1080" w:type="dxa"/>
            <w:tcBorders>
              <w:top w:val="double" w:sz="4" w:space="0" w:color="auto"/>
              <w:left w:val="single" w:sz="12" w:space="0" w:color="auto"/>
              <w:bottom w:val="double" w:sz="4" w:space="0" w:color="auto"/>
              <w:right w:val="single" w:sz="12" w:space="0" w:color="auto"/>
            </w:tcBorders>
            <w:tcMar>
              <w:left w:w="58" w:type="dxa"/>
              <w:right w:w="58" w:type="dxa"/>
            </w:tcMar>
            <w:vAlign w:val="bottom"/>
          </w:tcPr>
          <w:p w14:paraId="054E0FE8" w14:textId="77777777" w:rsidR="00814E2F" w:rsidRPr="00D20303" w:rsidRDefault="00814E2F" w:rsidP="007F18AB">
            <w:pPr>
              <w:spacing w:after="0" w:line="240" w:lineRule="auto"/>
              <w:jc w:val="center"/>
              <w:rPr>
                <w:b/>
                <w:color w:val="000000"/>
                <w:sz w:val="20"/>
                <w:szCs w:val="20"/>
              </w:rPr>
            </w:pPr>
            <w:r w:rsidRPr="00D20303">
              <w:rPr>
                <w:rFonts w:eastAsia="Times New Roman"/>
                <w:b/>
                <w:color w:val="000000"/>
                <w:sz w:val="20"/>
                <w:szCs w:val="20"/>
              </w:rPr>
              <w:t>Overall % change</w:t>
            </w:r>
          </w:p>
        </w:tc>
        <w:tc>
          <w:tcPr>
            <w:tcW w:w="1163" w:type="dxa"/>
            <w:tcBorders>
              <w:top w:val="double" w:sz="4" w:space="0" w:color="auto"/>
              <w:left w:val="single" w:sz="12" w:space="0" w:color="auto"/>
              <w:bottom w:val="double" w:sz="4" w:space="0" w:color="auto"/>
              <w:right w:val="single" w:sz="12" w:space="0" w:color="auto"/>
            </w:tcBorders>
            <w:tcMar>
              <w:left w:w="58" w:type="dxa"/>
              <w:right w:w="58" w:type="dxa"/>
            </w:tcMar>
            <w:vAlign w:val="bottom"/>
          </w:tcPr>
          <w:p w14:paraId="1EC4EC8F" w14:textId="77777777" w:rsidR="00814E2F" w:rsidRPr="00D20303" w:rsidRDefault="00814E2F" w:rsidP="007F18AB">
            <w:pPr>
              <w:spacing w:after="0" w:line="240" w:lineRule="auto"/>
              <w:jc w:val="center"/>
              <w:rPr>
                <w:b/>
                <w:color w:val="000000"/>
                <w:sz w:val="20"/>
                <w:szCs w:val="20"/>
              </w:rPr>
            </w:pPr>
            <w:r w:rsidRPr="00D20303">
              <w:rPr>
                <w:rFonts w:eastAsia="Times New Roman"/>
                <w:b/>
                <w:color w:val="000000"/>
                <w:sz w:val="20"/>
                <w:szCs w:val="20"/>
              </w:rPr>
              <w:t>Overall % change</w:t>
            </w:r>
          </w:p>
        </w:tc>
        <w:tc>
          <w:tcPr>
            <w:tcW w:w="2423" w:type="dxa"/>
            <w:gridSpan w:val="3"/>
            <w:tcBorders>
              <w:top w:val="double" w:sz="4" w:space="0" w:color="auto"/>
              <w:left w:val="single" w:sz="12" w:space="0" w:color="auto"/>
              <w:bottom w:val="single" w:sz="4" w:space="0" w:color="auto"/>
              <w:right w:val="single" w:sz="12" w:space="0" w:color="auto"/>
            </w:tcBorders>
            <w:shd w:val="clear" w:color="auto" w:fill="auto"/>
            <w:noWrap/>
            <w:tcMar>
              <w:left w:w="58" w:type="dxa"/>
              <w:right w:w="58" w:type="dxa"/>
            </w:tcMar>
            <w:vAlign w:val="bottom"/>
          </w:tcPr>
          <w:p w14:paraId="03B3E30C" w14:textId="77777777" w:rsidR="00814E2F" w:rsidRPr="00D20303" w:rsidRDefault="00814E2F" w:rsidP="007F18AB">
            <w:pPr>
              <w:spacing w:after="0" w:line="240" w:lineRule="auto"/>
              <w:jc w:val="center"/>
              <w:rPr>
                <w:rFonts w:eastAsia="Times New Roman"/>
                <w:b/>
                <w:color w:val="000000"/>
                <w:sz w:val="20"/>
                <w:szCs w:val="20"/>
              </w:rPr>
            </w:pPr>
            <w:r w:rsidRPr="00D20303">
              <w:rPr>
                <w:rFonts w:eastAsia="Times New Roman"/>
                <w:b/>
                <w:color w:val="000000"/>
                <w:sz w:val="20"/>
                <w:szCs w:val="20"/>
              </w:rPr>
              <w:t xml:space="preserve">Attribute Levels </w:t>
            </w:r>
          </w:p>
          <w:p w14:paraId="271A0692" w14:textId="77777777" w:rsidR="00814E2F" w:rsidRPr="00D20303" w:rsidRDefault="00814E2F" w:rsidP="007F18AB">
            <w:pPr>
              <w:spacing w:after="0" w:line="240" w:lineRule="auto"/>
              <w:jc w:val="center"/>
              <w:rPr>
                <w:rFonts w:eastAsia="Times New Roman"/>
                <w:b/>
                <w:color w:val="000000"/>
                <w:sz w:val="20"/>
                <w:szCs w:val="20"/>
              </w:rPr>
            </w:pPr>
            <w:r w:rsidRPr="00D20303">
              <w:rPr>
                <w:rFonts w:eastAsia="Times New Roman"/>
                <w:color w:val="000000"/>
                <w:sz w:val="20"/>
                <w:szCs w:val="20"/>
              </w:rPr>
              <w:t>Alternative split (days)</w:t>
            </w:r>
          </w:p>
        </w:tc>
        <w:tc>
          <w:tcPr>
            <w:tcW w:w="1087" w:type="dxa"/>
            <w:tcBorders>
              <w:top w:val="double" w:sz="4" w:space="0" w:color="auto"/>
              <w:left w:val="single" w:sz="12" w:space="0" w:color="auto"/>
              <w:bottom w:val="double" w:sz="4" w:space="0" w:color="auto"/>
              <w:right w:val="single" w:sz="12" w:space="0" w:color="auto"/>
            </w:tcBorders>
            <w:tcMar>
              <w:left w:w="58" w:type="dxa"/>
              <w:right w:w="58" w:type="dxa"/>
            </w:tcMar>
            <w:vAlign w:val="bottom"/>
          </w:tcPr>
          <w:p w14:paraId="2C7AE642" w14:textId="77777777" w:rsidR="00814E2F" w:rsidRPr="00D20303" w:rsidRDefault="00814E2F" w:rsidP="007F18AB">
            <w:pPr>
              <w:spacing w:after="0" w:line="240" w:lineRule="auto"/>
              <w:jc w:val="center"/>
              <w:rPr>
                <w:b/>
                <w:color w:val="000000"/>
                <w:sz w:val="20"/>
                <w:szCs w:val="20"/>
              </w:rPr>
            </w:pPr>
            <w:r w:rsidRPr="00D20303">
              <w:rPr>
                <w:rFonts w:eastAsia="Times New Roman"/>
                <w:b/>
                <w:color w:val="000000"/>
                <w:sz w:val="20"/>
                <w:szCs w:val="20"/>
              </w:rPr>
              <w:t>Overall % change</w:t>
            </w:r>
          </w:p>
        </w:tc>
        <w:tc>
          <w:tcPr>
            <w:tcW w:w="1080" w:type="dxa"/>
            <w:tcBorders>
              <w:top w:val="double" w:sz="4" w:space="0" w:color="auto"/>
              <w:left w:val="single" w:sz="12" w:space="0" w:color="auto"/>
              <w:bottom w:val="double" w:sz="4" w:space="0" w:color="auto"/>
              <w:right w:val="double" w:sz="4" w:space="0" w:color="auto"/>
            </w:tcBorders>
            <w:tcMar>
              <w:left w:w="58" w:type="dxa"/>
              <w:right w:w="58" w:type="dxa"/>
            </w:tcMar>
            <w:vAlign w:val="bottom"/>
          </w:tcPr>
          <w:p w14:paraId="01E035F1" w14:textId="77777777" w:rsidR="00814E2F" w:rsidRPr="00D20303" w:rsidRDefault="00814E2F" w:rsidP="007F18AB">
            <w:pPr>
              <w:spacing w:after="0" w:line="240" w:lineRule="auto"/>
              <w:jc w:val="center"/>
              <w:rPr>
                <w:b/>
                <w:color w:val="000000"/>
                <w:sz w:val="20"/>
                <w:szCs w:val="20"/>
              </w:rPr>
            </w:pPr>
            <w:r w:rsidRPr="00D20303">
              <w:rPr>
                <w:rFonts w:eastAsia="Times New Roman"/>
                <w:b/>
                <w:color w:val="000000"/>
                <w:sz w:val="20"/>
                <w:szCs w:val="20"/>
              </w:rPr>
              <w:t>Overall % change</w:t>
            </w:r>
          </w:p>
        </w:tc>
      </w:tr>
      <w:tr w:rsidR="00814E2F" w:rsidRPr="00D20303" w14:paraId="41F25FE6" w14:textId="77777777" w:rsidTr="00A24926">
        <w:trPr>
          <w:trHeight w:val="288"/>
        </w:trPr>
        <w:tc>
          <w:tcPr>
            <w:tcW w:w="1245" w:type="dxa"/>
            <w:vMerge/>
            <w:tcBorders>
              <w:left w:val="double" w:sz="4" w:space="0" w:color="auto"/>
              <w:right w:val="single" w:sz="4" w:space="0" w:color="auto"/>
            </w:tcBorders>
            <w:shd w:val="clear" w:color="auto" w:fill="auto"/>
            <w:noWrap/>
            <w:tcMar>
              <w:left w:w="58" w:type="dxa"/>
              <w:right w:w="58" w:type="dxa"/>
            </w:tcMar>
            <w:vAlign w:val="bottom"/>
            <w:hideMark/>
          </w:tcPr>
          <w:p w14:paraId="448798E6" w14:textId="77777777" w:rsidR="00814E2F" w:rsidRPr="00D20303" w:rsidRDefault="00814E2F" w:rsidP="007F18AB">
            <w:pPr>
              <w:spacing w:after="0" w:line="240" w:lineRule="auto"/>
              <w:jc w:val="center"/>
              <w:rPr>
                <w:rFonts w:eastAsia="Times New Roman"/>
                <w:b/>
                <w:color w:val="000000"/>
                <w:sz w:val="20"/>
                <w:szCs w:val="20"/>
              </w:rPr>
            </w:pPr>
          </w:p>
        </w:tc>
        <w:tc>
          <w:tcPr>
            <w:tcW w:w="1267" w:type="dxa"/>
            <w:vMerge/>
            <w:tcBorders>
              <w:left w:val="single" w:sz="12" w:space="0" w:color="auto"/>
              <w:bottom w:val="nil"/>
              <w:right w:val="single" w:sz="12" w:space="0" w:color="auto"/>
            </w:tcBorders>
            <w:tcMar>
              <w:left w:w="58" w:type="dxa"/>
              <w:right w:w="58" w:type="dxa"/>
            </w:tcMar>
          </w:tcPr>
          <w:p w14:paraId="21019A7B" w14:textId="77777777" w:rsidR="00814E2F" w:rsidRPr="00D20303" w:rsidRDefault="00814E2F" w:rsidP="007F18AB">
            <w:pPr>
              <w:spacing w:after="0" w:line="240" w:lineRule="auto"/>
              <w:rPr>
                <w:rFonts w:eastAsia="Times New Roman"/>
                <w:b/>
                <w:sz w:val="20"/>
                <w:szCs w:val="20"/>
              </w:rPr>
            </w:pPr>
          </w:p>
        </w:tc>
        <w:tc>
          <w:tcPr>
            <w:tcW w:w="3870" w:type="dxa"/>
            <w:gridSpan w:val="4"/>
            <w:tcBorders>
              <w:top w:val="double" w:sz="4" w:space="0" w:color="auto"/>
              <w:left w:val="single" w:sz="12" w:space="0" w:color="auto"/>
              <w:bottom w:val="single" w:sz="4" w:space="0" w:color="auto"/>
              <w:right w:val="single" w:sz="12" w:space="0" w:color="auto"/>
            </w:tcBorders>
            <w:tcMar>
              <w:left w:w="58" w:type="dxa"/>
              <w:right w:w="58" w:type="dxa"/>
            </w:tcMar>
            <w:vAlign w:val="bottom"/>
          </w:tcPr>
          <w:p w14:paraId="55901BE0" w14:textId="77777777" w:rsidR="00814E2F" w:rsidRPr="00D20303" w:rsidRDefault="00814E2F" w:rsidP="007F18AB">
            <w:pPr>
              <w:spacing w:after="0" w:line="240" w:lineRule="auto"/>
              <w:jc w:val="center"/>
              <w:rPr>
                <w:b/>
                <w:color w:val="000000"/>
                <w:sz w:val="20"/>
                <w:szCs w:val="20"/>
              </w:rPr>
            </w:pPr>
            <w:r w:rsidRPr="00D20303">
              <w:rPr>
                <w:rFonts w:eastAsia="Times New Roman"/>
                <w:b/>
                <w:sz w:val="20"/>
                <w:szCs w:val="20"/>
              </w:rPr>
              <w:t>Immunocompromised (IC) Complications</w:t>
            </w:r>
          </w:p>
        </w:tc>
        <w:tc>
          <w:tcPr>
            <w:tcW w:w="1080" w:type="dxa"/>
            <w:vMerge w:val="restart"/>
            <w:tcBorders>
              <w:top w:val="double" w:sz="4" w:space="0" w:color="auto"/>
              <w:left w:val="single" w:sz="12" w:space="0" w:color="auto"/>
              <w:right w:val="single" w:sz="12" w:space="0" w:color="auto"/>
            </w:tcBorders>
            <w:tcMar>
              <w:left w:w="58" w:type="dxa"/>
              <w:right w:w="58" w:type="dxa"/>
            </w:tcMar>
            <w:vAlign w:val="bottom"/>
          </w:tcPr>
          <w:p w14:paraId="148A4D40" w14:textId="77777777" w:rsidR="00814E2F" w:rsidRPr="00D20303" w:rsidRDefault="00814E2F" w:rsidP="007F18AB">
            <w:pPr>
              <w:spacing w:after="0" w:line="240" w:lineRule="auto"/>
              <w:jc w:val="center"/>
              <w:rPr>
                <w:rFonts w:eastAsia="Times New Roman"/>
                <w:b/>
                <w:color w:val="000000"/>
                <w:sz w:val="20"/>
                <w:szCs w:val="20"/>
              </w:rPr>
            </w:pPr>
            <w:proofErr w:type="spellStart"/>
            <w:r w:rsidRPr="00D20303">
              <w:rPr>
                <w:b/>
                <w:color w:val="000000"/>
                <w:sz w:val="20"/>
                <w:szCs w:val="20"/>
              </w:rPr>
              <w:t>Indv</w:t>
            </w:r>
            <w:proofErr w:type="spellEnd"/>
            <w:r w:rsidRPr="00D20303">
              <w:rPr>
                <w:b/>
                <w:color w:val="000000"/>
                <w:sz w:val="20"/>
                <w:szCs w:val="20"/>
              </w:rPr>
              <w:t>. is not to is IC</w:t>
            </w:r>
          </w:p>
        </w:tc>
        <w:tc>
          <w:tcPr>
            <w:tcW w:w="1163" w:type="dxa"/>
            <w:vMerge w:val="restart"/>
            <w:tcBorders>
              <w:top w:val="double" w:sz="4" w:space="0" w:color="auto"/>
              <w:left w:val="single" w:sz="12" w:space="0" w:color="auto"/>
              <w:right w:val="single" w:sz="12" w:space="0" w:color="auto"/>
            </w:tcBorders>
            <w:tcMar>
              <w:left w:w="58" w:type="dxa"/>
              <w:right w:w="58" w:type="dxa"/>
            </w:tcMar>
            <w:vAlign w:val="bottom"/>
          </w:tcPr>
          <w:p w14:paraId="18C240CE" w14:textId="77777777" w:rsidR="00814E2F" w:rsidRPr="00D20303" w:rsidRDefault="00814E2F" w:rsidP="007F18AB">
            <w:pPr>
              <w:spacing w:after="0" w:line="240" w:lineRule="auto"/>
              <w:jc w:val="center"/>
              <w:rPr>
                <w:rFonts w:eastAsia="Times New Roman"/>
                <w:b/>
                <w:color w:val="000000"/>
                <w:sz w:val="20"/>
                <w:szCs w:val="20"/>
              </w:rPr>
            </w:pPr>
            <w:r w:rsidRPr="00D20303">
              <w:rPr>
                <w:b/>
                <w:color w:val="000000"/>
                <w:sz w:val="20"/>
                <w:szCs w:val="20"/>
              </w:rPr>
              <w:t>Other is not to is IC</w:t>
            </w:r>
          </w:p>
        </w:tc>
        <w:tc>
          <w:tcPr>
            <w:tcW w:w="2423" w:type="dxa"/>
            <w:gridSpan w:val="3"/>
            <w:tcBorders>
              <w:top w:val="double" w:sz="4" w:space="0" w:color="auto"/>
              <w:left w:val="single" w:sz="12" w:space="0" w:color="auto"/>
              <w:bottom w:val="single" w:sz="4" w:space="0" w:color="auto"/>
              <w:right w:val="single" w:sz="12" w:space="0" w:color="auto"/>
            </w:tcBorders>
            <w:shd w:val="clear" w:color="auto" w:fill="auto"/>
            <w:noWrap/>
            <w:tcMar>
              <w:left w:w="58" w:type="dxa"/>
              <w:right w:w="58" w:type="dxa"/>
            </w:tcMar>
            <w:vAlign w:val="bottom"/>
            <w:hideMark/>
          </w:tcPr>
          <w:p w14:paraId="6F3CED49" w14:textId="77777777" w:rsidR="00814E2F" w:rsidRPr="00D20303" w:rsidRDefault="00814E2F" w:rsidP="007F18AB">
            <w:pPr>
              <w:spacing w:after="0" w:line="240" w:lineRule="auto"/>
              <w:jc w:val="center"/>
              <w:rPr>
                <w:b/>
                <w:color w:val="000000"/>
                <w:sz w:val="20"/>
                <w:szCs w:val="20"/>
              </w:rPr>
            </w:pPr>
            <w:r w:rsidRPr="00D20303">
              <w:rPr>
                <w:b/>
                <w:color w:val="000000"/>
                <w:sz w:val="20"/>
                <w:szCs w:val="20"/>
              </w:rPr>
              <w:t>COVID Risk</w:t>
            </w:r>
          </w:p>
        </w:tc>
        <w:tc>
          <w:tcPr>
            <w:tcW w:w="1087" w:type="dxa"/>
            <w:vMerge w:val="restart"/>
            <w:tcBorders>
              <w:top w:val="double" w:sz="4" w:space="0" w:color="auto"/>
              <w:left w:val="single" w:sz="12" w:space="0" w:color="auto"/>
              <w:right w:val="single" w:sz="12" w:space="0" w:color="auto"/>
            </w:tcBorders>
            <w:tcMar>
              <w:left w:w="58" w:type="dxa"/>
              <w:right w:w="58" w:type="dxa"/>
            </w:tcMar>
            <w:vAlign w:val="bottom"/>
          </w:tcPr>
          <w:p w14:paraId="0F67EA2E" w14:textId="77777777" w:rsidR="00814E2F" w:rsidRPr="00D20303" w:rsidRDefault="00814E2F" w:rsidP="007F18AB">
            <w:pPr>
              <w:spacing w:after="0" w:line="240" w:lineRule="auto"/>
              <w:jc w:val="center"/>
              <w:rPr>
                <w:rFonts w:eastAsia="Times New Roman"/>
                <w:b/>
                <w:color w:val="000000"/>
                <w:sz w:val="20"/>
                <w:szCs w:val="20"/>
              </w:rPr>
            </w:pPr>
            <w:r w:rsidRPr="00D20303">
              <w:rPr>
                <w:b/>
                <w:color w:val="000000"/>
                <w:sz w:val="20"/>
                <w:szCs w:val="20"/>
              </w:rPr>
              <w:t>None to High</w:t>
            </w:r>
          </w:p>
        </w:tc>
        <w:tc>
          <w:tcPr>
            <w:tcW w:w="1080" w:type="dxa"/>
            <w:vMerge w:val="restart"/>
            <w:tcBorders>
              <w:top w:val="double" w:sz="4" w:space="0" w:color="auto"/>
              <w:left w:val="single" w:sz="12" w:space="0" w:color="auto"/>
              <w:right w:val="double" w:sz="4" w:space="0" w:color="auto"/>
            </w:tcBorders>
            <w:tcMar>
              <w:left w:w="58" w:type="dxa"/>
              <w:right w:w="58" w:type="dxa"/>
            </w:tcMar>
            <w:vAlign w:val="bottom"/>
          </w:tcPr>
          <w:p w14:paraId="208FA67A" w14:textId="77777777" w:rsidR="00814E2F" w:rsidRPr="00D20303" w:rsidRDefault="00814E2F" w:rsidP="007F18AB">
            <w:pPr>
              <w:spacing w:after="0" w:line="240" w:lineRule="auto"/>
              <w:jc w:val="center"/>
              <w:rPr>
                <w:rFonts w:eastAsia="Times New Roman"/>
                <w:b/>
                <w:color w:val="000000"/>
                <w:sz w:val="20"/>
                <w:szCs w:val="20"/>
              </w:rPr>
            </w:pPr>
            <w:r w:rsidRPr="00D20303">
              <w:rPr>
                <w:b/>
                <w:color w:val="000000"/>
                <w:sz w:val="20"/>
                <w:szCs w:val="20"/>
              </w:rPr>
              <w:t>None to Unknown</w:t>
            </w:r>
          </w:p>
        </w:tc>
      </w:tr>
      <w:tr w:rsidR="00814E2F" w:rsidRPr="00D20303" w14:paraId="380AE140" w14:textId="77777777" w:rsidTr="00A24926">
        <w:trPr>
          <w:trHeight w:val="288"/>
        </w:trPr>
        <w:tc>
          <w:tcPr>
            <w:tcW w:w="1245" w:type="dxa"/>
            <w:vMerge/>
            <w:tcBorders>
              <w:left w:val="double" w:sz="4" w:space="0" w:color="auto"/>
              <w:bottom w:val="single" w:sz="12" w:space="0" w:color="auto"/>
              <w:right w:val="single" w:sz="4" w:space="0" w:color="auto"/>
            </w:tcBorders>
            <w:shd w:val="clear" w:color="auto" w:fill="auto"/>
            <w:noWrap/>
            <w:tcMar>
              <w:left w:w="58" w:type="dxa"/>
              <w:right w:w="58" w:type="dxa"/>
            </w:tcMar>
            <w:vAlign w:val="bottom"/>
            <w:hideMark/>
          </w:tcPr>
          <w:p w14:paraId="0A55E2A2" w14:textId="77777777" w:rsidR="00814E2F" w:rsidRPr="00D20303" w:rsidRDefault="00814E2F" w:rsidP="007F18AB">
            <w:pPr>
              <w:spacing w:after="0" w:line="240" w:lineRule="auto"/>
              <w:jc w:val="center"/>
              <w:rPr>
                <w:rFonts w:eastAsia="Times New Roman"/>
                <w:b/>
                <w:color w:val="000000"/>
                <w:sz w:val="20"/>
                <w:szCs w:val="20"/>
              </w:rPr>
            </w:pPr>
          </w:p>
        </w:tc>
        <w:tc>
          <w:tcPr>
            <w:tcW w:w="1267" w:type="dxa"/>
            <w:tcBorders>
              <w:top w:val="nil"/>
              <w:left w:val="single" w:sz="12" w:space="0" w:color="auto"/>
              <w:bottom w:val="single" w:sz="12" w:space="0" w:color="auto"/>
              <w:right w:val="single" w:sz="12" w:space="0" w:color="auto"/>
            </w:tcBorders>
            <w:tcMar>
              <w:left w:w="58" w:type="dxa"/>
              <w:right w:w="58" w:type="dxa"/>
            </w:tcMar>
            <w:vAlign w:val="bottom"/>
          </w:tcPr>
          <w:p w14:paraId="1BE41FCB" w14:textId="77777777" w:rsidR="00814E2F" w:rsidRPr="00D20303" w:rsidRDefault="00814E2F" w:rsidP="007F18AB">
            <w:pPr>
              <w:spacing w:after="0" w:line="240" w:lineRule="auto"/>
              <w:jc w:val="center"/>
              <w:rPr>
                <w:rFonts w:eastAsia="Times New Roman"/>
                <w:b/>
                <w:color w:val="000000"/>
                <w:sz w:val="20"/>
                <w:szCs w:val="20"/>
              </w:rPr>
            </w:pPr>
            <w:r w:rsidRPr="00D20303">
              <w:rPr>
                <w:rFonts w:eastAsia="Times New Roman"/>
                <w:b/>
                <w:color w:val="000000"/>
                <w:sz w:val="20"/>
                <w:szCs w:val="20"/>
              </w:rPr>
              <w:t>WPL</w:t>
            </w:r>
          </w:p>
        </w:tc>
        <w:tc>
          <w:tcPr>
            <w:tcW w:w="1035" w:type="dxa"/>
            <w:tcBorders>
              <w:top w:val="nil"/>
              <w:left w:val="single" w:sz="12" w:space="0" w:color="auto"/>
              <w:bottom w:val="single" w:sz="12" w:space="0" w:color="auto"/>
              <w:right w:val="single" w:sz="4" w:space="0" w:color="auto"/>
            </w:tcBorders>
            <w:tcMar>
              <w:left w:w="58" w:type="dxa"/>
              <w:right w:w="58" w:type="dxa"/>
            </w:tcMar>
            <w:vAlign w:val="bottom"/>
          </w:tcPr>
          <w:p w14:paraId="19A47867" w14:textId="77777777" w:rsidR="00814E2F" w:rsidRPr="00D20303" w:rsidRDefault="00814E2F" w:rsidP="007F18AB">
            <w:pPr>
              <w:spacing w:after="0" w:line="240" w:lineRule="auto"/>
              <w:jc w:val="center"/>
              <w:rPr>
                <w:color w:val="000000"/>
                <w:sz w:val="20"/>
                <w:szCs w:val="20"/>
              </w:rPr>
            </w:pPr>
            <w:proofErr w:type="spellStart"/>
            <w:r w:rsidRPr="00D20303">
              <w:rPr>
                <w:color w:val="000000"/>
                <w:sz w:val="20"/>
                <w:szCs w:val="20"/>
              </w:rPr>
              <w:t>Indv</w:t>
            </w:r>
            <w:proofErr w:type="spellEnd"/>
            <w:r w:rsidRPr="00D20303">
              <w:rPr>
                <w:color w:val="000000"/>
                <w:sz w:val="20"/>
                <w:szCs w:val="20"/>
              </w:rPr>
              <w:t>. is not IC</w:t>
            </w:r>
          </w:p>
        </w:tc>
        <w:tc>
          <w:tcPr>
            <w:tcW w:w="945" w:type="dxa"/>
            <w:tcBorders>
              <w:top w:val="nil"/>
              <w:left w:val="single" w:sz="4" w:space="0" w:color="auto"/>
              <w:bottom w:val="single" w:sz="12" w:space="0" w:color="auto"/>
              <w:right w:val="single" w:sz="12" w:space="0" w:color="auto"/>
            </w:tcBorders>
            <w:tcMar>
              <w:left w:w="58" w:type="dxa"/>
              <w:right w:w="58" w:type="dxa"/>
            </w:tcMar>
            <w:vAlign w:val="bottom"/>
          </w:tcPr>
          <w:p w14:paraId="55ABD019" w14:textId="77777777" w:rsidR="00814E2F" w:rsidRPr="00D20303" w:rsidRDefault="00814E2F" w:rsidP="007F18AB">
            <w:pPr>
              <w:spacing w:after="0" w:line="240" w:lineRule="auto"/>
              <w:jc w:val="center"/>
              <w:rPr>
                <w:color w:val="000000"/>
                <w:sz w:val="20"/>
                <w:szCs w:val="20"/>
              </w:rPr>
            </w:pPr>
            <w:proofErr w:type="spellStart"/>
            <w:r w:rsidRPr="00D20303">
              <w:rPr>
                <w:color w:val="000000"/>
                <w:sz w:val="20"/>
                <w:szCs w:val="20"/>
              </w:rPr>
              <w:t>Indv</w:t>
            </w:r>
            <w:proofErr w:type="spellEnd"/>
            <w:r w:rsidRPr="00D20303">
              <w:rPr>
                <w:color w:val="000000"/>
                <w:sz w:val="20"/>
                <w:szCs w:val="20"/>
              </w:rPr>
              <w:t>. is IC</w:t>
            </w:r>
          </w:p>
        </w:tc>
        <w:tc>
          <w:tcPr>
            <w:tcW w:w="945" w:type="dxa"/>
            <w:tcBorders>
              <w:top w:val="nil"/>
              <w:left w:val="single" w:sz="12" w:space="0" w:color="auto"/>
              <w:bottom w:val="single" w:sz="12" w:space="0" w:color="auto"/>
              <w:right w:val="single" w:sz="4" w:space="0" w:color="auto"/>
            </w:tcBorders>
            <w:tcMar>
              <w:left w:w="58" w:type="dxa"/>
              <w:right w:w="58" w:type="dxa"/>
            </w:tcMar>
            <w:vAlign w:val="bottom"/>
          </w:tcPr>
          <w:p w14:paraId="3B5B3044" w14:textId="77777777" w:rsidR="00814E2F" w:rsidRPr="00D20303" w:rsidRDefault="00814E2F" w:rsidP="007F18AB">
            <w:pPr>
              <w:spacing w:after="0" w:line="240" w:lineRule="auto"/>
              <w:jc w:val="center"/>
              <w:rPr>
                <w:color w:val="000000"/>
                <w:sz w:val="20"/>
                <w:szCs w:val="20"/>
              </w:rPr>
            </w:pPr>
            <w:r w:rsidRPr="00D20303">
              <w:rPr>
                <w:color w:val="000000"/>
                <w:sz w:val="20"/>
                <w:szCs w:val="20"/>
              </w:rPr>
              <w:t>Other is not IC</w:t>
            </w:r>
          </w:p>
        </w:tc>
        <w:tc>
          <w:tcPr>
            <w:tcW w:w="945" w:type="dxa"/>
            <w:tcBorders>
              <w:left w:val="single" w:sz="4" w:space="0" w:color="auto"/>
              <w:bottom w:val="single" w:sz="12" w:space="0" w:color="auto"/>
              <w:right w:val="single" w:sz="12" w:space="0" w:color="auto"/>
            </w:tcBorders>
            <w:tcMar>
              <w:left w:w="58" w:type="dxa"/>
              <w:right w:w="58" w:type="dxa"/>
            </w:tcMar>
          </w:tcPr>
          <w:p w14:paraId="34576ABC" w14:textId="77777777" w:rsidR="00814E2F" w:rsidRPr="00D20303" w:rsidRDefault="00814E2F" w:rsidP="007F18AB">
            <w:pPr>
              <w:spacing w:after="0" w:line="240" w:lineRule="auto"/>
              <w:jc w:val="center"/>
              <w:rPr>
                <w:b/>
                <w:color w:val="000000"/>
                <w:sz w:val="20"/>
                <w:szCs w:val="20"/>
              </w:rPr>
            </w:pPr>
            <w:r w:rsidRPr="00D20303">
              <w:rPr>
                <w:color w:val="000000"/>
                <w:sz w:val="20"/>
                <w:szCs w:val="20"/>
              </w:rPr>
              <w:t>Other is IC</w:t>
            </w:r>
          </w:p>
        </w:tc>
        <w:tc>
          <w:tcPr>
            <w:tcW w:w="1080" w:type="dxa"/>
            <w:vMerge/>
            <w:tcBorders>
              <w:left w:val="single" w:sz="12" w:space="0" w:color="auto"/>
              <w:right w:val="single" w:sz="12" w:space="0" w:color="auto"/>
            </w:tcBorders>
            <w:tcMar>
              <w:left w:w="58" w:type="dxa"/>
              <w:right w:w="58" w:type="dxa"/>
            </w:tcMar>
          </w:tcPr>
          <w:p w14:paraId="18A67375" w14:textId="77777777" w:rsidR="00814E2F" w:rsidRPr="00D20303" w:rsidRDefault="00814E2F" w:rsidP="007F18AB">
            <w:pPr>
              <w:spacing w:after="0" w:line="240" w:lineRule="auto"/>
              <w:jc w:val="right"/>
              <w:rPr>
                <w:b/>
                <w:color w:val="000000"/>
                <w:sz w:val="20"/>
                <w:szCs w:val="20"/>
              </w:rPr>
            </w:pPr>
          </w:p>
        </w:tc>
        <w:tc>
          <w:tcPr>
            <w:tcW w:w="1163" w:type="dxa"/>
            <w:vMerge/>
            <w:tcBorders>
              <w:left w:val="single" w:sz="12" w:space="0" w:color="auto"/>
              <w:right w:val="single" w:sz="12" w:space="0" w:color="auto"/>
            </w:tcBorders>
            <w:tcMar>
              <w:left w:w="58" w:type="dxa"/>
              <w:right w:w="58" w:type="dxa"/>
            </w:tcMar>
          </w:tcPr>
          <w:p w14:paraId="44A81C15" w14:textId="77777777" w:rsidR="00814E2F" w:rsidRPr="00D20303" w:rsidRDefault="00814E2F" w:rsidP="007F18AB">
            <w:pPr>
              <w:spacing w:after="0" w:line="240" w:lineRule="auto"/>
              <w:jc w:val="right"/>
              <w:rPr>
                <w:b/>
                <w:color w:val="000000"/>
                <w:sz w:val="20"/>
                <w:szCs w:val="20"/>
              </w:rPr>
            </w:pPr>
          </w:p>
        </w:tc>
        <w:tc>
          <w:tcPr>
            <w:tcW w:w="720" w:type="dxa"/>
            <w:tcBorders>
              <w:top w:val="nil"/>
              <w:left w:val="single" w:sz="12" w:space="0" w:color="auto"/>
              <w:right w:val="single" w:sz="4" w:space="0" w:color="auto"/>
            </w:tcBorders>
            <w:shd w:val="clear" w:color="auto" w:fill="auto"/>
            <w:noWrap/>
            <w:tcMar>
              <w:left w:w="58" w:type="dxa"/>
              <w:right w:w="58" w:type="dxa"/>
            </w:tcMar>
            <w:vAlign w:val="bottom"/>
          </w:tcPr>
          <w:p w14:paraId="004A1D89" w14:textId="77777777" w:rsidR="00814E2F" w:rsidRPr="00D20303" w:rsidRDefault="00814E2F" w:rsidP="007F18AB">
            <w:pPr>
              <w:spacing w:after="0" w:line="240" w:lineRule="auto"/>
              <w:jc w:val="center"/>
              <w:rPr>
                <w:color w:val="000000"/>
                <w:sz w:val="20"/>
                <w:szCs w:val="20"/>
              </w:rPr>
            </w:pPr>
            <w:r w:rsidRPr="00D20303">
              <w:rPr>
                <w:color w:val="000000"/>
                <w:sz w:val="20"/>
                <w:szCs w:val="20"/>
              </w:rPr>
              <w:t>None</w:t>
            </w:r>
          </w:p>
        </w:tc>
        <w:tc>
          <w:tcPr>
            <w:tcW w:w="720" w:type="dxa"/>
            <w:tcBorders>
              <w:top w:val="nil"/>
              <w:left w:val="single" w:sz="4" w:space="0" w:color="auto"/>
              <w:right w:val="single" w:sz="4" w:space="0" w:color="auto"/>
            </w:tcBorders>
            <w:shd w:val="clear" w:color="auto" w:fill="auto"/>
            <w:tcMar>
              <w:left w:w="58" w:type="dxa"/>
              <w:right w:w="58" w:type="dxa"/>
            </w:tcMar>
            <w:vAlign w:val="bottom"/>
          </w:tcPr>
          <w:p w14:paraId="365BC452" w14:textId="77777777" w:rsidR="00814E2F" w:rsidRPr="00D20303" w:rsidRDefault="00814E2F" w:rsidP="007F18AB">
            <w:pPr>
              <w:spacing w:after="0" w:line="240" w:lineRule="auto"/>
              <w:jc w:val="center"/>
              <w:rPr>
                <w:color w:val="000000"/>
                <w:sz w:val="20"/>
                <w:szCs w:val="20"/>
              </w:rPr>
            </w:pPr>
            <w:r w:rsidRPr="00D20303">
              <w:rPr>
                <w:color w:val="000000"/>
                <w:sz w:val="20"/>
                <w:szCs w:val="20"/>
              </w:rPr>
              <w:t>High</w:t>
            </w:r>
          </w:p>
        </w:tc>
        <w:tc>
          <w:tcPr>
            <w:tcW w:w="983" w:type="dxa"/>
            <w:tcBorders>
              <w:top w:val="nil"/>
              <w:left w:val="nil"/>
              <w:bottom w:val="single" w:sz="12" w:space="0" w:color="auto"/>
              <w:right w:val="single" w:sz="4" w:space="0" w:color="auto"/>
            </w:tcBorders>
            <w:shd w:val="clear" w:color="auto" w:fill="auto"/>
            <w:noWrap/>
            <w:tcMar>
              <w:left w:w="58" w:type="dxa"/>
              <w:right w:w="58" w:type="dxa"/>
            </w:tcMar>
            <w:vAlign w:val="bottom"/>
            <w:hideMark/>
          </w:tcPr>
          <w:p w14:paraId="7987566D" w14:textId="77777777" w:rsidR="00814E2F" w:rsidRPr="00D20303" w:rsidRDefault="00814E2F" w:rsidP="007F18AB">
            <w:pPr>
              <w:spacing w:after="0" w:line="240" w:lineRule="auto"/>
              <w:jc w:val="center"/>
              <w:rPr>
                <w:color w:val="000000"/>
                <w:sz w:val="20"/>
                <w:szCs w:val="20"/>
              </w:rPr>
            </w:pPr>
            <w:r w:rsidRPr="00D20303">
              <w:rPr>
                <w:color w:val="000000"/>
                <w:sz w:val="20"/>
                <w:szCs w:val="20"/>
              </w:rPr>
              <w:t>Unknown</w:t>
            </w:r>
          </w:p>
        </w:tc>
        <w:tc>
          <w:tcPr>
            <w:tcW w:w="1087" w:type="dxa"/>
            <w:vMerge/>
            <w:tcBorders>
              <w:left w:val="single" w:sz="12" w:space="0" w:color="auto"/>
              <w:right w:val="single" w:sz="12" w:space="0" w:color="auto"/>
            </w:tcBorders>
            <w:tcMar>
              <w:left w:w="58" w:type="dxa"/>
              <w:right w:w="58" w:type="dxa"/>
            </w:tcMar>
          </w:tcPr>
          <w:p w14:paraId="580B9D9D" w14:textId="77777777" w:rsidR="00814E2F" w:rsidRPr="00D20303" w:rsidRDefault="00814E2F" w:rsidP="007F18AB">
            <w:pPr>
              <w:spacing w:after="0" w:line="240" w:lineRule="auto"/>
              <w:jc w:val="right"/>
              <w:rPr>
                <w:b/>
                <w:color w:val="000000"/>
                <w:sz w:val="20"/>
                <w:szCs w:val="20"/>
              </w:rPr>
            </w:pPr>
          </w:p>
        </w:tc>
        <w:tc>
          <w:tcPr>
            <w:tcW w:w="1080" w:type="dxa"/>
            <w:vMerge/>
            <w:tcBorders>
              <w:left w:val="single" w:sz="12" w:space="0" w:color="auto"/>
              <w:right w:val="double" w:sz="4" w:space="0" w:color="auto"/>
            </w:tcBorders>
            <w:tcMar>
              <w:left w:w="58" w:type="dxa"/>
              <w:right w:w="58" w:type="dxa"/>
            </w:tcMar>
          </w:tcPr>
          <w:p w14:paraId="50AA805A" w14:textId="77777777" w:rsidR="00814E2F" w:rsidRPr="00D20303" w:rsidRDefault="00814E2F" w:rsidP="007F18AB">
            <w:pPr>
              <w:spacing w:after="0" w:line="240" w:lineRule="auto"/>
              <w:jc w:val="right"/>
              <w:rPr>
                <w:b/>
                <w:color w:val="000000"/>
                <w:sz w:val="20"/>
                <w:szCs w:val="20"/>
              </w:rPr>
            </w:pPr>
          </w:p>
        </w:tc>
      </w:tr>
      <w:tr w:rsidR="00814E2F" w:rsidRPr="00D20303" w14:paraId="1FBB9C89" w14:textId="77777777" w:rsidTr="00A24926">
        <w:trPr>
          <w:trHeight w:val="288"/>
        </w:trPr>
        <w:tc>
          <w:tcPr>
            <w:tcW w:w="1245" w:type="dxa"/>
            <w:vMerge w:val="restart"/>
            <w:tcBorders>
              <w:top w:val="single" w:sz="4" w:space="0" w:color="auto"/>
              <w:left w:val="double" w:sz="4" w:space="0" w:color="auto"/>
              <w:bottom w:val="single" w:sz="4" w:space="0" w:color="000000"/>
              <w:right w:val="single" w:sz="4" w:space="0" w:color="auto"/>
            </w:tcBorders>
            <w:shd w:val="clear" w:color="000000" w:fill="FFF2CC"/>
            <w:tcMar>
              <w:left w:w="58" w:type="dxa"/>
              <w:right w:w="58" w:type="dxa"/>
            </w:tcMar>
            <w:vAlign w:val="center"/>
            <w:hideMark/>
          </w:tcPr>
          <w:p w14:paraId="147024F3" w14:textId="77777777" w:rsidR="00814E2F" w:rsidRPr="00D20303" w:rsidRDefault="00814E2F" w:rsidP="007F18AB">
            <w:pPr>
              <w:spacing w:after="0" w:line="240" w:lineRule="auto"/>
              <w:jc w:val="left"/>
              <w:rPr>
                <w:rFonts w:eastAsia="Times New Roman"/>
                <w:b/>
                <w:color w:val="000000"/>
                <w:sz w:val="20"/>
                <w:szCs w:val="20"/>
              </w:rPr>
            </w:pPr>
            <w:r w:rsidRPr="00D20303">
              <w:rPr>
                <w:rFonts w:eastAsia="Times New Roman"/>
                <w:b/>
                <w:color w:val="000000"/>
                <w:sz w:val="20"/>
                <w:szCs w:val="20"/>
              </w:rPr>
              <w:t>Men with partner</w:t>
            </w:r>
          </w:p>
        </w:tc>
        <w:tc>
          <w:tcPr>
            <w:tcW w:w="1267" w:type="dxa"/>
            <w:tcBorders>
              <w:top w:val="single" w:sz="12" w:space="0" w:color="auto"/>
              <w:left w:val="single" w:sz="12" w:space="0" w:color="auto"/>
              <w:bottom w:val="single" w:sz="4" w:space="0" w:color="auto"/>
              <w:right w:val="single" w:sz="12" w:space="0" w:color="auto"/>
            </w:tcBorders>
            <w:shd w:val="clear" w:color="000000" w:fill="FFF2CC"/>
            <w:tcMar>
              <w:left w:w="58" w:type="dxa"/>
              <w:right w:w="58" w:type="dxa"/>
            </w:tcMar>
            <w:vAlign w:val="center"/>
          </w:tcPr>
          <w:p w14:paraId="2D4649CE" w14:textId="77777777" w:rsidR="00814E2F" w:rsidRPr="00D20303" w:rsidRDefault="00814E2F" w:rsidP="007F18AB">
            <w:pPr>
              <w:spacing w:after="0" w:line="240" w:lineRule="auto"/>
              <w:jc w:val="center"/>
              <w:rPr>
                <w:rFonts w:eastAsia="Times New Roman"/>
                <w:color w:val="000000"/>
                <w:sz w:val="20"/>
                <w:szCs w:val="20"/>
              </w:rPr>
            </w:pPr>
            <w:r w:rsidRPr="00D20303">
              <w:rPr>
                <w:rFonts w:eastAsia="Times New Roman"/>
                <w:color w:val="000000"/>
                <w:sz w:val="20"/>
                <w:szCs w:val="20"/>
              </w:rPr>
              <w:t>Home</w:t>
            </w:r>
          </w:p>
        </w:tc>
        <w:tc>
          <w:tcPr>
            <w:tcW w:w="1035" w:type="dxa"/>
            <w:tcBorders>
              <w:top w:val="single" w:sz="12" w:space="0" w:color="auto"/>
              <w:left w:val="single" w:sz="12" w:space="0" w:color="auto"/>
              <w:bottom w:val="single" w:sz="4" w:space="0" w:color="auto"/>
              <w:right w:val="single" w:sz="4" w:space="0" w:color="auto"/>
            </w:tcBorders>
            <w:shd w:val="clear" w:color="000000" w:fill="FFF2CC"/>
            <w:tcMar>
              <w:left w:w="58" w:type="dxa"/>
              <w:right w:w="58" w:type="dxa"/>
            </w:tcMar>
            <w:vAlign w:val="center"/>
          </w:tcPr>
          <w:p w14:paraId="7C8A4145" w14:textId="77777777" w:rsidR="00814E2F" w:rsidRPr="00D20303" w:rsidRDefault="00814E2F" w:rsidP="007F18AB">
            <w:pPr>
              <w:spacing w:after="0" w:line="240" w:lineRule="auto"/>
              <w:jc w:val="right"/>
              <w:rPr>
                <w:color w:val="000000"/>
                <w:sz w:val="20"/>
                <w:szCs w:val="20"/>
              </w:rPr>
            </w:pPr>
            <w:r w:rsidRPr="00D20303">
              <w:rPr>
                <w:color w:val="000000"/>
                <w:sz w:val="20"/>
                <w:szCs w:val="20"/>
              </w:rPr>
              <w:t>9.53</w:t>
            </w:r>
          </w:p>
        </w:tc>
        <w:tc>
          <w:tcPr>
            <w:tcW w:w="945" w:type="dxa"/>
            <w:tcBorders>
              <w:top w:val="single" w:sz="12" w:space="0" w:color="auto"/>
              <w:left w:val="single" w:sz="4" w:space="0" w:color="auto"/>
              <w:bottom w:val="single" w:sz="4" w:space="0" w:color="auto"/>
              <w:right w:val="single" w:sz="12" w:space="0" w:color="auto"/>
            </w:tcBorders>
            <w:shd w:val="clear" w:color="000000" w:fill="FFF2CC"/>
            <w:tcMar>
              <w:left w:w="58" w:type="dxa"/>
              <w:right w:w="58" w:type="dxa"/>
            </w:tcMar>
            <w:vAlign w:val="center"/>
          </w:tcPr>
          <w:p w14:paraId="5EF6E14F" w14:textId="77777777" w:rsidR="00814E2F" w:rsidRPr="00D20303" w:rsidRDefault="00814E2F" w:rsidP="007F18AB">
            <w:pPr>
              <w:spacing w:after="0" w:line="240" w:lineRule="auto"/>
              <w:jc w:val="right"/>
              <w:rPr>
                <w:color w:val="000000"/>
                <w:sz w:val="20"/>
                <w:szCs w:val="20"/>
              </w:rPr>
            </w:pPr>
            <w:r w:rsidRPr="00D20303">
              <w:rPr>
                <w:color w:val="000000"/>
                <w:sz w:val="20"/>
                <w:szCs w:val="20"/>
              </w:rPr>
              <w:t>11.20</w:t>
            </w:r>
          </w:p>
        </w:tc>
        <w:tc>
          <w:tcPr>
            <w:tcW w:w="945" w:type="dxa"/>
            <w:tcBorders>
              <w:top w:val="single" w:sz="12" w:space="0" w:color="auto"/>
              <w:left w:val="single" w:sz="12" w:space="0" w:color="auto"/>
              <w:bottom w:val="single" w:sz="4" w:space="0" w:color="auto"/>
              <w:right w:val="single" w:sz="4" w:space="0" w:color="auto"/>
            </w:tcBorders>
            <w:shd w:val="clear" w:color="000000" w:fill="FFF2CC"/>
            <w:tcMar>
              <w:left w:w="58" w:type="dxa"/>
              <w:right w:w="58" w:type="dxa"/>
            </w:tcMar>
            <w:vAlign w:val="center"/>
          </w:tcPr>
          <w:p w14:paraId="402E8D9C" w14:textId="77777777" w:rsidR="00814E2F" w:rsidRPr="00D20303" w:rsidRDefault="00814E2F" w:rsidP="007F18AB">
            <w:pPr>
              <w:spacing w:after="0" w:line="240" w:lineRule="auto"/>
              <w:jc w:val="right"/>
              <w:rPr>
                <w:color w:val="000000"/>
                <w:sz w:val="20"/>
                <w:szCs w:val="20"/>
              </w:rPr>
            </w:pPr>
            <w:r w:rsidRPr="00D20303">
              <w:rPr>
                <w:color w:val="000000"/>
                <w:sz w:val="20"/>
                <w:szCs w:val="20"/>
              </w:rPr>
              <w:t>9.23</w:t>
            </w:r>
          </w:p>
        </w:tc>
        <w:tc>
          <w:tcPr>
            <w:tcW w:w="945" w:type="dxa"/>
            <w:tcBorders>
              <w:top w:val="single" w:sz="12" w:space="0" w:color="auto"/>
              <w:left w:val="single" w:sz="4" w:space="0" w:color="auto"/>
              <w:bottom w:val="single" w:sz="4" w:space="0" w:color="auto"/>
              <w:right w:val="single" w:sz="12" w:space="0" w:color="auto"/>
            </w:tcBorders>
            <w:shd w:val="clear" w:color="000000" w:fill="FFF2CC"/>
            <w:tcMar>
              <w:left w:w="58" w:type="dxa"/>
              <w:right w:w="58" w:type="dxa"/>
            </w:tcMar>
            <w:vAlign w:val="center"/>
          </w:tcPr>
          <w:p w14:paraId="54FB6174" w14:textId="77777777" w:rsidR="00814E2F" w:rsidRPr="00D20303" w:rsidRDefault="00814E2F" w:rsidP="007F18AB">
            <w:pPr>
              <w:spacing w:after="0" w:line="240" w:lineRule="auto"/>
              <w:jc w:val="right"/>
              <w:rPr>
                <w:color w:val="000000"/>
                <w:sz w:val="20"/>
                <w:szCs w:val="20"/>
              </w:rPr>
            </w:pPr>
            <w:r w:rsidRPr="00D20303">
              <w:rPr>
                <w:color w:val="000000"/>
                <w:sz w:val="20"/>
                <w:szCs w:val="20"/>
              </w:rPr>
              <w:t>10.80</w:t>
            </w:r>
          </w:p>
        </w:tc>
        <w:tc>
          <w:tcPr>
            <w:tcW w:w="1080" w:type="dxa"/>
            <w:tcBorders>
              <w:top w:val="single" w:sz="12" w:space="0" w:color="auto"/>
              <w:left w:val="single" w:sz="4" w:space="0" w:color="auto"/>
              <w:bottom w:val="single" w:sz="4" w:space="0" w:color="auto"/>
              <w:right w:val="single" w:sz="12" w:space="0" w:color="auto"/>
            </w:tcBorders>
            <w:shd w:val="clear" w:color="000000" w:fill="FFF2CC"/>
            <w:tcMar>
              <w:left w:w="58" w:type="dxa"/>
              <w:right w:w="58" w:type="dxa"/>
            </w:tcMar>
            <w:vAlign w:val="center"/>
          </w:tcPr>
          <w:p w14:paraId="4AD6796E" w14:textId="77777777" w:rsidR="00814E2F" w:rsidRPr="00D20303" w:rsidRDefault="00814E2F" w:rsidP="007F18AB">
            <w:pPr>
              <w:spacing w:after="0" w:line="240" w:lineRule="auto"/>
              <w:jc w:val="right"/>
              <w:rPr>
                <w:color w:val="000000"/>
                <w:sz w:val="20"/>
                <w:szCs w:val="20"/>
              </w:rPr>
            </w:pPr>
            <w:r w:rsidRPr="00D20303">
              <w:rPr>
                <w:color w:val="000000"/>
                <w:sz w:val="20"/>
                <w:szCs w:val="20"/>
              </w:rPr>
              <w:t>17.5%</w:t>
            </w:r>
          </w:p>
        </w:tc>
        <w:tc>
          <w:tcPr>
            <w:tcW w:w="1163" w:type="dxa"/>
            <w:tcBorders>
              <w:top w:val="single" w:sz="12" w:space="0" w:color="auto"/>
              <w:left w:val="single" w:sz="4" w:space="0" w:color="auto"/>
              <w:bottom w:val="single" w:sz="4" w:space="0" w:color="auto"/>
              <w:right w:val="single" w:sz="12" w:space="0" w:color="auto"/>
            </w:tcBorders>
            <w:shd w:val="clear" w:color="000000" w:fill="FFF2CC"/>
            <w:tcMar>
              <w:left w:w="58" w:type="dxa"/>
              <w:right w:w="58" w:type="dxa"/>
            </w:tcMar>
            <w:vAlign w:val="center"/>
          </w:tcPr>
          <w:p w14:paraId="20FD4615" w14:textId="77777777" w:rsidR="00814E2F" w:rsidRPr="00D20303" w:rsidRDefault="00814E2F" w:rsidP="007F18AB">
            <w:pPr>
              <w:spacing w:after="0" w:line="240" w:lineRule="auto"/>
              <w:jc w:val="right"/>
              <w:rPr>
                <w:color w:val="000000"/>
                <w:sz w:val="20"/>
                <w:szCs w:val="20"/>
              </w:rPr>
            </w:pPr>
            <w:r w:rsidRPr="00D20303">
              <w:rPr>
                <w:color w:val="000000"/>
                <w:sz w:val="20"/>
                <w:szCs w:val="20"/>
              </w:rPr>
              <w:t>17.1%</w:t>
            </w:r>
          </w:p>
        </w:tc>
        <w:tc>
          <w:tcPr>
            <w:tcW w:w="720" w:type="dxa"/>
            <w:tcBorders>
              <w:top w:val="single" w:sz="12" w:space="0" w:color="auto"/>
              <w:left w:val="single" w:sz="12" w:space="0" w:color="auto"/>
              <w:bottom w:val="single" w:sz="4" w:space="0" w:color="auto"/>
              <w:right w:val="single" w:sz="4" w:space="0" w:color="auto"/>
            </w:tcBorders>
            <w:shd w:val="clear" w:color="000000" w:fill="FFF2CC"/>
            <w:noWrap/>
            <w:tcMar>
              <w:left w:w="58" w:type="dxa"/>
              <w:right w:w="58" w:type="dxa"/>
            </w:tcMar>
            <w:vAlign w:val="center"/>
            <w:hideMark/>
          </w:tcPr>
          <w:p w14:paraId="2F76544B" w14:textId="77777777" w:rsidR="00814E2F" w:rsidRPr="00D20303" w:rsidRDefault="00814E2F" w:rsidP="007F18AB">
            <w:pPr>
              <w:spacing w:after="0" w:line="240" w:lineRule="auto"/>
              <w:jc w:val="right"/>
              <w:rPr>
                <w:color w:val="000000"/>
                <w:sz w:val="20"/>
                <w:szCs w:val="20"/>
              </w:rPr>
            </w:pPr>
            <w:r w:rsidRPr="00D20303">
              <w:rPr>
                <w:color w:val="000000"/>
                <w:sz w:val="20"/>
                <w:szCs w:val="20"/>
              </w:rPr>
              <w:t>8.87</w:t>
            </w:r>
          </w:p>
        </w:tc>
        <w:tc>
          <w:tcPr>
            <w:tcW w:w="720" w:type="dxa"/>
            <w:tcBorders>
              <w:top w:val="single" w:sz="12" w:space="0" w:color="auto"/>
              <w:left w:val="single" w:sz="4" w:space="0" w:color="auto"/>
              <w:bottom w:val="single" w:sz="4" w:space="0" w:color="auto"/>
              <w:right w:val="single" w:sz="4" w:space="0" w:color="auto"/>
            </w:tcBorders>
            <w:shd w:val="clear" w:color="000000" w:fill="FFF2CC"/>
            <w:tcMar>
              <w:left w:w="58" w:type="dxa"/>
              <w:right w:w="58" w:type="dxa"/>
            </w:tcMar>
            <w:vAlign w:val="center"/>
          </w:tcPr>
          <w:p w14:paraId="698C91B8" w14:textId="77777777" w:rsidR="00814E2F" w:rsidRPr="00D20303" w:rsidRDefault="00814E2F" w:rsidP="007F18AB">
            <w:pPr>
              <w:spacing w:after="0" w:line="240" w:lineRule="auto"/>
              <w:jc w:val="right"/>
              <w:rPr>
                <w:color w:val="000000"/>
                <w:sz w:val="20"/>
                <w:szCs w:val="20"/>
              </w:rPr>
            </w:pPr>
            <w:r w:rsidRPr="00D20303">
              <w:rPr>
                <w:color w:val="000000"/>
                <w:sz w:val="20"/>
                <w:szCs w:val="20"/>
              </w:rPr>
              <w:t>11.56</w:t>
            </w:r>
          </w:p>
        </w:tc>
        <w:tc>
          <w:tcPr>
            <w:tcW w:w="983" w:type="dxa"/>
            <w:tcBorders>
              <w:top w:val="single" w:sz="12" w:space="0" w:color="auto"/>
              <w:left w:val="single" w:sz="4" w:space="0" w:color="auto"/>
              <w:bottom w:val="single" w:sz="4" w:space="0" w:color="auto"/>
              <w:right w:val="single" w:sz="12" w:space="0" w:color="auto"/>
            </w:tcBorders>
            <w:shd w:val="clear" w:color="000000" w:fill="FFF2CC"/>
            <w:noWrap/>
            <w:tcMar>
              <w:left w:w="58" w:type="dxa"/>
              <w:right w:w="58" w:type="dxa"/>
            </w:tcMar>
            <w:vAlign w:val="center"/>
            <w:hideMark/>
          </w:tcPr>
          <w:p w14:paraId="50BF1CD4" w14:textId="77777777" w:rsidR="00814E2F" w:rsidRPr="00D20303" w:rsidRDefault="00814E2F" w:rsidP="007F18AB">
            <w:pPr>
              <w:spacing w:after="0" w:line="240" w:lineRule="auto"/>
              <w:jc w:val="right"/>
              <w:rPr>
                <w:color w:val="000000"/>
                <w:sz w:val="20"/>
                <w:szCs w:val="20"/>
              </w:rPr>
            </w:pPr>
            <w:r w:rsidRPr="00D20303">
              <w:rPr>
                <w:color w:val="000000"/>
                <w:sz w:val="20"/>
                <w:szCs w:val="20"/>
              </w:rPr>
              <w:t>10.06</w:t>
            </w:r>
          </w:p>
        </w:tc>
        <w:tc>
          <w:tcPr>
            <w:tcW w:w="1087" w:type="dxa"/>
            <w:tcBorders>
              <w:top w:val="single" w:sz="12" w:space="0" w:color="auto"/>
              <w:left w:val="single" w:sz="12" w:space="0" w:color="auto"/>
              <w:bottom w:val="single" w:sz="4" w:space="0" w:color="auto"/>
              <w:right w:val="single" w:sz="12" w:space="0" w:color="auto"/>
            </w:tcBorders>
            <w:shd w:val="clear" w:color="000000" w:fill="FFF2CC"/>
            <w:tcMar>
              <w:left w:w="58" w:type="dxa"/>
              <w:right w:w="58" w:type="dxa"/>
            </w:tcMar>
            <w:vAlign w:val="center"/>
          </w:tcPr>
          <w:p w14:paraId="4EC1DAD0" w14:textId="77777777" w:rsidR="00814E2F" w:rsidRPr="00D20303" w:rsidRDefault="00814E2F" w:rsidP="007F18AB">
            <w:pPr>
              <w:spacing w:after="0" w:line="240" w:lineRule="auto"/>
              <w:jc w:val="right"/>
              <w:rPr>
                <w:color w:val="000000"/>
                <w:sz w:val="20"/>
                <w:szCs w:val="20"/>
              </w:rPr>
            </w:pPr>
            <w:r w:rsidRPr="00D20303">
              <w:rPr>
                <w:color w:val="000000"/>
                <w:sz w:val="20"/>
                <w:szCs w:val="20"/>
              </w:rPr>
              <w:t>30.3%</w:t>
            </w:r>
          </w:p>
        </w:tc>
        <w:tc>
          <w:tcPr>
            <w:tcW w:w="1080" w:type="dxa"/>
            <w:tcBorders>
              <w:top w:val="single" w:sz="12" w:space="0" w:color="auto"/>
              <w:left w:val="single" w:sz="4" w:space="0" w:color="auto"/>
              <w:bottom w:val="single" w:sz="4" w:space="0" w:color="auto"/>
              <w:right w:val="double" w:sz="4" w:space="0" w:color="auto"/>
            </w:tcBorders>
            <w:shd w:val="clear" w:color="000000" w:fill="FFF2CC"/>
            <w:tcMar>
              <w:left w:w="58" w:type="dxa"/>
              <w:right w:w="58" w:type="dxa"/>
            </w:tcMar>
            <w:vAlign w:val="center"/>
          </w:tcPr>
          <w:p w14:paraId="7DF449AE" w14:textId="77777777" w:rsidR="00814E2F" w:rsidRPr="00D20303" w:rsidRDefault="00814E2F" w:rsidP="007F18AB">
            <w:pPr>
              <w:spacing w:after="0" w:line="240" w:lineRule="auto"/>
              <w:jc w:val="right"/>
              <w:rPr>
                <w:color w:val="000000"/>
                <w:sz w:val="20"/>
                <w:szCs w:val="20"/>
              </w:rPr>
            </w:pPr>
            <w:r w:rsidRPr="00D20303">
              <w:rPr>
                <w:color w:val="000000"/>
                <w:sz w:val="20"/>
                <w:szCs w:val="20"/>
              </w:rPr>
              <w:t>13.4%</w:t>
            </w:r>
          </w:p>
        </w:tc>
      </w:tr>
      <w:tr w:rsidR="00814E2F" w:rsidRPr="00D20303" w14:paraId="237EBEF9" w14:textId="77777777" w:rsidTr="00A24926">
        <w:trPr>
          <w:trHeight w:val="288"/>
        </w:trPr>
        <w:tc>
          <w:tcPr>
            <w:tcW w:w="1245" w:type="dxa"/>
            <w:vMerge/>
            <w:tcBorders>
              <w:top w:val="single" w:sz="4" w:space="0" w:color="auto"/>
              <w:left w:val="double" w:sz="4" w:space="0" w:color="auto"/>
              <w:bottom w:val="single" w:sz="4" w:space="0" w:color="000000"/>
              <w:right w:val="single" w:sz="4" w:space="0" w:color="auto"/>
            </w:tcBorders>
            <w:tcMar>
              <w:left w:w="58" w:type="dxa"/>
              <w:right w:w="58" w:type="dxa"/>
            </w:tcMar>
            <w:vAlign w:val="center"/>
            <w:hideMark/>
          </w:tcPr>
          <w:p w14:paraId="7B710537" w14:textId="77777777" w:rsidR="00814E2F" w:rsidRPr="00D20303" w:rsidRDefault="00814E2F" w:rsidP="007F18AB">
            <w:pPr>
              <w:spacing w:after="0" w:line="240" w:lineRule="auto"/>
              <w:jc w:val="left"/>
              <w:rPr>
                <w:rFonts w:eastAsia="Times New Roman"/>
                <w:b/>
                <w:color w:val="000000"/>
                <w:sz w:val="20"/>
                <w:szCs w:val="20"/>
              </w:rPr>
            </w:pPr>
          </w:p>
        </w:tc>
        <w:tc>
          <w:tcPr>
            <w:tcW w:w="1267" w:type="dxa"/>
            <w:tcBorders>
              <w:top w:val="nil"/>
              <w:left w:val="single" w:sz="12" w:space="0" w:color="auto"/>
              <w:bottom w:val="single" w:sz="4" w:space="0" w:color="auto"/>
              <w:right w:val="single" w:sz="12" w:space="0" w:color="auto"/>
            </w:tcBorders>
            <w:shd w:val="clear" w:color="000000" w:fill="FFF2CC"/>
            <w:tcMar>
              <w:left w:w="58" w:type="dxa"/>
              <w:right w:w="58" w:type="dxa"/>
            </w:tcMar>
            <w:vAlign w:val="center"/>
          </w:tcPr>
          <w:p w14:paraId="39E1F9D4" w14:textId="77777777" w:rsidR="00814E2F" w:rsidRPr="00D20303" w:rsidRDefault="00814E2F" w:rsidP="007F18AB">
            <w:pPr>
              <w:spacing w:after="0" w:line="240" w:lineRule="auto"/>
              <w:jc w:val="center"/>
              <w:rPr>
                <w:rFonts w:eastAsia="Times New Roman"/>
                <w:color w:val="000000"/>
                <w:sz w:val="20"/>
                <w:szCs w:val="20"/>
              </w:rPr>
            </w:pPr>
            <w:r>
              <w:rPr>
                <w:rFonts w:eastAsia="Times New Roman"/>
                <w:color w:val="000000"/>
                <w:sz w:val="20"/>
                <w:szCs w:val="20"/>
              </w:rPr>
              <w:t>Work Office</w:t>
            </w:r>
          </w:p>
        </w:tc>
        <w:tc>
          <w:tcPr>
            <w:tcW w:w="1035" w:type="dxa"/>
            <w:tcBorders>
              <w:top w:val="nil"/>
              <w:left w:val="single" w:sz="12" w:space="0" w:color="auto"/>
              <w:bottom w:val="single" w:sz="4" w:space="0" w:color="auto"/>
              <w:right w:val="single" w:sz="4" w:space="0" w:color="auto"/>
            </w:tcBorders>
            <w:shd w:val="clear" w:color="000000" w:fill="FFF2CC"/>
            <w:tcMar>
              <w:left w:w="58" w:type="dxa"/>
              <w:right w:w="58" w:type="dxa"/>
            </w:tcMar>
            <w:vAlign w:val="center"/>
          </w:tcPr>
          <w:p w14:paraId="2D3A14C1" w14:textId="77777777" w:rsidR="00814E2F" w:rsidRPr="00D20303" w:rsidRDefault="00814E2F" w:rsidP="007F18AB">
            <w:pPr>
              <w:spacing w:after="0" w:line="240" w:lineRule="auto"/>
              <w:jc w:val="right"/>
              <w:rPr>
                <w:color w:val="000000"/>
                <w:sz w:val="20"/>
                <w:szCs w:val="20"/>
              </w:rPr>
            </w:pPr>
            <w:r w:rsidRPr="00D20303">
              <w:rPr>
                <w:color w:val="000000"/>
                <w:sz w:val="20"/>
                <w:szCs w:val="20"/>
              </w:rPr>
              <w:t>11.74</w:t>
            </w:r>
          </w:p>
        </w:tc>
        <w:tc>
          <w:tcPr>
            <w:tcW w:w="945" w:type="dxa"/>
            <w:tcBorders>
              <w:top w:val="nil"/>
              <w:left w:val="single" w:sz="4" w:space="0" w:color="auto"/>
              <w:bottom w:val="single" w:sz="4" w:space="0" w:color="auto"/>
              <w:right w:val="single" w:sz="12" w:space="0" w:color="auto"/>
            </w:tcBorders>
            <w:shd w:val="clear" w:color="000000" w:fill="FFF2CC"/>
            <w:tcMar>
              <w:left w:w="58" w:type="dxa"/>
              <w:right w:w="58" w:type="dxa"/>
            </w:tcMar>
            <w:vAlign w:val="center"/>
          </w:tcPr>
          <w:p w14:paraId="283B08AE" w14:textId="77777777" w:rsidR="00814E2F" w:rsidRPr="00D20303" w:rsidRDefault="00814E2F" w:rsidP="007F18AB">
            <w:pPr>
              <w:spacing w:after="0" w:line="240" w:lineRule="auto"/>
              <w:jc w:val="right"/>
              <w:rPr>
                <w:color w:val="000000"/>
                <w:sz w:val="20"/>
                <w:szCs w:val="20"/>
              </w:rPr>
            </w:pPr>
            <w:r w:rsidRPr="00D20303">
              <w:rPr>
                <w:color w:val="000000"/>
                <w:sz w:val="20"/>
                <w:szCs w:val="20"/>
              </w:rPr>
              <w:t>9.92</w:t>
            </w:r>
          </w:p>
        </w:tc>
        <w:tc>
          <w:tcPr>
            <w:tcW w:w="945" w:type="dxa"/>
            <w:tcBorders>
              <w:top w:val="nil"/>
              <w:left w:val="single" w:sz="12" w:space="0" w:color="auto"/>
              <w:bottom w:val="single" w:sz="4" w:space="0" w:color="auto"/>
              <w:right w:val="single" w:sz="4" w:space="0" w:color="auto"/>
            </w:tcBorders>
            <w:shd w:val="clear" w:color="000000" w:fill="FFF2CC"/>
            <w:tcMar>
              <w:left w:w="58" w:type="dxa"/>
              <w:right w:w="58" w:type="dxa"/>
            </w:tcMar>
            <w:vAlign w:val="center"/>
          </w:tcPr>
          <w:p w14:paraId="7BC8C982" w14:textId="77777777" w:rsidR="00814E2F" w:rsidRPr="00D20303" w:rsidRDefault="00814E2F" w:rsidP="007F18AB">
            <w:pPr>
              <w:spacing w:after="0" w:line="240" w:lineRule="auto"/>
              <w:jc w:val="right"/>
              <w:rPr>
                <w:color w:val="000000"/>
                <w:sz w:val="20"/>
                <w:szCs w:val="20"/>
              </w:rPr>
            </w:pPr>
            <w:r w:rsidRPr="00D20303">
              <w:rPr>
                <w:color w:val="000000"/>
                <w:sz w:val="20"/>
                <w:szCs w:val="20"/>
              </w:rPr>
              <w:t>12.08</w:t>
            </w:r>
          </w:p>
        </w:tc>
        <w:tc>
          <w:tcPr>
            <w:tcW w:w="945" w:type="dxa"/>
            <w:tcBorders>
              <w:top w:val="nil"/>
              <w:left w:val="single" w:sz="4" w:space="0" w:color="auto"/>
              <w:bottom w:val="single" w:sz="4" w:space="0" w:color="auto"/>
              <w:right w:val="single" w:sz="12" w:space="0" w:color="auto"/>
            </w:tcBorders>
            <w:shd w:val="clear" w:color="000000" w:fill="FFF2CC"/>
            <w:tcMar>
              <w:left w:w="58" w:type="dxa"/>
              <w:right w:w="58" w:type="dxa"/>
            </w:tcMar>
            <w:vAlign w:val="center"/>
          </w:tcPr>
          <w:p w14:paraId="60E7794F" w14:textId="77777777" w:rsidR="00814E2F" w:rsidRPr="00D20303" w:rsidRDefault="00814E2F" w:rsidP="007F18AB">
            <w:pPr>
              <w:spacing w:after="0" w:line="240" w:lineRule="auto"/>
              <w:jc w:val="right"/>
              <w:rPr>
                <w:color w:val="000000"/>
                <w:sz w:val="20"/>
                <w:szCs w:val="20"/>
              </w:rPr>
            </w:pPr>
            <w:r w:rsidRPr="00D20303">
              <w:rPr>
                <w:color w:val="000000"/>
                <w:sz w:val="20"/>
                <w:szCs w:val="20"/>
              </w:rPr>
              <w:t>10.36</w:t>
            </w:r>
          </w:p>
        </w:tc>
        <w:tc>
          <w:tcPr>
            <w:tcW w:w="1080" w:type="dxa"/>
            <w:tcBorders>
              <w:top w:val="nil"/>
              <w:left w:val="single" w:sz="4" w:space="0" w:color="auto"/>
              <w:bottom w:val="single" w:sz="4" w:space="0" w:color="auto"/>
              <w:right w:val="single" w:sz="12" w:space="0" w:color="auto"/>
            </w:tcBorders>
            <w:shd w:val="clear" w:color="000000" w:fill="FFF2CC"/>
            <w:tcMar>
              <w:left w:w="58" w:type="dxa"/>
              <w:right w:w="58" w:type="dxa"/>
            </w:tcMar>
            <w:vAlign w:val="center"/>
          </w:tcPr>
          <w:p w14:paraId="2B25B9EC" w14:textId="77777777" w:rsidR="00814E2F" w:rsidRPr="00D20303" w:rsidRDefault="00814E2F" w:rsidP="007F18AB">
            <w:pPr>
              <w:spacing w:after="0" w:line="240" w:lineRule="auto"/>
              <w:jc w:val="right"/>
              <w:rPr>
                <w:color w:val="000000"/>
                <w:sz w:val="20"/>
                <w:szCs w:val="20"/>
              </w:rPr>
            </w:pPr>
            <w:r w:rsidRPr="00D20303">
              <w:rPr>
                <w:color w:val="000000"/>
                <w:sz w:val="20"/>
                <w:szCs w:val="20"/>
              </w:rPr>
              <w:t>-15.5%</w:t>
            </w:r>
          </w:p>
        </w:tc>
        <w:tc>
          <w:tcPr>
            <w:tcW w:w="1163" w:type="dxa"/>
            <w:tcBorders>
              <w:top w:val="nil"/>
              <w:left w:val="single" w:sz="4" w:space="0" w:color="auto"/>
              <w:bottom w:val="single" w:sz="4" w:space="0" w:color="auto"/>
              <w:right w:val="single" w:sz="12" w:space="0" w:color="auto"/>
            </w:tcBorders>
            <w:shd w:val="clear" w:color="000000" w:fill="FFF2CC"/>
            <w:tcMar>
              <w:left w:w="58" w:type="dxa"/>
              <w:right w:w="58" w:type="dxa"/>
            </w:tcMar>
            <w:vAlign w:val="center"/>
          </w:tcPr>
          <w:p w14:paraId="615A4DA0" w14:textId="77777777" w:rsidR="00814E2F" w:rsidRPr="00D20303" w:rsidRDefault="00814E2F" w:rsidP="007F18AB">
            <w:pPr>
              <w:spacing w:after="0" w:line="240" w:lineRule="auto"/>
              <w:jc w:val="right"/>
              <w:rPr>
                <w:color w:val="000000"/>
                <w:sz w:val="20"/>
                <w:szCs w:val="20"/>
              </w:rPr>
            </w:pPr>
            <w:r w:rsidRPr="00D20303">
              <w:rPr>
                <w:color w:val="000000"/>
                <w:sz w:val="20"/>
                <w:szCs w:val="20"/>
              </w:rPr>
              <w:t>-14.3%</w:t>
            </w:r>
          </w:p>
        </w:tc>
        <w:tc>
          <w:tcPr>
            <w:tcW w:w="720" w:type="dxa"/>
            <w:tcBorders>
              <w:top w:val="nil"/>
              <w:left w:val="single" w:sz="12" w:space="0" w:color="auto"/>
              <w:bottom w:val="single" w:sz="4" w:space="0" w:color="auto"/>
              <w:right w:val="single" w:sz="4" w:space="0" w:color="auto"/>
            </w:tcBorders>
            <w:shd w:val="clear" w:color="000000" w:fill="FFF2CC"/>
            <w:noWrap/>
            <w:tcMar>
              <w:left w:w="58" w:type="dxa"/>
              <w:right w:w="58" w:type="dxa"/>
            </w:tcMar>
            <w:vAlign w:val="center"/>
            <w:hideMark/>
          </w:tcPr>
          <w:p w14:paraId="6060EA7C" w14:textId="77777777" w:rsidR="00814E2F" w:rsidRPr="00D20303" w:rsidRDefault="00814E2F" w:rsidP="007F18AB">
            <w:pPr>
              <w:spacing w:after="0" w:line="240" w:lineRule="auto"/>
              <w:jc w:val="right"/>
              <w:rPr>
                <w:color w:val="000000"/>
                <w:sz w:val="20"/>
                <w:szCs w:val="20"/>
              </w:rPr>
            </w:pPr>
            <w:r w:rsidRPr="00D20303">
              <w:rPr>
                <w:color w:val="000000"/>
                <w:sz w:val="20"/>
                <w:szCs w:val="20"/>
              </w:rPr>
              <w:t>12.22</w:t>
            </w:r>
          </w:p>
        </w:tc>
        <w:tc>
          <w:tcPr>
            <w:tcW w:w="720" w:type="dxa"/>
            <w:tcBorders>
              <w:top w:val="nil"/>
              <w:left w:val="single" w:sz="4" w:space="0" w:color="auto"/>
              <w:bottom w:val="single" w:sz="4" w:space="0" w:color="auto"/>
              <w:right w:val="single" w:sz="4" w:space="0" w:color="auto"/>
            </w:tcBorders>
            <w:shd w:val="clear" w:color="000000" w:fill="FFF2CC"/>
            <w:tcMar>
              <w:left w:w="58" w:type="dxa"/>
              <w:right w:w="58" w:type="dxa"/>
            </w:tcMar>
            <w:vAlign w:val="center"/>
          </w:tcPr>
          <w:p w14:paraId="01107E74" w14:textId="77777777" w:rsidR="00814E2F" w:rsidRPr="00D20303" w:rsidRDefault="00814E2F" w:rsidP="007F18AB">
            <w:pPr>
              <w:spacing w:after="0" w:line="240" w:lineRule="auto"/>
              <w:jc w:val="right"/>
              <w:rPr>
                <w:color w:val="000000"/>
                <w:sz w:val="20"/>
                <w:szCs w:val="20"/>
              </w:rPr>
            </w:pPr>
            <w:r w:rsidRPr="00D20303">
              <w:rPr>
                <w:color w:val="000000"/>
                <w:sz w:val="20"/>
                <w:szCs w:val="20"/>
              </w:rPr>
              <w:t>9.76</w:t>
            </w:r>
          </w:p>
        </w:tc>
        <w:tc>
          <w:tcPr>
            <w:tcW w:w="983" w:type="dxa"/>
            <w:tcBorders>
              <w:top w:val="nil"/>
              <w:left w:val="single" w:sz="4" w:space="0" w:color="auto"/>
              <w:bottom w:val="single" w:sz="4" w:space="0" w:color="auto"/>
              <w:right w:val="single" w:sz="12" w:space="0" w:color="auto"/>
            </w:tcBorders>
            <w:shd w:val="clear" w:color="000000" w:fill="FFF2CC"/>
            <w:noWrap/>
            <w:tcMar>
              <w:left w:w="58" w:type="dxa"/>
              <w:right w:w="58" w:type="dxa"/>
            </w:tcMar>
            <w:vAlign w:val="center"/>
            <w:hideMark/>
          </w:tcPr>
          <w:p w14:paraId="70CFCEBA" w14:textId="77777777" w:rsidR="00814E2F" w:rsidRPr="00D20303" w:rsidRDefault="00814E2F" w:rsidP="007F18AB">
            <w:pPr>
              <w:spacing w:after="0" w:line="240" w:lineRule="auto"/>
              <w:jc w:val="right"/>
              <w:rPr>
                <w:color w:val="000000"/>
                <w:sz w:val="20"/>
                <w:szCs w:val="20"/>
              </w:rPr>
            </w:pPr>
            <w:r w:rsidRPr="00D20303">
              <w:rPr>
                <w:color w:val="000000"/>
                <w:sz w:val="20"/>
                <w:szCs w:val="20"/>
              </w:rPr>
              <w:t>11.44</w:t>
            </w:r>
          </w:p>
        </w:tc>
        <w:tc>
          <w:tcPr>
            <w:tcW w:w="1087" w:type="dxa"/>
            <w:tcBorders>
              <w:top w:val="nil"/>
              <w:left w:val="single" w:sz="12" w:space="0" w:color="auto"/>
              <w:bottom w:val="single" w:sz="4" w:space="0" w:color="auto"/>
              <w:right w:val="single" w:sz="12" w:space="0" w:color="auto"/>
            </w:tcBorders>
            <w:shd w:val="clear" w:color="000000" w:fill="FFF2CC"/>
            <w:tcMar>
              <w:left w:w="58" w:type="dxa"/>
              <w:right w:w="58" w:type="dxa"/>
            </w:tcMar>
            <w:vAlign w:val="center"/>
          </w:tcPr>
          <w:p w14:paraId="6F3AA450" w14:textId="77777777" w:rsidR="00814E2F" w:rsidRPr="00D20303" w:rsidRDefault="00814E2F" w:rsidP="007F18AB">
            <w:pPr>
              <w:spacing w:after="0" w:line="240" w:lineRule="auto"/>
              <w:jc w:val="right"/>
              <w:rPr>
                <w:color w:val="000000"/>
                <w:sz w:val="20"/>
                <w:szCs w:val="20"/>
              </w:rPr>
            </w:pPr>
            <w:r w:rsidRPr="00D20303">
              <w:rPr>
                <w:color w:val="000000"/>
                <w:sz w:val="20"/>
                <w:szCs w:val="20"/>
              </w:rPr>
              <w:t>-20.1%</w:t>
            </w:r>
          </w:p>
        </w:tc>
        <w:tc>
          <w:tcPr>
            <w:tcW w:w="1080" w:type="dxa"/>
            <w:tcBorders>
              <w:top w:val="nil"/>
              <w:left w:val="single" w:sz="4" w:space="0" w:color="auto"/>
              <w:bottom w:val="single" w:sz="4" w:space="0" w:color="auto"/>
              <w:right w:val="double" w:sz="4" w:space="0" w:color="auto"/>
            </w:tcBorders>
            <w:shd w:val="clear" w:color="000000" w:fill="FFF2CC"/>
            <w:tcMar>
              <w:left w:w="58" w:type="dxa"/>
              <w:right w:w="58" w:type="dxa"/>
            </w:tcMar>
            <w:vAlign w:val="center"/>
          </w:tcPr>
          <w:p w14:paraId="37BE8846" w14:textId="77777777" w:rsidR="00814E2F" w:rsidRPr="00D20303" w:rsidRDefault="00814E2F" w:rsidP="007F18AB">
            <w:pPr>
              <w:spacing w:after="0" w:line="240" w:lineRule="auto"/>
              <w:jc w:val="right"/>
              <w:rPr>
                <w:color w:val="000000"/>
                <w:sz w:val="20"/>
                <w:szCs w:val="20"/>
              </w:rPr>
            </w:pPr>
            <w:r w:rsidRPr="00D20303">
              <w:rPr>
                <w:color w:val="000000"/>
                <w:sz w:val="20"/>
                <w:szCs w:val="20"/>
              </w:rPr>
              <w:t>-6.4%</w:t>
            </w:r>
          </w:p>
        </w:tc>
      </w:tr>
      <w:tr w:rsidR="00814E2F" w:rsidRPr="00D20303" w14:paraId="23BEEB5D" w14:textId="77777777" w:rsidTr="00A24926">
        <w:trPr>
          <w:trHeight w:val="288"/>
        </w:trPr>
        <w:tc>
          <w:tcPr>
            <w:tcW w:w="1245" w:type="dxa"/>
            <w:vMerge/>
            <w:tcBorders>
              <w:top w:val="single" w:sz="4" w:space="0" w:color="auto"/>
              <w:left w:val="double" w:sz="4" w:space="0" w:color="auto"/>
              <w:bottom w:val="single" w:sz="12" w:space="0" w:color="auto"/>
              <w:right w:val="single" w:sz="4" w:space="0" w:color="auto"/>
            </w:tcBorders>
            <w:tcMar>
              <w:left w:w="58" w:type="dxa"/>
              <w:right w:w="58" w:type="dxa"/>
            </w:tcMar>
            <w:vAlign w:val="center"/>
            <w:hideMark/>
          </w:tcPr>
          <w:p w14:paraId="50710C41" w14:textId="77777777" w:rsidR="00814E2F" w:rsidRPr="00D20303" w:rsidRDefault="00814E2F" w:rsidP="007F18AB">
            <w:pPr>
              <w:spacing w:after="0" w:line="240" w:lineRule="auto"/>
              <w:jc w:val="left"/>
              <w:rPr>
                <w:rFonts w:eastAsia="Times New Roman"/>
                <w:b/>
                <w:color w:val="000000"/>
                <w:sz w:val="20"/>
                <w:szCs w:val="20"/>
              </w:rPr>
            </w:pPr>
          </w:p>
        </w:tc>
        <w:tc>
          <w:tcPr>
            <w:tcW w:w="1267" w:type="dxa"/>
            <w:tcBorders>
              <w:top w:val="nil"/>
              <w:left w:val="single" w:sz="12" w:space="0" w:color="auto"/>
              <w:bottom w:val="single" w:sz="12" w:space="0" w:color="auto"/>
              <w:right w:val="single" w:sz="12" w:space="0" w:color="auto"/>
            </w:tcBorders>
            <w:shd w:val="clear" w:color="000000" w:fill="FFF2CC"/>
            <w:tcMar>
              <w:left w:w="58" w:type="dxa"/>
              <w:right w:w="58" w:type="dxa"/>
            </w:tcMar>
            <w:vAlign w:val="center"/>
          </w:tcPr>
          <w:p w14:paraId="1BF0037D" w14:textId="77777777" w:rsidR="00814E2F" w:rsidRPr="00D20303" w:rsidRDefault="00814E2F" w:rsidP="007F18AB">
            <w:pPr>
              <w:spacing w:after="0" w:line="240" w:lineRule="auto"/>
              <w:jc w:val="center"/>
              <w:rPr>
                <w:rFonts w:eastAsia="Times New Roman"/>
                <w:color w:val="000000"/>
                <w:sz w:val="20"/>
                <w:szCs w:val="20"/>
              </w:rPr>
            </w:pPr>
            <w:r w:rsidRPr="00D20303">
              <w:rPr>
                <w:rFonts w:eastAsia="Times New Roman"/>
                <w:color w:val="000000"/>
                <w:sz w:val="20"/>
                <w:szCs w:val="20"/>
              </w:rPr>
              <w:t>Third WPL</w:t>
            </w:r>
          </w:p>
        </w:tc>
        <w:tc>
          <w:tcPr>
            <w:tcW w:w="1035" w:type="dxa"/>
            <w:tcBorders>
              <w:top w:val="nil"/>
              <w:left w:val="single" w:sz="12" w:space="0" w:color="auto"/>
              <w:bottom w:val="single" w:sz="12" w:space="0" w:color="auto"/>
              <w:right w:val="single" w:sz="4" w:space="0" w:color="auto"/>
            </w:tcBorders>
            <w:shd w:val="clear" w:color="000000" w:fill="FFF2CC"/>
            <w:tcMar>
              <w:left w:w="58" w:type="dxa"/>
              <w:right w:w="58" w:type="dxa"/>
            </w:tcMar>
            <w:vAlign w:val="center"/>
          </w:tcPr>
          <w:p w14:paraId="61C29F23" w14:textId="77777777" w:rsidR="00814E2F" w:rsidRPr="00D20303" w:rsidRDefault="00814E2F" w:rsidP="007F18AB">
            <w:pPr>
              <w:spacing w:after="0" w:line="240" w:lineRule="auto"/>
              <w:jc w:val="right"/>
              <w:rPr>
                <w:color w:val="000000"/>
                <w:sz w:val="20"/>
                <w:szCs w:val="20"/>
              </w:rPr>
            </w:pPr>
            <w:r w:rsidRPr="00D20303">
              <w:rPr>
                <w:color w:val="000000"/>
                <w:sz w:val="20"/>
                <w:szCs w:val="20"/>
              </w:rPr>
              <w:t>0.72</w:t>
            </w:r>
          </w:p>
        </w:tc>
        <w:tc>
          <w:tcPr>
            <w:tcW w:w="945" w:type="dxa"/>
            <w:tcBorders>
              <w:top w:val="nil"/>
              <w:left w:val="single" w:sz="4" w:space="0" w:color="auto"/>
              <w:bottom w:val="single" w:sz="12" w:space="0" w:color="auto"/>
              <w:right w:val="single" w:sz="12" w:space="0" w:color="auto"/>
            </w:tcBorders>
            <w:shd w:val="clear" w:color="000000" w:fill="FFF2CC"/>
            <w:tcMar>
              <w:left w:w="58" w:type="dxa"/>
              <w:right w:w="58" w:type="dxa"/>
            </w:tcMar>
            <w:vAlign w:val="center"/>
          </w:tcPr>
          <w:p w14:paraId="025FDB8F" w14:textId="77777777" w:rsidR="00814E2F" w:rsidRPr="00D20303" w:rsidRDefault="00814E2F" w:rsidP="007F18AB">
            <w:pPr>
              <w:spacing w:after="0" w:line="240" w:lineRule="auto"/>
              <w:jc w:val="right"/>
              <w:rPr>
                <w:color w:val="000000"/>
                <w:sz w:val="20"/>
                <w:szCs w:val="20"/>
              </w:rPr>
            </w:pPr>
            <w:r w:rsidRPr="00D20303">
              <w:rPr>
                <w:color w:val="000000"/>
                <w:sz w:val="20"/>
                <w:szCs w:val="20"/>
              </w:rPr>
              <w:t>0.88</w:t>
            </w:r>
          </w:p>
        </w:tc>
        <w:tc>
          <w:tcPr>
            <w:tcW w:w="945" w:type="dxa"/>
            <w:tcBorders>
              <w:top w:val="nil"/>
              <w:left w:val="single" w:sz="12" w:space="0" w:color="auto"/>
              <w:bottom w:val="single" w:sz="12" w:space="0" w:color="auto"/>
              <w:right w:val="single" w:sz="4" w:space="0" w:color="auto"/>
            </w:tcBorders>
            <w:shd w:val="clear" w:color="000000" w:fill="FFF2CC"/>
            <w:tcMar>
              <w:left w:w="58" w:type="dxa"/>
              <w:right w:w="58" w:type="dxa"/>
            </w:tcMar>
            <w:vAlign w:val="center"/>
          </w:tcPr>
          <w:p w14:paraId="3276A842" w14:textId="77777777" w:rsidR="00814E2F" w:rsidRPr="00D20303" w:rsidRDefault="00814E2F" w:rsidP="007F18AB">
            <w:pPr>
              <w:spacing w:after="0" w:line="240" w:lineRule="auto"/>
              <w:jc w:val="right"/>
              <w:rPr>
                <w:color w:val="000000"/>
                <w:sz w:val="20"/>
                <w:szCs w:val="20"/>
              </w:rPr>
            </w:pPr>
            <w:r w:rsidRPr="00D20303">
              <w:rPr>
                <w:color w:val="000000"/>
                <w:sz w:val="20"/>
                <w:szCs w:val="20"/>
              </w:rPr>
              <w:t>0.69</w:t>
            </w:r>
          </w:p>
        </w:tc>
        <w:tc>
          <w:tcPr>
            <w:tcW w:w="945" w:type="dxa"/>
            <w:tcBorders>
              <w:top w:val="nil"/>
              <w:left w:val="single" w:sz="4" w:space="0" w:color="auto"/>
              <w:bottom w:val="single" w:sz="12" w:space="0" w:color="auto"/>
              <w:right w:val="single" w:sz="12" w:space="0" w:color="auto"/>
            </w:tcBorders>
            <w:shd w:val="clear" w:color="000000" w:fill="FFF2CC"/>
            <w:tcMar>
              <w:left w:w="58" w:type="dxa"/>
              <w:right w:w="58" w:type="dxa"/>
            </w:tcMar>
            <w:vAlign w:val="center"/>
          </w:tcPr>
          <w:p w14:paraId="0D21C55F" w14:textId="77777777" w:rsidR="00814E2F" w:rsidRPr="00D20303" w:rsidRDefault="00814E2F" w:rsidP="007F18AB">
            <w:pPr>
              <w:spacing w:after="0" w:line="240" w:lineRule="auto"/>
              <w:jc w:val="right"/>
              <w:rPr>
                <w:color w:val="000000"/>
                <w:sz w:val="20"/>
                <w:szCs w:val="20"/>
              </w:rPr>
            </w:pPr>
            <w:r w:rsidRPr="00D20303">
              <w:rPr>
                <w:color w:val="000000"/>
                <w:sz w:val="20"/>
                <w:szCs w:val="20"/>
              </w:rPr>
              <w:t>0.84</w:t>
            </w:r>
          </w:p>
        </w:tc>
        <w:tc>
          <w:tcPr>
            <w:tcW w:w="1080" w:type="dxa"/>
            <w:tcBorders>
              <w:top w:val="nil"/>
              <w:left w:val="single" w:sz="4" w:space="0" w:color="auto"/>
              <w:bottom w:val="single" w:sz="12" w:space="0" w:color="auto"/>
              <w:right w:val="single" w:sz="12" w:space="0" w:color="auto"/>
            </w:tcBorders>
            <w:shd w:val="clear" w:color="000000" w:fill="FFF2CC"/>
            <w:tcMar>
              <w:left w:w="58" w:type="dxa"/>
              <w:right w:w="58" w:type="dxa"/>
            </w:tcMar>
            <w:vAlign w:val="center"/>
          </w:tcPr>
          <w:p w14:paraId="639D8C60" w14:textId="77777777" w:rsidR="00814E2F" w:rsidRPr="00D20303" w:rsidRDefault="00814E2F" w:rsidP="007F18AB">
            <w:pPr>
              <w:spacing w:after="0" w:line="240" w:lineRule="auto"/>
              <w:jc w:val="right"/>
              <w:rPr>
                <w:color w:val="000000"/>
                <w:sz w:val="20"/>
                <w:szCs w:val="20"/>
              </w:rPr>
            </w:pPr>
            <w:r w:rsidRPr="00D20303">
              <w:rPr>
                <w:color w:val="000000"/>
                <w:sz w:val="20"/>
                <w:szCs w:val="20"/>
              </w:rPr>
              <w:t>21.2%</w:t>
            </w:r>
          </w:p>
        </w:tc>
        <w:tc>
          <w:tcPr>
            <w:tcW w:w="1163" w:type="dxa"/>
            <w:tcBorders>
              <w:top w:val="nil"/>
              <w:left w:val="single" w:sz="4" w:space="0" w:color="auto"/>
              <w:bottom w:val="single" w:sz="12" w:space="0" w:color="auto"/>
              <w:right w:val="single" w:sz="12" w:space="0" w:color="auto"/>
            </w:tcBorders>
            <w:shd w:val="clear" w:color="000000" w:fill="FFF2CC"/>
            <w:tcMar>
              <w:left w:w="58" w:type="dxa"/>
              <w:right w:w="58" w:type="dxa"/>
            </w:tcMar>
            <w:vAlign w:val="center"/>
          </w:tcPr>
          <w:p w14:paraId="2E1F27ED" w14:textId="77777777" w:rsidR="00814E2F" w:rsidRPr="00D20303" w:rsidRDefault="00814E2F" w:rsidP="007F18AB">
            <w:pPr>
              <w:spacing w:after="0" w:line="240" w:lineRule="auto"/>
              <w:jc w:val="right"/>
              <w:rPr>
                <w:color w:val="000000"/>
                <w:sz w:val="20"/>
                <w:szCs w:val="20"/>
              </w:rPr>
            </w:pPr>
            <w:r w:rsidRPr="00D20303">
              <w:rPr>
                <w:color w:val="000000"/>
                <w:sz w:val="20"/>
                <w:szCs w:val="20"/>
              </w:rPr>
              <w:t>21.3%</w:t>
            </w:r>
          </w:p>
        </w:tc>
        <w:tc>
          <w:tcPr>
            <w:tcW w:w="720" w:type="dxa"/>
            <w:tcBorders>
              <w:top w:val="nil"/>
              <w:left w:val="single" w:sz="12" w:space="0" w:color="auto"/>
              <w:bottom w:val="single" w:sz="12" w:space="0" w:color="auto"/>
              <w:right w:val="single" w:sz="4" w:space="0" w:color="auto"/>
            </w:tcBorders>
            <w:shd w:val="clear" w:color="000000" w:fill="FFF2CC"/>
            <w:noWrap/>
            <w:tcMar>
              <w:left w:w="58" w:type="dxa"/>
              <w:right w:w="58" w:type="dxa"/>
            </w:tcMar>
            <w:vAlign w:val="center"/>
            <w:hideMark/>
          </w:tcPr>
          <w:p w14:paraId="7C4B7BE5" w14:textId="77777777" w:rsidR="00814E2F" w:rsidRPr="00D20303" w:rsidRDefault="00814E2F" w:rsidP="007F18AB">
            <w:pPr>
              <w:spacing w:after="0" w:line="240" w:lineRule="auto"/>
              <w:jc w:val="right"/>
              <w:rPr>
                <w:color w:val="000000"/>
                <w:sz w:val="20"/>
                <w:szCs w:val="20"/>
              </w:rPr>
            </w:pPr>
            <w:r w:rsidRPr="00D20303">
              <w:rPr>
                <w:color w:val="000000"/>
                <w:sz w:val="20"/>
                <w:szCs w:val="20"/>
              </w:rPr>
              <w:t>0.91</w:t>
            </w:r>
          </w:p>
        </w:tc>
        <w:tc>
          <w:tcPr>
            <w:tcW w:w="720" w:type="dxa"/>
            <w:tcBorders>
              <w:top w:val="nil"/>
              <w:left w:val="single" w:sz="4" w:space="0" w:color="auto"/>
              <w:bottom w:val="single" w:sz="12" w:space="0" w:color="auto"/>
              <w:right w:val="single" w:sz="4" w:space="0" w:color="auto"/>
            </w:tcBorders>
            <w:shd w:val="clear" w:color="000000" w:fill="FFF2CC"/>
            <w:tcMar>
              <w:left w:w="58" w:type="dxa"/>
              <w:right w:w="58" w:type="dxa"/>
            </w:tcMar>
            <w:vAlign w:val="center"/>
          </w:tcPr>
          <w:p w14:paraId="76DD075C" w14:textId="77777777" w:rsidR="00814E2F" w:rsidRPr="00D20303" w:rsidRDefault="00814E2F" w:rsidP="007F18AB">
            <w:pPr>
              <w:spacing w:after="0" w:line="240" w:lineRule="auto"/>
              <w:jc w:val="right"/>
              <w:rPr>
                <w:color w:val="000000"/>
                <w:sz w:val="20"/>
                <w:szCs w:val="20"/>
              </w:rPr>
            </w:pPr>
            <w:r w:rsidRPr="00D20303">
              <w:rPr>
                <w:color w:val="000000"/>
                <w:sz w:val="20"/>
                <w:szCs w:val="20"/>
              </w:rPr>
              <w:t>0.68</w:t>
            </w:r>
          </w:p>
        </w:tc>
        <w:tc>
          <w:tcPr>
            <w:tcW w:w="983" w:type="dxa"/>
            <w:tcBorders>
              <w:top w:val="nil"/>
              <w:left w:val="single" w:sz="4" w:space="0" w:color="auto"/>
              <w:bottom w:val="single" w:sz="12" w:space="0" w:color="auto"/>
              <w:right w:val="single" w:sz="12" w:space="0" w:color="auto"/>
            </w:tcBorders>
            <w:shd w:val="clear" w:color="000000" w:fill="FFF2CC"/>
            <w:noWrap/>
            <w:tcMar>
              <w:left w:w="58" w:type="dxa"/>
              <w:right w:w="58" w:type="dxa"/>
            </w:tcMar>
            <w:vAlign w:val="center"/>
            <w:hideMark/>
          </w:tcPr>
          <w:p w14:paraId="18704857" w14:textId="77777777" w:rsidR="00814E2F" w:rsidRPr="00D20303" w:rsidRDefault="00814E2F" w:rsidP="007F18AB">
            <w:pPr>
              <w:spacing w:after="0" w:line="240" w:lineRule="auto"/>
              <w:jc w:val="right"/>
              <w:rPr>
                <w:color w:val="000000"/>
                <w:sz w:val="20"/>
                <w:szCs w:val="20"/>
              </w:rPr>
            </w:pPr>
            <w:r w:rsidRPr="00D20303">
              <w:rPr>
                <w:color w:val="000000"/>
                <w:sz w:val="20"/>
                <w:szCs w:val="20"/>
              </w:rPr>
              <w:t>0.50</w:t>
            </w:r>
          </w:p>
        </w:tc>
        <w:tc>
          <w:tcPr>
            <w:tcW w:w="1087" w:type="dxa"/>
            <w:tcBorders>
              <w:top w:val="nil"/>
              <w:left w:val="single" w:sz="12" w:space="0" w:color="auto"/>
              <w:bottom w:val="single" w:sz="12" w:space="0" w:color="auto"/>
              <w:right w:val="single" w:sz="12" w:space="0" w:color="auto"/>
            </w:tcBorders>
            <w:shd w:val="clear" w:color="000000" w:fill="FFF2CC"/>
            <w:tcMar>
              <w:left w:w="58" w:type="dxa"/>
              <w:right w:w="58" w:type="dxa"/>
            </w:tcMar>
            <w:vAlign w:val="center"/>
          </w:tcPr>
          <w:p w14:paraId="2693E515" w14:textId="77777777" w:rsidR="00814E2F" w:rsidRPr="00D20303" w:rsidRDefault="00814E2F" w:rsidP="007F18AB">
            <w:pPr>
              <w:spacing w:after="0" w:line="240" w:lineRule="auto"/>
              <w:jc w:val="right"/>
              <w:rPr>
                <w:color w:val="000000"/>
                <w:sz w:val="20"/>
                <w:szCs w:val="20"/>
              </w:rPr>
            </w:pPr>
            <w:r w:rsidRPr="00D20303">
              <w:rPr>
                <w:color w:val="000000"/>
                <w:sz w:val="20"/>
                <w:szCs w:val="20"/>
              </w:rPr>
              <w:t>-25.5%</w:t>
            </w:r>
          </w:p>
        </w:tc>
        <w:tc>
          <w:tcPr>
            <w:tcW w:w="1080" w:type="dxa"/>
            <w:tcBorders>
              <w:top w:val="nil"/>
              <w:left w:val="single" w:sz="4" w:space="0" w:color="auto"/>
              <w:bottom w:val="single" w:sz="12" w:space="0" w:color="auto"/>
              <w:right w:val="double" w:sz="4" w:space="0" w:color="auto"/>
            </w:tcBorders>
            <w:shd w:val="clear" w:color="000000" w:fill="FFF2CC"/>
            <w:tcMar>
              <w:left w:w="58" w:type="dxa"/>
              <w:right w:w="58" w:type="dxa"/>
            </w:tcMar>
            <w:vAlign w:val="center"/>
          </w:tcPr>
          <w:p w14:paraId="12C8284E" w14:textId="77777777" w:rsidR="00814E2F" w:rsidRPr="00D20303" w:rsidRDefault="00814E2F" w:rsidP="007F18AB">
            <w:pPr>
              <w:spacing w:after="0" w:line="240" w:lineRule="auto"/>
              <w:jc w:val="right"/>
              <w:rPr>
                <w:color w:val="000000"/>
                <w:sz w:val="20"/>
                <w:szCs w:val="20"/>
              </w:rPr>
            </w:pPr>
            <w:r w:rsidRPr="00D20303">
              <w:rPr>
                <w:color w:val="000000"/>
                <w:sz w:val="20"/>
                <w:szCs w:val="20"/>
              </w:rPr>
              <w:t>-45.2%</w:t>
            </w:r>
          </w:p>
        </w:tc>
      </w:tr>
      <w:tr w:rsidR="00814E2F" w:rsidRPr="00D20303" w14:paraId="3AAD4864" w14:textId="77777777" w:rsidTr="00A24926">
        <w:trPr>
          <w:trHeight w:val="288"/>
        </w:trPr>
        <w:tc>
          <w:tcPr>
            <w:tcW w:w="1245" w:type="dxa"/>
            <w:vMerge w:val="restart"/>
            <w:tcBorders>
              <w:top w:val="nil"/>
              <w:left w:val="double" w:sz="4" w:space="0" w:color="auto"/>
              <w:bottom w:val="single" w:sz="4" w:space="0" w:color="000000"/>
              <w:right w:val="single" w:sz="4" w:space="0" w:color="auto"/>
            </w:tcBorders>
            <w:shd w:val="clear" w:color="000000" w:fill="FFE699"/>
            <w:tcMar>
              <w:left w:w="58" w:type="dxa"/>
              <w:right w:w="58" w:type="dxa"/>
            </w:tcMar>
            <w:vAlign w:val="center"/>
            <w:hideMark/>
          </w:tcPr>
          <w:p w14:paraId="6E581D02" w14:textId="77777777" w:rsidR="00814E2F" w:rsidRPr="00D20303" w:rsidRDefault="00814E2F" w:rsidP="007F18AB">
            <w:pPr>
              <w:spacing w:after="0" w:line="240" w:lineRule="auto"/>
              <w:jc w:val="left"/>
              <w:rPr>
                <w:rFonts w:eastAsia="Times New Roman"/>
                <w:b/>
                <w:color w:val="000000"/>
                <w:sz w:val="20"/>
                <w:szCs w:val="20"/>
              </w:rPr>
            </w:pPr>
            <w:r w:rsidRPr="00D20303">
              <w:rPr>
                <w:rFonts w:eastAsia="Times New Roman"/>
                <w:b/>
                <w:color w:val="000000"/>
                <w:sz w:val="20"/>
                <w:szCs w:val="20"/>
              </w:rPr>
              <w:t>Women with young child with partner</w:t>
            </w:r>
          </w:p>
        </w:tc>
        <w:tc>
          <w:tcPr>
            <w:tcW w:w="1267" w:type="dxa"/>
            <w:tcBorders>
              <w:top w:val="single" w:sz="12" w:space="0" w:color="auto"/>
              <w:left w:val="single" w:sz="12" w:space="0" w:color="auto"/>
              <w:bottom w:val="single" w:sz="4" w:space="0" w:color="auto"/>
              <w:right w:val="single" w:sz="12" w:space="0" w:color="auto"/>
            </w:tcBorders>
            <w:shd w:val="clear" w:color="000000" w:fill="FFE699"/>
            <w:tcMar>
              <w:left w:w="58" w:type="dxa"/>
              <w:right w:w="58" w:type="dxa"/>
            </w:tcMar>
            <w:vAlign w:val="center"/>
          </w:tcPr>
          <w:p w14:paraId="455DC7D8" w14:textId="77777777" w:rsidR="00814E2F" w:rsidRPr="00D20303" w:rsidRDefault="00814E2F" w:rsidP="007F18AB">
            <w:pPr>
              <w:spacing w:after="0" w:line="240" w:lineRule="auto"/>
              <w:jc w:val="center"/>
              <w:rPr>
                <w:rFonts w:eastAsia="Times New Roman"/>
                <w:color w:val="000000"/>
                <w:sz w:val="20"/>
                <w:szCs w:val="20"/>
              </w:rPr>
            </w:pPr>
            <w:r w:rsidRPr="00D20303">
              <w:rPr>
                <w:rFonts w:eastAsia="Times New Roman"/>
                <w:color w:val="000000"/>
                <w:sz w:val="20"/>
                <w:szCs w:val="20"/>
              </w:rPr>
              <w:t>Home</w:t>
            </w:r>
          </w:p>
        </w:tc>
        <w:tc>
          <w:tcPr>
            <w:tcW w:w="1035" w:type="dxa"/>
            <w:tcBorders>
              <w:top w:val="single" w:sz="12" w:space="0" w:color="auto"/>
              <w:left w:val="single" w:sz="12" w:space="0" w:color="auto"/>
              <w:bottom w:val="single" w:sz="4" w:space="0" w:color="auto"/>
              <w:right w:val="single" w:sz="4" w:space="0" w:color="auto"/>
            </w:tcBorders>
            <w:shd w:val="clear" w:color="000000" w:fill="FFE699"/>
            <w:tcMar>
              <w:left w:w="58" w:type="dxa"/>
              <w:right w:w="58" w:type="dxa"/>
            </w:tcMar>
            <w:vAlign w:val="center"/>
          </w:tcPr>
          <w:p w14:paraId="39C87586" w14:textId="77777777" w:rsidR="00814E2F" w:rsidRPr="00D20303" w:rsidRDefault="00814E2F" w:rsidP="007F18AB">
            <w:pPr>
              <w:spacing w:after="0" w:line="240" w:lineRule="auto"/>
              <w:jc w:val="right"/>
              <w:rPr>
                <w:color w:val="000000"/>
                <w:sz w:val="20"/>
                <w:szCs w:val="20"/>
              </w:rPr>
            </w:pPr>
            <w:r w:rsidRPr="00D20303">
              <w:rPr>
                <w:color w:val="000000"/>
                <w:sz w:val="20"/>
                <w:szCs w:val="20"/>
              </w:rPr>
              <w:t>11.33</w:t>
            </w:r>
          </w:p>
        </w:tc>
        <w:tc>
          <w:tcPr>
            <w:tcW w:w="945" w:type="dxa"/>
            <w:tcBorders>
              <w:top w:val="single" w:sz="12" w:space="0" w:color="auto"/>
              <w:left w:val="single" w:sz="4" w:space="0" w:color="auto"/>
              <w:bottom w:val="single" w:sz="4" w:space="0" w:color="auto"/>
              <w:right w:val="single" w:sz="12" w:space="0" w:color="auto"/>
            </w:tcBorders>
            <w:shd w:val="clear" w:color="000000" w:fill="FFE699"/>
            <w:tcMar>
              <w:left w:w="58" w:type="dxa"/>
              <w:right w:w="58" w:type="dxa"/>
            </w:tcMar>
            <w:vAlign w:val="center"/>
          </w:tcPr>
          <w:p w14:paraId="5A51572A" w14:textId="77777777" w:rsidR="00814E2F" w:rsidRPr="00D20303" w:rsidRDefault="00814E2F" w:rsidP="007F18AB">
            <w:pPr>
              <w:spacing w:after="0" w:line="240" w:lineRule="auto"/>
              <w:jc w:val="right"/>
              <w:rPr>
                <w:color w:val="000000"/>
                <w:sz w:val="20"/>
                <w:szCs w:val="20"/>
              </w:rPr>
            </w:pPr>
            <w:r w:rsidRPr="00D20303">
              <w:rPr>
                <w:color w:val="000000"/>
                <w:sz w:val="20"/>
                <w:szCs w:val="20"/>
              </w:rPr>
              <w:t>12.77</w:t>
            </w:r>
          </w:p>
        </w:tc>
        <w:tc>
          <w:tcPr>
            <w:tcW w:w="945" w:type="dxa"/>
            <w:tcBorders>
              <w:top w:val="single" w:sz="12" w:space="0" w:color="auto"/>
              <w:left w:val="single" w:sz="12" w:space="0" w:color="auto"/>
              <w:bottom w:val="single" w:sz="4" w:space="0" w:color="auto"/>
              <w:right w:val="single" w:sz="4" w:space="0" w:color="auto"/>
            </w:tcBorders>
            <w:shd w:val="clear" w:color="000000" w:fill="FFE699"/>
            <w:tcMar>
              <w:left w:w="58" w:type="dxa"/>
              <w:right w:w="58" w:type="dxa"/>
            </w:tcMar>
            <w:vAlign w:val="center"/>
          </w:tcPr>
          <w:p w14:paraId="7D89DD04" w14:textId="77777777" w:rsidR="00814E2F" w:rsidRPr="00D20303" w:rsidRDefault="00814E2F" w:rsidP="007F18AB">
            <w:pPr>
              <w:spacing w:after="0" w:line="240" w:lineRule="auto"/>
              <w:jc w:val="right"/>
              <w:rPr>
                <w:color w:val="000000"/>
                <w:sz w:val="20"/>
                <w:szCs w:val="20"/>
              </w:rPr>
            </w:pPr>
            <w:r w:rsidRPr="00D20303">
              <w:rPr>
                <w:color w:val="000000"/>
                <w:sz w:val="20"/>
                <w:szCs w:val="20"/>
              </w:rPr>
              <w:t>11.03</w:t>
            </w:r>
          </w:p>
        </w:tc>
        <w:tc>
          <w:tcPr>
            <w:tcW w:w="945" w:type="dxa"/>
            <w:tcBorders>
              <w:top w:val="single" w:sz="12" w:space="0" w:color="auto"/>
              <w:left w:val="single" w:sz="4" w:space="0" w:color="auto"/>
              <w:bottom w:val="single" w:sz="4" w:space="0" w:color="auto"/>
              <w:right w:val="single" w:sz="12" w:space="0" w:color="auto"/>
            </w:tcBorders>
            <w:shd w:val="clear" w:color="000000" w:fill="FFE699"/>
            <w:tcMar>
              <w:left w:w="58" w:type="dxa"/>
              <w:right w:w="58" w:type="dxa"/>
            </w:tcMar>
            <w:vAlign w:val="center"/>
          </w:tcPr>
          <w:p w14:paraId="2CF0DED6" w14:textId="77777777" w:rsidR="00814E2F" w:rsidRPr="00D20303" w:rsidRDefault="00814E2F" w:rsidP="007F18AB">
            <w:pPr>
              <w:spacing w:after="0" w:line="240" w:lineRule="auto"/>
              <w:jc w:val="right"/>
              <w:rPr>
                <w:color w:val="000000"/>
                <w:sz w:val="20"/>
                <w:szCs w:val="20"/>
              </w:rPr>
            </w:pPr>
            <w:r w:rsidRPr="00D20303">
              <w:rPr>
                <w:color w:val="000000"/>
                <w:sz w:val="20"/>
                <w:szCs w:val="20"/>
              </w:rPr>
              <w:t>12.49</w:t>
            </w:r>
          </w:p>
        </w:tc>
        <w:tc>
          <w:tcPr>
            <w:tcW w:w="1080" w:type="dxa"/>
            <w:tcBorders>
              <w:top w:val="single" w:sz="12" w:space="0" w:color="auto"/>
              <w:left w:val="single" w:sz="4" w:space="0" w:color="auto"/>
              <w:bottom w:val="single" w:sz="4" w:space="0" w:color="auto"/>
              <w:right w:val="single" w:sz="12" w:space="0" w:color="auto"/>
            </w:tcBorders>
            <w:shd w:val="clear" w:color="000000" w:fill="FFE699"/>
            <w:tcMar>
              <w:left w:w="58" w:type="dxa"/>
              <w:right w:w="58" w:type="dxa"/>
            </w:tcMar>
            <w:vAlign w:val="center"/>
          </w:tcPr>
          <w:p w14:paraId="2FA17F4D" w14:textId="77777777" w:rsidR="00814E2F" w:rsidRPr="00D20303" w:rsidRDefault="00814E2F" w:rsidP="007F18AB">
            <w:pPr>
              <w:spacing w:after="0" w:line="240" w:lineRule="auto"/>
              <w:jc w:val="right"/>
              <w:rPr>
                <w:color w:val="000000"/>
                <w:sz w:val="20"/>
                <w:szCs w:val="20"/>
              </w:rPr>
            </w:pPr>
            <w:r w:rsidRPr="00D20303">
              <w:rPr>
                <w:color w:val="000000"/>
                <w:sz w:val="20"/>
                <w:szCs w:val="20"/>
              </w:rPr>
              <w:t>12.7%</w:t>
            </w:r>
          </w:p>
        </w:tc>
        <w:tc>
          <w:tcPr>
            <w:tcW w:w="1163" w:type="dxa"/>
            <w:tcBorders>
              <w:top w:val="single" w:sz="12" w:space="0" w:color="auto"/>
              <w:left w:val="single" w:sz="4" w:space="0" w:color="auto"/>
              <w:bottom w:val="single" w:sz="4" w:space="0" w:color="auto"/>
              <w:right w:val="single" w:sz="12" w:space="0" w:color="auto"/>
            </w:tcBorders>
            <w:shd w:val="clear" w:color="000000" w:fill="FFE699"/>
            <w:tcMar>
              <w:left w:w="58" w:type="dxa"/>
              <w:right w:w="58" w:type="dxa"/>
            </w:tcMar>
            <w:vAlign w:val="center"/>
          </w:tcPr>
          <w:p w14:paraId="619D725B" w14:textId="77777777" w:rsidR="00814E2F" w:rsidRPr="00D20303" w:rsidRDefault="00814E2F" w:rsidP="007F18AB">
            <w:pPr>
              <w:spacing w:after="0" w:line="240" w:lineRule="auto"/>
              <w:jc w:val="right"/>
              <w:rPr>
                <w:color w:val="000000"/>
                <w:sz w:val="20"/>
                <w:szCs w:val="20"/>
              </w:rPr>
            </w:pPr>
            <w:r w:rsidRPr="00D20303">
              <w:rPr>
                <w:color w:val="000000"/>
                <w:sz w:val="20"/>
                <w:szCs w:val="20"/>
              </w:rPr>
              <w:t>13.3%</w:t>
            </w:r>
          </w:p>
        </w:tc>
        <w:tc>
          <w:tcPr>
            <w:tcW w:w="720" w:type="dxa"/>
            <w:tcBorders>
              <w:top w:val="single" w:sz="12" w:space="0" w:color="auto"/>
              <w:left w:val="single" w:sz="12" w:space="0" w:color="auto"/>
              <w:bottom w:val="single" w:sz="4" w:space="0" w:color="auto"/>
              <w:right w:val="single" w:sz="4" w:space="0" w:color="auto"/>
            </w:tcBorders>
            <w:shd w:val="clear" w:color="000000" w:fill="FFE699"/>
            <w:noWrap/>
            <w:tcMar>
              <w:left w:w="58" w:type="dxa"/>
              <w:right w:w="58" w:type="dxa"/>
            </w:tcMar>
            <w:vAlign w:val="center"/>
            <w:hideMark/>
          </w:tcPr>
          <w:p w14:paraId="7038EE8A" w14:textId="77777777" w:rsidR="00814E2F" w:rsidRPr="00D20303" w:rsidRDefault="00814E2F" w:rsidP="007F18AB">
            <w:pPr>
              <w:spacing w:after="0" w:line="240" w:lineRule="auto"/>
              <w:jc w:val="right"/>
              <w:rPr>
                <w:color w:val="000000"/>
                <w:sz w:val="20"/>
                <w:szCs w:val="20"/>
              </w:rPr>
            </w:pPr>
            <w:r w:rsidRPr="00D20303">
              <w:rPr>
                <w:color w:val="000000"/>
                <w:sz w:val="20"/>
                <w:szCs w:val="20"/>
              </w:rPr>
              <w:t>10.57</w:t>
            </w:r>
          </w:p>
        </w:tc>
        <w:tc>
          <w:tcPr>
            <w:tcW w:w="720" w:type="dxa"/>
            <w:tcBorders>
              <w:top w:val="single" w:sz="12" w:space="0" w:color="auto"/>
              <w:left w:val="single" w:sz="4" w:space="0" w:color="auto"/>
              <w:bottom w:val="single" w:sz="4" w:space="0" w:color="auto"/>
              <w:right w:val="single" w:sz="4" w:space="0" w:color="auto"/>
            </w:tcBorders>
            <w:shd w:val="clear" w:color="000000" w:fill="FFE699"/>
            <w:tcMar>
              <w:left w:w="58" w:type="dxa"/>
              <w:right w:w="58" w:type="dxa"/>
            </w:tcMar>
            <w:vAlign w:val="center"/>
          </w:tcPr>
          <w:p w14:paraId="53240A09" w14:textId="77777777" w:rsidR="00814E2F" w:rsidRPr="00D20303" w:rsidRDefault="00814E2F" w:rsidP="007F18AB">
            <w:pPr>
              <w:spacing w:after="0" w:line="240" w:lineRule="auto"/>
              <w:jc w:val="right"/>
              <w:rPr>
                <w:color w:val="000000"/>
                <w:sz w:val="20"/>
                <w:szCs w:val="20"/>
              </w:rPr>
            </w:pPr>
            <w:r w:rsidRPr="00D20303">
              <w:rPr>
                <w:color w:val="000000"/>
                <w:sz w:val="20"/>
                <w:szCs w:val="20"/>
              </w:rPr>
              <w:t>13.27</w:t>
            </w:r>
          </w:p>
        </w:tc>
        <w:tc>
          <w:tcPr>
            <w:tcW w:w="983" w:type="dxa"/>
            <w:tcBorders>
              <w:top w:val="single" w:sz="12" w:space="0" w:color="auto"/>
              <w:left w:val="single" w:sz="4" w:space="0" w:color="auto"/>
              <w:bottom w:val="single" w:sz="4" w:space="0" w:color="auto"/>
              <w:right w:val="single" w:sz="12" w:space="0" w:color="auto"/>
            </w:tcBorders>
            <w:shd w:val="clear" w:color="000000" w:fill="FFE699"/>
            <w:noWrap/>
            <w:tcMar>
              <w:left w:w="58" w:type="dxa"/>
              <w:right w:w="58" w:type="dxa"/>
            </w:tcMar>
            <w:vAlign w:val="center"/>
            <w:hideMark/>
          </w:tcPr>
          <w:p w14:paraId="28A1D64F" w14:textId="77777777" w:rsidR="00814E2F" w:rsidRPr="00D20303" w:rsidRDefault="00814E2F" w:rsidP="007F18AB">
            <w:pPr>
              <w:spacing w:after="0" w:line="240" w:lineRule="auto"/>
              <w:jc w:val="right"/>
              <w:rPr>
                <w:color w:val="000000"/>
                <w:sz w:val="20"/>
                <w:szCs w:val="20"/>
              </w:rPr>
            </w:pPr>
            <w:r w:rsidRPr="00D20303">
              <w:rPr>
                <w:color w:val="000000"/>
                <w:sz w:val="20"/>
                <w:szCs w:val="20"/>
              </w:rPr>
              <w:t>11.99</w:t>
            </w:r>
          </w:p>
        </w:tc>
        <w:tc>
          <w:tcPr>
            <w:tcW w:w="1087" w:type="dxa"/>
            <w:tcBorders>
              <w:top w:val="single" w:sz="12" w:space="0" w:color="auto"/>
              <w:left w:val="single" w:sz="12" w:space="0" w:color="auto"/>
              <w:bottom w:val="single" w:sz="4" w:space="0" w:color="auto"/>
              <w:right w:val="single" w:sz="12" w:space="0" w:color="auto"/>
            </w:tcBorders>
            <w:shd w:val="clear" w:color="000000" w:fill="FFE699"/>
            <w:tcMar>
              <w:left w:w="58" w:type="dxa"/>
              <w:right w:w="58" w:type="dxa"/>
            </w:tcMar>
            <w:vAlign w:val="center"/>
          </w:tcPr>
          <w:p w14:paraId="63A762C6" w14:textId="77777777" w:rsidR="00814E2F" w:rsidRPr="00D20303" w:rsidRDefault="00814E2F" w:rsidP="007F18AB">
            <w:pPr>
              <w:spacing w:after="0" w:line="240" w:lineRule="auto"/>
              <w:jc w:val="right"/>
              <w:rPr>
                <w:color w:val="000000"/>
                <w:sz w:val="20"/>
                <w:szCs w:val="20"/>
              </w:rPr>
            </w:pPr>
            <w:r w:rsidRPr="00D20303">
              <w:rPr>
                <w:color w:val="000000"/>
                <w:sz w:val="20"/>
                <w:szCs w:val="20"/>
              </w:rPr>
              <w:t>25.5%</w:t>
            </w:r>
          </w:p>
        </w:tc>
        <w:tc>
          <w:tcPr>
            <w:tcW w:w="1080" w:type="dxa"/>
            <w:tcBorders>
              <w:top w:val="single" w:sz="12" w:space="0" w:color="auto"/>
              <w:left w:val="single" w:sz="4" w:space="0" w:color="auto"/>
              <w:bottom w:val="single" w:sz="4" w:space="0" w:color="auto"/>
              <w:right w:val="double" w:sz="4" w:space="0" w:color="auto"/>
            </w:tcBorders>
            <w:shd w:val="clear" w:color="000000" w:fill="FFE699"/>
            <w:tcMar>
              <w:left w:w="58" w:type="dxa"/>
              <w:right w:w="58" w:type="dxa"/>
            </w:tcMar>
            <w:vAlign w:val="center"/>
          </w:tcPr>
          <w:p w14:paraId="27852A1C" w14:textId="77777777" w:rsidR="00814E2F" w:rsidRPr="00D20303" w:rsidRDefault="00814E2F" w:rsidP="007F18AB">
            <w:pPr>
              <w:spacing w:after="0" w:line="240" w:lineRule="auto"/>
              <w:jc w:val="right"/>
              <w:rPr>
                <w:color w:val="000000"/>
                <w:sz w:val="20"/>
                <w:szCs w:val="20"/>
              </w:rPr>
            </w:pPr>
            <w:r w:rsidRPr="00D20303">
              <w:rPr>
                <w:color w:val="000000"/>
                <w:sz w:val="20"/>
                <w:szCs w:val="20"/>
              </w:rPr>
              <w:t>13.4%</w:t>
            </w:r>
          </w:p>
        </w:tc>
      </w:tr>
      <w:tr w:rsidR="00814E2F" w:rsidRPr="00D20303" w14:paraId="4D558745" w14:textId="77777777" w:rsidTr="00A24926">
        <w:trPr>
          <w:trHeight w:val="288"/>
        </w:trPr>
        <w:tc>
          <w:tcPr>
            <w:tcW w:w="1245" w:type="dxa"/>
            <w:vMerge/>
            <w:tcBorders>
              <w:top w:val="nil"/>
              <w:left w:val="double" w:sz="4" w:space="0" w:color="auto"/>
              <w:bottom w:val="single" w:sz="4" w:space="0" w:color="000000"/>
              <w:right w:val="single" w:sz="4" w:space="0" w:color="auto"/>
            </w:tcBorders>
            <w:tcMar>
              <w:left w:w="58" w:type="dxa"/>
              <w:right w:w="58" w:type="dxa"/>
            </w:tcMar>
            <w:vAlign w:val="center"/>
            <w:hideMark/>
          </w:tcPr>
          <w:p w14:paraId="24BF0477" w14:textId="77777777" w:rsidR="00814E2F" w:rsidRPr="00D20303" w:rsidRDefault="00814E2F" w:rsidP="007F18AB">
            <w:pPr>
              <w:spacing w:after="0" w:line="240" w:lineRule="auto"/>
              <w:jc w:val="left"/>
              <w:rPr>
                <w:rFonts w:eastAsia="Times New Roman"/>
                <w:b/>
                <w:color w:val="000000"/>
                <w:sz w:val="20"/>
                <w:szCs w:val="20"/>
              </w:rPr>
            </w:pPr>
          </w:p>
        </w:tc>
        <w:tc>
          <w:tcPr>
            <w:tcW w:w="1267" w:type="dxa"/>
            <w:tcBorders>
              <w:top w:val="nil"/>
              <w:left w:val="single" w:sz="12" w:space="0" w:color="auto"/>
              <w:bottom w:val="single" w:sz="4" w:space="0" w:color="auto"/>
              <w:right w:val="single" w:sz="12" w:space="0" w:color="auto"/>
            </w:tcBorders>
            <w:shd w:val="clear" w:color="000000" w:fill="FFE699"/>
            <w:tcMar>
              <w:left w:w="58" w:type="dxa"/>
              <w:right w:w="58" w:type="dxa"/>
            </w:tcMar>
            <w:vAlign w:val="center"/>
          </w:tcPr>
          <w:p w14:paraId="4F1AFE6E" w14:textId="77777777" w:rsidR="00814E2F" w:rsidRPr="00D20303" w:rsidRDefault="00814E2F" w:rsidP="007F18AB">
            <w:pPr>
              <w:spacing w:after="0" w:line="240" w:lineRule="auto"/>
              <w:jc w:val="center"/>
              <w:rPr>
                <w:rFonts w:eastAsia="Times New Roman"/>
                <w:color w:val="000000"/>
                <w:sz w:val="20"/>
                <w:szCs w:val="20"/>
              </w:rPr>
            </w:pPr>
            <w:r>
              <w:rPr>
                <w:rFonts w:eastAsia="Times New Roman"/>
                <w:color w:val="000000"/>
                <w:sz w:val="20"/>
                <w:szCs w:val="20"/>
              </w:rPr>
              <w:t>Work Office</w:t>
            </w:r>
          </w:p>
        </w:tc>
        <w:tc>
          <w:tcPr>
            <w:tcW w:w="1035" w:type="dxa"/>
            <w:tcBorders>
              <w:top w:val="nil"/>
              <w:left w:val="single" w:sz="12" w:space="0" w:color="auto"/>
              <w:bottom w:val="single" w:sz="4" w:space="0" w:color="auto"/>
              <w:right w:val="single" w:sz="4" w:space="0" w:color="auto"/>
            </w:tcBorders>
            <w:shd w:val="clear" w:color="000000" w:fill="FFE699"/>
            <w:tcMar>
              <w:left w:w="58" w:type="dxa"/>
              <w:right w:w="58" w:type="dxa"/>
            </w:tcMar>
            <w:vAlign w:val="center"/>
          </w:tcPr>
          <w:p w14:paraId="599F9A73" w14:textId="77777777" w:rsidR="00814E2F" w:rsidRPr="00D20303" w:rsidRDefault="00814E2F" w:rsidP="007F18AB">
            <w:pPr>
              <w:spacing w:after="0" w:line="240" w:lineRule="auto"/>
              <w:jc w:val="right"/>
              <w:rPr>
                <w:color w:val="000000"/>
                <w:sz w:val="20"/>
                <w:szCs w:val="20"/>
              </w:rPr>
            </w:pPr>
            <w:r w:rsidRPr="00D20303">
              <w:rPr>
                <w:color w:val="000000"/>
                <w:sz w:val="20"/>
                <w:szCs w:val="20"/>
              </w:rPr>
              <w:t>9.09</w:t>
            </w:r>
          </w:p>
        </w:tc>
        <w:tc>
          <w:tcPr>
            <w:tcW w:w="945" w:type="dxa"/>
            <w:tcBorders>
              <w:top w:val="nil"/>
              <w:left w:val="single" w:sz="4" w:space="0" w:color="auto"/>
              <w:bottom w:val="single" w:sz="4" w:space="0" w:color="auto"/>
              <w:right w:val="single" w:sz="12" w:space="0" w:color="auto"/>
            </w:tcBorders>
            <w:shd w:val="clear" w:color="000000" w:fill="FFE699"/>
            <w:tcMar>
              <w:left w:w="58" w:type="dxa"/>
              <w:right w:w="58" w:type="dxa"/>
            </w:tcMar>
            <w:vAlign w:val="center"/>
          </w:tcPr>
          <w:p w14:paraId="5AF51B79" w14:textId="77777777" w:rsidR="00814E2F" w:rsidRPr="00D20303" w:rsidRDefault="00814E2F" w:rsidP="007F18AB">
            <w:pPr>
              <w:spacing w:after="0" w:line="240" w:lineRule="auto"/>
              <w:jc w:val="right"/>
              <w:rPr>
                <w:color w:val="000000"/>
                <w:sz w:val="20"/>
                <w:szCs w:val="20"/>
              </w:rPr>
            </w:pPr>
            <w:r w:rsidRPr="00D20303">
              <w:rPr>
                <w:color w:val="000000"/>
                <w:sz w:val="20"/>
                <w:szCs w:val="20"/>
              </w:rPr>
              <w:t>7.41</w:t>
            </w:r>
          </w:p>
        </w:tc>
        <w:tc>
          <w:tcPr>
            <w:tcW w:w="945" w:type="dxa"/>
            <w:tcBorders>
              <w:top w:val="nil"/>
              <w:left w:val="single" w:sz="12" w:space="0" w:color="auto"/>
              <w:bottom w:val="single" w:sz="4" w:space="0" w:color="auto"/>
              <w:right w:val="single" w:sz="4" w:space="0" w:color="auto"/>
            </w:tcBorders>
            <w:shd w:val="clear" w:color="000000" w:fill="FFE699"/>
            <w:tcMar>
              <w:left w:w="58" w:type="dxa"/>
              <w:right w:w="58" w:type="dxa"/>
            </w:tcMar>
            <w:vAlign w:val="center"/>
          </w:tcPr>
          <w:p w14:paraId="082BC7CD" w14:textId="77777777" w:rsidR="00814E2F" w:rsidRPr="00D20303" w:rsidRDefault="00814E2F" w:rsidP="007F18AB">
            <w:pPr>
              <w:spacing w:after="0" w:line="240" w:lineRule="auto"/>
              <w:jc w:val="right"/>
              <w:rPr>
                <w:color w:val="000000"/>
                <w:sz w:val="20"/>
                <w:szCs w:val="20"/>
              </w:rPr>
            </w:pPr>
            <w:r w:rsidRPr="00D20303">
              <w:rPr>
                <w:color w:val="000000"/>
                <w:sz w:val="20"/>
                <w:szCs w:val="20"/>
              </w:rPr>
              <w:t>9.45</w:t>
            </w:r>
          </w:p>
        </w:tc>
        <w:tc>
          <w:tcPr>
            <w:tcW w:w="945" w:type="dxa"/>
            <w:tcBorders>
              <w:top w:val="nil"/>
              <w:left w:val="single" w:sz="4" w:space="0" w:color="auto"/>
              <w:bottom w:val="single" w:sz="4" w:space="0" w:color="auto"/>
              <w:right w:val="single" w:sz="12" w:space="0" w:color="auto"/>
            </w:tcBorders>
            <w:shd w:val="clear" w:color="000000" w:fill="FFE699"/>
            <w:tcMar>
              <w:left w:w="58" w:type="dxa"/>
              <w:right w:w="58" w:type="dxa"/>
            </w:tcMar>
            <w:vAlign w:val="center"/>
          </w:tcPr>
          <w:p w14:paraId="129CCAF5" w14:textId="77777777" w:rsidR="00814E2F" w:rsidRPr="00D20303" w:rsidRDefault="00814E2F" w:rsidP="007F18AB">
            <w:pPr>
              <w:spacing w:after="0" w:line="240" w:lineRule="auto"/>
              <w:jc w:val="right"/>
              <w:rPr>
                <w:color w:val="000000"/>
                <w:sz w:val="20"/>
                <w:szCs w:val="20"/>
              </w:rPr>
            </w:pPr>
            <w:r w:rsidRPr="00D20303">
              <w:rPr>
                <w:color w:val="000000"/>
                <w:sz w:val="20"/>
                <w:szCs w:val="20"/>
              </w:rPr>
              <w:t>7.73</w:t>
            </w:r>
          </w:p>
        </w:tc>
        <w:tc>
          <w:tcPr>
            <w:tcW w:w="1080" w:type="dxa"/>
            <w:tcBorders>
              <w:top w:val="nil"/>
              <w:left w:val="single" w:sz="4" w:space="0" w:color="auto"/>
              <w:bottom w:val="single" w:sz="4" w:space="0" w:color="auto"/>
              <w:right w:val="single" w:sz="12" w:space="0" w:color="auto"/>
            </w:tcBorders>
            <w:shd w:val="clear" w:color="000000" w:fill="FFE699"/>
            <w:tcMar>
              <w:left w:w="58" w:type="dxa"/>
              <w:right w:w="58" w:type="dxa"/>
            </w:tcMar>
            <w:vAlign w:val="center"/>
          </w:tcPr>
          <w:p w14:paraId="2422D76C" w14:textId="77777777" w:rsidR="00814E2F" w:rsidRPr="00D20303" w:rsidRDefault="00814E2F" w:rsidP="007F18AB">
            <w:pPr>
              <w:spacing w:after="0" w:line="240" w:lineRule="auto"/>
              <w:jc w:val="right"/>
              <w:rPr>
                <w:color w:val="000000"/>
                <w:sz w:val="20"/>
                <w:szCs w:val="20"/>
              </w:rPr>
            </w:pPr>
            <w:r w:rsidRPr="00D20303">
              <w:rPr>
                <w:color w:val="000000"/>
                <w:sz w:val="20"/>
                <w:szCs w:val="20"/>
              </w:rPr>
              <w:t>-18.5%</w:t>
            </w:r>
          </w:p>
        </w:tc>
        <w:tc>
          <w:tcPr>
            <w:tcW w:w="1163" w:type="dxa"/>
            <w:tcBorders>
              <w:top w:val="nil"/>
              <w:left w:val="single" w:sz="4" w:space="0" w:color="auto"/>
              <w:bottom w:val="single" w:sz="4" w:space="0" w:color="auto"/>
              <w:right w:val="single" w:sz="12" w:space="0" w:color="auto"/>
            </w:tcBorders>
            <w:shd w:val="clear" w:color="000000" w:fill="FFE699"/>
            <w:tcMar>
              <w:left w:w="58" w:type="dxa"/>
              <w:right w:w="58" w:type="dxa"/>
            </w:tcMar>
            <w:vAlign w:val="center"/>
          </w:tcPr>
          <w:p w14:paraId="67AF0979" w14:textId="77777777" w:rsidR="00814E2F" w:rsidRPr="00D20303" w:rsidRDefault="00814E2F" w:rsidP="007F18AB">
            <w:pPr>
              <w:spacing w:after="0" w:line="240" w:lineRule="auto"/>
              <w:jc w:val="right"/>
              <w:rPr>
                <w:color w:val="000000"/>
                <w:sz w:val="20"/>
                <w:szCs w:val="20"/>
              </w:rPr>
            </w:pPr>
            <w:r w:rsidRPr="00D20303">
              <w:rPr>
                <w:color w:val="000000"/>
                <w:sz w:val="20"/>
                <w:szCs w:val="20"/>
              </w:rPr>
              <w:t>-18.2%</w:t>
            </w:r>
          </w:p>
        </w:tc>
        <w:tc>
          <w:tcPr>
            <w:tcW w:w="720" w:type="dxa"/>
            <w:tcBorders>
              <w:top w:val="nil"/>
              <w:left w:val="single" w:sz="12" w:space="0" w:color="auto"/>
              <w:bottom w:val="single" w:sz="4" w:space="0" w:color="auto"/>
              <w:right w:val="single" w:sz="4" w:space="0" w:color="auto"/>
            </w:tcBorders>
            <w:shd w:val="clear" w:color="000000" w:fill="FFE699"/>
            <w:noWrap/>
            <w:tcMar>
              <w:left w:w="58" w:type="dxa"/>
              <w:right w:w="58" w:type="dxa"/>
            </w:tcMar>
            <w:vAlign w:val="center"/>
            <w:hideMark/>
          </w:tcPr>
          <w:p w14:paraId="410B4C7C" w14:textId="77777777" w:rsidR="00814E2F" w:rsidRPr="00D20303" w:rsidRDefault="00814E2F" w:rsidP="007F18AB">
            <w:pPr>
              <w:spacing w:after="0" w:line="240" w:lineRule="auto"/>
              <w:jc w:val="right"/>
              <w:rPr>
                <w:color w:val="000000"/>
                <w:sz w:val="20"/>
                <w:szCs w:val="20"/>
              </w:rPr>
            </w:pPr>
            <w:r w:rsidRPr="00D20303">
              <w:rPr>
                <w:color w:val="000000"/>
                <w:sz w:val="20"/>
                <w:szCs w:val="20"/>
              </w:rPr>
              <w:t>9.47</w:t>
            </w:r>
          </w:p>
        </w:tc>
        <w:tc>
          <w:tcPr>
            <w:tcW w:w="720" w:type="dxa"/>
            <w:tcBorders>
              <w:top w:val="nil"/>
              <w:left w:val="single" w:sz="4" w:space="0" w:color="auto"/>
              <w:bottom w:val="single" w:sz="4" w:space="0" w:color="auto"/>
              <w:right w:val="single" w:sz="4" w:space="0" w:color="auto"/>
            </w:tcBorders>
            <w:shd w:val="clear" w:color="000000" w:fill="FFE699"/>
            <w:tcMar>
              <w:left w:w="58" w:type="dxa"/>
              <w:right w:w="58" w:type="dxa"/>
            </w:tcMar>
            <w:vAlign w:val="center"/>
          </w:tcPr>
          <w:p w14:paraId="69820F9B" w14:textId="77777777" w:rsidR="00814E2F" w:rsidRPr="00D20303" w:rsidRDefault="00814E2F" w:rsidP="007F18AB">
            <w:pPr>
              <w:spacing w:after="0" w:line="240" w:lineRule="auto"/>
              <w:jc w:val="right"/>
              <w:rPr>
                <w:color w:val="000000"/>
                <w:sz w:val="20"/>
                <w:szCs w:val="20"/>
              </w:rPr>
            </w:pPr>
            <w:r w:rsidRPr="00D20303">
              <w:rPr>
                <w:color w:val="000000"/>
                <w:sz w:val="20"/>
                <w:szCs w:val="20"/>
              </w:rPr>
              <w:t>7.32</w:t>
            </w:r>
          </w:p>
        </w:tc>
        <w:tc>
          <w:tcPr>
            <w:tcW w:w="983" w:type="dxa"/>
            <w:tcBorders>
              <w:top w:val="nil"/>
              <w:left w:val="single" w:sz="4" w:space="0" w:color="auto"/>
              <w:bottom w:val="single" w:sz="4" w:space="0" w:color="auto"/>
              <w:right w:val="single" w:sz="12" w:space="0" w:color="auto"/>
            </w:tcBorders>
            <w:shd w:val="clear" w:color="000000" w:fill="FFE699"/>
            <w:noWrap/>
            <w:tcMar>
              <w:left w:w="58" w:type="dxa"/>
              <w:right w:w="58" w:type="dxa"/>
            </w:tcMar>
            <w:vAlign w:val="center"/>
            <w:hideMark/>
          </w:tcPr>
          <w:p w14:paraId="3D9D8FFD" w14:textId="77777777" w:rsidR="00814E2F" w:rsidRPr="00D20303" w:rsidRDefault="00814E2F" w:rsidP="007F18AB">
            <w:pPr>
              <w:spacing w:after="0" w:line="240" w:lineRule="auto"/>
              <w:jc w:val="right"/>
              <w:rPr>
                <w:color w:val="000000"/>
                <w:sz w:val="20"/>
                <w:szCs w:val="20"/>
              </w:rPr>
            </w:pPr>
            <w:r w:rsidRPr="00D20303">
              <w:rPr>
                <w:color w:val="000000"/>
                <w:sz w:val="20"/>
                <w:szCs w:val="20"/>
              </w:rPr>
              <w:t>8.91</w:t>
            </w:r>
          </w:p>
        </w:tc>
        <w:tc>
          <w:tcPr>
            <w:tcW w:w="1087" w:type="dxa"/>
            <w:tcBorders>
              <w:top w:val="nil"/>
              <w:left w:val="single" w:sz="12" w:space="0" w:color="auto"/>
              <w:bottom w:val="single" w:sz="4" w:space="0" w:color="auto"/>
              <w:right w:val="single" w:sz="12" w:space="0" w:color="auto"/>
            </w:tcBorders>
            <w:shd w:val="clear" w:color="000000" w:fill="FFE699"/>
            <w:tcMar>
              <w:left w:w="58" w:type="dxa"/>
              <w:right w:w="58" w:type="dxa"/>
            </w:tcMar>
            <w:vAlign w:val="center"/>
          </w:tcPr>
          <w:p w14:paraId="60A9BF37" w14:textId="77777777" w:rsidR="00814E2F" w:rsidRPr="00D20303" w:rsidRDefault="00814E2F" w:rsidP="007F18AB">
            <w:pPr>
              <w:spacing w:after="0" w:line="240" w:lineRule="auto"/>
              <w:jc w:val="right"/>
              <w:rPr>
                <w:color w:val="000000"/>
                <w:sz w:val="20"/>
                <w:szCs w:val="20"/>
              </w:rPr>
            </w:pPr>
            <w:r w:rsidRPr="00D20303">
              <w:rPr>
                <w:color w:val="000000"/>
                <w:sz w:val="20"/>
                <w:szCs w:val="20"/>
              </w:rPr>
              <w:t>-22.7%</w:t>
            </w:r>
          </w:p>
        </w:tc>
        <w:tc>
          <w:tcPr>
            <w:tcW w:w="1080" w:type="dxa"/>
            <w:tcBorders>
              <w:top w:val="nil"/>
              <w:left w:val="single" w:sz="4" w:space="0" w:color="auto"/>
              <w:bottom w:val="single" w:sz="4" w:space="0" w:color="auto"/>
              <w:right w:val="double" w:sz="4" w:space="0" w:color="auto"/>
            </w:tcBorders>
            <w:shd w:val="clear" w:color="000000" w:fill="FFE699"/>
            <w:tcMar>
              <w:left w:w="58" w:type="dxa"/>
              <w:right w:w="58" w:type="dxa"/>
            </w:tcMar>
            <w:vAlign w:val="center"/>
          </w:tcPr>
          <w:p w14:paraId="6B1986CE" w14:textId="77777777" w:rsidR="00814E2F" w:rsidRPr="00D20303" w:rsidRDefault="00814E2F" w:rsidP="007F18AB">
            <w:pPr>
              <w:spacing w:after="0" w:line="240" w:lineRule="auto"/>
              <w:jc w:val="right"/>
              <w:rPr>
                <w:color w:val="000000"/>
                <w:sz w:val="20"/>
                <w:szCs w:val="20"/>
              </w:rPr>
            </w:pPr>
            <w:r w:rsidRPr="00D20303">
              <w:rPr>
                <w:color w:val="000000"/>
                <w:sz w:val="20"/>
                <w:szCs w:val="20"/>
              </w:rPr>
              <w:t>-5.8%</w:t>
            </w:r>
          </w:p>
        </w:tc>
      </w:tr>
      <w:tr w:rsidR="00814E2F" w:rsidRPr="00D20303" w14:paraId="63DBA033" w14:textId="77777777" w:rsidTr="00A24926">
        <w:trPr>
          <w:trHeight w:val="288"/>
        </w:trPr>
        <w:tc>
          <w:tcPr>
            <w:tcW w:w="1245" w:type="dxa"/>
            <w:vMerge/>
            <w:tcBorders>
              <w:top w:val="nil"/>
              <w:left w:val="double" w:sz="4" w:space="0" w:color="auto"/>
              <w:bottom w:val="single" w:sz="12" w:space="0" w:color="auto"/>
              <w:right w:val="single" w:sz="4" w:space="0" w:color="auto"/>
            </w:tcBorders>
            <w:tcMar>
              <w:left w:w="58" w:type="dxa"/>
              <w:right w:w="58" w:type="dxa"/>
            </w:tcMar>
            <w:vAlign w:val="center"/>
            <w:hideMark/>
          </w:tcPr>
          <w:p w14:paraId="65333469" w14:textId="77777777" w:rsidR="00814E2F" w:rsidRPr="00D20303" w:rsidRDefault="00814E2F" w:rsidP="007F18AB">
            <w:pPr>
              <w:spacing w:after="0" w:line="240" w:lineRule="auto"/>
              <w:jc w:val="left"/>
              <w:rPr>
                <w:rFonts w:eastAsia="Times New Roman"/>
                <w:b/>
                <w:color w:val="000000"/>
                <w:sz w:val="20"/>
                <w:szCs w:val="20"/>
              </w:rPr>
            </w:pPr>
          </w:p>
        </w:tc>
        <w:tc>
          <w:tcPr>
            <w:tcW w:w="1267" w:type="dxa"/>
            <w:tcBorders>
              <w:top w:val="nil"/>
              <w:left w:val="single" w:sz="12" w:space="0" w:color="auto"/>
              <w:bottom w:val="single" w:sz="12" w:space="0" w:color="auto"/>
              <w:right w:val="single" w:sz="12" w:space="0" w:color="auto"/>
            </w:tcBorders>
            <w:shd w:val="clear" w:color="000000" w:fill="FFE699"/>
            <w:tcMar>
              <w:left w:w="58" w:type="dxa"/>
              <w:right w:w="58" w:type="dxa"/>
            </w:tcMar>
            <w:vAlign w:val="center"/>
          </w:tcPr>
          <w:p w14:paraId="786E91E2" w14:textId="77777777" w:rsidR="00814E2F" w:rsidRPr="00D20303" w:rsidRDefault="00814E2F" w:rsidP="007F18AB">
            <w:pPr>
              <w:spacing w:after="0" w:line="240" w:lineRule="auto"/>
              <w:jc w:val="center"/>
              <w:rPr>
                <w:rFonts w:eastAsia="Times New Roman"/>
                <w:color w:val="000000"/>
                <w:sz w:val="20"/>
                <w:szCs w:val="20"/>
              </w:rPr>
            </w:pPr>
            <w:r w:rsidRPr="00D20303">
              <w:rPr>
                <w:rFonts w:eastAsia="Times New Roman"/>
                <w:color w:val="000000"/>
                <w:sz w:val="20"/>
                <w:szCs w:val="20"/>
              </w:rPr>
              <w:t>Third WPL</w:t>
            </w:r>
          </w:p>
        </w:tc>
        <w:tc>
          <w:tcPr>
            <w:tcW w:w="1035" w:type="dxa"/>
            <w:tcBorders>
              <w:top w:val="nil"/>
              <w:left w:val="single" w:sz="12" w:space="0" w:color="auto"/>
              <w:bottom w:val="single" w:sz="12" w:space="0" w:color="auto"/>
              <w:right w:val="single" w:sz="4" w:space="0" w:color="auto"/>
            </w:tcBorders>
            <w:shd w:val="clear" w:color="000000" w:fill="FFE699"/>
            <w:tcMar>
              <w:left w:w="58" w:type="dxa"/>
              <w:right w:w="58" w:type="dxa"/>
            </w:tcMar>
            <w:vAlign w:val="center"/>
          </w:tcPr>
          <w:p w14:paraId="44DF80F7" w14:textId="77777777" w:rsidR="00814E2F" w:rsidRPr="00D20303" w:rsidRDefault="00814E2F" w:rsidP="007F18AB">
            <w:pPr>
              <w:spacing w:after="0" w:line="240" w:lineRule="auto"/>
              <w:jc w:val="right"/>
              <w:rPr>
                <w:color w:val="000000"/>
                <w:sz w:val="20"/>
                <w:szCs w:val="20"/>
              </w:rPr>
            </w:pPr>
            <w:r w:rsidRPr="00D20303">
              <w:rPr>
                <w:color w:val="000000"/>
                <w:sz w:val="20"/>
                <w:szCs w:val="20"/>
              </w:rPr>
              <w:t>1.57</w:t>
            </w:r>
          </w:p>
        </w:tc>
        <w:tc>
          <w:tcPr>
            <w:tcW w:w="945" w:type="dxa"/>
            <w:tcBorders>
              <w:top w:val="nil"/>
              <w:left w:val="single" w:sz="4" w:space="0" w:color="auto"/>
              <w:bottom w:val="single" w:sz="12" w:space="0" w:color="auto"/>
              <w:right w:val="single" w:sz="12" w:space="0" w:color="auto"/>
            </w:tcBorders>
            <w:shd w:val="clear" w:color="000000" w:fill="FFE699"/>
            <w:tcMar>
              <w:left w:w="58" w:type="dxa"/>
              <w:right w:w="58" w:type="dxa"/>
            </w:tcMar>
            <w:vAlign w:val="center"/>
          </w:tcPr>
          <w:p w14:paraId="4D6352EE" w14:textId="77777777" w:rsidR="00814E2F" w:rsidRPr="00D20303" w:rsidRDefault="00814E2F" w:rsidP="007F18AB">
            <w:pPr>
              <w:spacing w:after="0" w:line="240" w:lineRule="auto"/>
              <w:jc w:val="right"/>
              <w:rPr>
                <w:color w:val="000000"/>
                <w:sz w:val="20"/>
                <w:szCs w:val="20"/>
              </w:rPr>
            </w:pPr>
            <w:r w:rsidRPr="00D20303">
              <w:rPr>
                <w:color w:val="000000"/>
                <w:sz w:val="20"/>
                <w:szCs w:val="20"/>
              </w:rPr>
              <w:t>1.82</w:t>
            </w:r>
          </w:p>
        </w:tc>
        <w:tc>
          <w:tcPr>
            <w:tcW w:w="945" w:type="dxa"/>
            <w:tcBorders>
              <w:top w:val="nil"/>
              <w:left w:val="single" w:sz="12" w:space="0" w:color="auto"/>
              <w:bottom w:val="single" w:sz="12" w:space="0" w:color="auto"/>
              <w:right w:val="single" w:sz="4" w:space="0" w:color="auto"/>
            </w:tcBorders>
            <w:shd w:val="clear" w:color="000000" w:fill="FFE699"/>
            <w:tcMar>
              <w:left w:w="58" w:type="dxa"/>
              <w:right w:w="58" w:type="dxa"/>
            </w:tcMar>
            <w:vAlign w:val="center"/>
          </w:tcPr>
          <w:p w14:paraId="76714E12" w14:textId="77777777" w:rsidR="00814E2F" w:rsidRPr="00D20303" w:rsidRDefault="00814E2F" w:rsidP="007F18AB">
            <w:pPr>
              <w:spacing w:after="0" w:line="240" w:lineRule="auto"/>
              <w:jc w:val="right"/>
              <w:rPr>
                <w:color w:val="000000"/>
                <w:sz w:val="20"/>
                <w:szCs w:val="20"/>
              </w:rPr>
            </w:pPr>
            <w:r w:rsidRPr="00D20303">
              <w:rPr>
                <w:color w:val="000000"/>
                <w:sz w:val="20"/>
                <w:szCs w:val="20"/>
              </w:rPr>
              <w:t>1.52</w:t>
            </w:r>
          </w:p>
        </w:tc>
        <w:tc>
          <w:tcPr>
            <w:tcW w:w="945" w:type="dxa"/>
            <w:tcBorders>
              <w:top w:val="nil"/>
              <w:left w:val="single" w:sz="4" w:space="0" w:color="auto"/>
              <w:bottom w:val="single" w:sz="12" w:space="0" w:color="auto"/>
              <w:right w:val="single" w:sz="12" w:space="0" w:color="auto"/>
            </w:tcBorders>
            <w:shd w:val="clear" w:color="000000" w:fill="FFE699"/>
            <w:tcMar>
              <w:left w:w="58" w:type="dxa"/>
              <w:right w:w="58" w:type="dxa"/>
            </w:tcMar>
            <w:vAlign w:val="center"/>
          </w:tcPr>
          <w:p w14:paraId="73CD1208" w14:textId="77777777" w:rsidR="00814E2F" w:rsidRPr="00D20303" w:rsidRDefault="00814E2F" w:rsidP="007F18AB">
            <w:pPr>
              <w:spacing w:after="0" w:line="240" w:lineRule="auto"/>
              <w:jc w:val="right"/>
              <w:rPr>
                <w:color w:val="000000"/>
                <w:sz w:val="20"/>
                <w:szCs w:val="20"/>
              </w:rPr>
            </w:pPr>
            <w:r w:rsidRPr="00D20303">
              <w:rPr>
                <w:color w:val="000000"/>
                <w:sz w:val="20"/>
                <w:szCs w:val="20"/>
              </w:rPr>
              <w:t>1.78</w:t>
            </w:r>
          </w:p>
        </w:tc>
        <w:tc>
          <w:tcPr>
            <w:tcW w:w="1080" w:type="dxa"/>
            <w:tcBorders>
              <w:top w:val="nil"/>
              <w:left w:val="single" w:sz="4" w:space="0" w:color="auto"/>
              <w:bottom w:val="single" w:sz="12" w:space="0" w:color="auto"/>
              <w:right w:val="single" w:sz="12" w:space="0" w:color="auto"/>
            </w:tcBorders>
            <w:shd w:val="clear" w:color="000000" w:fill="FFE699"/>
            <w:tcMar>
              <w:left w:w="58" w:type="dxa"/>
              <w:right w:w="58" w:type="dxa"/>
            </w:tcMar>
            <w:vAlign w:val="center"/>
          </w:tcPr>
          <w:p w14:paraId="1D39A2BC" w14:textId="77777777" w:rsidR="00814E2F" w:rsidRPr="00D20303" w:rsidRDefault="00814E2F" w:rsidP="007F18AB">
            <w:pPr>
              <w:spacing w:after="0" w:line="240" w:lineRule="auto"/>
              <w:jc w:val="right"/>
              <w:rPr>
                <w:color w:val="000000"/>
                <w:sz w:val="20"/>
                <w:szCs w:val="20"/>
              </w:rPr>
            </w:pPr>
            <w:r w:rsidRPr="00D20303">
              <w:rPr>
                <w:color w:val="000000"/>
                <w:sz w:val="20"/>
                <w:szCs w:val="20"/>
              </w:rPr>
              <w:t>15.8%</w:t>
            </w:r>
          </w:p>
        </w:tc>
        <w:tc>
          <w:tcPr>
            <w:tcW w:w="1163" w:type="dxa"/>
            <w:tcBorders>
              <w:top w:val="nil"/>
              <w:left w:val="single" w:sz="4" w:space="0" w:color="auto"/>
              <w:bottom w:val="single" w:sz="12" w:space="0" w:color="auto"/>
              <w:right w:val="single" w:sz="12" w:space="0" w:color="auto"/>
            </w:tcBorders>
            <w:shd w:val="clear" w:color="000000" w:fill="FFE699"/>
            <w:tcMar>
              <w:left w:w="58" w:type="dxa"/>
              <w:right w:w="58" w:type="dxa"/>
            </w:tcMar>
            <w:vAlign w:val="center"/>
          </w:tcPr>
          <w:p w14:paraId="4724DA71" w14:textId="77777777" w:rsidR="00814E2F" w:rsidRPr="00D20303" w:rsidRDefault="00814E2F" w:rsidP="007F18AB">
            <w:pPr>
              <w:spacing w:after="0" w:line="240" w:lineRule="auto"/>
              <w:jc w:val="right"/>
              <w:rPr>
                <w:color w:val="000000"/>
                <w:sz w:val="20"/>
                <w:szCs w:val="20"/>
              </w:rPr>
            </w:pPr>
            <w:r w:rsidRPr="00D20303">
              <w:rPr>
                <w:color w:val="000000"/>
                <w:sz w:val="20"/>
                <w:szCs w:val="20"/>
              </w:rPr>
              <w:t>16.7%</w:t>
            </w:r>
          </w:p>
        </w:tc>
        <w:tc>
          <w:tcPr>
            <w:tcW w:w="720" w:type="dxa"/>
            <w:tcBorders>
              <w:top w:val="nil"/>
              <w:left w:val="single" w:sz="12" w:space="0" w:color="auto"/>
              <w:bottom w:val="single" w:sz="12" w:space="0" w:color="auto"/>
              <w:right w:val="single" w:sz="4" w:space="0" w:color="auto"/>
            </w:tcBorders>
            <w:shd w:val="clear" w:color="000000" w:fill="FFE699"/>
            <w:noWrap/>
            <w:tcMar>
              <w:left w:w="58" w:type="dxa"/>
              <w:right w:w="58" w:type="dxa"/>
            </w:tcMar>
            <w:vAlign w:val="center"/>
            <w:hideMark/>
          </w:tcPr>
          <w:p w14:paraId="6BDCFA37" w14:textId="77777777" w:rsidR="00814E2F" w:rsidRPr="00D20303" w:rsidRDefault="00814E2F" w:rsidP="007F18AB">
            <w:pPr>
              <w:spacing w:after="0" w:line="240" w:lineRule="auto"/>
              <w:jc w:val="right"/>
              <w:rPr>
                <w:color w:val="000000"/>
                <w:sz w:val="20"/>
                <w:szCs w:val="20"/>
              </w:rPr>
            </w:pPr>
            <w:r w:rsidRPr="00D20303">
              <w:rPr>
                <w:color w:val="000000"/>
                <w:sz w:val="20"/>
                <w:szCs w:val="20"/>
              </w:rPr>
              <w:t>1.96</w:t>
            </w:r>
          </w:p>
        </w:tc>
        <w:tc>
          <w:tcPr>
            <w:tcW w:w="720" w:type="dxa"/>
            <w:tcBorders>
              <w:top w:val="nil"/>
              <w:left w:val="single" w:sz="4" w:space="0" w:color="auto"/>
              <w:bottom w:val="single" w:sz="12" w:space="0" w:color="auto"/>
              <w:right w:val="single" w:sz="4" w:space="0" w:color="auto"/>
            </w:tcBorders>
            <w:shd w:val="clear" w:color="000000" w:fill="FFE699"/>
            <w:tcMar>
              <w:left w:w="58" w:type="dxa"/>
              <w:right w:w="58" w:type="dxa"/>
            </w:tcMar>
            <w:vAlign w:val="center"/>
          </w:tcPr>
          <w:p w14:paraId="1777EFAB" w14:textId="77777777" w:rsidR="00814E2F" w:rsidRPr="00D20303" w:rsidRDefault="00814E2F" w:rsidP="007F18AB">
            <w:pPr>
              <w:spacing w:after="0" w:line="240" w:lineRule="auto"/>
              <w:jc w:val="right"/>
              <w:rPr>
                <w:color w:val="000000"/>
                <w:sz w:val="20"/>
                <w:szCs w:val="20"/>
              </w:rPr>
            </w:pPr>
            <w:r w:rsidRPr="00D20303">
              <w:rPr>
                <w:color w:val="000000"/>
                <w:sz w:val="20"/>
                <w:szCs w:val="20"/>
              </w:rPr>
              <w:t>1.42</w:t>
            </w:r>
          </w:p>
        </w:tc>
        <w:tc>
          <w:tcPr>
            <w:tcW w:w="983" w:type="dxa"/>
            <w:tcBorders>
              <w:top w:val="nil"/>
              <w:left w:val="single" w:sz="4" w:space="0" w:color="auto"/>
              <w:bottom w:val="single" w:sz="12" w:space="0" w:color="auto"/>
              <w:right w:val="single" w:sz="12" w:space="0" w:color="auto"/>
            </w:tcBorders>
            <w:shd w:val="clear" w:color="000000" w:fill="FFE699"/>
            <w:noWrap/>
            <w:tcMar>
              <w:left w:w="58" w:type="dxa"/>
              <w:right w:w="58" w:type="dxa"/>
            </w:tcMar>
            <w:vAlign w:val="center"/>
            <w:hideMark/>
          </w:tcPr>
          <w:p w14:paraId="6F3224F2" w14:textId="77777777" w:rsidR="00814E2F" w:rsidRPr="00D20303" w:rsidRDefault="00814E2F" w:rsidP="007F18AB">
            <w:pPr>
              <w:spacing w:after="0" w:line="240" w:lineRule="auto"/>
              <w:jc w:val="right"/>
              <w:rPr>
                <w:color w:val="000000"/>
                <w:sz w:val="20"/>
                <w:szCs w:val="20"/>
              </w:rPr>
            </w:pPr>
            <w:r w:rsidRPr="00D20303">
              <w:rPr>
                <w:color w:val="000000"/>
                <w:sz w:val="20"/>
                <w:szCs w:val="20"/>
              </w:rPr>
              <w:t>1.10</w:t>
            </w:r>
          </w:p>
        </w:tc>
        <w:tc>
          <w:tcPr>
            <w:tcW w:w="1087" w:type="dxa"/>
            <w:tcBorders>
              <w:top w:val="nil"/>
              <w:left w:val="single" w:sz="12" w:space="0" w:color="auto"/>
              <w:bottom w:val="single" w:sz="12" w:space="0" w:color="auto"/>
              <w:right w:val="single" w:sz="12" w:space="0" w:color="auto"/>
            </w:tcBorders>
            <w:shd w:val="clear" w:color="000000" w:fill="FFE699"/>
            <w:tcMar>
              <w:left w:w="58" w:type="dxa"/>
              <w:right w:w="58" w:type="dxa"/>
            </w:tcMar>
            <w:vAlign w:val="center"/>
          </w:tcPr>
          <w:p w14:paraId="71C05019" w14:textId="77777777" w:rsidR="00814E2F" w:rsidRPr="00D20303" w:rsidRDefault="00814E2F" w:rsidP="007F18AB">
            <w:pPr>
              <w:spacing w:after="0" w:line="240" w:lineRule="auto"/>
              <w:jc w:val="right"/>
              <w:rPr>
                <w:color w:val="000000"/>
                <w:sz w:val="20"/>
                <w:szCs w:val="20"/>
              </w:rPr>
            </w:pPr>
            <w:r w:rsidRPr="00D20303">
              <w:rPr>
                <w:color w:val="000000"/>
                <w:sz w:val="20"/>
                <w:szCs w:val="20"/>
              </w:rPr>
              <w:t>-27.7%</w:t>
            </w:r>
          </w:p>
        </w:tc>
        <w:tc>
          <w:tcPr>
            <w:tcW w:w="1080" w:type="dxa"/>
            <w:tcBorders>
              <w:top w:val="nil"/>
              <w:left w:val="single" w:sz="4" w:space="0" w:color="auto"/>
              <w:bottom w:val="single" w:sz="12" w:space="0" w:color="auto"/>
              <w:right w:val="double" w:sz="4" w:space="0" w:color="auto"/>
            </w:tcBorders>
            <w:shd w:val="clear" w:color="000000" w:fill="FFE699"/>
            <w:tcMar>
              <w:left w:w="58" w:type="dxa"/>
              <w:right w:w="58" w:type="dxa"/>
            </w:tcMar>
            <w:vAlign w:val="center"/>
          </w:tcPr>
          <w:p w14:paraId="79CDB668" w14:textId="77777777" w:rsidR="00814E2F" w:rsidRPr="00D20303" w:rsidRDefault="00814E2F" w:rsidP="007F18AB">
            <w:pPr>
              <w:spacing w:after="0" w:line="240" w:lineRule="auto"/>
              <w:jc w:val="right"/>
              <w:rPr>
                <w:color w:val="000000"/>
                <w:sz w:val="20"/>
                <w:szCs w:val="20"/>
              </w:rPr>
            </w:pPr>
            <w:r w:rsidRPr="00D20303">
              <w:rPr>
                <w:color w:val="000000"/>
                <w:sz w:val="20"/>
                <w:szCs w:val="20"/>
              </w:rPr>
              <w:t>-44.0%</w:t>
            </w:r>
          </w:p>
        </w:tc>
      </w:tr>
      <w:tr w:rsidR="00814E2F" w:rsidRPr="00D20303" w14:paraId="505FA18C" w14:textId="77777777" w:rsidTr="00A24926">
        <w:trPr>
          <w:trHeight w:val="288"/>
        </w:trPr>
        <w:tc>
          <w:tcPr>
            <w:tcW w:w="1245" w:type="dxa"/>
            <w:vMerge w:val="restart"/>
            <w:tcBorders>
              <w:top w:val="nil"/>
              <w:left w:val="double" w:sz="4" w:space="0" w:color="auto"/>
              <w:bottom w:val="single" w:sz="4" w:space="0" w:color="000000"/>
              <w:right w:val="single" w:sz="4" w:space="0" w:color="auto"/>
            </w:tcBorders>
            <w:shd w:val="clear" w:color="000000" w:fill="C6E0B4"/>
            <w:tcMar>
              <w:left w:w="58" w:type="dxa"/>
              <w:right w:w="58" w:type="dxa"/>
            </w:tcMar>
            <w:vAlign w:val="center"/>
            <w:hideMark/>
          </w:tcPr>
          <w:p w14:paraId="7B9DBE6F" w14:textId="77777777" w:rsidR="00814E2F" w:rsidRPr="00D20303" w:rsidRDefault="00814E2F" w:rsidP="007F18AB">
            <w:pPr>
              <w:spacing w:after="0" w:line="240" w:lineRule="auto"/>
              <w:jc w:val="left"/>
              <w:rPr>
                <w:rFonts w:eastAsia="Times New Roman"/>
                <w:b/>
                <w:bCs/>
                <w:color w:val="000000"/>
                <w:sz w:val="20"/>
                <w:szCs w:val="20"/>
              </w:rPr>
            </w:pPr>
            <w:r w:rsidRPr="00D20303">
              <w:rPr>
                <w:rFonts w:eastAsia="Times New Roman"/>
                <w:b/>
                <w:bCs/>
                <w:color w:val="000000"/>
                <w:sz w:val="20"/>
                <w:szCs w:val="20"/>
              </w:rPr>
              <w:t>Women with young child without partner</w:t>
            </w:r>
          </w:p>
        </w:tc>
        <w:tc>
          <w:tcPr>
            <w:tcW w:w="1267" w:type="dxa"/>
            <w:tcBorders>
              <w:top w:val="single" w:sz="12" w:space="0" w:color="auto"/>
              <w:left w:val="single" w:sz="12" w:space="0" w:color="auto"/>
              <w:bottom w:val="single" w:sz="4" w:space="0" w:color="auto"/>
              <w:right w:val="single" w:sz="12" w:space="0" w:color="auto"/>
            </w:tcBorders>
            <w:shd w:val="clear" w:color="000000" w:fill="C6E0B4"/>
            <w:tcMar>
              <w:left w:w="58" w:type="dxa"/>
              <w:right w:w="58" w:type="dxa"/>
            </w:tcMar>
            <w:vAlign w:val="center"/>
          </w:tcPr>
          <w:p w14:paraId="6D9F9677" w14:textId="77777777" w:rsidR="00814E2F" w:rsidRPr="00D20303" w:rsidRDefault="00814E2F" w:rsidP="007F18AB">
            <w:pPr>
              <w:spacing w:after="0" w:line="240" w:lineRule="auto"/>
              <w:jc w:val="center"/>
              <w:rPr>
                <w:rFonts w:eastAsia="Times New Roman"/>
                <w:color w:val="000000"/>
                <w:sz w:val="20"/>
                <w:szCs w:val="20"/>
              </w:rPr>
            </w:pPr>
            <w:r w:rsidRPr="00D20303">
              <w:rPr>
                <w:rFonts w:eastAsia="Times New Roman"/>
                <w:color w:val="000000"/>
                <w:sz w:val="20"/>
                <w:szCs w:val="20"/>
              </w:rPr>
              <w:t>Home</w:t>
            </w:r>
          </w:p>
        </w:tc>
        <w:tc>
          <w:tcPr>
            <w:tcW w:w="1035" w:type="dxa"/>
            <w:tcBorders>
              <w:top w:val="single" w:sz="12" w:space="0" w:color="auto"/>
              <w:left w:val="single" w:sz="12" w:space="0" w:color="auto"/>
              <w:bottom w:val="single" w:sz="4" w:space="0" w:color="auto"/>
              <w:right w:val="single" w:sz="4" w:space="0" w:color="auto"/>
            </w:tcBorders>
            <w:shd w:val="clear" w:color="000000" w:fill="C6E0B4"/>
            <w:tcMar>
              <w:left w:w="58" w:type="dxa"/>
              <w:right w:w="58" w:type="dxa"/>
            </w:tcMar>
            <w:vAlign w:val="center"/>
          </w:tcPr>
          <w:p w14:paraId="1E5C5409" w14:textId="77777777" w:rsidR="00814E2F" w:rsidRPr="00D20303" w:rsidRDefault="00814E2F" w:rsidP="007F18AB">
            <w:pPr>
              <w:spacing w:after="0" w:line="240" w:lineRule="auto"/>
              <w:jc w:val="right"/>
              <w:rPr>
                <w:color w:val="000000"/>
                <w:sz w:val="20"/>
                <w:szCs w:val="20"/>
              </w:rPr>
            </w:pPr>
            <w:r w:rsidRPr="00D20303">
              <w:rPr>
                <w:color w:val="000000"/>
                <w:sz w:val="20"/>
                <w:szCs w:val="20"/>
              </w:rPr>
              <w:t>19.85</w:t>
            </w:r>
          </w:p>
        </w:tc>
        <w:tc>
          <w:tcPr>
            <w:tcW w:w="945" w:type="dxa"/>
            <w:tcBorders>
              <w:top w:val="single" w:sz="12" w:space="0" w:color="auto"/>
              <w:left w:val="single" w:sz="4" w:space="0" w:color="auto"/>
              <w:bottom w:val="single" w:sz="4" w:space="0" w:color="auto"/>
              <w:right w:val="single" w:sz="12" w:space="0" w:color="auto"/>
            </w:tcBorders>
            <w:shd w:val="clear" w:color="000000" w:fill="C6E0B4"/>
            <w:tcMar>
              <w:left w:w="58" w:type="dxa"/>
              <w:right w:w="58" w:type="dxa"/>
            </w:tcMar>
            <w:vAlign w:val="center"/>
          </w:tcPr>
          <w:p w14:paraId="57109A09" w14:textId="77777777" w:rsidR="00814E2F" w:rsidRPr="00D20303" w:rsidRDefault="00814E2F" w:rsidP="007F18AB">
            <w:pPr>
              <w:spacing w:after="0" w:line="240" w:lineRule="auto"/>
              <w:jc w:val="right"/>
              <w:rPr>
                <w:color w:val="000000"/>
                <w:sz w:val="20"/>
                <w:szCs w:val="20"/>
              </w:rPr>
            </w:pPr>
            <w:r w:rsidRPr="00D20303">
              <w:rPr>
                <w:color w:val="000000"/>
                <w:sz w:val="20"/>
                <w:szCs w:val="20"/>
              </w:rPr>
              <w:t>20.41</w:t>
            </w:r>
          </w:p>
        </w:tc>
        <w:tc>
          <w:tcPr>
            <w:tcW w:w="945" w:type="dxa"/>
            <w:tcBorders>
              <w:top w:val="single" w:sz="12" w:space="0" w:color="auto"/>
              <w:left w:val="single" w:sz="12" w:space="0" w:color="auto"/>
              <w:bottom w:val="single" w:sz="4" w:space="0" w:color="auto"/>
              <w:right w:val="single" w:sz="4" w:space="0" w:color="auto"/>
            </w:tcBorders>
            <w:shd w:val="clear" w:color="000000" w:fill="C6E0B4"/>
            <w:tcMar>
              <w:left w:w="58" w:type="dxa"/>
              <w:right w:w="58" w:type="dxa"/>
            </w:tcMar>
            <w:vAlign w:val="center"/>
          </w:tcPr>
          <w:p w14:paraId="32F23106" w14:textId="77777777" w:rsidR="00814E2F" w:rsidRPr="00D20303" w:rsidRDefault="00814E2F" w:rsidP="007F18AB">
            <w:pPr>
              <w:spacing w:after="0" w:line="240" w:lineRule="auto"/>
              <w:jc w:val="right"/>
              <w:rPr>
                <w:color w:val="000000"/>
                <w:sz w:val="20"/>
                <w:szCs w:val="20"/>
              </w:rPr>
            </w:pPr>
            <w:r w:rsidRPr="00D20303">
              <w:rPr>
                <w:color w:val="000000"/>
                <w:sz w:val="20"/>
                <w:szCs w:val="20"/>
              </w:rPr>
              <w:t>19.76</w:t>
            </w:r>
          </w:p>
        </w:tc>
        <w:tc>
          <w:tcPr>
            <w:tcW w:w="945" w:type="dxa"/>
            <w:tcBorders>
              <w:top w:val="single" w:sz="12" w:space="0" w:color="auto"/>
              <w:left w:val="single" w:sz="4" w:space="0" w:color="auto"/>
              <w:bottom w:val="single" w:sz="4" w:space="0" w:color="auto"/>
              <w:right w:val="single" w:sz="12" w:space="0" w:color="auto"/>
            </w:tcBorders>
            <w:shd w:val="clear" w:color="000000" w:fill="C6E0B4"/>
            <w:tcMar>
              <w:left w:w="58" w:type="dxa"/>
              <w:right w:w="58" w:type="dxa"/>
            </w:tcMar>
            <w:vAlign w:val="center"/>
          </w:tcPr>
          <w:p w14:paraId="104F8049" w14:textId="77777777" w:rsidR="00814E2F" w:rsidRPr="00D20303" w:rsidRDefault="00814E2F" w:rsidP="007F18AB">
            <w:pPr>
              <w:spacing w:after="0" w:line="240" w:lineRule="auto"/>
              <w:jc w:val="right"/>
              <w:rPr>
                <w:color w:val="000000"/>
                <w:sz w:val="20"/>
                <w:szCs w:val="20"/>
              </w:rPr>
            </w:pPr>
            <w:r w:rsidRPr="00D20303">
              <w:rPr>
                <w:color w:val="000000"/>
                <w:sz w:val="20"/>
                <w:szCs w:val="20"/>
              </w:rPr>
              <w:t>20.27</w:t>
            </w:r>
          </w:p>
        </w:tc>
        <w:tc>
          <w:tcPr>
            <w:tcW w:w="1080" w:type="dxa"/>
            <w:tcBorders>
              <w:top w:val="single" w:sz="12" w:space="0" w:color="auto"/>
              <w:left w:val="single" w:sz="4" w:space="0" w:color="auto"/>
              <w:bottom w:val="single" w:sz="4" w:space="0" w:color="auto"/>
              <w:right w:val="single" w:sz="12" w:space="0" w:color="auto"/>
            </w:tcBorders>
            <w:shd w:val="clear" w:color="000000" w:fill="C6E0B4"/>
            <w:tcMar>
              <w:left w:w="58" w:type="dxa"/>
              <w:right w:w="58" w:type="dxa"/>
            </w:tcMar>
            <w:vAlign w:val="center"/>
          </w:tcPr>
          <w:p w14:paraId="54F92079" w14:textId="77777777" w:rsidR="00814E2F" w:rsidRPr="00D20303" w:rsidRDefault="00814E2F" w:rsidP="007F18AB">
            <w:pPr>
              <w:spacing w:after="0" w:line="240" w:lineRule="auto"/>
              <w:jc w:val="right"/>
              <w:rPr>
                <w:color w:val="000000"/>
                <w:sz w:val="20"/>
                <w:szCs w:val="20"/>
              </w:rPr>
            </w:pPr>
            <w:r w:rsidRPr="00D20303">
              <w:rPr>
                <w:color w:val="000000"/>
                <w:sz w:val="20"/>
                <w:szCs w:val="20"/>
              </w:rPr>
              <w:t>2.8%</w:t>
            </w:r>
          </w:p>
        </w:tc>
        <w:tc>
          <w:tcPr>
            <w:tcW w:w="1163" w:type="dxa"/>
            <w:tcBorders>
              <w:top w:val="single" w:sz="12" w:space="0" w:color="auto"/>
              <w:left w:val="single" w:sz="4" w:space="0" w:color="auto"/>
              <w:bottom w:val="single" w:sz="4" w:space="0" w:color="auto"/>
              <w:right w:val="single" w:sz="12" w:space="0" w:color="auto"/>
            </w:tcBorders>
            <w:shd w:val="clear" w:color="000000" w:fill="C6E0B4"/>
            <w:tcMar>
              <w:left w:w="58" w:type="dxa"/>
              <w:right w:w="58" w:type="dxa"/>
            </w:tcMar>
            <w:vAlign w:val="center"/>
          </w:tcPr>
          <w:p w14:paraId="745FA562" w14:textId="77777777" w:rsidR="00814E2F" w:rsidRPr="00D20303" w:rsidRDefault="00814E2F" w:rsidP="007F18AB">
            <w:pPr>
              <w:spacing w:after="0" w:line="240" w:lineRule="auto"/>
              <w:jc w:val="right"/>
              <w:rPr>
                <w:color w:val="000000"/>
                <w:sz w:val="20"/>
                <w:szCs w:val="20"/>
              </w:rPr>
            </w:pPr>
            <w:r w:rsidRPr="00D20303">
              <w:rPr>
                <w:color w:val="000000"/>
                <w:sz w:val="20"/>
                <w:szCs w:val="20"/>
              </w:rPr>
              <w:t>2.6%</w:t>
            </w:r>
          </w:p>
        </w:tc>
        <w:tc>
          <w:tcPr>
            <w:tcW w:w="720" w:type="dxa"/>
            <w:tcBorders>
              <w:top w:val="single" w:sz="12" w:space="0" w:color="auto"/>
              <w:left w:val="single" w:sz="12" w:space="0" w:color="auto"/>
              <w:bottom w:val="single" w:sz="4" w:space="0" w:color="auto"/>
              <w:right w:val="single" w:sz="4" w:space="0" w:color="auto"/>
            </w:tcBorders>
            <w:shd w:val="clear" w:color="000000" w:fill="C6E0B4"/>
            <w:noWrap/>
            <w:tcMar>
              <w:left w:w="58" w:type="dxa"/>
              <w:right w:w="58" w:type="dxa"/>
            </w:tcMar>
            <w:vAlign w:val="center"/>
            <w:hideMark/>
          </w:tcPr>
          <w:p w14:paraId="1458A23B" w14:textId="77777777" w:rsidR="00814E2F" w:rsidRPr="00D20303" w:rsidRDefault="00814E2F" w:rsidP="007F18AB">
            <w:pPr>
              <w:spacing w:after="0" w:line="240" w:lineRule="auto"/>
              <w:jc w:val="right"/>
              <w:rPr>
                <w:color w:val="000000"/>
                <w:sz w:val="20"/>
                <w:szCs w:val="20"/>
              </w:rPr>
            </w:pPr>
            <w:r w:rsidRPr="00D20303">
              <w:rPr>
                <w:color w:val="000000"/>
                <w:sz w:val="20"/>
                <w:szCs w:val="20"/>
              </w:rPr>
              <w:t>19.57</w:t>
            </w:r>
          </w:p>
        </w:tc>
        <w:tc>
          <w:tcPr>
            <w:tcW w:w="720" w:type="dxa"/>
            <w:tcBorders>
              <w:top w:val="single" w:sz="12" w:space="0" w:color="auto"/>
              <w:left w:val="single" w:sz="4" w:space="0" w:color="auto"/>
              <w:bottom w:val="single" w:sz="4" w:space="0" w:color="auto"/>
              <w:right w:val="single" w:sz="4" w:space="0" w:color="auto"/>
            </w:tcBorders>
            <w:shd w:val="clear" w:color="000000" w:fill="C6E0B4"/>
            <w:tcMar>
              <w:left w:w="58" w:type="dxa"/>
              <w:right w:w="58" w:type="dxa"/>
            </w:tcMar>
            <w:vAlign w:val="center"/>
          </w:tcPr>
          <w:p w14:paraId="27546E34" w14:textId="77777777" w:rsidR="00814E2F" w:rsidRPr="00D20303" w:rsidRDefault="00814E2F" w:rsidP="007F18AB">
            <w:pPr>
              <w:spacing w:after="0" w:line="240" w:lineRule="auto"/>
              <w:jc w:val="right"/>
              <w:rPr>
                <w:color w:val="000000"/>
                <w:sz w:val="20"/>
                <w:szCs w:val="20"/>
              </w:rPr>
            </w:pPr>
            <w:r w:rsidRPr="00D20303">
              <w:rPr>
                <w:color w:val="000000"/>
                <w:sz w:val="20"/>
                <w:szCs w:val="20"/>
              </w:rPr>
              <w:t>20.58</w:t>
            </w:r>
          </w:p>
        </w:tc>
        <w:tc>
          <w:tcPr>
            <w:tcW w:w="983" w:type="dxa"/>
            <w:tcBorders>
              <w:top w:val="single" w:sz="12" w:space="0" w:color="auto"/>
              <w:left w:val="single" w:sz="4" w:space="0" w:color="auto"/>
              <w:bottom w:val="single" w:sz="4" w:space="0" w:color="auto"/>
              <w:right w:val="single" w:sz="12" w:space="0" w:color="auto"/>
            </w:tcBorders>
            <w:shd w:val="clear" w:color="000000" w:fill="C6E0B4"/>
            <w:noWrap/>
            <w:tcMar>
              <w:left w:w="58" w:type="dxa"/>
              <w:right w:w="58" w:type="dxa"/>
            </w:tcMar>
            <w:vAlign w:val="center"/>
            <w:hideMark/>
          </w:tcPr>
          <w:p w14:paraId="6D148047" w14:textId="77777777" w:rsidR="00814E2F" w:rsidRPr="00D20303" w:rsidRDefault="00814E2F" w:rsidP="007F18AB">
            <w:pPr>
              <w:spacing w:after="0" w:line="240" w:lineRule="auto"/>
              <w:jc w:val="right"/>
              <w:rPr>
                <w:color w:val="000000"/>
                <w:sz w:val="20"/>
                <w:szCs w:val="20"/>
              </w:rPr>
            </w:pPr>
            <w:r w:rsidRPr="00D20303">
              <w:rPr>
                <w:color w:val="000000"/>
                <w:sz w:val="20"/>
                <w:szCs w:val="20"/>
              </w:rPr>
              <w:t>20.07</w:t>
            </w:r>
          </w:p>
        </w:tc>
        <w:tc>
          <w:tcPr>
            <w:tcW w:w="1087" w:type="dxa"/>
            <w:tcBorders>
              <w:top w:val="single" w:sz="12" w:space="0" w:color="auto"/>
              <w:left w:val="single" w:sz="12" w:space="0" w:color="auto"/>
              <w:bottom w:val="single" w:sz="4" w:space="0" w:color="auto"/>
              <w:right w:val="single" w:sz="12" w:space="0" w:color="auto"/>
            </w:tcBorders>
            <w:shd w:val="clear" w:color="000000" w:fill="C6E0B4"/>
            <w:tcMar>
              <w:left w:w="58" w:type="dxa"/>
              <w:right w:w="58" w:type="dxa"/>
            </w:tcMar>
            <w:vAlign w:val="center"/>
          </w:tcPr>
          <w:p w14:paraId="468A1742" w14:textId="77777777" w:rsidR="00814E2F" w:rsidRPr="00D20303" w:rsidRDefault="00814E2F" w:rsidP="007F18AB">
            <w:pPr>
              <w:spacing w:after="0" w:line="240" w:lineRule="auto"/>
              <w:jc w:val="right"/>
              <w:rPr>
                <w:color w:val="000000"/>
                <w:sz w:val="20"/>
                <w:szCs w:val="20"/>
              </w:rPr>
            </w:pPr>
            <w:r w:rsidRPr="00D20303">
              <w:rPr>
                <w:color w:val="000000"/>
                <w:sz w:val="20"/>
                <w:szCs w:val="20"/>
              </w:rPr>
              <w:t>5.2%</w:t>
            </w:r>
          </w:p>
        </w:tc>
        <w:tc>
          <w:tcPr>
            <w:tcW w:w="1080" w:type="dxa"/>
            <w:tcBorders>
              <w:top w:val="single" w:sz="12" w:space="0" w:color="auto"/>
              <w:left w:val="single" w:sz="4" w:space="0" w:color="auto"/>
              <w:bottom w:val="single" w:sz="4" w:space="0" w:color="auto"/>
              <w:right w:val="double" w:sz="4" w:space="0" w:color="auto"/>
            </w:tcBorders>
            <w:shd w:val="clear" w:color="000000" w:fill="C6E0B4"/>
            <w:tcMar>
              <w:left w:w="58" w:type="dxa"/>
              <w:right w:w="58" w:type="dxa"/>
            </w:tcMar>
            <w:vAlign w:val="center"/>
          </w:tcPr>
          <w:p w14:paraId="3AAB155F" w14:textId="77777777" w:rsidR="00814E2F" w:rsidRPr="00D20303" w:rsidRDefault="00814E2F" w:rsidP="007F18AB">
            <w:pPr>
              <w:spacing w:after="0" w:line="240" w:lineRule="auto"/>
              <w:jc w:val="right"/>
              <w:rPr>
                <w:color w:val="000000"/>
                <w:sz w:val="20"/>
                <w:szCs w:val="20"/>
              </w:rPr>
            </w:pPr>
            <w:r w:rsidRPr="00D20303">
              <w:rPr>
                <w:color w:val="000000"/>
                <w:sz w:val="20"/>
                <w:szCs w:val="20"/>
              </w:rPr>
              <w:t>2.6%</w:t>
            </w:r>
          </w:p>
        </w:tc>
      </w:tr>
      <w:tr w:rsidR="00814E2F" w:rsidRPr="00D20303" w14:paraId="5CC2E9C0" w14:textId="77777777" w:rsidTr="00A24926">
        <w:trPr>
          <w:trHeight w:val="288"/>
        </w:trPr>
        <w:tc>
          <w:tcPr>
            <w:tcW w:w="1245" w:type="dxa"/>
            <w:vMerge/>
            <w:tcBorders>
              <w:top w:val="nil"/>
              <w:left w:val="double" w:sz="4" w:space="0" w:color="auto"/>
              <w:bottom w:val="single" w:sz="4" w:space="0" w:color="000000"/>
              <w:right w:val="single" w:sz="4" w:space="0" w:color="auto"/>
            </w:tcBorders>
            <w:tcMar>
              <w:left w:w="58" w:type="dxa"/>
              <w:right w:w="58" w:type="dxa"/>
            </w:tcMar>
            <w:vAlign w:val="center"/>
            <w:hideMark/>
          </w:tcPr>
          <w:p w14:paraId="7FC54EFF" w14:textId="77777777" w:rsidR="00814E2F" w:rsidRPr="00D20303" w:rsidRDefault="00814E2F" w:rsidP="007F18AB">
            <w:pPr>
              <w:spacing w:after="0" w:line="240" w:lineRule="auto"/>
              <w:rPr>
                <w:rFonts w:eastAsia="Times New Roman"/>
                <w:b/>
                <w:bCs/>
                <w:color w:val="000000"/>
                <w:sz w:val="20"/>
                <w:szCs w:val="20"/>
              </w:rPr>
            </w:pPr>
          </w:p>
        </w:tc>
        <w:tc>
          <w:tcPr>
            <w:tcW w:w="1267" w:type="dxa"/>
            <w:tcBorders>
              <w:top w:val="nil"/>
              <w:left w:val="single" w:sz="12" w:space="0" w:color="auto"/>
              <w:bottom w:val="single" w:sz="4" w:space="0" w:color="auto"/>
              <w:right w:val="single" w:sz="12" w:space="0" w:color="auto"/>
            </w:tcBorders>
            <w:shd w:val="clear" w:color="000000" w:fill="C6E0B4"/>
            <w:tcMar>
              <w:left w:w="58" w:type="dxa"/>
              <w:right w:w="58" w:type="dxa"/>
            </w:tcMar>
            <w:vAlign w:val="center"/>
          </w:tcPr>
          <w:p w14:paraId="4F74965B" w14:textId="77777777" w:rsidR="00814E2F" w:rsidRPr="00D20303" w:rsidRDefault="00814E2F" w:rsidP="007F18AB">
            <w:pPr>
              <w:spacing w:after="0" w:line="240" w:lineRule="auto"/>
              <w:jc w:val="center"/>
              <w:rPr>
                <w:rFonts w:eastAsia="Times New Roman"/>
                <w:color w:val="000000"/>
                <w:sz w:val="20"/>
                <w:szCs w:val="20"/>
              </w:rPr>
            </w:pPr>
            <w:r>
              <w:rPr>
                <w:rFonts w:eastAsia="Times New Roman"/>
                <w:color w:val="000000"/>
                <w:sz w:val="20"/>
                <w:szCs w:val="20"/>
              </w:rPr>
              <w:t>Work Office</w:t>
            </w:r>
          </w:p>
        </w:tc>
        <w:tc>
          <w:tcPr>
            <w:tcW w:w="1035" w:type="dxa"/>
            <w:tcBorders>
              <w:top w:val="nil"/>
              <w:left w:val="single" w:sz="12" w:space="0" w:color="auto"/>
              <w:bottom w:val="single" w:sz="4" w:space="0" w:color="auto"/>
              <w:right w:val="single" w:sz="4" w:space="0" w:color="auto"/>
            </w:tcBorders>
            <w:shd w:val="clear" w:color="000000" w:fill="C6E0B4"/>
            <w:tcMar>
              <w:left w:w="58" w:type="dxa"/>
              <w:right w:w="58" w:type="dxa"/>
            </w:tcMar>
            <w:vAlign w:val="center"/>
          </w:tcPr>
          <w:p w14:paraId="46B8F581" w14:textId="77777777" w:rsidR="00814E2F" w:rsidRPr="00D20303" w:rsidRDefault="00814E2F" w:rsidP="007F18AB">
            <w:pPr>
              <w:spacing w:after="0" w:line="240" w:lineRule="auto"/>
              <w:jc w:val="right"/>
              <w:rPr>
                <w:color w:val="000000"/>
                <w:sz w:val="20"/>
                <w:szCs w:val="20"/>
              </w:rPr>
            </w:pPr>
            <w:r w:rsidRPr="00D20303">
              <w:rPr>
                <w:color w:val="000000"/>
                <w:sz w:val="20"/>
                <w:szCs w:val="20"/>
              </w:rPr>
              <w:t>1.95</w:t>
            </w:r>
          </w:p>
        </w:tc>
        <w:tc>
          <w:tcPr>
            <w:tcW w:w="945" w:type="dxa"/>
            <w:tcBorders>
              <w:top w:val="nil"/>
              <w:left w:val="single" w:sz="4" w:space="0" w:color="auto"/>
              <w:bottom w:val="single" w:sz="4" w:space="0" w:color="auto"/>
              <w:right w:val="single" w:sz="12" w:space="0" w:color="auto"/>
            </w:tcBorders>
            <w:shd w:val="clear" w:color="000000" w:fill="C6E0B4"/>
            <w:tcMar>
              <w:left w:w="58" w:type="dxa"/>
              <w:right w:w="58" w:type="dxa"/>
            </w:tcMar>
            <w:vAlign w:val="center"/>
          </w:tcPr>
          <w:p w14:paraId="40AF248A" w14:textId="77777777" w:rsidR="00814E2F" w:rsidRPr="00D20303" w:rsidRDefault="00814E2F" w:rsidP="007F18AB">
            <w:pPr>
              <w:spacing w:after="0" w:line="240" w:lineRule="auto"/>
              <w:jc w:val="right"/>
              <w:rPr>
                <w:color w:val="000000"/>
                <w:sz w:val="20"/>
                <w:szCs w:val="20"/>
              </w:rPr>
            </w:pPr>
            <w:r w:rsidRPr="00D20303">
              <w:rPr>
                <w:color w:val="000000"/>
                <w:sz w:val="20"/>
                <w:szCs w:val="20"/>
              </w:rPr>
              <w:t>1.38</w:t>
            </w:r>
          </w:p>
        </w:tc>
        <w:tc>
          <w:tcPr>
            <w:tcW w:w="945" w:type="dxa"/>
            <w:tcBorders>
              <w:top w:val="nil"/>
              <w:left w:val="single" w:sz="12" w:space="0" w:color="auto"/>
              <w:bottom w:val="single" w:sz="4" w:space="0" w:color="auto"/>
              <w:right w:val="single" w:sz="4" w:space="0" w:color="auto"/>
            </w:tcBorders>
            <w:shd w:val="clear" w:color="000000" w:fill="C6E0B4"/>
            <w:tcMar>
              <w:left w:w="58" w:type="dxa"/>
              <w:right w:w="58" w:type="dxa"/>
            </w:tcMar>
            <w:vAlign w:val="center"/>
          </w:tcPr>
          <w:p w14:paraId="1A199156" w14:textId="77777777" w:rsidR="00814E2F" w:rsidRPr="00D20303" w:rsidRDefault="00814E2F" w:rsidP="007F18AB">
            <w:pPr>
              <w:spacing w:after="0" w:line="240" w:lineRule="auto"/>
              <w:jc w:val="right"/>
              <w:rPr>
                <w:color w:val="000000"/>
                <w:sz w:val="20"/>
                <w:szCs w:val="20"/>
              </w:rPr>
            </w:pPr>
            <w:r w:rsidRPr="00D20303">
              <w:rPr>
                <w:color w:val="000000"/>
                <w:sz w:val="20"/>
                <w:szCs w:val="20"/>
              </w:rPr>
              <w:t>2.04</w:t>
            </w:r>
          </w:p>
        </w:tc>
        <w:tc>
          <w:tcPr>
            <w:tcW w:w="945" w:type="dxa"/>
            <w:tcBorders>
              <w:top w:val="nil"/>
              <w:left w:val="single" w:sz="4" w:space="0" w:color="auto"/>
              <w:bottom w:val="single" w:sz="4" w:space="0" w:color="auto"/>
              <w:right w:val="single" w:sz="12" w:space="0" w:color="auto"/>
            </w:tcBorders>
            <w:shd w:val="clear" w:color="000000" w:fill="C6E0B4"/>
            <w:tcMar>
              <w:left w:w="58" w:type="dxa"/>
              <w:right w:w="58" w:type="dxa"/>
            </w:tcMar>
            <w:vAlign w:val="center"/>
          </w:tcPr>
          <w:p w14:paraId="61E9437E" w14:textId="77777777" w:rsidR="00814E2F" w:rsidRPr="00D20303" w:rsidRDefault="00814E2F" w:rsidP="007F18AB">
            <w:pPr>
              <w:spacing w:after="0" w:line="240" w:lineRule="auto"/>
              <w:jc w:val="right"/>
              <w:rPr>
                <w:color w:val="000000"/>
                <w:sz w:val="20"/>
                <w:szCs w:val="20"/>
              </w:rPr>
            </w:pPr>
            <w:r w:rsidRPr="00D20303">
              <w:rPr>
                <w:color w:val="000000"/>
                <w:sz w:val="20"/>
                <w:szCs w:val="20"/>
              </w:rPr>
              <w:t>1.52</w:t>
            </w:r>
          </w:p>
        </w:tc>
        <w:tc>
          <w:tcPr>
            <w:tcW w:w="1080" w:type="dxa"/>
            <w:tcBorders>
              <w:top w:val="nil"/>
              <w:left w:val="single" w:sz="4" w:space="0" w:color="auto"/>
              <w:bottom w:val="single" w:sz="4" w:space="0" w:color="auto"/>
              <w:right w:val="single" w:sz="12" w:space="0" w:color="auto"/>
            </w:tcBorders>
            <w:shd w:val="clear" w:color="000000" w:fill="C6E0B4"/>
            <w:tcMar>
              <w:left w:w="58" w:type="dxa"/>
              <w:right w:w="58" w:type="dxa"/>
            </w:tcMar>
            <w:vAlign w:val="center"/>
          </w:tcPr>
          <w:p w14:paraId="4CCF1BE7" w14:textId="77777777" w:rsidR="00814E2F" w:rsidRPr="00D20303" w:rsidRDefault="00814E2F" w:rsidP="007F18AB">
            <w:pPr>
              <w:spacing w:after="0" w:line="240" w:lineRule="auto"/>
              <w:jc w:val="right"/>
              <w:rPr>
                <w:color w:val="000000"/>
                <w:sz w:val="20"/>
                <w:szCs w:val="20"/>
              </w:rPr>
            </w:pPr>
            <w:r w:rsidRPr="00D20303">
              <w:rPr>
                <w:color w:val="000000"/>
                <w:sz w:val="20"/>
                <w:szCs w:val="20"/>
              </w:rPr>
              <w:t>-29.4%</w:t>
            </w:r>
          </w:p>
        </w:tc>
        <w:tc>
          <w:tcPr>
            <w:tcW w:w="1163" w:type="dxa"/>
            <w:tcBorders>
              <w:top w:val="nil"/>
              <w:left w:val="single" w:sz="4" w:space="0" w:color="auto"/>
              <w:bottom w:val="single" w:sz="4" w:space="0" w:color="auto"/>
              <w:right w:val="single" w:sz="12" w:space="0" w:color="auto"/>
            </w:tcBorders>
            <w:shd w:val="clear" w:color="000000" w:fill="C6E0B4"/>
            <w:tcMar>
              <w:left w:w="58" w:type="dxa"/>
              <w:right w:w="58" w:type="dxa"/>
            </w:tcMar>
            <w:vAlign w:val="center"/>
          </w:tcPr>
          <w:p w14:paraId="406E52AC" w14:textId="77777777" w:rsidR="00814E2F" w:rsidRPr="00D20303" w:rsidRDefault="00814E2F" w:rsidP="007F18AB">
            <w:pPr>
              <w:spacing w:after="0" w:line="240" w:lineRule="auto"/>
              <w:jc w:val="right"/>
              <w:rPr>
                <w:color w:val="000000"/>
                <w:sz w:val="20"/>
                <w:szCs w:val="20"/>
              </w:rPr>
            </w:pPr>
            <w:r w:rsidRPr="00D20303">
              <w:rPr>
                <w:color w:val="000000"/>
                <w:sz w:val="20"/>
                <w:szCs w:val="20"/>
              </w:rPr>
              <w:t>-25.2%</w:t>
            </w:r>
          </w:p>
        </w:tc>
        <w:tc>
          <w:tcPr>
            <w:tcW w:w="720" w:type="dxa"/>
            <w:tcBorders>
              <w:top w:val="nil"/>
              <w:left w:val="single" w:sz="12" w:space="0" w:color="auto"/>
              <w:bottom w:val="single" w:sz="4" w:space="0" w:color="auto"/>
              <w:right w:val="single" w:sz="4" w:space="0" w:color="auto"/>
            </w:tcBorders>
            <w:shd w:val="clear" w:color="000000" w:fill="C6E0B4"/>
            <w:noWrap/>
            <w:tcMar>
              <w:left w:w="58" w:type="dxa"/>
              <w:right w:w="58" w:type="dxa"/>
            </w:tcMar>
            <w:vAlign w:val="center"/>
            <w:hideMark/>
          </w:tcPr>
          <w:p w14:paraId="63665D95" w14:textId="77777777" w:rsidR="00814E2F" w:rsidRPr="00D20303" w:rsidRDefault="00814E2F" w:rsidP="007F18AB">
            <w:pPr>
              <w:spacing w:after="0" w:line="240" w:lineRule="auto"/>
              <w:jc w:val="right"/>
              <w:rPr>
                <w:color w:val="000000"/>
                <w:sz w:val="20"/>
                <w:szCs w:val="20"/>
              </w:rPr>
            </w:pPr>
            <w:r w:rsidRPr="00D20303">
              <w:rPr>
                <w:color w:val="000000"/>
                <w:sz w:val="20"/>
                <w:szCs w:val="20"/>
              </w:rPr>
              <w:t>2.17</w:t>
            </w:r>
          </w:p>
        </w:tc>
        <w:tc>
          <w:tcPr>
            <w:tcW w:w="720" w:type="dxa"/>
            <w:tcBorders>
              <w:top w:val="nil"/>
              <w:left w:val="single" w:sz="4" w:space="0" w:color="auto"/>
              <w:bottom w:val="single" w:sz="4" w:space="0" w:color="auto"/>
              <w:right w:val="single" w:sz="4" w:space="0" w:color="auto"/>
            </w:tcBorders>
            <w:shd w:val="clear" w:color="000000" w:fill="C6E0B4"/>
            <w:tcMar>
              <w:left w:w="58" w:type="dxa"/>
              <w:right w:w="58" w:type="dxa"/>
            </w:tcMar>
            <w:vAlign w:val="center"/>
          </w:tcPr>
          <w:p w14:paraId="692119CF" w14:textId="77777777" w:rsidR="00814E2F" w:rsidRPr="00D20303" w:rsidRDefault="00814E2F" w:rsidP="007F18AB">
            <w:pPr>
              <w:spacing w:after="0" w:line="240" w:lineRule="auto"/>
              <w:jc w:val="right"/>
              <w:rPr>
                <w:color w:val="000000"/>
                <w:sz w:val="20"/>
                <w:szCs w:val="20"/>
              </w:rPr>
            </w:pPr>
            <w:r w:rsidRPr="00D20303">
              <w:rPr>
                <w:color w:val="000000"/>
                <w:sz w:val="20"/>
                <w:szCs w:val="20"/>
              </w:rPr>
              <w:t>1.27</w:t>
            </w:r>
          </w:p>
        </w:tc>
        <w:tc>
          <w:tcPr>
            <w:tcW w:w="983" w:type="dxa"/>
            <w:tcBorders>
              <w:top w:val="nil"/>
              <w:left w:val="single" w:sz="4" w:space="0" w:color="auto"/>
              <w:bottom w:val="single" w:sz="4" w:space="0" w:color="auto"/>
              <w:right w:val="single" w:sz="12" w:space="0" w:color="auto"/>
            </w:tcBorders>
            <w:shd w:val="clear" w:color="000000" w:fill="C6E0B4"/>
            <w:noWrap/>
            <w:tcMar>
              <w:left w:w="58" w:type="dxa"/>
              <w:right w:w="58" w:type="dxa"/>
            </w:tcMar>
            <w:vAlign w:val="center"/>
            <w:hideMark/>
          </w:tcPr>
          <w:p w14:paraId="35E7FDA1" w14:textId="77777777" w:rsidR="00814E2F" w:rsidRPr="00D20303" w:rsidRDefault="00814E2F" w:rsidP="007F18AB">
            <w:pPr>
              <w:spacing w:after="0" w:line="240" w:lineRule="auto"/>
              <w:jc w:val="right"/>
              <w:rPr>
                <w:color w:val="000000"/>
                <w:sz w:val="20"/>
                <w:szCs w:val="20"/>
              </w:rPr>
            </w:pPr>
            <w:r w:rsidRPr="00D20303">
              <w:rPr>
                <w:color w:val="000000"/>
                <w:sz w:val="20"/>
                <w:szCs w:val="20"/>
              </w:rPr>
              <w:t>1.80</w:t>
            </w:r>
          </w:p>
        </w:tc>
        <w:tc>
          <w:tcPr>
            <w:tcW w:w="1087" w:type="dxa"/>
            <w:tcBorders>
              <w:top w:val="nil"/>
              <w:left w:val="single" w:sz="12" w:space="0" w:color="auto"/>
              <w:bottom w:val="single" w:sz="4" w:space="0" w:color="auto"/>
              <w:right w:val="single" w:sz="12" w:space="0" w:color="auto"/>
            </w:tcBorders>
            <w:shd w:val="clear" w:color="000000" w:fill="C6E0B4"/>
            <w:tcMar>
              <w:left w:w="58" w:type="dxa"/>
              <w:right w:w="58" w:type="dxa"/>
            </w:tcMar>
            <w:vAlign w:val="center"/>
          </w:tcPr>
          <w:p w14:paraId="1FF9E4C1" w14:textId="77777777" w:rsidR="00814E2F" w:rsidRPr="00D20303" w:rsidRDefault="00814E2F" w:rsidP="007F18AB">
            <w:pPr>
              <w:spacing w:after="0" w:line="240" w:lineRule="auto"/>
              <w:jc w:val="right"/>
              <w:rPr>
                <w:color w:val="000000"/>
                <w:sz w:val="20"/>
                <w:szCs w:val="20"/>
              </w:rPr>
            </w:pPr>
            <w:r w:rsidRPr="00D20303">
              <w:rPr>
                <w:color w:val="000000"/>
                <w:sz w:val="20"/>
                <w:szCs w:val="20"/>
              </w:rPr>
              <w:t>-41.2%</w:t>
            </w:r>
          </w:p>
        </w:tc>
        <w:tc>
          <w:tcPr>
            <w:tcW w:w="1080" w:type="dxa"/>
            <w:tcBorders>
              <w:top w:val="nil"/>
              <w:left w:val="single" w:sz="4" w:space="0" w:color="auto"/>
              <w:bottom w:val="single" w:sz="4" w:space="0" w:color="auto"/>
              <w:right w:val="double" w:sz="4" w:space="0" w:color="auto"/>
            </w:tcBorders>
            <w:shd w:val="clear" w:color="000000" w:fill="C6E0B4"/>
            <w:tcMar>
              <w:left w:w="58" w:type="dxa"/>
              <w:right w:w="58" w:type="dxa"/>
            </w:tcMar>
            <w:vAlign w:val="center"/>
          </w:tcPr>
          <w:p w14:paraId="50C97CBB" w14:textId="77777777" w:rsidR="00814E2F" w:rsidRPr="00D20303" w:rsidRDefault="00814E2F" w:rsidP="007F18AB">
            <w:pPr>
              <w:spacing w:after="0" w:line="240" w:lineRule="auto"/>
              <w:jc w:val="right"/>
              <w:rPr>
                <w:color w:val="000000"/>
                <w:sz w:val="20"/>
                <w:szCs w:val="20"/>
              </w:rPr>
            </w:pPr>
            <w:r w:rsidRPr="00D20303">
              <w:rPr>
                <w:color w:val="000000"/>
                <w:sz w:val="20"/>
                <w:szCs w:val="20"/>
              </w:rPr>
              <w:t>-16.9%</w:t>
            </w:r>
          </w:p>
        </w:tc>
      </w:tr>
      <w:tr w:rsidR="00814E2F" w:rsidRPr="00D20303" w14:paraId="691A5250" w14:textId="77777777" w:rsidTr="00A24926">
        <w:trPr>
          <w:trHeight w:val="288"/>
        </w:trPr>
        <w:tc>
          <w:tcPr>
            <w:tcW w:w="1245" w:type="dxa"/>
            <w:vMerge/>
            <w:tcBorders>
              <w:top w:val="nil"/>
              <w:left w:val="double" w:sz="4" w:space="0" w:color="auto"/>
              <w:bottom w:val="double" w:sz="4" w:space="0" w:color="auto"/>
              <w:right w:val="single" w:sz="4" w:space="0" w:color="auto"/>
            </w:tcBorders>
            <w:tcMar>
              <w:left w:w="58" w:type="dxa"/>
              <w:right w:w="58" w:type="dxa"/>
            </w:tcMar>
            <w:vAlign w:val="center"/>
            <w:hideMark/>
          </w:tcPr>
          <w:p w14:paraId="3C8E4018" w14:textId="77777777" w:rsidR="00814E2F" w:rsidRPr="00D20303" w:rsidRDefault="00814E2F" w:rsidP="007F18AB">
            <w:pPr>
              <w:spacing w:after="0" w:line="240" w:lineRule="auto"/>
              <w:rPr>
                <w:rFonts w:eastAsia="Times New Roman"/>
                <w:b/>
                <w:bCs/>
                <w:color w:val="000000"/>
                <w:sz w:val="20"/>
                <w:szCs w:val="20"/>
              </w:rPr>
            </w:pPr>
          </w:p>
        </w:tc>
        <w:tc>
          <w:tcPr>
            <w:tcW w:w="1267" w:type="dxa"/>
            <w:tcBorders>
              <w:top w:val="nil"/>
              <w:left w:val="single" w:sz="12" w:space="0" w:color="auto"/>
              <w:bottom w:val="double" w:sz="4" w:space="0" w:color="auto"/>
              <w:right w:val="single" w:sz="12" w:space="0" w:color="auto"/>
            </w:tcBorders>
            <w:shd w:val="clear" w:color="000000" w:fill="C6E0B4"/>
            <w:tcMar>
              <w:left w:w="58" w:type="dxa"/>
              <w:right w:w="58" w:type="dxa"/>
            </w:tcMar>
            <w:vAlign w:val="center"/>
          </w:tcPr>
          <w:p w14:paraId="383DAE4A" w14:textId="77777777" w:rsidR="00814E2F" w:rsidRPr="00D20303" w:rsidRDefault="00814E2F" w:rsidP="007F18AB">
            <w:pPr>
              <w:spacing w:after="0" w:line="240" w:lineRule="auto"/>
              <w:jc w:val="center"/>
              <w:rPr>
                <w:rFonts w:eastAsia="Times New Roman"/>
                <w:color w:val="000000"/>
                <w:sz w:val="20"/>
                <w:szCs w:val="20"/>
              </w:rPr>
            </w:pPr>
            <w:r w:rsidRPr="00D20303">
              <w:rPr>
                <w:rFonts w:eastAsia="Times New Roman"/>
                <w:color w:val="000000"/>
                <w:sz w:val="20"/>
                <w:szCs w:val="20"/>
              </w:rPr>
              <w:t>Third WPL</w:t>
            </w:r>
          </w:p>
        </w:tc>
        <w:tc>
          <w:tcPr>
            <w:tcW w:w="1035" w:type="dxa"/>
            <w:tcBorders>
              <w:top w:val="nil"/>
              <w:left w:val="single" w:sz="12" w:space="0" w:color="auto"/>
              <w:bottom w:val="double" w:sz="4" w:space="0" w:color="auto"/>
              <w:right w:val="single" w:sz="4" w:space="0" w:color="auto"/>
            </w:tcBorders>
            <w:shd w:val="clear" w:color="000000" w:fill="C6E0B4"/>
            <w:tcMar>
              <w:left w:w="58" w:type="dxa"/>
              <w:right w:w="58" w:type="dxa"/>
            </w:tcMar>
            <w:vAlign w:val="center"/>
          </w:tcPr>
          <w:p w14:paraId="315410FE" w14:textId="77777777" w:rsidR="00814E2F" w:rsidRPr="00D20303" w:rsidRDefault="00814E2F" w:rsidP="007F18AB">
            <w:pPr>
              <w:spacing w:after="0" w:line="240" w:lineRule="auto"/>
              <w:jc w:val="right"/>
              <w:rPr>
                <w:color w:val="000000"/>
                <w:sz w:val="20"/>
                <w:szCs w:val="20"/>
              </w:rPr>
            </w:pPr>
            <w:r w:rsidRPr="00D20303">
              <w:rPr>
                <w:color w:val="000000"/>
                <w:sz w:val="20"/>
                <w:szCs w:val="20"/>
              </w:rPr>
              <w:t>0.20</w:t>
            </w:r>
          </w:p>
        </w:tc>
        <w:tc>
          <w:tcPr>
            <w:tcW w:w="945" w:type="dxa"/>
            <w:tcBorders>
              <w:top w:val="nil"/>
              <w:left w:val="single" w:sz="4" w:space="0" w:color="auto"/>
              <w:bottom w:val="double" w:sz="4" w:space="0" w:color="auto"/>
              <w:right w:val="single" w:sz="12" w:space="0" w:color="auto"/>
            </w:tcBorders>
            <w:shd w:val="clear" w:color="000000" w:fill="C6E0B4"/>
            <w:tcMar>
              <w:left w:w="58" w:type="dxa"/>
              <w:right w:w="58" w:type="dxa"/>
            </w:tcMar>
            <w:vAlign w:val="center"/>
          </w:tcPr>
          <w:p w14:paraId="011CBE63" w14:textId="77777777" w:rsidR="00814E2F" w:rsidRPr="00D20303" w:rsidRDefault="00814E2F" w:rsidP="007F18AB">
            <w:pPr>
              <w:spacing w:after="0" w:line="240" w:lineRule="auto"/>
              <w:jc w:val="right"/>
              <w:rPr>
                <w:color w:val="000000"/>
                <w:sz w:val="20"/>
                <w:szCs w:val="20"/>
              </w:rPr>
            </w:pPr>
            <w:r w:rsidRPr="00D20303">
              <w:rPr>
                <w:color w:val="000000"/>
                <w:sz w:val="20"/>
                <w:szCs w:val="20"/>
              </w:rPr>
              <w:t>0.21</w:t>
            </w:r>
          </w:p>
        </w:tc>
        <w:tc>
          <w:tcPr>
            <w:tcW w:w="945" w:type="dxa"/>
            <w:tcBorders>
              <w:top w:val="nil"/>
              <w:left w:val="single" w:sz="12" w:space="0" w:color="auto"/>
              <w:bottom w:val="double" w:sz="4" w:space="0" w:color="auto"/>
              <w:right w:val="single" w:sz="4" w:space="0" w:color="auto"/>
            </w:tcBorders>
            <w:shd w:val="clear" w:color="000000" w:fill="C6E0B4"/>
            <w:tcMar>
              <w:left w:w="58" w:type="dxa"/>
              <w:right w:w="58" w:type="dxa"/>
            </w:tcMar>
            <w:vAlign w:val="center"/>
          </w:tcPr>
          <w:p w14:paraId="46C094D6" w14:textId="77777777" w:rsidR="00814E2F" w:rsidRPr="00D20303" w:rsidRDefault="00814E2F" w:rsidP="007F18AB">
            <w:pPr>
              <w:spacing w:after="0" w:line="240" w:lineRule="auto"/>
              <w:jc w:val="right"/>
              <w:rPr>
                <w:color w:val="000000"/>
                <w:sz w:val="20"/>
                <w:szCs w:val="20"/>
              </w:rPr>
            </w:pPr>
            <w:r w:rsidRPr="00D20303">
              <w:rPr>
                <w:color w:val="000000"/>
                <w:sz w:val="20"/>
                <w:szCs w:val="20"/>
              </w:rPr>
              <w:t>0.20</w:t>
            </w:r>
          </w:p>
        </w:tc>
        <w:tc>
          <w:tcPr>
            <w:tcW w:w="945" w:type="dxa"/>
            <w:tcBorders>
              <w:top w:val="nil"/>
              <w:left w:val="single" w:sz="4" w:space="0" w:color="auto"/>
              <w:bottom w:val="double" w:sz="4" w:space="0" w:color="auto"/>
              <w:right w:val="single" w:sz="12" w:space="0" w:color="auto"/>
            </w:tcBorders>
            <w:shd w:val="clear" w:color="000000" w:fill="C6E0B4"/>
            <w:tcMar>
              <w:left w:w="58" w:type="dxa"/>
              <w:right w:w="58" w:type="dxa"/>
            </w:tcMar>
            <w:vAlign w:val="center"/>
          </w:tcPr>
          <w:p w14:paraId="651AAA69" w14:textId="77777777" w:rsidR="00814E2F" w:rsidRPr="00D20303" w:rsidRDefault="00814E2F" w:rsidP="007F18AB">
            <w:pPr>
              <w:spacing w:after="0" w:line="240" w:lineRule="auto"/>
              <w:jc w:val="right"/>
              <w:rPr>
                <w:color w:val="000000"/>
                <w:sz w:val="20"/>
                <w:szCs w:val="20"/>
              </w:rPr>
            </w:pPr>
            <w:r w:rsidRPr="00D20303">
              <w:rPr>
                <w:color w:val="000000"/>
                <w:sz w:val="20"/>
                <w:szCs w:val="20"/>
              </w:rPr>
              <w:t>0.21</w:t>
            </w:r>
          </w:p>
        </w:tc>
        <w:tc>
          <w:tcPr>
            <w:tcW w:w="1080" w:type="dxa"/>
            <w:tcBorders>
              <w:top w:val="nil"/>
              <w:left w:val="single" w:sz="4" w:space="0" w:color="auto"/>
              <w:bottom w:val="double" w:sz="4" w:space="0" w:color="auto"/>
              <w:right w:val="single" w:sz="12" w:space="0" w:color="auto"/>
            </w:tcBorders>
            <w:shd w:val="clear" w:color="000000" w:fill="C6E0B4"/>
            <w:tcMar>
              <w:left w:w="58" w:type="dxa"/>
              <w:right w:w="58" w:type="dxa"/>
            </w:tcMar>
            <w:vAlign w:val="center"/>
          </w:tcPr>
          <w:p w14:paraId="4B086D30" w14:textId="77777777" w:rsidR="00814E2F" w:rsidRPr="00D20303" w:rsidRDefault="00814E2F" w:rsidP="007F18AB">
            <w:pPr>
              <w:spacing w:after="0" w:line="240" w:lineRule="auto"/>
              <w:jc w:val="right"/>
              <w:rPr>
                <w:color w:val="000000"/>
                <w:sz w:val="20"/>
                <w:szCs w:val="20"/>
              </w:rPr>
            </w:pPr>
            <w:r w:rsidRPr="00D20303">
              <w:rPr>
                <w:color w:val="000000"/>
                <w:sz w:val="20"/>
                <w:szCs w:val="20"/>
              </w:rPr>
              <w:t>4.6%</w:t>
            </w:r>
          </w:p>
        </w:tc>
        <w:tc>
          <w:tcPr>
            <w:tcW w:w="1163" w:type="dxa"/>
            <w:tcBorders>
              <w:top w:val="nil"/>
              <w:left w:val="single" w:sz="4" w:space="0" w:color="auto"/>
              <w:bottom w:val="double" w:sz="4" w:space="0" w:color="auto"/>
              <w:right w:val="single" w:sz="12" w:space="0" w:color="auto"/>
            </w:tcBorders>
            <w:shd w:val="clear" w:color="000000" w:fill="C6E0B4"/>
            <w:tcMar>
              <w:left w:w="58" w:type="dxa"/>
              <w:right w:w="58" w:type="dxa"/>
            </w:tcMar>
            <w:vAlign w:val="center"/>
          </w:tcPr>
          <w:p w14:paraId="1D51AB9F" w14:textId="77777777" w:rsidR="00814E2F" w:rsidRPr="00D20303" w:rsidRDefault="00814E2F" w:rsidP="007F18AB">
            <w:pPr>
              <w:spacing w:after="0" w:line="240" w:lineRule="auto"/>
              <w:jc w:val="right"/>
              <w:rPr>
                <w:color w:val="000000"/>
                <w:sz w:val="20"/>
                <w:szCs w:val="20"/>
              </w:rPr>
            </w:pPr>
            <w:r w:rsidRPr="00D20303">
              <w:rPr>
                <w:color w:val="000000"/>
                <w:sz w:val="20"/>
                <w:szCs w:val="20"/>
              </w:rPr>
              <w:t>4.2%</w:t>
            </w:r>
          </w:p>
        </w:tc>
        <w:tc>
          <w:tcPr>
            <w:tcW w:w="720" w:type="dxa"/>
            <w:tcBorders>
              <w:top w:val="nil"/>
              <w:left w:val="single" w:sz="12" w:space="0" w:color="auto"/>
              <w:bottom w:val="double" w:sz="4" w:space="0" w:color="auto"/>
              <w:right w:val="single" w:sz="4" w:space="0" w:color="auto"/>
            </w:tcBorders>
            <w:shd w:val="clear" w:color="000000" w:fill="C6E0B4"/>
            <w:noWrap/>
            <w:tcMar>
              <w:left w:w="58" w:type="dxa"/>
              <w:right w:w="58" w:type="dxa"/>
            </w:tcMar>
            <w:vAlign w:val="center"/>
            <w:hideMark/>
          </w:tcPr>
          <w:p w14:paraId="6131BCCA" w14:textId="77777777" w:rsidR="00814E2F" w:rsidRPr="00D20303" w:rsidRDefault="00814E2F" w:rsidP="007F18AB">
            <w:pPr>
              <w:spacing w:after="0" w:line="240" w:lineRule="auto"/>
              <w:jc w:val="right"/>
              <w:rPr>
                <w:color w:val="000000"/>
                <w:sz w:val="20"/>
                <w:szCs w:val="20"/>
              </w:rPr>
            </w:pPr>
            <w:r w:rsidRPr="00D20303">
              <w:rPr>
                <w:color w:val="000000"/>
                <w:sz w:val="20"/>
                <w:szCs w:val="20"/>
              </w:rPr>
              <w:t>0.27</w:t>
            </w:r>
          </w:p>
        </w:tc>
        <w:tc>
          <w:tcPr>
            <w:tcW w:w="720" w:type="dxa"/>
            <w:tcBorders>
              <w:top w:val="nil"/>
              <w:left w:val="single" w:sz="4" w:space="0" w:color="auto"/>
              <w:bottom w:val="double" w:sz="4" w:space="0" w:color="auto"/>
              <w:right w:val="single" w:sz="4" w:space="0" w:color="auto"/>
            </w:tcBorders>
            <w:shd w:val="clear" w:color="000000" w:fill="C6E0B4"/>
            <w:tcMar>
              <w:left w:w="58" w:type="dxa"/>
              <w:right w:w="58" w:type="dxa"/>
            </w:tcMar>
            <w:vAlign w:val="center"/>
          </w:tcPr>
          <w:p w14:paraId="4C247CE8" w14:textId="77777777" w:rsidR="00814E2F" w:rsidRPr="00D20303" w:rsidRDefault="00814E2F" w:rsidP="007F18AB">
            <w:pPr>
              <w:spacing w:after="0" w:line="240" w:lineRule="auto"/>
              <w:jc w:val="right"/>
              <w:rPr>
                <w:color w:val="000000"/>
                <w:sz w:val="20"/>
                <w:szCs w:val="20"/>
              </w:rPr>
            </w:pPr>
            <w:r w:rsidRPr="00D20303">
              <w:rPr>
                <w:color w:val="000000"/>
                <w:sz w:val="20"/>
                <w:szCs w:val="20"/>
              </w:rPr>
              <w:t>0.15</w:t>
            </w:r>
          </w:p>
        </w:tc>
        <w:tc>
          <w:tcPr>
            <w:tcW w:w="983" w:type="dxa"/>
            <w:tcBorders>
              <w:top w:val="nil"/>
              <w:left w:val="single" w:sz="4" w:space="0" w:color="auto"/>
              <w:bottom w:val="double" w:sz="4" w:space="0" w:color="auto"/>
              <w:right w:val="single" w:sz="12" w:space="0" w:color="auto"/>
            </w:tcBorders>
            <w:shd w:val="clear" w:color="000000" w:fill="C6E0B4"/>
            <w:noWrap/>
            <w:tcMar>
              <w:left w:w="58" w:type="dxa"/>
              <w:right w:w="58" w:type="dxa"/>
            </w:tcMar>
            <w:vAlign w:val="center"/>
            <w:hideMark/>
          </w:tcPr>
          <w:p w14:paraId="2ED89CDC" w14:textId="77777777" w:rsidR="00814E2F" w:rsidRPr="00D20303" w:rsidRDefault="00814E2F" w:rsidP="007F18AB">
            <w:pPr>
              <w:spacing w:after="0" w:line="240" w:lineRule="auto"/>
              <w:jc w:val="right"/>
              <w:rPr>
                <w:color w:val="000000"/>
                <w:sz w:val="20"/>
                <w:szCs w:val="20"/>
              </w:rPr>
            </w:pPr>
            <w:r w:rsidRPr="00D20303">
              <w:rPr>
                <w:color w:val="000000"/>
                <w:sz w:val="20"/>
                <w:szCs w:val="20"/>
              </w:rPr>
              <w:t>0.13</w:t>
            </w:r>
          </w:p>
        </w:tc>
        <w:tc>
          <w:tcPr>
            <w:tcW w:w="1087" w:type="dxa"/>
            <w:tcBorders>
              <w:top w:val="nil"/>
              <w:left w:val="single" w:sz="12" w:space="0" w:color="auto"/>
              <w:bottom w:val="double" w:sz="4" w:space="0" w:color="auto"/>
              <w:right w:val="single" w:sz="12" w:space="0" w:color="auto"/>
            </w:tcBorders>
            <w:shd w:val="clear" w:color="000000" w:fill="C6E0B4"/>
            <w:tcMar>
              <w:left w:w="58" w:type="dxa"/>
              <w:right w:w="58" w:type="dxa"/>
            </w:tcMar>
            <w:vAlign w:val="center"/>
          </w:tcPr>
          <w:p w14:paraId="47066FD3" w14:textId="77777777" w:rsidR="00814E2F" w:rsidRPr="00D20303" w:rsidRDefault="00814E2F" w:rsidP="007F18AB">
            <w:pPr>
              <w:spacing w:after="0" w:line="240" w:lineRule="auto"/>
              <w:jc w:val="right"/>
              <w:rPr>
                <w:color w:val="000000"/>
                <w:sz w:val="20"/>
                <w:szCs w:val="20"/>
              </w:rPr>
            </w:pPr>
            <w:r w:rsidRPr="00D20303">
              <w:rPr>
                <w:color w:val="000000"/>
                <w:sz w:val="20"/>
                <w:szCs w:val="20"/>
              </w:rPr>
              <w:t>-43.9%</w:t>
            </w:r>
          </w:p>
        </w:tc>
        <w:tc>
          <w:tcPr>
            <w:tcW w:w="1080" w:type="dxa"/>
            <w:tcBorders>
              <w:top w:val="nil"/>
              <w:left w:val="single" w:sz="4" w:space="0" w:color="auto"/>
              <w:bottom w:val="double" w:sz="4" w:space="0" w:color="auto"/>
              <w:right w:val="double" w:sz="4" w:space="0" w:color="auto"/>
            </w:tcBorders>
            <w:shd w:val="clear" w:color="000000" w:fill="C6E0B4"/>
            <w:tcMar>
              <w:left w:w="58" w:type="dxa"/>
              <w:right w:w="58" w:type="dxa"/>
            </w:tcMar>
            <w:vAlign w:val="center"/>
          </w:tcPr>
          <w:p w14:paraId="5CFCCB91" w14:textId="77777777" w:rsidR="00814E2F" w:rsidRPr="00D20303" w:rsidRDefault="00814E2F" w:rsidP="007F18AB">
            <w:pPr>
              <w:spacing w:after="0" w:line="240" w:lineRule="auto"/>
              <w:jc w:val="right"/>
              <w:rPr>
                <w:color w:val="000000"/>
                <w:sz w:val="20"/>
                <w:szCs w:val="20"/>
              </w:rPr>
            </w:pPr>
            <w:r w:rsidRPr="00D20303">
              <w:rPr>
                <w:color w:val="000000"/>
                <w:sz w:val="20"/>
                <w:szCs w:val="20"/>
              </w:rPr>
              <w:t>-51.4%</w:t>
            </w:r>
          </w:p>
        </w:tc>
      </w:tr>
    </w:tbl>
    <w:p w14:paraId="6977EBE7" w14:textId="77777777" w:rsidR="00ED063B" w:rsidRDefault="00ED063B" w:rsidP="00ED063B"/>
    <w:p w14:paraId="6F487F19" w14:textId="77777777" w:rsidR="00E132F1" w:rsidRDefault="00E132F1" w:rsidP="0012399E">
      <w:pPr>
        <w:tabs>
          <w:tab w:val="left" w:pos="4410"/>
        </w:tabs>
      </w:pPr>
    </w:p>
    <w:sectPr w:rsidR="00E132F1" w:rsidSect="00DA4159">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760EB" w14:textId="77777777" w:rsidR="007F33CD" w:rsidRDefault="007F33CD" w:rsidP="006062B8">
      <w:pPr>
        <w:spacing w:after="0" w:line="240" w:lineRule="auto"/>
      </w:pPr>
      <w:r>
        <w:separator/>
      </w:r>
    </w:p>
  </w:endnote>
  <w:endnote w:type="continuationSeparator" w:id="0">
    <w:p w14:paraId="09CF12DB" w14:textId="77777777" w:rsidR="007F33CD" w:rsidRDefault="007F33CD" w:rsidP="00606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haris SIL">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FE14A" w14:textId="19B8ABE3" w:rsidR="0073414C" w:rsidRDefault="0073414C" w:rsidP="007E697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9910941"/>
      <w:docPartObj>
        <w:docPartGallery w:val="Page Numbers (Bottom of Page)"/>
        <w:docPartUnique/>
      </w:docPartObj>
    </w:sdtPr>
    <w:sdtEndPr>
      <w:rPr>
        <w:noProof/>
      </w:rPr>
    </w:sdtEndPr>
    <w:sdtContent>
      <w:p w14:paraId="55ECB305" w14:textId="199686B7" w:rsidR="0073414C" w:rsidRDefault="0073414C" w:rsidP="007E69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987263"/>
      <w:docPartObj>
        <w:docPartGallery w:val="Page Numbers (Bottom of Page)"/>
        <w:docPartUnique/>
      </w:docPartObj>
    </w:sdtPr>
    <w:sdtEndPr>
      <w:rPr>
        <w:noProof/>
      </w:rPr>
    </w:sdtEndPr>
    <w:sdtContent>
      <w:p w14:paraId="76D19ECE" w14:textId="10D588DC" w:rsidR="0073414C" w:rsidRDefault="0073414C" w:rsidP="00B40E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0533E0" w14:textId="77777777" w:rsidR="007F33CD" w:rsidRDefault="007F33CD" w:rsidP="006062B8">
      <w:pPr>
        <w:spacing w:after="0" w:line="240" w:lineRule="auto"/>
      </w:pPr>
      <w:r>
        <w:separator/>
      </w:r>
    </w:p>
  </w:footnote>
  <w:footnote w:type="continuationSeparator" w:id="0">
    <w:p w14:paraId="2B0EDEE0" w14:textId="77777777" w:rsidR="007F33CD" w:rsidRDefault="007F33CD" w:rsidP="006062B8">
      <w:pPr>
        <w:spacing w:after="0" w:line="240" w:lineRule="auto"/>
      </w:pPr>
      <w:r>
        <w:continuationSeparator/>
      </w:r>
    </w:p>
  </w:footnote>
  <w:footnote w:id="1">
    <w:p w14:paraId="34106844" w14:textId="77777777" w:rsidR="0073414C" w:rsidRDefault="0073414C" w:rsidP="00865752">
      <w:pPr>
        <w:pStyle w:val="FootnoteText"/>
      </w:pPr>
      <w:r>
        <w:rPr>
          <w:rStyle w:val="FootnoteReference"/>
        </w:rPr>
        <w:footnoteRef/>
      </w:r>
      <w:r>
        <w:t xml:space="preserve"> </w:t>
      </w:r>
      <w:r w:rsidRPr="008E24D0">
        <w:t xml:space="preserve">Though the term </w:t>
      </w:r>
      <w:r>
        <w:t xml:space="preserve">“digital nomad” </w:t>
      </w:r>
      <w:r w:rsidRPr="008E24D0">
        <w:t xml:space="preserve">existed before the pandemic, the </w:t>
      </w:r>
      <w:r>
        <w:t xml:space="preserve">label started receiving renewed attention after the COVID pandemic hit. </w:t>
      </w:r>
      <w:r w:rsidRPr="008E24D0">
        <w:t xml:space="preserve">While some studies define a digital nomad </w:t>
      </w:r>
      <w:r>
        <w:t>broadly as</w:t>
      </w:r>
      <w:r w:rsidRPr="008E24D0">
        <w:t xml:space="preserve"> anyone who work</w:t>
      </w:r>
      <w:r>
        <w:t>s at different places</w:t>
      </w:r>
      <w:r w:rsidRPr="008E24D0">
        <w:t xml:space="preserve"> on a daily or weekly basis, other studies</w:t>
      </w:r>
      <w:r>
        <w:t xml:space="preserve"> use a more specific characterization of the term for </w:t>
      </w:r>
      <w:r w:rsidRPr="008E24D0">
        <w:t xml:space="preserve">anyone who works remote and </w:t>
      </w:r>
      <w:r>
        <w:t>uses</w:t>
      </w:r>
      <w:r w:rsidRPr="008E24D0">
        <w:t xml:space="preserve"> a digital device</w:t>
      </w:r>
      <w:r>
        <w:t xml:space="preserve"> to connect to the regular workplace</w:t>
      </w:r>
      <w:r w:rsidRPr="008E24D0">
        <w:t xml:space="preserve">. </w:t>
      </w:r>
      <w:r>
        <w:t>I</w:t>
      </w:r>
      <w:r w:rsidRPr="008E24D0">
        <w:t xml:space="preserve">n this study we will </w:t>
      </w:r>
      <w:r>
        <w:t>employ the first broader characterization.</w:t>
      </w:r>
    </w:p>
  </w:footnote>
  <w:footnote w:id="2">
    <w:p w14:paraId="32602C71" w14:textId="184A4EC1" w:rsidR="0073414C" w:rsidRDefault="0073414C" w:rsidP="00570E9B">
      <w:pPr>
        <w:pStyle w:val="FootnoteText"/>
      </w:pPr>
      <w:r>
        <w:rPr>
          <w:rStyle w:val="FootnoteReference"/>
        </w:rPr>
        <w:footnoteRef/>
      </w:r>
      <w:r>
        <w:t xml:space="preserve"> Optimal arousal is a psychological construct representing the </w:t>
      </w:r>
      <w:r w:rsidRPr="0053269E">
        <w:t xml:space="preserve">level of mental stimulation </w:t>
      </w:r>
      <w:r>
        <w:t xml:space="preserve">and personal satisfaction </w:t>
      </w:r>
      <w:r w:rsidRPr="0053269E">
        <w:t>at which physical performance, learning, or feelings of wellbeing are maximized</w:t>
      </w:r>
      <w:r>
        <w:t xml:space="preserve"> and balanced</w:t>
      </w:r>
      <w:r w:rsidRPr="0053269E">
        <w:t xml:space="preserve"> (Smith 1990).</w:t>
      </w:r>
    </w:p>
  </w:footnote>
  <w:footnote w:id="3">
    <w:p w14:paraId="328364B5" w14:textId="1AC15C07" w:rsidR="0073414C" w:rsidRPr="002C51A0" w:rsidRDefault="0073414C" w:rsidP="00B40ED1">
      <w:pPr>
        <w:autoSpaceDE w:val="0"/>
        <w:autoSpaceDN w:val="0"/>
        <w:adjustRightInd w:val="0"/>
        <w:spacing w:after="80" w:line="240" w:lineRule="auto"/>
        <w:rPr>
          <w:sz w:val="20"/>
          <w:szCs w:val="20"/>
        </w:rPr>
      </w:pPr>
      <w:r w:rsidRPr="00757E6F">
        <w:rPr>
          <w:rStyle w:val="FootnoteReference"/>
          <w:sz w:val="20"/>
          <w:szCs w:val="20"/>
        </w:rPr>
        <w:footnoteRef/>
      </w:r>
      <w:r w:rsidRPr="00757E6F">
        <w:rPr>
          <w:sz w:val="20"/>
          <w:szCs w:val="20"/>
        </w:rPr>
        <w:t xml:space="preserve"> This position is supported by </w:t>
      </w:r>
      <w:r w:rsidRPr="0086491D">
        <w:rPr>
          <w:sz w:val="20"/>
          <w:szCs w:val="20"/>
        </w:rPr>
        <w:t>Jain et al</w:t>
      </w:r>
      <w:r>
        <w:rPr>
          <w:sz w:val="20"/>
          <w:szCs w:val="20"/>
        </w:rPr>
        <w:t>.</w:t>
      </w:r>
      <w:r w:rsidRPr="0086491D">
        <w:rPr>
          <w:sz w:val="20"/>
          <w:szCs w:val="20"/>
        </w:rPr>
        <w:t xml:space="preserve"> (2022). As they indicate, while the transtheoretical model (TTM) of behavior change (Prochaska and Di</w:t>
      </w:r>
      <w:r>
        <w:rPr>
          <w:sz w:val="20"/>
          <w:szCs w:val="20"/>
        </w:rPr>
        <w:t>C</w:t>
      </w:r>
      <w:r w:rsidRPr="0086491D">
        <w:rPr>
          <w:sz w:val="20"/>
          <w:szCs w:val="20"/>
        </w:rPr>
        <w:t>lemente, 1982) suggests that long term continuation of a</w:t>
      </w:r>
      <w:r w:rsidRPr="00757E6F">
        <w:rPr>
          <w:sz w:val="20"/>
          <w:szCs w:val="20"/>
        </w:rPr>
        <w:t xml:space="preserve"> </w:t>
      </w:r>
      <w:r w:rsidRPr="0086491D">
        <w:rPr>
          <w:sz w:val="20"/>
          <w:szCs w:val="20"/>
        </w:rPr>
        <w:t xml:space="preserve">behavior is more likely among those who </w:t>
      </w:r>
      <w:r w:rsidRPr="00757E6F">
        <w:rPr>
          <w:sz w:val="20"/>
          <w:szCs w:val="20"/>
        </w:rPr>
        <w:t xml:space="preserve">earlier </w:t>
      </w:r>
      <w:r w:rsidRPr="0086491D">
        <w:rPr>
          <w:sz w:val="20"/>
          <w:szCs w:val="20"/>
        </w:rPr>
        <w:t xml:space="preserve">contemplated making </w:t>
      </w:r>
      <w:r w:rsidRPr="00757E6F">
        <w:rPr>
          <w:sz w:val="20"/>
          <w:szCs w:val="20"/>
        </w:rPr>
        <w:t xml:space="preserve">the behavioral </w:t>
      </w:r>
      <w:r w:rsidRPr="0086491D">
        <w:rPr>
          <w:sz w:val="20"/>
          <w:szCs w:val="20"/>
        </w:rPr>
        <w:t>change (working remotely in our case), they provide empirical evidence to suggest that COVID-related lockdowns were like forced ‘experiments’ related to WPL choice that are not necessarily indicators of long-term desires or actual behavior</w:t>
      </w:r>
      <w:bookmarkStart w:id="7" w:name="_Hlk125778527"/>
      <w:r w:rsidRPr="0086491D">
        <w:rPr>
          <w:sz w:val="20"/>
          <w:szCs w:val="20"/>
        </w:rPr>
        <w:t>.</w:t>
      </w:r>
      <w:r>
        <w:rPr>
          <w:sz w:val="20"/>
          <w:szCs w:val="20"/>
        </w:rPr>
        <w:t xml:space="preserve"> </w:t>
      </w:r>
      <w:r w:rsidRPr="00CB2F18">
        <w:rPr>
          <w:sz w:val="20"/>
          <w:szCs w:val="20"/>
        </w:rPr>
        <w:t xml:space="preserve">Further, </w:t>
      </w:r>
      <w:r>
        <w:rPr>
          <w:sz w:val="20"/>
          <w:szCs w:val="20"/>
        </w:rPr>
        <w:t xml:space="preserve">on the issue of our use of stated preference data (in our case, the stated preference of work location configuration in an environment where individuals have full freedom to choose), it is well established that </w:t>
      </w:r>
      <w:r w:rsidRPr="002C51A0">
        <w:rPr>
          <w:sz w:val="20"/>
          <w:szCs w:val="20"/>
          <w:shd w:val="clear" w:color="auto" w:fill="FFFFFF"/>
        </w:rPr>
        <w:t xml:space="preserve">behavioral </w:t>
      </w:r>
      <w:r>
        <w:rPr>
          <w:sz w:val="20"/>
          <w:szCs w:val="20"/>
          <w:shd w:val="clear" w:color="auto" w:fill="FFFFFF"/>
        </w:rPr>
        <w:t>preferences/</w:t>
      </w:r>
      <w:r w:rsidRPr="002C51A0">
        <w:rPr>
          <w:sz w:val="20"/>
          <w:szCs w:val="20"/>
          <w:shd w:val="clear" w:color="auto" w:fill="FFFFFF"/>
        </w:rPr>
        <w:t>intentions precede behavioral action</w:t>
      </w:r>
      <w:r>
        <w:rPr>
          <w:sz w:val="20"/>
          <w:szCs w:val="20"/>
          <w:shd w:val="clear" w:color="auto" w:fill="FFFFFF"/>
        </w:rPr>
        <w:t>. In fact, this fundamental concept</w:t>
      </w:r>
      <w:r w:rsidRPr="002C51A0">
        <w:rPr>
          <w:sz w:val="20"/>
          <w:szCs w:val="20"/>
          <w:shd w:val="clear" w:color="auto" w:fill="FFFFFF"/>
        </w:rPr>
        <w:t xml:space="preserve"> is </w:t>
      </w:r>
      <w:r>
        <w:rPr>
          <w:sz w:val="20"/>
          <w:szCs w:val="20"/>
          <w:shd w:val="clear" w:color="auto" w:fill="FFFFFF"/>
        </w:rPr>
        <w:t xml:space="preserve">at </w:t>
      </w:r>
      <w:r w:rsidRPr="002C51A0">
        <w:rPr>
          <w:sz w:val="20"/>
          <w:szCs w:val="20"/>
        </w:rPr>
        <w:t xml:space="preserve">the foundation of </w:t>
      </w:r>
      <w:r w:rsidRPr="002C51A0">
        <w:rPr>
          <w:color w:val="000000" w:themeColor="text1"/>
          <w:sz w:val="20"/>
          <w:szCs w:val="20"/>
        </w:rPr>
        <w:t xml:space="preserve">the Theory of Planned Behavior </w:t>
      </w:r>
      <w:r w:rsidRPr="002C51A0">
        <w:rPr>
          <w:sz w:val="20"/>
          <w:szCs w:val="20"/>
        </w:rPr>
        <w:t xml:space="preserve">(TPB; </w:t>
      </w:r>
      <w:proofErr w:type="spellStart"/>
      <w:r w:rsidRPr="002C51A0">
        <w:rPr>
          <w:sz w:val="20"/>
          <w:szCs w:val="20"/>
        </w:rPr>
        <w:t>Ajzen</w:t>
      </w:r>
      <w:proofErr w:type="spellEnd"/>
      <w:r w:rsidRPr="002C51A0">
        <w:rPr>
          <w:sz w:val="20"/>
          <w:szCs w:val="20"/>
        </w:rPr>
        <w:t xml:space="preserve">, 1991) and the traditional Technology Acceptance Model (TAM) (Davis, 1989; Venkatesh and Davis, 2000). Extensive studies in the social-psychology, information sciences, and consumer behavior literature have also validated the strong </w:t>
      </w:r>
      <w:r>
        <w:rPr>
          <w:sz w:val="20"/>
          <w:szCs w:val="20"/>
        </w:rPr>
        <w:t>and unambiguous</w:t>
      </w:r>
      <w:r w:rsidRPr="002C51A0">
        <w:rPr>
          <w:sz w:val="20"/>
          <w:szCs w:val="20"/>
        </w:rPr>
        <w:t xml:space="preserve"> relationship between self-reported </w:t>
      </w:r>
      <w:r>
        <w:rPr>
          <w:sz w:val="20"/>
          <w:szCs w:val="20"/>
        </w:rPr>
        <w:t>preferences/</w:t>
      </w:r>
      <w:r w:rsidRPr="002C51A0">
        <w:rPr>
          <w:sz w:val="20"/>
          <w:szCs w:val="20"/>
        </w:rPr>
        <w:t xml:space="preserve">intentions to pursue a certain behavior and the actual future action </w:t>
      </w:r>
      <w:r w:rsidRPr="002C51A0">
        <w:rPr>
          <w:bCs/>
          <w:color w:val="202124"/>
          <w:sz w:val="20"/>
          <w:szCs w:val="20"/>
          <w:shd w:val="clear" w:color="auto" w:fill="FFFFFF"/>
        </w:rPr>
        <w:t>(even if in an uncertain future environment</w:t>
      </w:r>
      <w:r>
        <w:rPr>
          <w:bCs/>
          <w:color w:val="202124"/>
          <w:sz w:val="20"/>
          <w:szCs w:val="20"/>
          <w:shd w:val="clear" w:color="auto" w:fill="FFFFFF"/>
        </w:rPr>
        <w:t>, and even if not perfect, and particularly for studying causal relationships</w:t>
      </w:r>
      <w:r w:rsidRPr="002C51A0">
        <w:rPr>
          <w:bCs/>
          <w:color w:val="202124"/>
          <w:sz w:val="20"/>
          <w:szCs w:val="20"/>
          <w:shd w:val="clear" w:color="auto" w:fill="FFFFFF"/>
        </w:rPr>
        <w:t xml:space="preserve">; </w:t>
      </w:r>
      <w:r w:rsidRPr="002C51A0">
        <w:rPr>
          <w:bCs/>
          <w:sz w:val="20"/>
          <w:szCs w:val="20"/>
          <w:shd w:val="clear" w:color="auto" w:fill="FFFFFF"/>
        </w:rPr>
        <w:t xml:space="preserve">see, for example, </w:t>
      </w:r>
      <w:r w:rsidRPr="002C51A0">
        <w:rPr>
          <w:noProof/>
          <w:sz w:val="20"/>
          <w:szCs w:val="20"/>
        </w:rPr>
        <w:t>Marikyan et al</w:t>
      </w:r>
      <w:r w:rsidRPr="002C51A0">
        <w:rPr>
          <w:iCs/>
          <w:noProof/>
          <w:sz w:val="20"/>
          <w:szCs w:val="20"/>
        </w:rPr>
        <w:t>.,</w:t>
      </w:r>
      <w:r w:rsidRPr="002C51A0">
        <w:rPr>
          <w:noProof/>
          <w:sz w:val="20"/>
          <w:szCs w:val="20"/>
        </w:rPr>
        <w:t xml:space="preserve"> 2019, Gunden et al., 2020, and </w:t>
      </w:r>
      <w:proofErr w:type="spellStart"/>
      <w:r w:rsidRPr="002C51A0">
        <w:rPr>
          <w:bCs/>
          <w:sz w:val="20"/>
          <w:szCs w:val="20"/>
          <w:shd w:val="clear" w:color="auto" w:fill="FFFFFF"/>
        </w:rPr>
        <w:t>Bernheim</w:t>
      </w:r>
      <w:proofErr w:type="spellEnd"/>
      <w:r w:rsidRPr="002C51A0">
        <w:rPr>
          <w:bCs/>
          <w:sz w:val="20"/>
          <w:szCs w:val="20"/>
          <w:shd w:val="clear" w:color="auto" w:fill="FFFFFF"/>
        </w:rPr>
        <w:t xml:space="preserve"> et al., 2022)</w:t>
      </w:r>
      <w:r w:rsidRPr="002C51A0">
        <w:rPr>
          <w:sz w:val="20"/>
          <w:szCs w:val="20"/>
          <w:shd w:val="clear" w:color="auto" w:fill="FFFFFF"/>
        </w:rPr>
        <w:t>. </w:t>
      </w:r>
    </w:p>
    <w:bookmarkEnd w:id="7"/>
  </w:footnote>
  <w:footnote w:id="4">
    <w:p w14:paraId="4389A6AC" w14:textId="13157797" w:rsidR="0073414C" w:rsidRPr="004F5F68" w:rsidRDefault="0073414C" w:rsidP="0073414C">
      <w:pPr>
        <w:pStyle w:val="FootnoteText"/>
        <w:spacing w:after="80"/>
      </w:pPr>
      <w:r w:rsidRPr="004F5F68">
        <w:rPr>
          <w:rStyle w:val="FootnoteReference"/>
        </w:rPr>
        <w:footnoteRef/>
      </w:r>
      <w:r w:rsidRPr="004F5F68">
        <w:t xml:space="preserve"> Employment studies generally note that individuals are likely to stay in the same general profession even if they cha</w:t>
      </w:r>
      <w:r w:rsidRPr="004724DF">
        <w:t>nge jobs (see</w:t>
      </w:r>
      <w:r>
        <w:t xml:space="preserve">, for example, </w:t>
      </w:r>
      <w:proofErr w:type="spellStart"/>
      <w:r w:rsidRPr="004724DF">
        <w:t>Gebbels</w:t>
      </w:r>
      <w:proofErr w:type="spellEnd"/>
      <w:r w:rsidRPr="004724DF">
        <w:t xml:space="preserve"> et al., 20</w:t>
      </w:r>
      <w:r>
        <w:t>20, Bauer et al</w:t>
      </w:r>
      <w:r w:rsidRPr="001E44AA">
        <w:t xml:space="preserve">., 2020, </w:t>
      </w:r>
      <w:proofErr w:type="spellStart"/>
      <w:r w:rsidRPr="001E44AA">
        <w:t>Dauth</w:t>
      </w:r>
      <w:proofErr w:type="spellEnd"/>
      <w:r w:rsidRPr="001E44AA">
        <w:t xml:space="preserve"> et al., 2017).</w:t>
      </w:r>
      <w:r w:rsidRPr="004724DF">
        <w:t xml:space="preserve"> As discussed</w:t>
      </w:r>
      <w:r w:rsidRPr="004F5F68">
        <w:t xml:space="preserve"> earlier, these current profession-related characteristics serve the purpose of being a proxy for the level of telework opportunity likely to be available to the employee’s job, and that may influence the future desired WPL state. While there is potentially more fluidity in part-time versus full-time decisions and the physical work office location over time, we implicitly assume that these characteristics (along with the current home location, home tenure, and presence </w:t>
      </w:r>
      <w:r w:rsidRPr="00661F51">
        <w:t xml:space="preserve">study/office at home) </w:t>
      </w:r>
      <w:r w:rsidRPr="004F5F68">
        <w:t xml:space="preserve">will remain relatively unchanged in the not-too-distant future (because these are not used as separate attributes in the SP experiment, but are derived from the current home/work information provided by the respondent). </w:t>
      </w:r>
      <w:bookmarkStart w:id="8" w:name="_Hlk125852323"/>
      <w:r>
        <w:t xml:space="preserve">In this regard, while the period of the great resignation started in 2020 and is far from over, it appears to have peaked in April 2021 (Verma and Banerjee, 2022). In 2022 and beyond, a period of the “great resignation </w:t>
      </w:r>
      <w:proofErr w:type="spellStart"/>
      <w:r>
        <w:t>u-turn</w:t>
      </w:r>
      <w:proofErr w:type="spellEnd"/>
      <w:r>
        <w:t xml:space="preserve">” or “the great regret of the great resignation” or “the boomerang employee” (Marks, 2022, </w:t>
      </w:r>
      <w:proofErr w:type="spellStart"/>
      <w:r>
        <w:t>Stillman</w:t>
      </w:r>
      <w:proofErr w:type="spellEnd"/>
      <w:r>
        <w:t xml:space="preserve">, 2022, Davidson, 2022, Upadhyay, 2022, Tong, 2022) has also come upon us, wherein many employees are rejoining the same company (and the same sector) from which they earlier resigned. Of course, we also admit that there continues to be uncertainty in these work temporal trends post-COVID, an issue that calls for some caution in the interpretations and insights from the current study and other earlier related post-COVID studies discussed in Sections 2.2 and 2.3. </w:t>
      </w:r>
      <w:r w:rsidRPr="004F5F68">
        <w:t>However, as we will note soon, we do use commute time itself as an attribute in the SP experiment, to engender more variation (due to varying traffic congestion levels) in this attribute as we study the effect of the attribute on desired future WPL state. Similarly, we also use work time flexibility as an SP experiment attribute</w:t>
      </w:r>
      <w:r>
        <w:t>, allowing some work characteristics to be specified into the future rather than being held to the current state</w:t>
      </w:r>
      <w:r w:rsidRPr="004F5F68">
        <w:t>.</w:t>
      </w:r>
    </w:p>
    <w:bookmarkEnd w:id="8"/>
  </w:footnote>
  <w:footnote w:id="5">
    <w:p w14:paraId="107BE0AD" w14:textId="5FFBEF16" w:rsidR="0073414C" w:rsidRDefault="0073414C">
      <w:pPr>
        <w:pStyle w:val="FootnoteText"/>
      </w:pPr>
      <w:r>
        <w:rPr>
          <w:rStyle w:val="FootnoteReference"/>
        </w:rPr>
        <w:footnoteRef/>
      </w:r>
      <w:r>
        <w:t xml:space="preserve"> Respondents were reminded multiple times throughout the survey that an in-person work office includes: their company’s office or worksite, their school’s building or campus, or a client’s site. The third workplace was also repeatedly defined as </w:t>
      </w:r>
      <w:r w:rsidRPr="00577594">
        <w:t xml:space="preserve">locations </w:t>
      </w:r>
      <w:r>
        <w:t>such as</w:t>
      </w:r>
      <w:r w:rsidRPr="00577594">
        <w:t xml:space="preserve"> a coffee shop, a designated co-working space, a hotel, or a restaurant, but does not include working from a client's site, which would instead be categorized as </w:t>
      </w:r>
      <w:r>
        <w:t>an</w:t>
      </w:r>
      <w:r w:rsidRPr="00577594">
        <w:t xml:space="preserve"> in-person workplace.</w:t>
      </w:r>
    </w:p>
  </w:footnote>
  <w:footnote w:id="6">
    <w:p w14:paraId="0CF277C2" w14:textId="4DC253C4" w:rsidR="0073414C" w:rsidRPr="00C03633" w:rsidRDefault="0073414C" w:rsidP="007D3D74">
      <w:pPr>
        <w:pStyle w:val="FootnoteText"/>
      </w:pPr>
      <w:r w:rsidRPr="00C03633">
        <w:rPr>
          <w:rStyle w:val="FootnoteReference"/>
        </w:rPr>
        <w:footnoteRef/>
      </w:r>
      <w:r w:rsidRPr="00C03633">
        <w:t xml:space="preserve"> </w:t>
      </w:r>
      <w:r>
        <w:t>T</w:t>
      </w:r>
      <w:r w:rsidRPr="00C03633">
        <w:t xml:space="preserve">he “continuous” quantity used </w:t>
      </w:r>
      <w:r>
        <w:t xml:space="preserve">in our model </w:t>
      </w:r>
      <w:r w:rsidRPr="00C03633">
        <w:t>is actually a count</w:t>
      </w:r>
      <w:r>
        <w:t xml:space="preserve"> variable</w:t>
      </w:r>
      <w:r w:rsidRPr="00C03633">
        <w:t>, as opposed</w:t>
      </w:r>
      <w:r>
        <w:t xml:space="preserve"> to a truly continuous </w:t>
      </w:r>
      <w:r w:rsidRPr="00C03633">
        <w:t>measure as required by the</w:t>
      </w:r>
      <w:r>
        <w:t xml:space="preserve"> multiple discrete-continuous (MDC) </w:t>
      </w:r>
      <w:r w:rsidRPr="00C03633">
        <w:t>model</w:t>
      </w:r>
      <w:r>
        <w:t xml:space="preserve"> (see Section 3.3)</w:t>
      </w:r>
      <w:r w:rsidRPr="00C03633">
        <w:t xml:space="preserve">. </w:t>
      </w:r>
      <w:r>
        <w:t xml:space="preserve">But, as demonstrated by </w:t>
      </w:r>
      <w:r w:rsidRPr="00C03633">
        <w:t xml:space="preserve">von </w:t>
      </w:r>
      <w:proofErr w:type="spellStart"/>
      <w:r w:rsidRPr="00C03633">
        <w:t>Haefen</w:t>
      </w:r>
      <w:proofErr w:type="spellEnd"/>
      <w:r w:rsidRPr="00C03633">
        <w:t xml:space="preserve"> and Phaneuf</w:t>
      </w:r>
      <w:r>
        <w:t xml:space="preserve"> (2003), </w:t>
      </w:r>
      <w:r w:rsidRPr="00C03633">
        <w:t>treating the integer count</w:t>
      </w:r>
      <w:r>
        <w:t xml:space="preserve"> of work days as a continuous variable</w:t>
      </w:r>
      <w:r w:rsidRPr="00C03633">
        <w:t xml:space="preserve"> (within an MDC framework) do</w:t>
      </w:r>
      <w:r>
        <w:t xml:space="preserve">es not lead to substantial bias in the results or the behavioral implications. Indeed, this result has been the basis for the use of the MDC model in </w:t>
      </w:r>
      <w:r w:rsidRPr="00F41191">
        <w:t xml:space="preserve">the transportation, tourism, and recreational fields that </w:t>
      </w:r>
      <w:r>
        <w:t xml:space="preserve">analyze recreational/leisure trips to multiple destinations (where trips represent counts). </w:t>
      </w:r>
      <w:r w:rsidRPr="004035E1">
        <w:t xml:space="preserve">Examples of such studies include </w:t>
      </w:r>
      <w:r w:rsidRPr="00F41191">
        <w:t>Van Nostrand et al. (2013)</w:t>
      </w:r>
      <w:r>
        <w:t xml:space="preserve"> </w:t>
      </w:r>
      <w:r w:rsidRPr="00F41191">
        <w:t xml:space="preserve">and </w:t>
      </w:r>
      <w:proofErr w:type="spellStart"/>
      <w:r w:rsidRPr="00F41191">
        <w:t>Kuriyama</w:t>
      </w:r>
      <w:proofErr w:type="spellEnd"/>
      <w:r w:rsidRPr="00F41191">
        <w:t xml:space="preserve"> et al. (2020). </w:t>
      </w:r>
    </w:p>
  </w:footnote>
  <w:footnote w:id="7">
    <w:p w14:paraId="5A7F0687" w14:textId="2128B304" w:rsidR="0073414C" w:rsidRPr="00B40ED1" w:rsidRDefault="0073414C" w:rsidP="00B40ED1">
      <w:pPr>
        <w:shd w:val="clear" w:color="auto" w:fill="FFFFFF"/>
        <w:spacing w:after="0" w:line="240" w:lineRule="auto"/>
        <w:rPr>
          <w:rFonts w:eastAsia="Times New Roman"/>
          <w:sz w:val="20"/>
          <w:szCs w:val="20"/>
        </w:rPr>
      </w:pPr>
      <w:r w:rsidRPr="00B40ED1">
        <w:rPr>
          <w:rStyle w:val="FootnoteReference"/>
          <w:sz w:val="20"/>
        </w:rPr>
        <w:footnoteRef/>
      </w:r>
      <w:r>
        <w:rPr>
          <w:sz w:val="20"/>
          <w:szCs w:val="20"/>
        </w:rPr>
        <w:t xml:space="preserve"> </w:t>
      </w:r>
      <w:r w:rsidRPr="00661F51">
        <w:rPr>
          <w:sz w:val="20"/>
          <w:szCs w:val="20"/>
        </w:rPr>
        <w:t xml:space="preserve">This density characterization was obtained by mapping the work zip codes to census block groups (CBGs), appending </w:t>
      </w:r>
      <w:r>
        <w:rPr>
          <w:sz w:val="20"/>
          <w:szCs w:val="20"/>
        </w:rPr>
        <w:t xml:space="preserve">CBG </w:t>
      </w:r>
      <w:r w:rsidRPr="00661F51">
        <w:rPr>
          <w:sz w:val="20"/>
          <w:szCs w:val="20"/>
        </w:rPr>
        <w:t xml:space="preserve">employment density (the total number of jobs per unprotected acre) based on the U.S. EPA Smart Location Database (see Ramsey and Bell, 2014), and then classifying, based again on Ramsey and Bell, CBGs with an employment </w:t>
      </w:r>
      <w:r>
        <w:rPr>
          <w:sz w:val="20"/>
          <w:szCs w:val="20"/>
        </w:rPr>
        <w:t xml:space="preserve">density </w:t>
      </w:r>
      <w:r w:rsidRPr="00661F51">
        <w:rPr>
          <w:sz w:val="20"/>
          <w:szCs w:val="20"/>
        </w:rPr>
        <w:t xml:space="preserve">less </w:t>
      </w:r>
      <w:r w:rsidRPr="00661F51">
        <w:rPr>
          <w:rFonts w:eastAsia="Times New Roman"/>
          <w:sz w:val="20"/>
          <w:szCs w:val="20"/>
        </w:rPr>
        <w:t>than 2.2</w:t>
      </w:r>
      <w:r>
        <w:rPr>
          <w:rFonts w:eastAsia="Times New Roman"/>
          <w:sz w:val="20"/>
          <w:szCs w:val="20"/>
        </w:rPr>
        <w:t xml:space="preserve"> </w:t>
      </w:r>
      <w:r w:rsidRPr="00661F51">
        <w:rPr>
          <w:rFonts w:eastAsia="Times New Roman"/>
          <w:sz w:val="20"/>
          <w:szCs w:val="20"/>
        </w:rPr>
        <w:t>as “low” employment density, and those with employment densities higher than 5.2</w:t>
      </w:r>
      <w:r>
        <w:rPr>
          <w:rFonts w:eastAsia="Times New Roman"/>
          <w:sz w:val="20"/>
          <w:szCs w:val="20"/>
        </w:rPr>
        <w:t xml:space="preserve"> </w:t>
      </w:r>
      <w:r w:rsidRPr="00661F51">
        <w:rPr>
          <w:rFonts w:eastAsia="Times New Roman"/>
          <w:sz w:val="20"/>
          <w:szCs w:val="20"/>
        </w:rPr>
        <w:t>as “high”; all other work locations are classified as “medium” density.</w:t>
      </w:r>
    </w:p>
  </w:footnote>
  <w:footnote w:id="8">
    <w:p w14:paraId="5AE243D1" w14:textId="5E1BC4E2" w:rsidR="0073414C" w:rsidRDefault="0073414C">
      <w:pPr>
        <w:pStyle w:val="FootnoteText"/>
      </w:pPr>
      <w:r>
        <w:rPr>
          <w:rStyle w:val="FootnoteReference"/>
        </w:rPr>
        <w:footnoteRef/>
      </w:r>
      <w:r>
        <w:t xml:space="preserve"> An interesting note here. A majority of the individuals, 990 out of 1136 (87%) to be precise, indicated that they worked full-time (30 or more hours per week) and worked 20 days or more per month. This would be a rather traditional work arrangement. However, of the 74 individuals who worked part-time (&lt;30 hours per week), 28 (38%) indicated that they worked 20 days or more per month. Similarly, 72 individuals who indicated they work full-time also reported working less than 20 days per month. These observations suggest that full-time versus part-time work refers more to the intensity of work hours during the days worked, and is not necessarily perfectly correlated with the number of days of work. This is another reason that future studies on work patterns must focus on longer-term periods such as a month rather than on a single day or even a single week – a part-time worker may be working all working days of the week, though less than the traditional 8 hours per day. And a full-time worker may not be working all regular weekdays of the month, but working full days on the days worked. </w:t>
      </w:r>
    </w:p>
  </w:footnote>
  <w:footnote w:id="9">
    <w:p w14:paraId="5473DF89" w14:textId="1203C748" w:rsidR="0073414C" w:rsidRDefault="0073414C" w:rsidP="00913BCC">
      <w:pPr>
        <w:pStyle w:val="FootnoteText"/>
      </w:pPr>
      <w:r>
        <w:rPr>
          <w:rStyle w:val="FootnoteReference"/>
        </w:rPr>
        <w:footnoteRef/>
      </w:r>
      <w:r>
        <w:t xml:space="preserve"> An expanded set of ATEs corresponding to six gendered lifecycle categories and for full-time (=22 work days a month) as well as part-time (=11 work days a month) is available in an online supplement.</w:t>
      </w:r>
    </w:p>
  </w:footnote>
  <w:footnote w:id="10">
    <w:p w14:paraId="29C03692" w14:textId="0F8D14CB" w:rsidR="0073414C" w:rsidRDefault="0073414C" w:rsidP="00ED063B">
      <w:pPr>
        <w:pStyle w:val="FootnoteText"/>
      </w:pPr>
      <w:r>
        <w:rPr>
          <w:rStyle w:val="FootnoteReference"/>
        </w:rPr>
        <w:footnoteRef/>
      </w:r>
      <w:r>
        <w:t xml:space="preserve"> </w:t>
      </w:r>
      <w:bookmarkStart w:id="64" w:name="_Hlk118987296"/>
      <w:bookmarkStart w:id="65" w:name="_Hlk125937062"/>
      <w:r>
        <w:t>Percentages across rows in this column sum to more than 100% because of hybrid WPL configurations.</w:t>
      </w:r>
      <w:bookmarkEnd w:id="64"/>
    </w:p>
    <w:bookmarkEnd w:id="65"/>
  </w:footnote>
  <w:footnote w:id="11">
    <w:p w14:paraId="4DFA483E" w14:textId="71767CBE" w:rsidR="0073414C" w:rsidRDefault="0073414C" w:rsidP="00ED063B">
      <w:pPr>
        <w:pStyle w:val="FootnoteText"/>
      </w:pPr>
      <w:r>
        <w:rPr>
          <w:rStyle w:val="FootnoteReference"/>
        </w:rPr>
        <w:footnoteRef/>
      </w:r>
      <w:r>
        <w:t xml:space="preserve"> </w:t>
      </w:r>
      <w:bookmarkStart w:id="66" w:name="_Hlk118987306"/>
      <w:r>
        <w:t>Percentages sum to 100% for each row across the four sub-columns below, since the percentages are with respect to the total number of choice occasions with positive participation in each WPL (the second column in the table).</w:t>
      </w:r>
      <w:bookmarkEnd w:id="66"/>
    </w:p>
  </w:footnote>
  <w:footnote w:id="12">
    <w:p w14:paraId="2EE12DFF" w14:textId="251365CC" w:rsidR="0073414C" w:rsidRDefault="0073414C">
      <w:pPr>
        <w:pStyle w:val="FootnoteText"/>
      </w:pPr>
      <w:r>
        <w:rPr>
          <w:rStyle w:val="FootnoteReference"/>
        </w:rPr>
        <w:footnoteRef/>
      </w:r>
      <w:r>
        <w:t xml:space="preserve"> T</w:t>
      </w:r>
      <w:r w:rsidRPr="009D2FCD">
        <w:t>he t-stats are based on robust standard errors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A0BF6"/>
    <w:multiLevelType w:val="multilevel"/>
    <w:tmpl w:val="0409001D"/>
    <w:numStyleLink w:val="Singlepunch"/>
  </w:abstractNum>
  <w:abstractNum w:abstractNumId="1" w15:restartNumberingAfterBreak="0">
    <w:nsid w:val="11DF51A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7F6DD2"/>
    <w:multiLevelType w:val="hybridMultilevel"/>
    <w:tmpl w:val="AD8EB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47500E"/>
    <w:multiLevelType w:val="hybridMultilevel"/>
    <w:tmpl w:val="F642EB7A"/>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4" w15:restartNumberingAfterBreak="0">
    <w:nsid w:val="3BEE575E"/>
    <w:multiLevelType w:val="hybridMultilevel"/>
    <w:tmpl w:val="C52E1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1E2998"/>
    <w:multiLevelType w:val="multilevel"/>
    <w:tmpl w:val="2D5A43BC"/>
    <w:lvl w:ilvl="0">
      <w:start w:val="1"/>
      <w:numFmt w:val="decimal"/>
      <w:lvlText w:val="%1."/>
      <w:lvlJc w:val="left"/>
      <w:pPr>
        <w:ind w:left="360" w:hanging="360"/>
      </w:pPr>
      <w:rPr>
        <w:b/>
      </w:rPr>
    </w:lvl>
    <w:lvl w:ilvl="1">
      <w:start w:val="1"/>
      <w:numFmt w:val="decimal"/>
      <w:lvlText w:val="%1.%2."/>
      <w:lvlJc w:val="left"/>
      <w:pPr>
        <w:ind w:left="792" w:hanging="432"/>
      </w:pPr>
      <w:rPr>
        <w:rFonts w:hint="default"/>
        <w:b/>
        <w:i w:val="0"/>
        <w:u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D492AE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26066CA"/>
    <w:multiLevelType w:val="hybridMultilevel"/>
    <w:tmpl w:val="43EC34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904764"/>
    <w:multiLevelType w:val="multilevel"/>
    <w:tmpl w:val="36B659C4"/>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59182915"/>
    <w:multiLevelType w:val="hybridMultilevel"/>
    <w:tmpl w:val="16B0C3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2A552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1680DA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5D72665"/>
    <w:multiLevelType w:val="hybridMultilevel"/>
    <w:tmpl w:val="7B2EFB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14A01BA"/>
    <w:multiLevelType w:val="hybridMultilevel"/>
    <w:tmpl w:val="E140F9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2DF2B75"/>
    <w:multiLevelType w:val="hybridMultilevel"/>
    <w:tmpl w:val="C25E4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733F41"/>
    <w:multiLevelType w:val="hybridMultilevel"/>
    <w:tmpl w:val="DD20A5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DF44D5A"/>
    <w:multiLevelType w:val="hybridMultilevel"/>
    <w:tmpl w:val="43EC34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12"/>
  </w:num>
  <w:num w:numId="4">
    <w:abstractNumId w:val="1"/>
  </w:num>
  <w:num w:numId="5">
    <w:abstractNumId w:val="15"/>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3"/>
  </w:num>
  <w:num w:numId="9">
    <w:abstractNumId w:val="14"/>
  </w:num>
  <w:num w:numId="10">
    <w:abstractNumId w:val="11"/>
  </w:num>
  <w:num w:numId="11">
    <w:abstractNumId w:val="2"/>
  </w:num>
  <w:num w:numId="12">
    <w:abstractNumId w:val="6"/>
  </w:num>
  <w:num w:numId="13">
    <w:abstractNumId w:val="0"/>
  </w:num>
  <w:num w:numId="14">
    <w:abstractNumId w:val="8"/>
  </w:num>
  <w:num w:numId="15">
    <w:abstractNumId w:val="17"/>
  </w:num>
  <w:num w:numId="16">
    <w:abstractNumId w:val="10"/>
  </w:num>
  <w:num w:numId="17">
    <w:abstractNumId w:val="4"/>
  </w:num>
  <w:num w:numId="18">
    <w:abstractNumId w:val="16"/>
  </w:num>
  <w:num w:numId="19">
    <w:abstractNumId w:val="9"/>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2B8"/>
    <w:rsid w:val="00000D08"/>
    <w:rsid w:val="000045E9"/>
    <w:rsid w:val="0000636D"/>
    <w:rsid w:val="00007012"/>
    <w:rsid w:val="00007EFB"/>
    <w:rsid w:val="00013A71"/>
    <w:rsid w:val="00015DB8"/>
    <w:rsid w:val="00017861"/>
    <w:rsid w:val="000212C1"/>
    <w:rsid w:val="00027E41"/>
    <w:rsid w:val="00036DC4"/>
    <w:rsid w:val="00045CC6"/>
    <w:rsid w:val="0004665F"/>
    <w:rsid w:val="00047CC3"/>
    <w:rsid w:val="00050BEF"/>
    <w:rsid w:val="00057827"/>
    <w:rsid w:val="00057C23"/>
    <w:rsid w:val="00060CB6"/>
    <w:rsid w:val="00062232"/>
    <w:rsid w:val="00065C9F"/>
    <w:rsid w:val="00065DDF"/>
    <w:rsid w:val="00072FE9"/>
    <w:rsid w:val="0007415D"/>
    <w:rsid w:val="000741DC"/>
    <w:rsid w:val="000835E8"/>
    <w:rsid w:val="00083D46"/>
    <w:rsid w:val="00084489"/>
    <w:rsid w:val="00092EB7"/>
    <w:rsid w:val="000A11D4"/>
    <w:rsid w:val="000A3498"/>
    <w:rsid w:val="000A5BC2"/>
    <w:rsid w:val="000A6EA2"/>
    <w:rsid w:val="000A7D7E"/>
    <w:rsid w:val="000B100A"/>
    <w:rsid w:val="000B179C"/>
    <w:rsid w:val="000B411A"/>
    <w:rsid w:val="000B44CA"/>
    <w:rsid w:val="000C1E44"/>
    <w:rsid w:val="000C2636"/>
    <w:rsid w:val="000C2815"/>
    <w:rsid w:val="000C4B81"/>
    <w:rsid w:val="000C5297"/>
    <w:rsid w:val="000C5516"/>
    <w:rsid w:val="000C7E60"/>
    <w:rsid w:val="000D00CA"/>
    <w:rsid w:val="000D1E20"/>
    <w:rsid w:val="000D74C1"/>
    <w:rsid w:val="000E0786"/>
    <w:rsid w:val="000E141D"/>
    <w:rsid w:val="000E41FA"/>
    <w:rsid w:val="000E593C"/>
    <w:rsid w:val="000E5FFE"/>
    <w:rsid w:val="000F7B65"/>
    <w:rsid w:val="001033CB"/>
    <w:rsid w:val="0010416B"/>
    <w:rsid w:val="00104578"/>
    <w:rsid w:val="00111736"/>
    <w:rsid w:val="00122011"/>
    <w:rsid w:val="001230D5"/>
    <w:rsid w:val="0012399E"/>
    <w:rsid w:val="0013044B"/>
    <w:rsid w:val="00132AE5"/>
    <w:rsid w:val="00136FDF"/>
    <w:rsid w:val="00142334"/>
    <w:rsid w:val="00143172"/>
    <w:rsid w:val="00144286"/>
    <w:rsid w:val="00144F11"/>
    <w:rsid w:val="00146C4B"/>
    <w:rsid w:val="00150736"/>
    <w:rsid w:val="00152376"/>
    <w:rsid w:val="001530C8"/>
    <w:rsid w:val="001531B0"/>
    <w:rsid w:val="00154728"/>
    <w:rsid w:val="001656CE"/>
    <w:rsid w:val="00166ED9"/>
    <w:rsid w:val="00172A88"/>
    <w:rsid w:val="00173E47"/>
    <w:rsid w:val="00175927"/>
    <w:rsid w:val="00181293"/>
    <w:rsid w:val="001836AB"/>
    <w:rsid w:val="0018651F"/>
    <w:rsid w:val="00186FE5"/>
    <w:rsid w:val="00187951"/>
    <w:rsid w:val="001942B8"/>
    <w:rsid w:val="001945F5"/>
    <w:rsid w:val="00194A54"/>
    <w:rsid w:val="00194D94"/>
    <w:rsid w:val="001A0A2B"/>
    <w:rsid w:val="001A1B9F"/>
    <w:rsid w:val="001A345C"/>
    <w:rsid w:val="001A51D4"/>
    <w:rsid w:val="001B16FC"/>
    <w:rsid w:val="001B3839"/>
    <w:rsid w:val="001B39D4"/>
    <w:rsid w:val="001C0597"/>
    <w:rsid w:val="001C31FD"/>
    <w:rsid w:val="001C4512"/>
    <w:rsid w:val="001C5071"/>
    <w:rsid w:val="001C5605"/>
    <w:rsid w:val="001C69D0"/>
    <w:rsid w:val="001D2DDE"/>
    <w:rsid w:val="001D5395"/>
    <w:rsid w:val="001D5E54"/>
    <w:rsid w:val="001D756D"/>
    <w:rsid w:val="001E1B9E"/>
    <w:rsid w:val="001E1D16"/>
    <w:rsid w:val="001E44AA"/>
    <w:rsid w:val="001E4945"/>
    <w:rsid w:val="001E5562"/>
    <w:rsid w:val="001E6C46"/>
    <w:rsid w:val="001E7D10"/>
    <w:rsid w:val="001F05C8"/>
    <w:rsid w:val="001F1D28"/>
    <w:rsid w:val="001F1F2F"/>
    <w:rsid w:val="001F244B"/>
    <w:rsid w:val="001F2913"/>
    <w:rsid w:val="001F6327"/>
    <w:rsid w:val="001F7B74"/>
    <w:rsid w:val="0020169E"/>
    <w:rsid w:val="00201C87"/>
    <w:rsid w:val="00204BF1"/>
    <w:rsid w:val="002055FD"/>
    <w:rsid w:val="00207843"/>
    <w:rsid w:val="002104E5"/>
    <w:rsid w:val="00212581"/>
    <w:rsid w:val="00213D59"/>
    <w:rsid w:val="0021723C"/>
    <w:rsid w:val="00221DF1"/>
    <w:rsid w:val="00222664"/>
    <w:rsid w:val="00227EA0"/>
    <w:rsid w:val="0023041A"/>
    <w:rsid w:val="0023161C"/>
    <w:rsid w:val="00240F69"/>
    <w:rsid w:val="0024210D"/>
    <w:rsid w:val="00246759"/>
    <w:rsid w:val="002564CF"/>
    <w:rsid w:val="00256D14"/>
    <w:rsid w:val="002606A5"/>
    <w:rsid w:val="00267200"/>
    <w:rsid w:val="00267339"/>
    <w:rsid w:val="00267657"/>
    <w:rsid w:val="002735D2"/>
    <w:rsid w:val="00281A5B"/>
    <w:rsid w:val="00282914"/>
    <w:rsid w:val="002839D9"/>
    <w:rsid w:val="00283B25"/>
    <w:rsid w:val="002870AF"/>
    <w:rsid w:val="0029119D"/>
    <w:rsid w:val="00292FE2"/>
    <w:rsid w:val="00294BF5"/>
    <w:rsid w:val="002966C0"/>
    <w:rsid w:val="00296C95"/>
    <w:rsid w:val="00296DE3"/>
    <w:rsid w:val="00297182"/>
    <w:rsid w:val="00297D8A"/>
    <w:rsid w:val="002A7550"/>
    <w:rsid w:val="002B0978"/>
    <w:rsid w:val="002B35D7"/>
    <w:rsid w:val="002B5D52"/>
    <w:rsid w:val="002B68D8"/>
    <w:rsid w:val="002B6E04"/>
    <w:rsid w:val="002C0770"/>
    <w:rsid w:val="002C1411"/>
    <w:rsid w:val="002C25F5"/>
    <w:rsid w:val="002C51A0"/>
    <w:rsid w:val="002C7091"/>
    <w:rsid w:val="002D27F0"/>
    <w:rsid w:val="002D5B73"/>
    <w:rsid w:val="002E06E7"/>
    <w:rsid w:val="002E5921"/>
    <w:rsid w:val="002E69A6"/>
    <w:rsid w:val="002F0B18"/>
    <w:rsid w:val="002F204C"/>
    <w:rsid w:val="002F2E54"/>
    <w:rsid w:val="002F5800"/>
    <w:rsid w:val="002F6B91"/>
    <w:rsid w:val="002F776A"/>
    <w:rsid w:val="002F79B4"/>
    <w:rsid w:val="00310AE7"/>
    <w:rsid w:val="00312715"/>
    <w:rsid w:val="00312720"/>
    <w:rsid w:val="00316206"/>
    <w:rsid w:val="00320880"/>
    <w:rsid w:val="00320B55"/>
    <w:rsid w:val="00325F6D"/>
    <w:rsid w:val="00334A0C"/>
    <w:rsid w:val="003360B3"/>
    <w:rsid w:val="003406D6"/>
    <w:rsid w:val="00342AC1"/>
    <w:rsid w:val="003459BC"/>
    <w:rsid w:val="003464A4"/>
    <w:rsid w:val="003504DA"/>
    <w:rsid w:val="0035147E"/>
    <w:rsid w:val="00354A2D"/>
    <w:rsid w:val="00360F5D"/>
    <w:rsid w:val="003611CB"/>
    <w:rsid w:val="003673BC"/>
    <w:rsid w:val="0036743C"/>
    <w:rsid w:val="00367B1E"/>
    <w:rsid w:val="00371674"/>
    <w:rsid w:val="003725BA"/>
    <w:rsid w:val="00372B79"/>
    <w:rsid w:val="003733EE"/>
    <w:rsid w:val="00373F76"/>
    <w:rsid w:val="003749F9"/>
    <w:rsid w:val="00376906"/>
    <w:rsid w:val="00380EC9"/>
    <w:rsid w:val="00381D18"/>
    <w:rsid w:val="0038238B"/>
    <w:rsid w:val="003853CB"/>
    <w:rsid w:val="00392EAD"/>
    <w:rsid w:val="00393E22"/>
    <w:rsid w:val="00395227"/>
    <w:rsid w:val="003A237E"/>
    <w:rsid w:val="003A57CD"/>
    <w:rsid w:val="003B1071"/>
    <w:rsid w:val="003B15D0"/>
    <w:rsid w:val="003B1B91"/>
    <w:rsid w:val="003B2D87"/>
    <w:rsid w:val="003B33DD"/>
    <w:rsid w:val="003B4399"/>
    <w:rsid w:val="003B770B"/>
    <w:rsid w:val="003C006E"/>
    <w:rsid w:val="003C0A9F"/>
    <w:rsid w:val="003C0E29"/>
    <w:rsid w:val="003C1494"/>
    <w:rsid w:val="003C3459"/>
    <w:rsid w:val="003D0366"/>
    <w:rsid w:val="003D0905"/>
    <w:rsid w:val="003D0BD2"/>
    <w:rsid w:val="003D184D"/>
    <w:rsid w:val="003D2BAF"/>
    <w:rsid w:val="003D5E60"/>
    <w:rsid w:val="003D6D18"/>
    <w:rsid w:val="003D76E8"/>
    <w:rsid w:val="003E1264"/>
    <w:rsid w:val="003E64BC"/>
    <w:rsid w:val="003F2062"/>
    <w:rsid w:val="003F53C3"/>
    <w:rsid w:val="003F6A41"/>
    <w:rsid w:val="003F73EE"/>
    <w:rsid w:val="004042D8"/>
    <w:rsid w:val="0040621C"/>
    <w:rsid w:val="00411137"/>
    <w:rsid w:val="00412095"/>
    <w:rsid w:val="00417A8D"/>
    <w:rsid w:val="00420025"/>
    <w:rsid w:val="00420CC7"/>
    <w:rsid w:val="004236A8"/>
    <w:rsid w:val="00424F6C"/>
    <w:rsid w:val="00426C7F"/>
    <w:rsid w:val="004274B5"/>
    <w:rsid w:val="004321E2"/>
    <w:rsid w:val="00432BA6"/>
    <w:rsid w:val="00433D6A"/>
    <w:rsid w:val="0043776B"/>
    <w:rsid w:val="00441F8D"/>
    <w:rsid w:val="004426D3"/>
    <w:rsid w:val="00442D17"/>
    <w:rsid w:val="00443B90"/>
    <w:rsid w:val="00443F1B"/>
    <w:rsid w:val="0044718B"/>
    <w:rsid w:val="00451ACF"/>
    <w:rsid w:val="0045310A"/>
    <w:rsid w:val="00453E77"/>
    <w:rsid w:val="00460AB6"/>
    <w:rsid w:val="00461329"/>
    <w:rsid w:val="004613B6"/>
    <w:rsid w:val="0046327D"/>
    <w:rsid w:val="004657D0"/>
    <w:rsid w:val="0046654E"/>
    <w:rsid w:val="00466924"/>
    <w:rsid w:val="00471A22"/>
    <w:rsid w:val="004724DF"/>
    <w:rsid w:val="004767BE"/>
    <w:rsid w:val="00486D61"/>
    <w:rsid w:val="00487798"/>
    <w:rsid w:val="00493375"/>
    <w:rsid w:val="00494999"/>
    <w:rsid w:val="00495292"/>
    <w:rsid w:val="004A1D1B"/>
    <w:rsid w:val="004B0472"/>
    <w:rsid w:val="004B5C25"/>
    <w:rsid w:val="004C0291"/>
    <w:rsid w:val="004C2DB7"/>
    <w:rsid w:val="004C5332"/>
    <w:rsid w:val="004C5DE6"/>
    <w:rsid w:val="004C78B5"/>
    <w:rsid w:val="004C78B9"/>
    <w:rsid w:val="004D00EC"/>
    <w:rsid w:val="004D0A65"/>
    <w:rsid w:val="004D0B3C"/>
    <w:rsid w:val="004D2F86"/>
    <w:rsid w:val="004D51A8"/>
    <w:rsid w:val="004D6477"/>
    <w:rsid w:val="004D6F71"/>
    <w:rsid w:val="004D7F6A"/>
    <w:rsid w:val="004E02A9"/>
    <w:rsid w:val="004E4303"/>
    <w:rsid w:val="004F4521"/>
    <w:rsid w:val="004F5F68"/>
    <w:rsid w:val="004F6DDC"/>
    <w:rsid w:val="005006CE"/>
    <w:rsid w:val="005011ED"/>
    <w:rsid w:val="005028FD"/>
    <w:rsid w:val="00503CDF"/>
    <w:rsid w:val="0050619F"/>
    <w:rsid w:val="00506AF6"/>
    <w:rsid w:val="00507DBB"/>
    <w:rsid w:val="00510232"/>
    <w:rsid w:val="005106D7"/>
    <w:rsid w:val="00510FD9"/>
    <w:rsid w:val="00512E77"/>
    <w:rsid w:val="0051347B"/>
    <w:rsid w:val="005159E1"/>
    <w:rsid w:val="0051625A"/>
    <w:rsid w:val="00517752"/>
    <w:rsid w:val="005220E9"/>
    <w:rsid w:val="00524658"/>
    <w:rsid w:val="00524D46"/>
    <w:rsid w:val="0052581B"/>
    <w:rsid w:val="00525BC4"/>
    <w:rsid w:val="00531872"/>
    <w:rsid w:val="00532AEE"/>
    <w:rsid w:val="00532C6B"/>
    <w:rsid w:val="00540A1A"/>
    <w:rsid w:val="00542A13"/>
    <w:rsid w:val="00544ADB"/>
    <w:rsid w:val="00546750"/>
    <w:rsid w:val="00546EB6"/>
    <w:rsid w:val="005476CD"/>
    <w:rsid w:val="00547B54"/>
    <w:rsid w:val="00550A32"/>
    <w:rsid w:val="00550E09"/>
    <w:rsid w:val="00551143"/>
    <w:rsid w:val="00551D7C"/>
    <w:rsid w:val="00551F7E"/>
    <w:rsid w:val="005537F6"/>
    <w:rsid w:val="00570E9B"/>
    <w:rsid w:val="00577518"/>
    <w:rsid w:val="00577594"/>
    <w:rsid w:val="00577D3B"/>
    <w:rsid w:val="005820AF"/>
    <w:rsid w:val="00582885"/>
    <w:rsid w:val="00582F4B"/>
    <w:rsid w:val="005857ED"/>
    <w:rsid w:val="00586673"/>
    <w:rsid w:val="00592596"/>
    <w:rsid w:val="005936E5"/>
    <w:rsid w:val="005943ED"/>
    <w:rsid w:val="00594D1A"/>
    <w:rsid w:val="00595315"/>
    <w:rsid w:val="00596EE0"/>
    <w:rsid w:val="005A09F2"/>
    <w:rsid w:val="005A2878"/>
    <w:rsid w:val="005A470F"/>
    <w:rsid w:val="005A50DB"/>
    <w:rsid w:val="005B3C26"/>
    <w:rsid w:val="005C0838"/>
    <w:rsid w:val="005C0D1A"/>
    <w:rsid w:val="005C295E"/>
    <w:rsid w:val="005C3FD3"/>
    <w:rsid w:val="005C47E4"/>
    <w:rsid w:val="005C78C6"/>
    <w:rsid w:val="005D0E4F"/>
    <w:rsid w:val="005D2A89"/>
    <w:rsid w:val="005D359F"/>
    <w:rsid w:val="005D35C5"/>
    <w:rsid w:val="005D3DDB"/>
    <w:rsid w:val="005D45FD"/>
    <w:rsid w:val="005E116A"/>
    <w:rsid w:val="005E2BFF"/>
    <w:rsid w:val="005F2781"/>
    <w:rsid w:val="005F3416"/>
    <w:rsid w:val="005F41A9"/>
    <w:rsid w:val="005F4532"/>
    <w:rsid w:val="005F4C52"/>
    <w:rsid w:val="005F5477"/>
    <w:rsid w:val="005F6EC3"/>
    <w:rsid w:val="00603598"/>
    <w:rsid w:val="006060B0"/>
    <w:rsid w:val="00606209"/>
    <w:rsid w:val="006062B8"/>
    <w:rsid w:val="0060670A"/>
    <w:rsid w:val="006123FE"/>
    <w:rsid w:val="00615E97"/>
    <w:rsid w:val="00616249"/>
    <w:rsid w:val="00617CA1"/>
    <w:rsid w:val="0062187E"/>
    <w:rsid w:val="00623301"/>
    <w:rsid w:val="00624516"/>
    <w:rsid w:val="00630A3B"/>
    <w:rsid w:val="00632305"/>
    <w:rsid w:val="00633800"/>
    <w:rsid w:val="00637C62"/>
    <w:rsid w:val="006400E8"/>
    <w:rsid w:val="006407F4"/>
    <w:rsid w:val="006409F0"/>
    <w:rsid w:val="00644A51"/>
    <w:rsid w:val="006476E7"/>
    <w:rsid w:val="006533D8"/>
    <w:rsid w:val="00655E0A"/>
    <w:rsid w:val="0065730B"/>
    <w:rsid w:val="00661F51"/>
    <w:rsid w:val="00662E89"/>
    <w:rsid w:val="00667820"/>
    <w:rsid w:val="00671E03"/>
    <w:rsid w:val="006819C3"/>
    <w:rsid w:val="0068338B"/>
    <w:rsid w:val="00687DD3"/>
    <w:rsid w:val="006A3AB7"/>
    <w:rsid w:val="006A54D7"/>
    <w:rsid w:val="006A7DF3"/>
    <w:rsid w:val="006A7F72"/>
    <w:rsid w:val="006B1673"/>
    <w:rsid w:val="006B2353"/>
    <w:rsid w:val="006B515B"/>
    <w:rsid w:val="006C35A7"/>
    <w:rsid w:val="006C3C1A"/>
    <w:rsid w:val="006C41ED"/>
    <w:rsid w:val="006C6216"/>
    <w:rsid w:val="006C74F4"/>
    <w:rsid w:val="006D0F83"/>
    <w:rsid w:val="006D798E"/>
    <w:rsid w:val="006E159E"/>
    <w:rsid w:val="006E38CC"/>
    <w:rsid w:val="006E58F0"/>
    <w:rsid w:val="006E7BFF"/>
    <w:rsid w:val="006F02AC"/>
    <w:rsid w:val="006F14C4"/>
    <w:rsid w:val="006F2089"/>
    <w:rsid w:val="006F5C6B"/>
    <w:rsid w:val="00701C08"/>
    <w:rsid w:val="0070263D"/>
    <w:rsid w:val="007056F0"/>
    <w:rsid w:val="00706F74"/>
    <w:rsid w:val="00707657"/>
    <w:rsid w:val="007119D2"/>
    <w:rsid w:val="00712327"/>
    <w:rsid w:val="00712FB0"/>
    <w:rsid w:val="00720BE1"/>
    <w:rsid w:val="00723DD3"/>
    <w:rsid w:val="00724917"/>
    <w:rsid w:val="00725CC1"/>
    <w:rsid w:val="00725DC2"/>
    <w:rsid w:val="007314D2"/>
    <w:rsid w:val="00731604"/>
    <w:rsid w:val="0073414C"/>
    <w:rsid w:val="00734752"/>
    <w:rsid w:val="00735346"/>
    <w:rsid w:val="0073603D"/>
    <w:rsid w:val="00736E37"/>
    <w:rsid w:val="00736EDE"/>
    <w:rsid w:val="00740334"/>
    <w:rsid w:val="007412CB"/>
    <w:rsid w:val="00743CBE"/>
    <w:rsid w:val="007565C2"/>
    <w:rsid w:val="00756C45"/>
    <w:rsid w:val="00757E6F"/>
    <w:rsid w:val="00762BD4"/>
    <w:rsid w:val="007647A8"/>
    <w:rsid w:val="00770D0B"/>
    <w:rsid w:val="00776CDD"/>
    <w:rsid w:val="00781C8A"/>
    <w:rsid w:val="007856AB"/>
    <w:rsid w:val="00790748"/>
    <w:rsid w:val="00795153"/>
    <w:rsid w:val="007952D3"/>
    <w:rsid w:val="00797F06"/>
    <w:rsid w:val="007A12C4"/>
    <w:rsid w:val="007A47F1"/>
    <w:rsid w:val="007A5D2B"/>
    <w:rsid w:val="007B0FF3"/>
    <w:rsid w:val="007B3621"/>
    <w:rsid w:val="007B444E"/>
    <w:rsid w:val="007C1538"/>
    <w:rsid w:val="007C250A"/>
    <w:rsid w:val="007C3F01"/>
    <w:rsid w:val="007C5495"/>
    <w:rsid w:val="007C5A9E"/>
    <w:rsid w:val="007C5F48"/>
    <w:rsid w:val="007D096A"/>
    <w:rsid w:val="007D3D74"/>
    <w:rsid w:val="007D7BE1"/>
    <w:rsid w:val="007E14DF"/>
    <w:rsid w:val="007E514E"/>
    <w:rsid w:val="007E5F0F"/>
    <w:rsid w:val="007E6974"/>
    <w:rsid w:val="007F02B3"/>
    <w:rsid w:val="007F0AD9"/>
    <w:rsid w:val="007F18AB"/>
    <w:rsid w:val="007F244F"/>
    <w:rsid w:val="007F26C8"/>
    <w:rsid w:val="007F2E5C"/>
    <w:rsid w:val="007F33CD"/>
    <w:rsid w:val="007F703E"/>
    <w:rsid w:val="008049EA"/>
    <w:rsid w:val="008055F4"/>
    <w:rsid w:val="008069B8"/>
    <w:rsid w:val="0081190E"/>
    <w:rsid w:val="00814E2F"/>
    <w:rsid w:val="0081519F"/>
    <w:rsid w:val="00817029"/>
    <w:rsid w:val="008173BC"/>
    <w:rsid w:val="00822B00"/>
    <w:rsid w:val="00823F5A"/>
    <w:rsid w:val="0082509D"/>
    <w:rsid w:val="00830327"/>
    <w:rsid w:val="0083190C"/>
    <w:rsid w:val="00832FF5"/>
    <w:rsid w:val="008332CC"/>
    <w:rsid w:val="008345DA"/>
    <w:rsid w:val="00834BD6"/>
    <w:rsid w:val="00836D66"/>
    <w:rsid w:val="00840037"/>
    <w:rsid w:val="0084133B"/>
    <w:rsid w:val="00841D6F"/>
    <w:rsid w:val="0085247C"/>
    <w:rsid w:val="0085266A"/>
    <w:rsid w:val="008528C9"/>
    <w:rsid w:val="008528FA"/>
    <w:rsid w:val="00853FB5"/>
    <w:rsid w:val="00854CA6"/>
    <w:rsid w:val="008565AA"/>
    <w:rsid w:val="008570C7"/>
    <w:rsid w:val="00862CD9"/>
    <w:rsid w:val="00863190"/>
    <w:rsid w:val="008644D2"/>
    <w:rsid w:val="0086491D"/>
    <w:rsid w:val="00865090"/>
    <w:rsid w:val="00865752"/>
    <w:rsid w:val="008712C0"/>
    <w:rsid w:val="00874601"/>
    <w:rsid w:val="008825B7"/>
    <w:rsid w:val="00884243"/>
    <w:rsid w:val="00885DE5"/>
    <w:rsid w:val="00887D03"/>
    <w:rsid w:val="00893043"/>
    <w:rsid w:val="00893A37"/>
    <w:rsid w:val="00894D8E"/>
    <w:rsid w:val="008A28EB"/>
    <w:rsid w:val="008A54B5"/>
    <w:rsid w:val="008A5F8C"/>
    <w:rsid w:val="008B0D4B"/>
    <w:rsid w:val="008B31DB"/>
    <w:rsid w:val="008B6888"/>
    <w:rsid w:val="008B70CD"/>
    <w:rsid w:val="008C015C"/>
    <w:rsid w:val="008C0FFD"/>
    <w:rsid w:val="008C3913"/>
    <w:rsid w:val="008C39FB"/>
    <w:rsid w:val="008C4FF4"/>
    <w:rsid w:val="008C5F9B"/>
    <w:rsid w:val="008D1471"/>
    <w:rsid w:val="008D3798"/>
    <w:rsid w:val="008E7885"/>
    <w:rsid w:val="008F2222"/>
    <w:rsid w:val="008F3DFF"/>
    <w:rsid w:val="008F40FB"/>
    <w:rsid w:val="008F5D2C"/>
    <w:rsid w:val="008F789B"/>
    <w:rsid w:val="00901A42"/>
    <w:rsid w:val="009046B2"/>
    <w:rsid w:val="00904974"/>
    <w:rsid w:val="0090650E"/>
    <w:rsid w:val="009073AA"/>
    <w:rsid w:val="00910C3D"/>
    <w:rsid w:val="009111D6"/>
    <w:rsid w:val="00911CD9"/>
    <w:rsid w:val="0091306D"/>
    <w:rsid w:val="00913BCC"/>
    <w:rsid w:val="00916218"/>
    <w:rsid w:val="009172A4"/>
    <w:rsid w:val="00917420"/>
    <w:rsid w:val="00921CF0"/>
    <w:rsid w:val="00921E54"/>
    <w:rsid w:val="00923175"/>
    <w:rsid w:val="009242DD"/>
    <w:rsid w:val="009253B0"/>
    <w:rsid w:val="00926AC3"/>
    <w:rsid w:val="00932190"/>
    <w:rsid w:val="00932693"/>
    <w:rsid w:val="00934CBD"/>
    <w:rsid w:val="00935C89"/>
    <w:rsid w:val="00936FA6"/>
    <w:rsid w:val="00942B98"/>
    <w:rsid w:val="00944ACF"/>
    <w:rsid w:val="00945D3A"/>
    <w:rsid w:val="00952BD9"/>
    <w:rsid w:val="00952DF7"/>
    <w:rsid w:val="00954439"/>
    <w:rsid w:val="00955CE4"/>
    <w:rsid w:val="009575A9"/>
    <w:rsid w:val="0096426E"/>
    <w:rsid w:val="009670FD"/>
    <w:rsid w:val="00970A4B"/>
    <w:rsid w:val="00972450"/>
    <w:rsid w:val="00980216"/>
    <w:rsid w:val="00981FF2"/>
    <w:rsid w:val="00987A1A"/>
    <w:rsid w:val="0099035D"/>
    <w:rsid w:val="009927C9"/>
    <w:rsid w:val="009A41A7"/>
    <w:rsid w:val="009A4212"/>
    <w:rsid w:val="009B0F4E"/>
    <w:rsid w:val="009B4A8A"/>
    <w:rsid w:val="009C0BE4"/>
    <w:rsid w:val="009C1AD2"/>
    <w:rsid w:val="009C7EF7"/>
    <w:rsid w:val="009D0F6E"/>
    <w:rsid w:val="009D2FCD"/>
    <w:rsid w:val="009D61D0"/>
    <w:rsid w:val="009D6562"/>
    <w:rsid w:val="009E4357"/>
    <w:rsid w:val="009E4E8A"/>
    <w:rsid w:val="009E5891"/>
    <w:rsid w:val="009E67A6"/>
    <w:rsid w:val="009E6A2B"/>
    <w:rsid w:val="009F06D2"/>
    <w:rsid w:val="009F4AA2"/>
    <w:rsid w:val="009F615D"/>
    <w:rsid w:val="009F64CA"/>
    <w:rsid w:val="00A03997"/>
    <w:rsid w:val="00A0698A"/>
    <w:rsid w:val="00A06A74"/>
    <w:rsid w:val="00A12831"/>
    <w:rsid w:val="00A13355"/>
    <w:rsid w:val="00A158DB"/>
    <w:rsid w:val="00A165DC"/>
    <w:rsid w:val="00A16FC5"/>
    <w:rsid w:val="00A1710A"/>
    <w:rsid w:val="00A2012B"/>
    <w:rsid w:val="00A24926"/>
    <w:rsid w:val="00A2541E"/>
    <w:rsid w:val="00A257BB"/>
    <w:rsid w:val="00A3317C"/>
    <w:rsid w:val="00A34BC9"/>
    <w:rsid w:val="00A35E17"/>
    <w:rsid w:val="00A42433"/>
    <w:rsid w:val="00A42BFE"/>
    <w:rsid w:val="00A42FFB"/>
    <w:rsid w:val="00A46BEF"/>
    <w:rsid w:val="00A47F8F"/>
    <w:rsid w:val="00A50DC4"/>
    <w:rsid w:val="00A5396D"/>
    <w:rsid w:val="00A567CB"/>
    <w:rsid w:val="00A6363C"/>
    <w:rsid w:val="00A670E6"/>
    <w:rsid w:val="00A712E4"/>
    <w:rsid w:val="00A73AC1"/>
    <w:rsid w:val="00A8323C"/>
    <w:rsid w:val="00A92F75"/>
    <w:rsid w:val="00A96F54"/>
    <w:rsid w:val="00A97174"/>
    <w:rsid w:val="00A97C20"/>
    <w:rsid w:val="00AA0ED4"/>
    <w:rsid w:val="00AA1BB7"/>
    <w:rsid w:val="00AA1EC4"/>
    <w:rsid w:val="00AA36EF"/>
    <w:rsid w:val="00AA761B"/>
    <w:rsid w:val="00AB4F72"/>
    <w:rsid w:val="00AB6441"/>
    <w:rsid w:val="00AC002D"/>
    <w:rsid w:val="00AC0B38"/>
    <w:rsid w:val="00AC0E45"/>
    <w:rsid w:val="00AC1247"/>
    <w:rsid w:val="00AC139B"/>
    <w:rsid w:val="00AD0057"/>
    <w:rsid w:val="00AD4F72"/>
    <w:rsid w:val="00AD6B54"/>
    <w:rsid w:val="00AE180F"/>
    <w:rsid w:val="00AE2CED"/>
    <w:rsid w:val="00AE30E2"/>
    <w:rsid w:val="00AF21F9"/>
    <w:rsid w:val="00AF4537"/>
    <w:rsid w:val="00AF4BF2"/>
    <w:rsid w:val="00AF5F72"/>
    <w:rsid w:val="00AF63C4"/>
    <w:rsid w:val="00B10232"/>
    <w:rsid w:val="00B10C7F"/>
    <w:rsid w:val="00B2011F"/>
    <w:rsid w:val="00B24282"/>
    <w:rsid w:val="00B3481B"/>
    <w:rsid w:val="00B36D2D"/>
    <w:rsid w:val="00B36FF9"/>
    <w:rsid w:val="00B3790F"/>
    <w:rsid w:val="00B403DD"/>
    <w:rsid w:val="00B40ED1"/>
    <w:rsid w:val="00B4409A"/>
    <w:rsid w:val="00B47A19"/>
    <w:rsid w:val="00B520AC"/>
    <w:rsid w:val="00B529FA"/>
    <w:rsid w:val="00B53277"/>
    <w:rsid w:val="00B540F9"/>
    <w:rsid w:val="00B57341"/>
    <w:rsid w:val="00B60D60"/>
    <w:rsid w:val="00B63FBD"/>
    <w:rsid w:val="00B70A05"/>
    <w:rsid w:val="00B72D15"/>
    <w:rsid w:val="00B73A3E"/>
    <w:rsid w:val="00B73D29"/>
    <w:rsid w:val="00B74383"/>
    <w:rsid w:val="00B74C83"/>
    <w:rsid w:val="00B7724C"/>
    <w:rsid w:val="00B81630"/>
    <w:rsid w:val="00B8215C"/>
    <w:rsid w:val="00B84DD5"/>
    <w:rsid w:val="00B90C1D"/>
    <w:rsid w:val="00B919DB"/>
    <w:rsid w:val="00B92C2A"/>
    <w:rsid w:val="00B96B6E"/>
    <w:rsid w:val="00BA053E"/>
    <w:rsid w:val="00BA1D47"/>
    <w:rsid w:val="00BA296F"/>
    <w:rsid w:val="00BA4AB6"/>
    <w:rsid w:val="00BA4F42"/>
    <w:rsid w:val="00BB12EE"/>
    <w:rsid w:val="00BC36A9"/>
    <w:rsid w:val="00BC5272"/>
    <w:rsid w:val="00BC630E"/>
    <w:rsid w:val="00BC7608"/>
    <w:rsid w:val="00BD1957"/>
    <w:rsid w:val="00BD35E9"/>
    <w:rsid w:val="00BD6789"/>
    <w:rsid w:val="00BE1A5C"/>
    <w:rsid w:val="00BE4F43"/>
    <w:rsid w:val="00BF1ADC"/>
    <w:rsid w:val="00BF420C"/>
    <w:rsid w:val="00BF481D"/>
    <w:rsid w:val="00C03751"/>
    <w:rsid w:val="00C05B98"/>
    <w:rsid w:val="00C063B6"/>
    <w:rsid w:val="00C06B1E"/>
    <w:rsid w:val="00C174E3"/>
    <w:rsid w:val="00C21BEF"/>
    <w:rsid w:val="00C21CAD"/>
    <w:rsid w:val="00C21DD9"/>
    <w:rsid w:val="00C221ED"/>
    <w:rsid w:val="00C26C94"/>
    <w:rsid w:val="00C272AF"/>
    <w:rsid w:val="00C32927"/>
    <w:rsid w:val="00C33AF6"/>
    <w:rsid w:val="00C356D0"/>
    <w:rsid w:val="00C3648D"/>
    <w:rsid w:val="00C3766B"/>
    <w:rsid w:val="00C426E8"/>
    <w:rsid w:val="00C430DB"/>
    <w:rsid w:val="00C50534"/>
    <w:rsid w:val="00C5088C"/>
    <w:rsid w:val="00C6044D"/>
    <w:rsid w:val="00C61CFA"/>
    <w:rsid w:val="00C62D2D"/>
    <w:rsid w:val="00C65441"/>
    <w:rsid w:val="00C65C00"/>
    <w:rsid w:val="00C674E4"/>
    <w:rsid w:val="00C70726"/>
    <w:rsid w:val="00C721B5"/>
    <w:rsid w:val="00C73DF1"/>
    <w:rsid w:val="00C76745"/>
    <w:rsid w:val="00C77949"/>
    <w:rsid w:val="00C87E50"/>
    <w:rsid w:val="00C91E24"/>
    <w:rsid w:val="00C929B2"/>
    <w:rsid w:val="00C92BBE"/>
    <w:rsid w:val="00C92BF3"/>
    <w:rsid w:val="00C93D1D"/>
    <w:rsid w:val="00C97797"/>
    <w:rsid w:val="00CA0D27"/>
    <w:rsid w:val="00CA4ADC"/>
    <w:rsid w:val="00CA5129"/>
    <w:rsid w:val="00CA5A96"/>
    <w:rsid w:val="00CA5B9C"/>
    <w:rsid w:val="00CA6E2A"/>
    <w:rsid w:val="00CA6E9C"/>
    <w:rsid w:val="00CB0C58"/>
    <w:rsid w:val="00CB2F18"/>
    <w:rsid w:val="00CB462F"/>
    <w:rsid w:val="00CC1926"/>
    <w:rsid w:val="00CC19B5"/>
    <w:rsid w:val="00CC61C0"/>
    <w:rsid w:val="00CC6B66"/>
    <w:rsid w:val="00CC728E"/>
    <w:rsid w:val="00CC7564"/>
    <w:rsid w:val="00CD3B1D"/>
    <w:rsid w:val="00CD5C29"/>
    <w:rsid w:val="00CE1999"/>
    <w:rsid w:val="00CE54B3"/>
    <w:rsid w:val="00CE61C9"/>
    <w:rsid w:val="00CE6FA6"/>
    <w:rsid w:val="00CF0723"/>
    <w:rsid w:val="00CF1717"/>
    <w:rsid w:val="00CF5792"/>
    <w:rsid w:val="00CF6BC4"/>
    <w:rsid w:val="00CF7124"/>
    <w:rsid w:val="00CF77BB"/>
    <w:rsid w:val="00D01FD8"/>
    <w:rsid w:val="00D05726"/>
    <w:rsid w:val="00D06BD9"/>
    <w:rsid w:val="00D10CFE"/>
    <w:rsid w:val="00D1122B"/>
    <w:rsid w:val="00D12670"/>
    <w:rsid w:val="00D145AF"/>
    <w:rsid w:val="00D16A8D"/>
    <w:rsid w:val="00D16CBA"/>
    <w:rsid w:val="00D2034F"/>
    <w:rsid w:val="00D20D54"/>
    <w:rsid w:val="00D2384A"/>
    <w:rsid w:val="00D2667C"/>
    <w:rsid w:val="00D30295"/>
    <w:rsid w:val="00D336A2"/>
    <w:rsid w:val="00D33C4A"/>
    <w:rsid w:val="00D33F55"/>
    <w:rsid w:val="00D347B1"/>
    <w:rsid w:val="00D44D6D"/>
    <w:rsid w:val="00D46748"/>
    <w:rsid w:val="00D568BB"/>
    <w:rsid w:val="00D613C7"/>
    <w:rsid w:val="00D61A38"/>
    <w:rsid w:val="00D62526"/>
    <w:rsid w:val="00D63286"/>
    <w:rsid w:val="00D822D1"/>
    <w:rsid w:val="00D8382E"/>
    <w:rsid w:val="00D83DAD"/>
    <w:rsid w:val="00D8660E"/>
    <w:rsid w:val="00D91C2A"/>
    <w:rsid w:val="00D92C6F"/>
    <w:rsid w:val="00D9328A"/>
    <w:rsid w:val="00D96E09"/>
    <w:rsid w:val="00D972A2"/>
    <w:rsid w:val="00DA1E41"/>
    <w:rsid w:val="00DA4159"/>
    <w:rsid w:val="00DA4B99"/>
    <w:rsid w:val="00DA67ED"/>
    <w:rsid w:val="00DB1C4E"/>
    <w:rsid w:val="00DB2471"/>
    <w:rsid w:val="00DB77C4"/>
    <w:rsid w:val="00DB7CE0"/>
    <w:rsid w:val="00DC1057"/>
    <w:rsid w:val="00DC50AC"/>
    <w:rsid w:val="00DC623C"/>
    <w:rsid w:val="00DC65A5"/>
    <w:rsid w:val="00DD0172"/>
    <w:rsid w:val="00DE390C"/>
    <w:rsid w:val="00DE531E"/>
    <w:rsid w:val="00DE6AB0"/>
    <w:rsid w:val="00DF1283"/>
    <w:rsid w:val="00DF178F"/>
    <w:rsid w:val="00DF1AB8"/>
    <w:rsid w:val="00DF2B13"/>
    <w:rsid w:val="00DF3D8D"/>
    <w:rsid w:val="00DF7B5A"/>
    <w:rsid w:val="00DF7CD9"/>
    <w:rsid w:val="00E00145"/>
    <w:rsid w:val="00E118CB"/>
    <w:rsid w:val="00E132F1"/>
    <w:rsid w:val="00E136D1"/>
    <w:rsid w:val="00E15922"/>
    <w:rsid w:val="00E15FA1"/>
    <w:rsid w:val="00E21168"/>
    <w:rsid w:val="00E21EA0"/>
    <w:rsid w:val="00E220AE"/>
    <w:rsid w:val="00E22412"/>
    <w:rsid w:val="00E263EC"/>
    <w:rsid w:val="00E3059F"/>
    <w:rsid w:val="00E31C55"/>
    <w:rsid w:val="00E3255E"/>
    <w:rsid w:val="00E334BE"/>
    <w:rsid w:val="00E341A9"/>
    <w:rsid w:val="00E34A1A"/>
    <w:rsid w:val="00E35030"/>
    <w:rsid w:val="00E411B8"/>
    <w:rsid w:val="00E41C99"/>
    <w:rsid w:val="00E42935"/>
    <w:rsid w:val="00E44D4B"/>
    <w:rsid w:val="00E45673"/>
    <w:rsid w:val="00E52075"/>
    <w:rsid w:val="00E523FF"/>
    <w:rsid w:val="00E52750"/>
    <w:rsid w:val="00E53A83"/>
    <w:rsid w:val="00E6094C"/>
    <w:rsid w:val="00E61364"/>
    <w:rsid w:val="00E6219F"/>
    <w:rsid w:val="00E631AF"/>
    <w:rsid w:val="00E71337"/>
    <w:rsid w:val="00E750F0"/>
    <w:rsid w:val="00E76622"/>
    <w:rsid w:val="00E80C1D"/>
    <w:rsid w:val="00E85A3C"/>
    <w:rsid w:val="00E92BC3"/>
    <w:rsid w:val="00E946BE"/>
    <w:rsid w:val="00E9540B"/>
    <w:rsid w:val="00E96A46"/>
    <w:rsid w:val="00EA1576"/>
    <w:rsid w:val="00EB2A89"/>
    <w:rsid w:val="00EB521F"/>
    <w:rsid w:val="00EC058C"/>
    <w:rsid w:val="00EC1F65"/>
    <w:rsid w:val="00EC2767"/>
    <w:rsid w:val="00EC3A69"/>
    <w:rsid w:val="00ED063B"/>
    <w:rsid w:val="00ED1998"/>
    <w:rsid w:val="00ED59D3"/>
    <w:rsid w:val="00ED605A"/>
    <w:rsid w:val="00ED6120"/>
    <w:rsid w:val="00ED632D"/>
    <w:rsid w:val="00EE015D"/>
    <w:rsid w:val="00EE0309"/>
    <w:rsid w:val="00EE1B39"/>
    <w:rsid w:val="00EE3275"/>
    <w:rsid w:val="00EE3C5C"/>
    <w:rsid w:val="00EE3D08"/>
    <w:rsid w:val="00EE439A"/>
    <w:rsid w:val="00EE5CF5"/>
    <w:rsid w:val="00EF6E6C"/>
    <w:rsid w:val="00F01081"/>
    <w:rsid w:val="00F05C39"/>
    <w:rsid w:val="00F063A9"/>
    <w:rsid w:val="00F1198B"/>
    <w:rsid w:val="00F15954"/>
    <w:rsid w:val="00F15B44"/>
    <w:rsid w:val="00F207F8"/>
    <w:rsid w:val="00F20864"/>
    <w:rsid w:val="00F20DBF"/>
    <w:rsid w:val="00F21319"/>
    <w:rsid w:val="00F2140D"/>
    <w:rsid w:val="00F23746"/>
    <w:rsid w:val="00F25CF5"/>
    <w:rsid w:val="00F311B8"/>
    <w:rsid w:val="00F33C82"/>
    <w:rsid w:val="00F40178"/>
    <w:rsid w:val="00F40C8C"/>
    <w:rsid w:val="00F4125B"/>
    <w:rsid w:val="00F431BB"/>
    <w:rsid w:val="00F44715"/>
    <w:rsid w:val="00F45A75"/>
    <w:rsid w:val="00F4629D"/>
    <w:rsid w:val="00F4638F"/>
    <w:rsid w:val="00F46E45"/>
    <w:rsid w:val="00F5110D"/>
    <w:rsid w:val="00F516D9"/>
    <w:rsid w:val="00F51A2B"/>
    <w:rsid w:val="00F524A9"/>
    <w:rsid w:val="00F56B21"/>
    <w:rsid w:val="00F57505"/>
    <w:rsid w:val="00F627DF"/>
    <w:rsid w:val="00F62D51"/>
    <w:rsid w:val="00F64150"/>
    <w:rsid w:val="00F6783E"/>
    <w:rsid w:val="00F7364C"/>
    <w:rsid w:val="00F7679D"/>
    <w:rsid w:val="00F77957"/>
    <w:rsid w:val="00F82A05"/>
    <w:rsid w:val="00F917C5"/>
    <w:rsid w:val="00FA3479"/>
    <w:rsid w:val="00FA5375"/>
    <w:rsid w:val="00FA7B2B"/>
    <w:rsid w:val="00FA7C09"/>
    <w:rsid w:val="00FB03F4"/>
    <w:rsid w:val="00FB0D44"/>
    <w:rsid w:val="00FB515F"/>
    <w:rsid w:val="00FB74FD"/>
    <w:rsid w:val="00FC0204"/>
    <w:rsid w:val="00FC31D6"/>
    <w:rsid w:val="00FC333F"/>
    <w:rsid w:val="00FC40B0"/>
    <w:rsid w:val="00FD20E2"/>
    <w:rsid w:val="00FD3C5B"/>
    <w:rsid w:val="00FD6915"/>
    <w:rsid w:val="00FD6E42"/>
    <w:rsid w:val="00FD72AD"/>
    <w:rsid w:val="00FD7A8F"/>
    <w:rsid w:val="00FE0F03"/>
    <w:rsid w:val="00FE256D"/>
    <w:rsid w:val="00FE3F81"/>
    <w:rsid w:val="00FE4A2C"/>
    <w:rsid w:val="00FF36BD"/>
    <w:rsid w:val="00FF3BED"/>
    <w:rsid w:val="00FF5112"/>
    <w:rsid w:val="00FF5189"/>
    <w:rsid w:val="00FF5507"/>
    <w:rsid w:val="00FF6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7"/>
    <o:shapelayout v:ext="edit">
      <o:idmap v:ext="edit" data="1"/>
    </o:shapelayout>
  </w:shapeDefaults>
  <w:decimalSymbol w:val="."/>
  <w:listSeparator w:val=","/>
  <w14:docId w14:val="2FEE88F9"/>
  <w15:chartTrackingRefBased/>
  <w15:docId w15:val="{709CE77A-3857-4AF7-92F1-6E1504F27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62B8"/>
    <w:pPr>
      <w:spacing w:line="276" w:lineRule="auto"/>
      <w:jc w:val="both"/>
    </w:pPr>
    <w:rPr>
      <w:rFonts w:ascii="Times New Roman" w:hAnsi="Times New Roman" w:cs="Times New Roman"/>
      <w:sz w:val="24"/>
      <w:szCs w:val="24"/>
    </w:rPr>
  </w:style>
  <w:style w:type="paragraph" w:styleId="Heading1">
    <w:name w:val="heading 1"/>
    <w:basedOn w:val="Normal"/>
    <w:next w:val="Normal"/>
    <w:link w:val="Heading1Char"/>
    <w:uiPriority w:val="9"/>
    <w:qFormat/>
    <w:rsid w:val="006062B8"/>
    <w:pPr>
      <w:keepNext/>
      <w:keepLines/>
      <w:spacing w:before="240" w:after="0"/>
      <w:outlineLvl w:val="0"/>
    </w:pPr>
    <w:rPr>
      <w:rFonts w:eastAsiaTheme="majorEastAsia" w:cstheme="majorBidi"/>
      <w:b/>
      <w:caps/>
      <w:szCs w:val="32"/>
    </w:rPr>
  </w:style>
  <w:style w:type="paragraph" w:styleId="Heading2">
    <w:name w:val="heading 2"/>
    <w:basedOn w:val="Normal"/>
    <w:next w:val="Normal"/>
    <w:link w:val="Heading2Char"/>
    <w:uiPriority w:val="9"/>
    <w:unhideWhenUsed/>
    <w:qFormat/>
    <w:rsid w:val="002C25F5"/>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2D27F0"/>
    <w:pPr>
      <w:keepNext/>
      <w:keepLines/>
      <w:spacing w:before="40" w:after="0"/>
      <w:outlineLvl w:val="2"/>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2B8"/>
    <w:rPr>
      <w:rFonts w:ascii="Times New Roman" w:eastAsiaTheme="majorEastAsia" w:hAnsi="Times New Roman" w:cstheme="majorBidi"/>
      <w:b/>
      <w:caps/>
      <w:sz w:val="24"/>
      <w:szCs w:val="32"/>
    </w:rPr>
  </w:style>
  <w:style w:type="paragraph" w:styleId="FootnoteText">
    <w:name w:val="footnote text"/>
    <w:basedOn w:val="Normal"/>
    <w:link w:val="FootnoteTextChar"/>
    <w:unhideWhenUsed/>
    <w:rsid w:val="006062B8"/>
    <w:pPr>
      <w:spacing w:after="0" w:line="240" w:lineRule="auto"/>
    </w:pPr>
    <w:rPr>
      <w:sz w:val="20"/>
      <w:szCs w:val="20"/>
    </w:rPr>
  </w:style>
  <w:style w:type="character" w:customStyle="1" w:styleId="FootnoteTextChar">
    <w:name w:val="Footnote Text Char"/>
    <w:basedOn w:val="DefaultParagraphFont"/>
    <w:link w:val="FootnoteText"/>
    <w:semiHidden/>
    <w:rsid w:val="006062B8"/>
    <w:rPr>
      <w:rFonts w:ascii="Times New Roman" w:hAnsi="Times New Roman" w:cs="Times New Roman"/>
      <w:sz w:val="20"/>
      <w:szCs w:val="20"/>
    </w:rPr>
  </w:style>
  <w:style w:type="character" w:styleId="FootnoteReference">
    <w:name w:val="footnote reference"/>
    <w:basedOn w:val="DefaultParagraphFont"/>
    <w:semiHidden/>
    <w:unhideWhenUsed/>
    <w:rsid w:val="006062B8"/>
    <w:rPr>
      <w:vertAlign w:val="superscript"/>
    </w:rPr>
  </w:style>
  <w:style w:type="table" w:styleId="TableGrid">
    <w:name w:val="Table Grid"/>
    <w:basedOn w:val="TableNormal"/>
    <w:uiPriority w:val="39"/>
    <w:rsid w:val="00BF1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C25F5"/>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2D27F0"/>
    <w:rPr>
      <w:rFonts w:ascii="Times New Roman" w:eastAsiaTheme="majorEastAsia" w:hAnsi="Times New Roman" w:cstheme="majorBidi"/>
      <w:i/>
      <w:sz w:val="24"/>
      <w:szCs w:val="24"/>
    </w:rPr>
  </w:style>
  <w:style w:type="paragraph" w:styleId="ListParagraph">
    <w:name w:val="List Paragraph"/>
    <w:basedOn w:val="Normal"/>
    <w:uiPriority w:val="34"/>
    <w:qFormat/>
    <w:rsid w:val="00E3059F"/>
    <w:pPr>
      <w:ind w:left="720"/>
      <w:contextualSpacing/>
    </w:pPr>
  </w:style>
  <w:style w:type="paragraph" w:styleId="Header">
    <w:name w:val="header"/>
    <w:basedOn w:val="Normal"/>
    <w:link w:val="HeaderChar"/>
    <w:uiPriority w:val="99"/>
    <w:unhideWhenUsed/>
    <w:rsid w:val="00DE53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531E"/>
    <w:rPr>
      <w:rFonts w:ascii="Times New Roman" w:hAnsi="Times New Roman" w:cs="Times New Roman"/>
      <w:sz w:val="24"/>
      <w:szCs w:val="24"/>
    </w:rPr>
  </w:style>
  <w:style w:type="paragraph" w:styleId="Footer">
    <w:name w:val="footer"/>
    <w:basedOn w:val="Normal"/>
    <w:link w:val="FooterChar"/>
    <w:uiPriority w:val="99"/>
    <w:unhideWhenUsed/>
    <w:rsid w:val="00DE53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31E"/>
    <w:rPr>
      <w:rFonts w:ascii="Times New Roman" w:hAnsi="Times New Roman" w:cs="Times New Roman"/>
      <w:sz w:val="24"/>
      <w:szCs w:val="24"/>
    </w:rPr>
  </w:style>
  <w:style w:type="character" w:customStyle="1" w:styleId="Style1Char">
    <w:name w:val="Style1 Char"/>
    <w:basedOn w:val="DefaultParagraphFont"/>
    <w:link w:val="Style1"/>
    <w:locked/>
    <w:rsid w:val="00B4409A"/>
    <w:rPr>
      <w:rFonts w:ascii="Times New Roman" w:eastAsiaTheme="majorEastAsia" w:hAnsi="Times New Roman" w:cs="Times New Roman"/>
      <w:b/>
      <w:bCs/>
      <w:sz w:val="24"/>
      <w:szCs w:val="24"/>
    </w:rPr>
  </w:style>
  <w:style w:type="paragraph" w:customStyle="1" w:styleId="Style1">
    <w:name w:val="Style1"/>
    <w:basedOn w:val="Heading1"/>
    <w:link w:val="Style1Char"/>
    <w:qFormat/>
    <w:rsid w:val="00B4409A"/>
    <w:pPr>
      <w:tabs>
        <w:tab w:val="left" w:pos="540"/>
      </w:tabs>
      <w:spacing w:before="0"/>
    </w:pPr>
    <w:rPr>
      <w:rFonts w:cs="Times New Roman"/>
      <w:bCs/>
      <w:caps w:val="0"/>
      <w:szCs w:val="24"/>
    </w:rPr>
  </w:style>
  <w:style w:type="paragraph" w:styleId="BalloonText">
    <w:name w:val="Balloon Text"/>
    <w:basedOn w:val="Normal"/>
    <w:link w:val="BalloonTextChar"/>
    <w:uiPriority w:val="99"/>
    <w:semiHidden/>
    <w:unhideWhenUsed/>
    <w:rsid w:val="003C34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459"/>
    <w:rPr>
      <w:rFonts w:ascii="Segoe UI" w:hAnsi="Segoe UI" w:cs="Segoe UI"/>
      <w:sz w:val="18"/>
      <w:szCs w:val="18"/>
    </w:rPr>
  </w:style>
  <w:style w:type="paragraph" w:customStyle="1" w:styleId="Default">
    <w:name w:val="Default"/>
    <w:rsid w:val="00582F4B"/>
    <w:pPr>
      <w:autoSpaceDE w:val="0"/>
      <w:autoSpaceDN w:val="0"/>
      <w:adjustRightInd w:val="0"/>
      <w:spacing w:after="0" w:line="240" w:lineRule="auto"/>
    </w:pPr>
    <w:rPr>
      <w:rFonts w:ascii="Charis SIL" w:hAnsi="Charis SIL" w:cs="Charis SIL"/>
      <w:color w:val="000000"/>
      <w:sz w:val="24"/>
      <w:szCs w:val="24"/>
    </w:rPr>
  </w:style>
  <w:style w:type="paragraph" w:styleId="Revision">
    <w:name w:val="Revision"/>
    <w:hidden/>
    <w:uiPriority w:val="99"/>
    <w:semiHidden/>
    <w:rsid w:val="00AA1EC4"/>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8332CC"/>
    <w:rPr>
      <w:color w:val="0000FF"/>
      <w:u w:val="single"/>
    </w:rPr>
  </w:style>
  <w:style w:type="character" w:styleId="CommentReference">
    <w:name w:val="annotation reference"/>
    <w:basedOn w:val="DefaultParagraphFont"/>
    <w:uiPriority w:val="99"/>
    <w:semiHidden/>
    <w:unhideWhenUsed/>
    <w:rsid w:val="00FD20E2"/>
    <w:rPr>
      <w:sz w:val="16"/>
      <w:szCs w:val="16"/>
    </w:rPr>
  </w:style>
  <w:style w:type="paragraph" w:styleId="CommentText">
    <w:name w:val="annotation text"/>
    <w:basedOn w:val="Normal"/>
    <w:link w:val="CommentTextChar"/>
    <w:uiPriority w:val="99"/>
    <w:semiHidden/>
    <w:unhideWhenUsed/>
    <w:rsid w:val="00FD20E2"/>
    <w:pPr>
      <w:spacing w:line="240" w:lineRule="auto"/>
    </w:pPr>
    <w:rPr>
      <w:sz w:val="20"/>
      <w:szCs w:val="20"/>
    </w:rPr>
  </w:style>
  <w:style w:type="character" w:customStyle="1" w:styleId="CommentTextChar">
    <w:name w:val="Comment Text Char"/>
    <w:basedOn w:val="DefaultParagraphFont"/>
    <w:link w:val="CommentText"/>
    <w:uiPriority w:val="99"/>
    <w:semiHidden/>
    <w:rsid w:val="00FD20E2"/>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D20E2"/>
    <w:rPr>
      <w:b/>
      <w:bCs/>
    </w:rPr>
  </w:style>
  <w:style w:type="character" w:customStyle="1" w:styleId="CommentSubjectChar">
    <w:name w:val="Comment Subject Char"/>
    <w:basedOn w:val="CommentTextChar"/>
    <w:link w:val="CommentSubject"/>
    <w:uiPriority w:val="99"/>
    <w:semiHidden/>
    <w:rsid w:val="00FD20E2"/>
    <w:rPr>
      <w:rFonts w:ascii="Times New Roman" w:hAnsi="Times New Roman" w:cs="Times New Roman"/>
      <w:b/>
      <w:bCs/>
      <w:sz w:val="20"/>
      <w:szCs w:val="20"/>
    </w:rPr>
  </w:style>
  <w:style w:type="paragraph" w:customStyle="1" w:styleId="text">
    <w:name w:val="text"/>
    <w:aliases w:val="t"/>
    <w:basedOn w:val="Normal"/>
    <w:next w:val="Normal"/>
    <w:rsid w:val="00316206"/>
    <w:pPr>
      <w:autoSpaceDE w:val="0"/>
      <w:autoSpaceDN w:val="0"/>
      <w:adjustRightInd w:val="0"/>
      <w:spacing w:after="0" w:line="240" w:lineRule="auto"/>
      <w:jc w:val="left"/>
    </w:pPr>
    <w:rPr>
      <w:rFonts w:eastAsia="Times New Roman"/>
      <w:bCs/>
      <w:lang w:val="en-IN" w:eastAsia="en-IN"/>
    </w:rPr>
  </w:style>
  <w:style w:type="character" w:customStyle="1" w:styleId="FootnoteTextChar1">
    <w:name w:val="Footnote Text Char1"/>
    <w:uiPriority w:val="99"/>
    <w:locked/>
    <w:rsid w:val="007D3D74"/>
    <w:rPr>
      <w:rFonts w:cs="Times New Roman"/>
      <w:sz w:val="20"/>
    </w:rPr>
  </w:style>
  <w:style w:type="numbering" w:customStyle="1" w:styleId="Singlepunch">
    <w:name w:val="Single punch"/>
    <w:rsid w:val="00AD4F72"/>
    <w:pPr>
      <w:numPr>
        <w:numId w:val="12"/>
      </w:numPr>
    </w:pPr>
  </w:style>
  <w:style w:type="paragraph" w:customStyle="1" w:styleId="footnote">
    <w:name w:val="footnote"/>
    <w:basedOn w:val="FootnoteText"/>
    <w:link w:val="footnoteChar"/>
    <w:qFormat/>
    <w:rsid w:val="00644A51"/>
    <w:rPr>
      <w:rFonts w:eastAsiaTheme="minorEastAsia"/>
      <w:lang w:eastAsia="zh-CN" w:bidi="he-IL"/>
    </w:rPr>
  </w:style>
  <w:style w:type="character" w:customStyle="1" w:styleId="footnoteChar">
    <w:name w:val="footnote Char"/>
    <w:basedOn w:val="FootnoteTextChar"/>
    <w:link w:val="footnote"/>
    <w:rsid w:val="00644A51"/>
    <w:rPr>
      <w:rFonts w:ascii="Times New Roman" w:eastAsiaTheme="minorEastAsia" w:hAnsi="Times New Roman" w:cs="Times New Roman"/>
      <w:sz w:val="20"/>
      <w:szCs w:val="20"/>
      <w:lang w:eastAsia="zh-CN" w:bidi="he-IL"/>
    </w:rPr>
  </w:style>
  <w:style w:type="paragraph" w:styleId="Caption">
    <w:name w:val="caption"/>
    <w:basedOn w:val="Normal"/>
    <w:next w:val="Normal"/>
    <w:uiPriority w:val="35"/>
    <w:semiHidden/>
    <w:unhideWhenUsed/>
    <w:qFormat/>
    <w:rsid w:val="00ED063B"/>
    <w:pPr>
      <w:spacing w:after="200" w:line="240" w:lineRule="auto"/>
      <w:jc w:val="left"/>
    </w:pPr>
    <w:rPr>
      <w:rFonts w:asciiTheme="minorHAnsi" w:hAnsiTheme="minorHAnsi" w:cstheme="minorBidi"/>
      <w:i/>
      <w:iCs/>
      <w:color w:val="44546A" w:themeColor="text2"/>
      <w:sz w:val="18"/>
      <w:szCs w:val="18"/>
    </w:rPr>
  </w:style>
  <w:style w:type="character" w:styleId="Emphasis">
    <w:name w:val="Emphasis"/>
    <w:basedOn w:val="DefaultParagraphFont"/>
    <w:uiPriority w:val="20"/>
    <w:qFormat/>
    <w:rsid w:val="00D61A38"/>
    <w:rPr>
      <w:i/>
      <w:iCs/>
    </w:rPr>
  </w:style>
  <w:style w:type="character" w:styleId="FollowedHyperlink">
    <w:name w:val="FollowedHyperlink"/>
    <w:basedOn w:val="DefaultParagraphFont"/>
    <w:uiPriority w:val="99"/>
    <w:semiHidden/>
    <w:unhideWhenUsed/>
    <w:rsid w:val="00B73A3E"/>
    <w:rPr>
      <w:color w:val="954F72" w:themeColor="followedHyperlink"/>
      <w:u w:val="single"/>
    </w:rPr>
  </w:style>
  <w:style w:type="character" w:styleId="UnresolvedMention">
    <w:name w:val="Unresolved Mention"/>
    <w:basedOn w:val="DefaultParagraphFont"/>
    <w:uiPriority w:val="99"/>
    <w:semiHidden/>
    <w:unhideWhenUsed/>
    <w:rsid w:val="00942B98"/>
    <w:rPr>
      <w:color w:val="605E5C"/>
      <w:shd w:val="clear" w:color="auto" w:fill="E1DFDD"/>
    </w:rPr>
  </w:style>
  <w:style w:type="character" w:styleId="PlaceholderText">
    <w:name w:val="Placeholder Text"/>
    <w:basedOn w:val="DefaultParagraphFont"/>
    <w:uiPriority w:val="99"/>
    <w:semiHidden/>
    <w:rsid w:val="00617CA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617312">
      <w:bodyDiv w:val="1"/>
      <w:marLeft w:val="0"/>
      <w:marRight w:val="0"/>
      <w:marTop w:val="0"/>
      <w:marBottom w:val="0"/>
      <w:divBdr>
        <w:top w:val="none" w:sz="0" w:space="0" w:color="auto"/>
        <w:left w:val="none" w:sz="0" w:space="0" w:color="auto"/>
        <w:bottom w:val="none" w:sz="0" w:space="0" w:color="auto"/>
        <w:right w:val="none" w:sz="0" w:space="0" w:color="auto"/>
      </w:divBdr>
    </w:div>
    <w:div w:id="1433815193">
      <w:bodyDiv w:val="1"/>
      <w:marLeft w:val="0"/>
      <w:marRight w:val="0"/>
      <w:marTop w:val="0"/>
      <w:marBottom w:val="0"/>
      <w:divBdr>
        <w:top w:val="none" w:sz="0" w:space="0" w:color="auto"/>
        <w:left w:val="none" w:sz="0" w:space="0" w:color="auto"/>
        <w:bottom w:val="none" w:sz="0" w:space="0" w:color="auto"/>
        <w:right w:val="none" w:sz="0" w:space="0" w:color="auto"/>
      </w:divBdr>
    </w:div>
    <w:div w:id="1976063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1" Type="http://schemas.openxmlformats.org/officeDocument/2006/relationships/oleObject" Target="embeddings/oleObject4.bin"/><Relationship Id="rId42" Type="http://schemas.openxmlformats.org/officeDocument/2006/relationships/image" Target="media/image15.wmf"/><Relationship Id="rId63" Type="http://schemas.openxmlformats.org/officeDocument/2006/relationships/oleObject" Target="embeddings/oleObject26.bin"/><Relationship Id="rId84" Type="http://schemas.openxmlformats.org/officeDocument/2006/relationships/image" Target="media/image34.wmf"/><Relationship Id="rId138" Type="http://schemas.openxmlformats.org/officeDocument/2006/relationships/image" Target="media/image58.wmf"/><Relationship Id="rId159" Type="http://schemas.openxmlformats.org/officeDocument/2006/relationships/hyperlink" Target="https://www.epa.gov/sites/production/files/2014-03/documents/sld_userguide.pdf" TargetMode="External"/><Relationship Id="rId170" Type="http://schemas.openxmlformats.org/officeDocument/2006/relationships/image" Target="media/image62.png"/><Relationship Id="rId107" Type="http://schemas.openxmlformats.org/officeDocument/2006/relationships/oleObject" Target="embeddings/oleObject51.bin"/><Relationship Id="rId11" Type="http://schemas.openxmlformats.org/officeDocument/2006/relationships/hyperlink" Target="mailto:ram.pendyala@asu.edu" TargetMode="External"/><Relationship Id="rId32" Type="http://schemas.openxmlformats.org/officeDocument/2006/relationships/image" Target="media/image10.wmf"/><Relationship Id="rId53" Type="http://schemas.openxmlformats.org/officeDocument/2006/relationships/image" Target="media/image20.wmf"/><Relationship Id="rId74" Type="http://schemas.openxmlformats.org/officeDocument/2006/relationships/image" Target="media/image30.wmf"/><Relationship Id="rId128" Type="http://schemas.openxmlformats.org/officeDocument/2006/relationships/image" Target="media/image54.wmf"/><Relationship Id="rId149" Type="http://schemas.openxmlformats.org/officeDocument/2006/relationships/hyperlink" Target="https://www.pewresearch.org/fact-tank/2020/03/20/before-the-coronavirus-telework-was-an-optional-benefit-mostly-for-the-affluent-few/" TargetMode="External"/><Relationship Id="rId5" Type="http://schemas.openxmlformats.org/officeDocument/2006/relationships/webSettings" Target="webSettings.xml"/><Relationship Id="rId95" Type="http://schemas.openxmlformats.org/officeDocument/2006/relationships/oleObject" Target="embeddings/oleObject45.bin"/><Relationship Id="rId160" Type="http://schemas.openxmlformats.org/officeDocument/2006/relationships/hyperlink" Target="https://escholarship.org/content/qt1xk852cv/qt1xk852cv_noSplash_4fbf08afb36d3a8c625cc961b8d3907f.pdf" TargetMode="External"/><Relationship Id="rId22" Type="http://schemas.openxmlformats.org/officeDocument/2006/relationships/image" Target="media/image5.wmf"/><Relationship Id="rId43" Type="http://schemas.openxmlformats.org/officeDocument/2006/relationships/oleObject" Target="embeddings/oleObject15.bin"/><Relationship Id="rId64" Type="http://schemas.openxmlformats.org/officeDocument/2006/relationships/image" Target="media/image25.wmf"/><Relationship Id="rId118" Type="http://schemas.openxmlformats.org/officeDocument/2006/relationships/image" Target="media/image49.wmf"/><Relationship Id="rId139" Type="http://schemas.openxmlformats.org/officeDocument/2006/relationships/oleObject" Target="embeddings/oleObject68.bin"/><Relationship Id="rId85" Type="http://schemas.openxmlformats.org/officeDocument/2006/relationships/oleObject" Target="embeddings/oleObject38.bin"/><Relationship Id="rId150" Type="http://schemas.openxmlformats.org/officeDocument/2006/relationships/hyperlink" Target="https://policycommons.net/artifacts/1845186/living-working-and-covid-19/2589288/" TargetMode="External"/><Relationship Id="rId171" Type="http://schemas.openxmlformats.org/officeDocument/2006/relationships/footer" Target="footer3.xml"/><Relationship Id="rId12" Type="http://schemas.openxmlformats.org/officeDocument/2006/relationships/footer" Target="footer1.xml"/><Relationship Id="rId33" Type="http://schemas.openxmlformats.org/officeDocument/2006/relationships/oleObject" Target="embeddings/oleObject10.bin"/><Relationship Id="rId108" Type="http://schemas.openxmlformats.org/officeDocument/2006/relationships/image" Target="media/image44.wmf"/><Relationship Id="rId129" Type="http://schemas.openxmlformats.org/officeDocument/2006/relationships/oleObject" Target="embeddings/oleObject62.bin"/><Relationship Id="rId54" Type="http://schemas.openxmlformats.org/officeDocument/2006/relationships/oleObject" Target="embeddings/oleObject21.bin"/><Relationship Id="rId75" Type="http://schemas.openxmlformats.org/officeDocument/2006/relationships/oleObject" Target="embeddings/oleObject32.bin"/><Relationship Id="rId96" Type="http://schemas.openxmlformats.org/officeDocument/2006/relationships/image" Target="media/image38.wmf"/><Relationship Id="rId140" Type="http://schemas.openxmlformats.org/officeDocument/2006/relationships/oleObject" Target="embeddings/oleObject69.bin"/><Relationship Id="rId161" Type="http://schemas.openxmlformats.org/officeDocument/2006/relationships/hyperlink" Target="https://doi.org/10.1177/2378023120982856"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5.bin"/><Relationship Id="rId28" Type="http://schemas.openxmlformats.org/officeDocument/2006/relationships/image" Target="media/image8.wmf"/><Relationship Id="rId49" Type="http://schemas.openxmlformats.org/officeDocument/2006/relationships/image" Target="media/image18.wmf"/><Relationship Id="rId114" Type="http://schemas.openxmlformats.org/officeDocument/2006/relationships/image" Target="media/image47.wmf"/><Relationship Id="rId119" Type="http://schemas.openxmlformats.org/officeDocument/2006/relationships/oleObject" Target="embeddings/oleObject57.bin"/><Relationship Id="rId44" Type="http://schemas.openxmlformats.org/officeDocument/2006/relationships/image" Target="media/image16.wmf"/><Relationship Id="rId60" Type="http://schemas.openxmlformats.org/officeDocument/2006/relationships/image" Target="media/image23.wmf"/><Relationship Id="rId65" Type="http://schemas.openxmlformats.org/officeDocument/2006/relationships/oleObject" Target="embeddings/oleObject27.bin"/><Relationship Id="rId81" Type="http://schemas.openxmlformats.org/officeDocument/2006/relationships/oleObject" Target="embeddings/oleObject36.bin"/><Relationship Id="rId86" Type="http://schemas.openxmlformats.org/officeDocument/2006/relationships/oleObject" Target="embeddings/oleObject39.bin"/><Relationship Id="rId130" Type="http://schemas.openxmlformats.org/officeDocument/2006/relationships/oleObject" Target="embeddings/oleObject63.bin"/><Relationship Id="rId135" Type="http://schemas.openxmlformats.org/officeDocument/2006/relationships/oleObject" Target="embeddings/oleObject66.bin"/><Relationship Id="rId151" Type="http://schemas.openxmlformats.org/officeDocument/2006/relationships/hyperlink" Target="https://ec.europa.eu/eurostat/web/products-eurostat-news/-/DDN-20200424-1" TargetMode="External"/><Relationship Id="rId156" Type="http://schemas.openxmlformats.org/officeDocument/2006/relationships/hyperlink" Target="https://www.mbopartners.com/wp-content/uploads/2019/02/StateofIndependence-ResearchBrief-DigitalNomads.pdf" TargetMode="External"/><Relationship Id="rId172" Type="http://schemas.openxmlformats.org/officeDocument/2006/relationships/fontTable" Target="fontTable.xml"/><Relationship Id="rId13" Type="http://schemas.openxmlformats.org/officeDocument/2006/relationships/hyperlink" Target="https://www.caee.utexas.edu/prof/bhat/ABSTRACTS/WPLSP/OnlineSupp.pdf" TargetMode="External"/><Relationship Id="rId18" Type="http://schemas.openxmlformats.org/officeDocument/2006/relationships/image" Target="media/image3.wmf"/><Relationship Id="rId39" Type="http://schemas.openxmlformats.org/officeDocument/2006/relationships/oleObject" Target="embeddings/oleObject13.bin"/><Relationship Id="rId109" Type="http://schemas.openxmlformats.org/officeDocument/2006/relationships/oleObject" Target="embeddings/oleObject52.bin"/><Relationship Id="rId34" Type="http://schemas.openxmlformats.org/officeDocument/2006/relationships/image" Target="media/image11.wmf"/><Relationship Id="rId50" Type="http://schemas.openxmlformats.org/officeDocument/2006/relationships/oleObject" Target="embeddings/oleObject19.bin"/><Relationship Id="rId55" Type="http://schemas.openxmlformats.org/officeDocument/2006/relationships/image" Target="media/image21.wmf"/><Relationship Id="rId76" Type="http://schemas.openxmlformats.org/officeDocument/2006/relationships/image" Target="media/image31.wmf"/><Relationship Id="rId97" Type="http://schemas.openxmlformats.org/officeDocument/2006/relationships/oleObject" Target="embeddings/oleObject46.bin"/><Relationship Id="rId104" Type="http://schemas.openxmlformats.org/officeDocument/2006/relationships/image" Target="media/image42.wmf"/><Relationship Id="rId120" Type="http://schemas.openxmlformats.org/officeDocument/2006/relationships/image" Target="media/image50.wmf"/><Relationship Id="rId125" Type="http://schemas.openxmlformats.org/officeDocument/2006/relationships/oleObject" Target="embeddings/oleObject60.bin"/><Relationship Id="rId141" Type="http://schemas.openxmlformats.org/officeDocument/2006/relationships/image" Target="media/image59.wmf"/><Relationship Id="rId146" Type="http://schemas.openxmlformats.org/officeDocument/2006/relationships/hyperlink" Target="https://doi.org/10.1177/21582440221082134" TargetMode="External"/><Relationship Id="rId167"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oleObject" Target="embeddings/oleObject30.bin"/><Relationship Id="rId92" Type="http://schemas.openxmlformats.org/officeDocument/2006/relationships/image" Target="media/image36.wmf"/><Relationship Id="rId162" Type="http://schemas.openxmlformats.org/officeDocument/2006/relationships/hyperlink" Target="https://www.inc.com/jessica-stillman/hiring-great-resignation-great-regret.html" TargetMode="External"/><Relationship Id="rId2" Type="http://schemas.openxmlformats.org/officeDocument/2006/relationships/numbering" Target="numbering.xml"/><Relationship Id="rId29" Type="http://schemas.openxmlformats.org/officeDocument/2006/relationships/oleObject" Target="embeddings/oleObject8.bin"/><Relationship Id="rId24" Type="http://schemas.openxmlformats.org/officeDocument/2006/relationships/image" Target="media/image6.wmf"/><Relationship Id="rId40" Type="http://schemas.openxmlformats.org/officeDocument/2006/relationships/image" Target="media/image14.wmf"/><Relationship Id="rId45" Type="http://schemas.openxmlformats.org/officeDocument/2006/relationships/oleObject" Target="embeddings/oleObject16.bin"/><Relationship Id="rId66" Type="http://schemas.openxmlformats.org/officeDocument/2006/relationships/image" Target="media/image26.wmf"/><Relationship Id="rId87" Type="http://schemas.openxmlformats.org/officeDocument/2006/relationships/oleObject" Target="embeddings/oleObject40.bin"/><Relationship Id="rId110" Type="http://schemas.openxmlformats.org/officeDocument/2006/relationships/image" Target="media/image45.wmf"/><Relationship Id="rId115" Type="http://schemas.openxmlformats.org/officeDocument/2006/relationships/oleObject" Target="embeddings/oleObject55.bin"/><Relationship Id="rId131" Type="http://schemas.openxmlformats.org/officeDocument/2006/relationships/image" Target="media/image55.wmf"/><Relationship Id="rId136" Type="http://schemas.openxmlformats.org/officeDocument/2006/relationships/image" Target="media/image57.wmf"/><Relationship Id="rId157" Type="http://schemas.openxmlformats.org/officeDocument/2006/relationships/hyperlink" Target="https://gov.texas.gov/news/post/governor-abbott-lifts-mask-mandate-opens-texas-100-percent" TargetMode="External"/><Relationship Id="rId61" Type="http://schemas.openxmlformats.org/officeDocument/2006/relationships/oleObject" Target="embeddings/oleObject25.bin"/><Relationship Id="rId82" Type="http://schemas.openxmlformats.org/officeDocument/2006/relationships/image" Target="media/image33.wmf"/><Relationship Id="rId152" Type="http://schemas.openxmlformats.org/officeDocument/2006/relationships/hyperlink" Target="https://www.gallup.com/workplace/310988/covid-19-working-from-home-guide.aspx" TargetMode="External"/><Relationship Id="rId173" Type="http://schemas.openxmlformats.org/officeDocument/2006/relationships/theme" Target="theme/theme1.xml"/><Relationship Id="rId19" Type="http://schemas.openxmlformats.org/officeDocument/2006/relationships/oleObject" Target="embeddings/oleObject3.bin"/><Relationship Id="rId14" Type="http://schemas.openxmlformats.org/officeDocument/2006/relationships/image" Target="media/image1.wmf"/><Relationship Id="rId30" Type="http://schemas.openxmlformats.org/officeDocument/2006/relationships/image" Target="media/image9.wmf"/><Relationship Id="rId35" Type="http://schemas.openxmlformats.org/officeDocument/2006/relationships/oleObject" Target="embeddings/oleObject11.bin"/><Relationship Id="rId56" Type="http://schemas.openxmlformats.org/officeDocument/2006/relationships/oleObject" Target="embeddings/oleObject22.bin"/><Relationship Id="rId77" Type="http://schemas.openxmlformats.org/officeDocument/2006/relationships/oleObject" Target="embeddings/oleObject33.bin"/><Relationship Id="rId100" Type="http://schemas.openxmlformats.org/officeDocument/2006/relationships/image" Target="media/image40.wmf"/><Relationship Id="rId105" Type="http://schemas.openxmlformats.org/officeDocument/2006/relationships/oleObject" Target="embeddings/oleObject50.bin"/><Relationship Id="rId126" Type="http://schemas.openxmlformats.org/officeDocument/2006/relationships/image" Target="media/image53.wmf"/><Relationship Id="rId147" Type="http://schemas.openxmlformats.org/officeDocument/2006/relationships/hyperlink" Target="https://www.nymtc.org/LinkClick.aspx?fileticket=HxckPR9iDnA%3D&amp;portalid=0" TargetMode="External"/><Relationship Id="rId168" Type="http://schemas.openxmlformats.org/officeDocument/2006/relationships/image" Target="media/image61.png"/><Relationship Id="rId8" Type="http://schemas.openxmlformats.org/officeDocument/2006/relationships/hyperlink" Target="mailto:kasmussen29@utexas.edu" TargetMode="External"/><Relationship Id="rId51" Type="http://schemas.openxmlformats.org/officeDocument/2006/relationships/image" Target="media/image19.wmf"/><Relationship Id="rId72" Type="http://schemas.openxmlformats.org/officeDocument/2006/relationships/image" Target="media/image29.wmf"/><Relationship Id="rId93" Type="http://schemas.openxmlformats.org/officeDocument/2006/relationships/oleObject" Target="embeddings/oleObject44.bin"/><Relationship Id="rId98" Type="http://schemas.openxmlformats.org/officeDocument/2006/relationships/image" Target="media/image39.wmf"/><Relationship Id="rId121" Type="http://schemas.openxmlformats.org/officeDocument/2006/relationships/oleObject" Target="embeddings/oleObject58.bin"/><Relationship Id="rId142" Type="http://schemas.openxmlformats.org/officeDocument/2006/relationships/oleObject" Target="embeddings/oleObject70.bin"/><Relationship Id="rId163" Type="http://schemas.openxmlformats.org/officeDocument/2006/relationships/hyperlink" Target="https://demographics.texas.gov/" TargetMode="External"/><Relationship Id="rId3" Type="http://schemas.openxmlformats.org/officeDocument/2006/relationships/styles" Target="styles.xml"/><Relationship Id="rId25" Type="http://schemas.openxmlformats.org/officeDocument/2006/relationships/oleObject" Target="embeddings/oleObject6.bin"/><Relationship Id="rId46" Type="http://schemas.openxmlformats.org/officeDocument/2006/relationships/image" Target="media/image17.wmf"/><Relationship Id="rId67" Type="http://schemas.openxmlformats.org/officeDocument/2006/relationships/oleObject" Target="embeddings/oleObject28.bin"/><Relationship Id="rId116" Type="http://schemas.openxmlformats.org/officeDocument/2006/relationships/image" Target="media/image48.wmf"/><Relationship Id="rId137" Type="http://schemas.openxmlformats.org/officeDocument/2006/relationships/oleObject" Target="embeddings/oleObject67.bin"/><Relationship Id="rId158" Type="http://schemas.openxmlformats.org/officeDocument/2006/relationships/hyperlink" Target="https://policycommons.net/artifacts/1426277/how-the-coronavirus-outbreak-has/2040685/" TargetMode="External"/><Relationship Id="rId20" Type="http://schemas.openxmlformats.org/officeDocument/2006/relationships/image" Target="media/image4.wmf"/><Relationship Id="rId41" Type="http://schemas.openxmlformats.org/officeDocument/2006/relationships/oleObject" Target="embeddings/oleObject14.bin"/><Relationship Id="rId62" Type="http://schemas.openxmlformats.org/officeDocument/2006/relationships/image" Target="media/image24.wmf"/><Relationship Id="rId83" Type="http://schemas.openxmlformats.org/officeDocument/2006/relationships/oleObject" Target="embeddings/oleObject37.bin"/><Relationship Id="rId88" Type="http://schemas.openxmlformats.org/officeDocument/2006/relationships/oleObject" Target="embeddings/oleObject41.bin"/><Relationship Id="rId111" Type="http://schemas.openxmlformats.org/officeDocument/2006/relationships/oleObject" Target="embeddings/oleObject53.bin"/><Relationship Id="rId132" Type="http://schemas.openxmlformats.org/officeDocument/2006/relationships/oleObject" Target="embeddings/oleObject64.bin"/><Relationship Id="rId153" Type="http://schemas.openxmlformats.org/officeDocument/2006/relationships/hyperlink" Target="https://www.rand.org/pubs/conf_proceedings/CFA1556-1.html" TargetMode="External"/><Relationship Id="rId15" Type="http://schemas.openxmlformats.org/officeDocument/2006/relationships/oleObject" Target="embeddings/oleObject1.bin"/><Relationship Id="rId36" Type="http://schemas.openxmlformats.org/officeDocument/2006/relationships/image" Target="media/image12.wmf"/><Relationship Id="rId57" Type="http://schemas.openxmlformats.org/officeDocument/2006/relationships/image" Target="media/image22.wmf"/><Relationship Id="rId106" Type="http://schemas.openxmlformats.org/officeDocument/2006/relationships/image" Target="media/image43.wmf"/><Relationship Id="rId127" Type="http://schemas.openxmlformats.org/officeDocument/2006/relationships/oleObject" Target="embeddings/oleObject61.bin"/><Relationship Id="rId10" Type="http://schemas.openxmlformats.org/officeDocument/2006/relationships/hyperlink" Target="mailto:bhat@mail.utexas.edu" TargetMode="External"/><Relationship Id="rId31" Type="http://schemas.openxmlformats.org/officeDocument/2006/relationships/oleObject" Target="embeddings/oleObject9.bin"/><Relationship Id="rId52" Type="http://schemas.openxmlformats.org/officeDocument/2006/relationships/oleObject" Target="embeddings/oleObject20.bin"/><Relationship Id="rId73" Type="http://schemas.openxmlformats.org/officeDocument/2006/relationships/oleObject" Target="embeddings/oleObject31.bin"/><Relationship Id="rId78" Type="http://schemas.openxmlformats.org/officeDocument/2006/relationships/image" Target="media/image32.wmf"/><Relationship Id="rId94" Type="http://schemas.openxmlformats.org/officeDocument/2006/relationships/image" Target="media/image37.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image" Target="media/image51.wmf"/><Relationship Id="rId143" Type="http://schemas.openxmlformats.org/officeDocument/2006/relationships/image" Target="media/image60.wmf"/><Relationship Id="rId148" Type="http://schemas.openxmlformats.org/officeDocument/2006/relationships/hyperlink" Target="https://www.usatoday.com/story/money/2022/03/28/great-resignation-regret-workers-quit-jobs-not-content/7163041001/?gnt-cfr=1" TargetMode="External"/><Relationship Id="rId164" Type="http://schemas.openxmlformats.org/officeDocument/2006/relationships/hyperlink" Target="https://www.cnbc.com/2022/08/16/heres-why-you-should-or-shouldnt-go-back-to-your-old-job.html" TargetMode="External"/><Relationship Id="rId169" Type="http://schemas.microsoft.com/office/2007/relationships/hdphoto" Target="media/hdphoto1.wdp"/><Relationship Id="rId4" Type="http://schemas.openxmlformats.org/officeDocument/2006/relationships/settings" Target="settings.xml"/><Relationship Id="rId9" Type="http://schemas.openxmlformats.org/officeDocument/2006/relationships/hyperlink" Target="mailto:aupal.mondal@utexas.edu" TargetMode="External"/><Relationship Id="rId26" Type="http://schemas.openxmlformats.org/officeDocument/2006/relationships/image" Target="media/image7.wmf"/><Relationship Id="rId47" Type="http://schemas.openxmlformats.org/officeDocument/2006/relationships/oleObject" Target="embeddings/oleObject17.bin"/><Relationship Id="rId68" Type="http://schemas.openxmlformats.org/officeDocument/2006/relationships/image" Target="media/image27.wmf"/><Relationship Id="rId89" Type="http://schemas.openxmlformats.org/officeDocument/2006/relationships/oleObject" Target="embeddings/oleObject42.bin"/><Relationship Id="rId112" Type="http://schemas.openxmlformats.org/officeDocument/2006/relationships/image" Target="media/image46.wmf"/><Relationship Id="rId133" Type="http://schemas.openxmlformats.org/officeDocument/2006/relationships/image" Target="media/image56.wmf"/><Relationship Id="rId154" Type="http://schemas.openxmlformats.org/officeDocument/2006/relationships/hyperlink" Target="https://www.internationaltaxreview.com/article/2a6aa4kx02vkiebxxqkn4/the-rise-of-digital-nomads-in-greece" TargetMode="External"/><Relationship Id="rId16" Type="http://schemas.openxmlformats.org/officeDocument/2006/relationships/image" Target="media/image2.wmf"/><Relationship Id="rId37" Type="http://schemas.openxmlformats.org/officeDocument/2006/relationships/oleObject" Target="embeddings/oleObject12.bin"/><Relationship Id="rId58" Type="http://schemas.openxmlformats.org/officeDocument/2006/relationships/oleObject" Target="embeddings/oleObject23.bin"/><Relationship Id="rId79" Type="http://schemas.openxmlformats.org/officeDocument/2006/relationships/oleObject" Target="embeddings/oleObject34.bin"/><Relationship Id="rId102" Type="http://schemas.openxmlformats.org/officeDocument/2006/relationships/image" Target="media/image41.wmf"/><Relationship Id="rId123" Type="http://schemas.openxmlformats.org/officeDocument/2006/relationships/oleObject" Target="embeddings/oleObject59.bin"/><Relationship Id="rId144" Type="http://schemas.openxmlformats.org/officeDocument/2006/relationships/oleObject" Target="embeddings/oleObject71.bin"/><Relationship Id="rId90" Type="http://schemas.openxmlformats.org/officeDocument/2006/relationships/image" Target="media/image35.wmf"/><Relationship Id="rId165" Type="http://schemas.openxmlformats.org/officeDocument/2006/relationships/hyperlink" Target="https://hr.economictimes.indiatimes.com/news/hrtech/talent-acquisition-and-management/why-hiring-boomerang-employees-can-be-beneficial-for-businesses/94630879" TargetMode="External"/><Relationship Id="rId27" Type="http://schemas.openxmlformats.org/officeDocument/2006/relationships/oleObject" Target="embeddings/oleObject7.bin"/><Relationship Id="rId48" Type="http://schemas.openxmlformats.org/officeDocument/2006/relationships/oleObject" Target="embeddings/oleObject18.bin"/><Relationship Id="rId69" Type="http://schemas.openxmlformats.org/officeDocument/2006/relationships/oleObject" Target="embeddings/oleObject29.bin"/><Relationship Id="rId113" Type="http://schemas.openxmlformats.org/officeDocument/2006/relationships/oleObject" Target="embeddings/oleObject54.bin"/><Relationship Id="rId134" Type="http://schemas.openxmlformats.org/officeDocument/2006/relationships/oleObject" Target="embeddings/oleObject65.bin"/><Relationship Id="rId80" Type="http://schemas.openxmlformats.org/officeDocument/2006/relationships/oleObject" Target="embeddings/oleObject35.bin"/><Relationship Id="rId155" Type="http://schemas.openxmlformats.org/officeDocument/2006/relationships/hyperlink" Target="https://www.theguardian.com/business/2022/mar/20/great-resignation-great-regret-employees-quitting" TargetMode="External"/><Relationship Id="rId17" Type="http://schemas.openxmlformats.org/officeDocument/2006/relationships/oleObject" Target="embeddings/oleObject2.bin"/><Relationship Id="rId38" Type="http://schemas.openxmlformats.org/officeDocument/2006/relationships/image" Target="media/image13.wmf"/><Relationship Id="rId59" Type="http://schemas.openxmlformats.org/officeDocument/2006/relationships/oleObject" Target="embeddings/oleObject24.bin"/><Relationship Id="rId103" Type="http://schemas.openxmlformats.org/officeDocument/2006/relationships/oleObject" Target="embeddings/oleObject49.bin"/><Relationship Id="rId124" Type="http://schemas.openxmlformats.org/officeDocument/2006/relationships/image" Target="media/image52.wmf"/><Relationship Id="rId70" Type="http://schemas.openxmlformats.org/officeDocument/2006/relationships/image" Target="media/image28.wmf"/><Relationship Id="rId91" Type="http://schemas.openxmlformats.org/officeDocument/2006/relationships/oleObject" Target="embeddings/oleObject43.bin"/><Relationship Id="rId145" Type="http://schemas.openxmlformats.org/officeDocument/2006/relationships/hyperlink" Target="https://doi.org/https://doi.org/10.1016/0749-5978(91)90020-T" TargetMode="External"/><Relationship Id="rId166" Type="http://schemas.openxmlformats.org/officeDocument/2006/relationships/hyperlink" Target="https://startuptalky.com/the-great-resignation-case-stu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57A61A3-2DBA-4B6A-824A-3018DB50D30D}">
  <we:reference id="wa104382081" version="1.35.0.0" store="en-US" storeType="OMEX"/>
  <we:alternateReferences>
    <we:reference id="wa104382081" version="1.35.0.0" store="" storeType="OMEX"/>
  </we:alternateReferences>
  <we:properties>
    <we:property name="MENDELEY_CITATIONS" value="[]"/>
    <we:property name="MENDELEY_CITATIONS_STYLE" value="{&quot;id&quot;:&quot;https://www.zotero.org/styles/apa&quot;,&quot;title&quot;:&quot;American Psychological Association 7th edition&quot;,&quot;format&quot;:&quot;author-dat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A21E9-5494-4377-8C86-C474C3E0D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51</Pages>
  <Words>22389</Words>
  <Characters>127622</Characters>
  <Application>Microsoft Office Word</Application>
  <DocSecurity>0</DocSecurity>
  <Lines>1063</Lines>
  <Paragraphs>299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Asmussen, Katherine</dc:creator>
  <cp:keywords/>
  <dc:description/>
  <cp:lastModifiedBy>Macias, Lisa J</cp:lastModifiedBy>
  <cp:revision>5</cp:revision>
  <cp:lastPrinted>2023-03-29T15:29:00Z</cp:lastPrinted>
  <dcterms:created xsi:type="dcterms:W3CDTF">2023-02-03T23:51:00Z</dcterms:created>
  <dcterms:modified xsi:type="dcterms:W3CDTF">2023-03-29T15:34:00Z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909ce785368496660c157b9bb8dfc427dac4fa5b0121c244371bb8deffaa3e31</vt:lpwstr>
  </property>
</Properties>
</file>