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83BDB" w14:textId="77777777" w:rsidR="0038441B" w:rsidRDefault="0038441B" w:rsidP="0038441B">
      <w:pPr>
        <w:rPr>
          <w:rFonts w:ascii="Times New Roman" w:hAnsi="Times New Roman"/>
          <w:b/>
          <w:szCs w:val="24"/>
        </w:rPr>
      </w:pPr>
      <w:bookmarkStart w:id="0" w:name="_Hlk147933844"/>
      <w:bookmarkEnd w:id="0"/>
    </w:p>
    <w:p w14:paraId="2D7F1365" w14:textId="77777777" w:rsidR="0038441B" w:rsidRDefault="0038441B" w:rsidP="0038441B">
      <w:pPr>
        <w:rPr>
          <w:rFonts w:ascii="Times New Roman" w:hAnsi="Times New Roman"/>
          <w:b/>
          <w:szCs w:val="24"/>
        </w:rPr>
      </w:pPr>
    </w:p>
    <w:p w14:paraId="74892F09" w14:textId="69AD03FE" w:rsidR="000D3635" w:rsidRPr="0038441B" w:rsidRDefault="000D3635" w:rsidP="0038441B">
      <w:pPr>
        <w:rPr>
          <w:rFonts w:ascii="Times New Roman" w:hAnsi="Times New Roman"/>
          <w:b/>
          <w:szCs w:val="24"/>
        </w:rPr>
      </w:pPr>
      <w:r w:rsidRPr="0038441B">
        <w:rPr>
          <w:rFonts w:ascii="Times New Roman" w:hAnsi="Times New Roman"/>
          <w:b/>
          <w:szCs w:val="24"/>
        </w:rPr>
        <w:t>An Analysis of Walking Frequency Before and After the Pandemic</w:t>
      </w:r>
    </w:p>
    <w:p w14:paraId="4DDE5CBD" w14:textId="2BD9D064" w:rsidR="000D3635" w:rsidRDefault="000D3635" w:rsidP="0038441B">
      <w:pPr>
        <w:rPr>
          <w:rFonts w:ascii="Times New Roman" w:hAnsi="Times New Roman"/>
          <w:b/>
          <w:szCs w:val="24"/>
        </w:rPr>
      </w:pPr>
    </w:p>
    <w:p w14:paraId="5E1C4858" w14:textId="7E1044C3" w:rsidR="0038441B" w:rsidRDefault="0038441B" w:rsidP="0038441B">
      <w:pPr>
        <w:rPr>
          <w:rFonts w:ascii="Times New Roman" w:hAnsi="Times New Roman"/>
          <w:b/>
          <w:szCs w:val="24"/>
        </w:rPr>
      </w:pPr>
    </w:p>
    <w:p w14:paraId="512AE327" w14:textId="7F17E7A6" w:rsidR="0038441B" w:rsidRDefault="0038441B" w:rsidP="0038441B">
      <w:pPr>
        <w:rPr>
          <w:rFonts w:ascii="Times New Roman" w:hAnsi="Times New Roman"/>
          <w:b/>
          <w:szCs w:val="24"/>
        </w:rPr>
      </w:pPr>
    </w:p>
    <w:p w14:paraId="531EC2F7" w14:textId="77777777" w:rsidR="0038441B" w:rsidRPr="0038441B" w:rsidRDefault="0038441B" w:rsidP="0038441B">
      <w:pPr>
        <w:rPr>
          <w:rFonts w:ascii="Times New Roman" w:hAnsi="Times New Roman"/>
          <w:b/>
          <w:szCs w:val="24"/>
        </w:rPr>
      </w:pPr>
    </w:p>
    <w:p w14:paraId="66988ADC" w14:textId="77777777" w:rsidR="000D3635" w:rsidRPr="0038441B" w:rsidRDefault="000D3635" w:rsidP="0038441B">
      <w:pPr>
        <w:rPr>
          <w:rFonts w:ascii="Times New Roman" w:hAnsi="Times New Roman"/>
          <w:b/>
          <w:szCs w:val="24"/>
        </w:rPr>
      </w:pPr>
      <w:proofErr w:type="spellStart"/>
      <w:r w:rsidRPr="0038441B">
        <w:rPr>
          <w:rFonts w:ascii="Times New Roman" w:hAnsi="Times New Roman"/>
          <w:b/>
          <w:szCs w:val="24"/>
        </w:rPr>
        <w:t>Hyunjun</w:t>
      </w:r>
      <w:proofErr w:type="spellEnd"/>
      <w:r w:rsidRPr="0038441B">
        <w:rPr>
          <w:rFonts w:ascii="Times New Roman" w:hAnsi="Times New Roman"/>
          <w:b/>
          <w:szCs w:val="24"/>
        </w:rPr>
        <w:t xml:space="preserve"> Hwang</w:t>
      </w:r>
    </w:p>
    <w:p w14:paraId="05140FB7" w14:textId="77777777" w:rsidR="000D3635" w:rsidRPr="0038441B" w:rsidRDefault="000D3635" w:rsidP="0038441B">
      <w:pPr>
        <w:rPr>
          <w:rFonts w:ascii="Times New Roman" w:hAnsi="Times New Roman"/>
          <w:szCs w:val="24"/>
        </w:rPr>
      </w:pPr>
      <w:r w:rsidRPr="0038441B">
        <w:rPr>
          <w:rFonts w:ascii="Times New Roman" w:hAnsi="Times New Roman"/>
          <w:szCs w:val="24"/>
        </w:rPr>
        <w:t>The University of Texas at Austin</w:t>
      </w:r>
    </w:p>
    <w:p w14:paraId="6DAB8145" w14:textId="755921D0" w:rsidR="000D3635" w:rsidRPr="0038441B" w:rsidRDefault="000D3635" w:rsidP="0038441B">
      <w:pPr>
        <w:rPr>
          <w:rFonts w:ascii="Times New Roman" w:hAnsi="Times New Roman"/>
          <w:szCs w:val="24"/>
        </w:rPr>
      </w:pPr>
      <w:r w:rsidRPr="0038441B">
        <w:rPr>
          <w:rFonts w:ascii="Times New Roman" w:hAnsi="Times New Roman"/>
          <w:szCs w:val="24"/>
        </w:rPr>
        <w:t>Department of Civil, Architectural and Environmental Engineering</w:t>
      </w:r>
    </w:p>
    <w:p w14:paraId="678B3132" w14:textId="77730FD0" w:rsidR="000D3635" w:rsidRPr="0038441B" w:rsidRDefault="000D3635" w:rsidP="0038441B">
      <w:pPr>
        <w:rPr>
          <w:rFonts w:ascii="Times New Roman" w:hAnsi="Times New Roman"/>
          <w:szCs w:val="24"/>
        </w:rPr>
      </w:pPr>
      <w:r w:rsidRPr="0038441B">
        <w:rPr>
          <w:rFonts w:ascii="Times New Roman" w:hAnsi="Times New Roman"/>
          <w:szCs w:val="24"/>
        </w:rPr>
        <w:t>301 E. Dean Keeton St. Stop C1761, Austin TX 78712, USA</w:t>
      </w:r>
    </w:p>
    <w:p w14:paraId="61EB3230" w14:textId="14328418" w:rsidR="000D3635" w:rsidRPr="0038441B" w:rsidRDefault="000D3635" w:rsidP="0038441B">
      <w:pPr>
        <w:rPr>
          <w:rFonts w:ascii="Times New Roman" w:hAnsi="Times New Roman"/>
          <w:szCs w:val="24"/>
        </w:rPr>
      </w:pPr>
      <w:r w:rsidRPr="0038441B">
        <w:rPr>
          <w:rFonts w:ascii="Times New Roman" w:hAnsi="Times New Roman"/>
          <w:szCs w:val="24"/>
        </w:rPr>
        <w:t xml:space="preserve">Email: </w:t>
      </w:r>
      <w:hyperlink r:id="rId8" w:history="1">
        <w:r w:rsidRPr="0038441B">
          <w:rPr>
            <w:rStyle w:val="Hyperlink"/>
            <w:rFonts w:ascii="Times New Roman" w:hAnsi="Times New Roman"/>
            <w:szCs w:val="24"/>
          </w:rPr>
          <w:t>hjhwang@utexas.edu</w:t>
        </w:r>
      </w:hyperlink>
      <w:r w:rsidRPr="0038441B">
        <w:rPr>
          <w:rFonts w:ascii="Times New Roman" w:hAnsi="Times New Roman"/>
          <w:szCs w:val="24"/>
        </w:rPr>
        <w:t xml:space="preserve">; ORCID: </w:t>
      </w:r>
      <w:hyperlink r:id="rId9" w:history="1">
        <w:r w:rsidRPr="0038441B">
          <w:rPr>
            <w:rStyle w:val="Hyperlink"/>
            <w:rFonts w:ascii="Times New Roman" w:hAnsi="Times New Roman"/>
            <w:szCs w:val="24"/>
          </w:rPr>
          <w:t>https://orcid.org/0000-0002-4667-7709</w:t>
        </w:r>
      </w:hyperlink>
    </w:p>
    <w:p w14:paraId="16F15247" w14:textId="77777777" w:rsidR="000D3635" w:rsidRPr="0038441B" w:rsidRDefault="000D3635" w:rsidP="0038441B">
      <w:pPr>
        <w:rPr>
          <w:rFonts w:ascii="Times New Roman" w:hAnsi="Times New Roman"/>
          <w:b/>
          <w:szCs w:val="24"/>
        </w:rPr>
      </w:pPr>
    </w:p>
    <w:p w14:paraId="42EE246A" w14:textId="77777777" w:rsidR="000D3635" w:rsidRPr="0038441B" w:rsidRDefault="000D3635" w:rsidP="0038441B">
      <w:pPr>
        <w:rPr>
          <w:rFonts w:ascii="Times New Roman" w:hAnsi="Times New Roman"/>
          <w:b/>
          <w:szCs w:val="24"/>
        </w:rPr>
      </w:pPr>
      <w:r w:rsidRPr="0038441B">
        <w:rPr>
          <w:rFonts w:ascii="Times New Roman" w:hAnsi="Times New Roman"/>
          <w:b/>
          <w:szCs w:val="24"/>
        </w:rPr>
        <w:t>Angela Haddad</w:t>
      </w:r>
    </w:p>
    <w:p w14:paraId="44F7E04E" w14:textId="77777777" w:rsidR="000D3635" w:rsidRPr="0038441B" w:rsidRDefault="000D3635" w:rsidP="0038441B">
      <w:pPr>
        <w:rPr>
          <w:rFonts w:ascii="Times New Roman" w:hAnsi="Times New Roman"/>
          <w:szCs w:val="24"/>
        </w:rPr>
      </w:pPr>
      <w:r w:rsidRPr="0038441B">
        <w:rPr>
          <w:rFonts w:ascii="Times New Roman" w:hAnsi="Times New Roman"/>
          <w:szCs w:val="24"/>
        </w:rPr>
        <w:t>The University of Texas at Austin</w:t>
      </w:r>
    </w:p>
    <w:p w14:paraId="7464FC74" w14:textId="710244FD" w:rsidR="000D3635" w:rsidRPr="0038441B" w:rsidRDefault="000D3635" w:rsidP="0038441B">
      <w:pPr>
        <w:rPr>
          <w:rFonts w:ascii="Times New Roman" w:hAnsi="Times New Roman"/>
          <w:szCs w:val="24"/>
        </w:rPr>
      </w:pPr>
      <w:r w:rsidRPr="0038441B">
        <w:rPr>
          <w:rFonts w:ascii="Times New Roman" w:hAnsi="Times New Roman"/>
          <w:szCs w:val="24"/>
        </w:rPr>
        <w:t>Department of Civil, Architectural and Environmental Engineering</w:t>
      </w:r>
    </w:p>
    <w:p w14:paraId="6135F276" w14:textId="7F1D878E" w:rsidR="000D3635" w:rsidRPr="0038441B" w:rsidRDefault="000D3635" w:rsidP="0038441B">
      <w:pPr>
        <w:rPr>
          <w:rFonts w:ascii="Times New Roman" w:hAnsi="Times New Roman"/>
          <w:szCs w:val="24"/>
        </w:rPr>
      </w:pPr>
      <w:r w:rsidRPr="0038441B">
        <w:rPr>
          <w:rFonts w:ascii="Times New Roman" w:hAnsi="Times New Roman"/>
          <w:szCs w:val="24"/>
        </w:rPr>
        <w:t>301 E. Dean Keeton St. Stop C1761, Austin TX 78712, USA</w:t>
      </w:r>
    </w:p>
    <w:p w14:paraId="6DA390AD" w14:textId="2AE65749" w:rsidR="000D3635" w:rsidRPr="0038441B" w:rsidRDefault="000D3635" w:rsidP="0038441B">
      <w:pPr>
        <w:rPr>
          <w:rFonts w:ascii="Times New Roman" w:hAnsi="Times New Roman"/>
          <w:szCs w:val="24"/>
        </w:rPr>
      </w:pPr>
      <w:r w:rsidRPr="0038441B">
        <w:rPr>
          <w:rFonts w:ascii="Times New Roman" w:hAnsi="Times New Roman"/>
          <w:szCs w:val="24"/>
        </w:rPr>
        <w:t xml:space="preserve">Email: </w:t>
      </w:r>
      <w:hyperlink r:id="rId10" w:history="1">
        <w:r w:rsidRPr="0038441B">
          <w:rPr>
            <w:rStyle w:val="Hyperlink"/>
            <w:rFonts w:ascii="Times New Roman" w:hAnsi="Times New Roman"/>
            <w:szCs w:val="24"/>
          </w:rPr>
          <w:t>angela.haddad@utexas.edu</w:t>
        </w:r>
      </w:hyperlink>
      <w:r w:rsidRPr="00EE6597">
        <w:rPr>
          <w:rStyle w:val="Hyperlink"/>
          <w:rFonts w:ascii="Times New Roman" w:hAnsi="Times New Roman"/>
          <w:color w:val="auto"/>
          <w:szCs w:val="24"/>
          <w:u w:val="none"/>
        </w:rPr>
        <w:t xml:space="preserve">; </w:t>
      </w:r>
      <w:r w:rsidRPr="0038441B">
        <w:rPr>
          <w:rFonts w:ascii="Times New Roman" w:hAnsi="Times New Roman"/>
          <w:szCs w:val="24"/>
        </w:rPr>
        <w:t xml:space="preserve">ORCID: </w:t>
      </w:r>
      <w:hyperlink r:id="rId11" w:history="1">
        <w:r w:rsidRPr="0038441B">
          <w:rPr>
            <w:rStyle w:val="Hyperlink"/>
            <w:rFonts w:ascii="Times New Roman" w:hAnsi="Times New Roman"/>
            <w:szCs w:val="24"/>
          </w:rPr>
          <w:t>https://orcid.org/0000-0001-5759-2260</w:t>
        </w:r>
      </w:hyperlink>
    </w:p>
    <w:p w14:paraId="36F227B2" w14:textId="77777777" w:rsidR="000D3635" w:rsidRPr="0038441B" w:rsidRDefault="000D3635" w:rsidP="0038441B">
      <w:pPr>
        <w:rPr>
          <w:rFonts w:ascii="Times New Roman" w:hAnsi="Times New Roman"/>
          <w:szCs w:val="24"/>
        </w:rPr>
      </w:pPr>
    </w:p>
    <w:p w14:paraId="02E9B268" w14:textId="77777777" w:rsidR="000D3635" w:rsidRPr="0038441B" w:rsidRDefault="000D3635" w:rsidP="0038441B">
      <w:pPr>
        <w:rPr>
          <w:rFonts w:ascii="Times New Roman" w:eastAsia="Calibri" w:hAnsi="Times New Roman"/>
          <w:b/>
          <w:szCs w:val="24"/>
        </w:rPr>
      </w:pPr>
      <w:r w:rsidRPr="0038441B">
        <w:rPr>
          <w:rFonts w:ascii="Times New Roman" w:eastAsia="Calibri" w:hAnsi="Times New Roman"/>
          <w:b/>
          <w:szCs w:val="24"/>
        </w:rPr>
        <w:t>Irfan Batur</w:t>
      </w:r>
    </w:p>
    <w:p w14:paraId="5A6DF1FB" w14:textId="77777777" w:rsidR="000D3635" w:rsidRPr="0038441B" w:rsidRDefault="000D3635" w:rsidP="0038441B">
      <w:pPr>
        <w:rPr>
          <w:rFonts w:ascii="Times New Roman" w:eastAsia="Calibri" w:hAnsi="Times New Roman"/>
          <w:szCs w:val="24"/>
        </w:rPr>
      </w:pPr>
      <w:r w:rsidRPr="0038441B">
        <w:rPr>
          <w:rFonts w:ascii="Times New Roman" w:eastAsia="Calibri" w:hAnsi="Times New Roman"/>
          <w:szCs w:val="24"/>
        </w:rPr>
        <w:t>Arizona State University, School of Sustainable Engineering and the Built Environment</w:t>
      </w:r>
    </w:p>
    <w:p w14:paraId="46E91ED9" w14:textId="08BDF4A0" w:rsidR="000D3635" w:rsidRPr="0038441B" w:rsidRDefault="000D3635" w:rsidP="0038441B">
      <w:pPr>
        <w:rPr>
          <w:rFonts w:ascii="Times New Roman" w:eastAsia="Calibri" w:hAnsi="Times New Roman"/>
          <w:szCs w:val="24"/>
        </w:rPr>
      </w:pPr>
      <w:r w:rsidRPr="0038441B">
        <w:rPr>
          <w:rFonts w:ascii="Times New Roman" w:eastAsia="Calibri" w:hAnsi="Times New Roman"/>
          <w:szCs w:val="24"/>
        </w:rPr>
        <w:t>660 S. College Avenue, Tempe, AZ 85287-3005</w:t>
      </w:r>
      <w:r w:rsidR="0038441B" w:rsidRPr="0038441B">
        <w:rPr>
          <w:rFonts w:ascii="Times New Roman" w:hAnsi="Times New Roman"/>
          <w:szCs w:val="24"/>
        </w:rPr>
        <w:t>, USA</w:t>
      </w:r>
    </w:p>
    <w:p w14:paraId="7851548E" w14:textId="08D86930" w:rsidR="000D3635" w:rsidRPr="0038441B" w:rsidRDefault="000D3635" w:rsidP="0038441B">
      <w:pPr>
        <w:rPr>
          <w:rFonts w:ascii="Times New Roman" w:eastAsia="Calibri" w:hAnsi="Times New Roman"/>
          <w:color w:val="0563C1"/>
          <w:szCs w:val="24"/>
          <w:u w:val="single"/>
        </w:rPr>
      </w:pPr>
      <w:r w:rsidRPr="0038441B">
        <w:rPr>
          <w:rFonts w:ascii="Times New Roman" w:eastAsia="Calibri" w:hAnsi="Times New Roman"/>
          <w:szCs w:val="24"/>
        </w:rPr>
        <w:t xml:space="preserve">Email: </w:t>
      </w:r>
      <w:hyperlink r:id="rId12" w:history="1">
        <w:r w:rsidR="00EE6597" w:rsidRPr="00E30FD1">
          <w:rPr>
            <w:rStyle w:val="Hyperlink"/>
          </w:rPr>
          <w:t>ibatur@asu.edu</w:t>
        </w:r>
      </w:hyperlink>
      <w:r w:rsidRPr="00EE6597">
        <w:t>;</w:t>
      </w:r>
      <w:r w:rsidR="00EE6597">
        <w:rPr>
          <w:rFonts w:ascii="Times New Roman" w:hAnsi="Times New Roman"/>
          <w:szCs w:val="24"/>
        </w:rPr>
        <w:t xml:space="preserve"> </w:t>
      </w:r>
      <w:r w:rsidRPr="0038441B">
        <w:rPr>
          <w:rFonts w:ascii="Times New Roman" w:hAnsi="Times New Roman"/>
          <w:szCs w:val="24"/>
        </w:rPr>
        <w:t xml:space="preserve">ORCID: </w:t>
      </w:r>
      <w:hyperlink r:id="rId13" w:history="1">
        <w:r w:rsidRPr="0038441B">
          <w:rPr>
            <w:rStyle w:val="Hyperlink"/>
            <w:rFonts w:ascii="Times New Roman" w:hAnsi="Times New Roman"/>
            <w:szCs w:val="24"/>
          </w:rPr>
          <w:t>https://orcid.org/0000-0002-8058-2578</w:t>
        </w:r>
      </w:hyperlink>
    </w:p>
    <w:p w14:paraId="6325B0BD" w14:textId="77777777" w:rsidR="000D3635" w:rsidRPr="0038441B" w:rsidRDefault="000D3635" w:rsidP="0038441B">
      <w:pPr>
        <w:rPr>
          <w:rFonts w:ascii="Times New Roman" w:hAnsi="Times New Roman"/>
          <w:szCs w:val="24"/>
        </w:rPr>
      </w:pPr>
    </w:p>
    <w:p w14:paraId="37FA24E4" w14:textId="77777777" w:rsidR="000D3635" w:rsidRPr="0038441B" w:rsidRDefault="000D3635" w:rsidP="0038441B">
      <w:pPr>
        <w:rPr>
          <w:rFonts w:ascii="Times New Roman" w:eastAsia="Calibri" w:hAnsi="Times New Roman"/>
          <w:b/>
          <w:szCs w:val="24"/>
        </w:rPr>
      </w:pPr>
      <w:r w:rsidRPr="0038441B">
        <w:rPr>
          <w:rFonts w:ascii="Times New Roman" w:eastAsia="Calibri" w:hAnsi="Times New Roman"/>
          <w:b/>
          <w:szCs w:val="24"/>
        </w:rPr>
        <w:t>Shobhit Saxena</w:t>
      </w:r>
    </w:p>
    <w:p w14:paraId="12661DB1" w14:textId="77777777" w:rsidR="000D3635" w:rsidRPr="0038441B" w:rsidRDefault="000D3635" w:rsidP="0038441B">
      <w:pPr>
        <w:rPr>
          <w:rFonts w:ascii="Times New Roman" w:hAnsi="Times New Roman"/>
          <w:szCs w:val="24"/>
        </w:rPr>
      </w:pPr>
      <w:r w:rsidRPr="0038441B">
        <w:rPr>
          <w:rFonts w:ascii="Times New Roman" w:hAnsi="Times New Roman"/>
          <w:szCs w:val="24"/>
        </w:rPr>
        <w:t>The University of Texas at Austin</w:t>
      </w:r>
    </w:p>
    <w:p w14:paraId="728DC120" w14:textId="61AF595E" w:rsidR="000D3635" w:rsidRPr="0038441B" w:rsidRDefault="000D3635" w:rsidP="0038441B">
      <w:pPr>
        <w:rPr>
          <w:rFonts w:ascii="Times New Roman" w:hAnsi="Times New Roman"/>
          <w:szCs w:val="24"/>
        </w:rPr>
      </w:pPr>
      <w:r w:rsidRPr="0038441B">
        <w:rPr>
          <w:rFonts w:ascii="Times New Roman" w:hAnsi="Times New Roman"/>
          <w:szCs w:val="24"/>
        </w:rPr>
        <w:t>Department of Civil, Architectural and Environmental Engineering</w:t>
      </w:r>
    </w:p>
    <w:p w14:paraId="4336E0CF" w14:textId="1F0460CA" w:rsidR="000D3635" w:rsidRPr="0038441B" w:rsidRDefault="000D3635" w:rsidP="0038441B">
      <w:pPr>
        <w:rPr>
          <w:rFonts w:ascii="Times New Roman" w:hAnsi="Times New Roman"/>
          <w:szCs w:val="24"/>
        </w:rPr>
      </w:pPr>
      <w:r w:rsidRPr="0038441B">
        <w:rPr>
          <w:rFonts w:ascii="Times New Roman" w:hAnsi="Times New Roman"/>
          <w:szCs w:val="24"/>
        </w:rPr>
        <w:t>301 E. Dean Keeton St. Stop C1761, Austin TX 78712, USA</w:t>
      </w:r>
    </w:p>
    <w:p w14:paraId="2B5B4C87" w14:textId="0601DF9B" w:rsidR="000D3635" w:rsidRPr="0038441B" w:rsidRDefault="000D3635" w:rsidP="0038441B">
      <w:pPr>
        <w:rPr>
          <w:rFonts w:ascii="Times New Roman" w:hAnsi="Times New Roman"/>
          <w:szCs w:val="24"/>
        </w:rPr>
      </w:pPr>
      <w:r w:rsidRPr="0038441B">
        <w:rPr>
          <w:rFonts w:ascii="Times New Roman" w:hAnsi="Times New Roman"/>
          <w:szCs w:val="24"/>
        </w:rPr>
        <w:t xml:space="preserve">Email: </w:t>
      </w:r>
      <w:hyperlink r:id="rId14" w:history="1">
        <w:r w:rsidRPr="0038441B">
          <w:rPr>
            <w:rStyle w:val="Hyperlink"/>
            <w:rFonts w:ascii="Times New Roman" w:hAnsi="Times New Roman"/>
            <w:szCs w:val="24"/>
          </w:rPr>
          <w:t>shobhit.saxena@austin.utexas.edu</w:t>
        </w:r>
      </w:hyperlink>
      <w:r w:rsidRPr="0038441B">
        <w:rPr>
          <w:rFonts w:ascii="Times New Roman" w:hAnsi="Times New Roman"/>
          <w:szCs w:val="24"/>
        </w:rPr>
        <w:t xml:space="preserve">; ORCID: </w:t>
      </w:r>
      <w:hyperlink r:id="rId15" w:history="1">
        <w:r w:rsidRPr="0038441B">
          <w:rPr>
            <w:rStyle w:val="Hyperlink"/>
            <w:rFonts w:ascii="Times New Roman" w:hAnsi="Times New Roman"/>
            <w:szCs w:val="24"/>
          </w:rPr>
          <w:t>https://orcid.org/0000-0001-5428-4035</w:t>
        </w:r>
      </w:hyperlink>
    </w:p>
    <w:p w14:paraId="68939D06" w14:textId="77777777" w:rsidR="000D3635" w:rsidRPr="0038441B" w:rsidRDefault="000D3635" w:rsidP="0038441B">
      <w:pPr>
        <w:rPr>
          <w:rFonts w:ascii="Times New Roman" w:hAnsi="Times New Roman"/>
          <w:szCs w:val="24"/>
        </w:rPr>
      </w:pPr>
    </w:p>
    <w:p w14:paraId="01FBE20D" w14:textId="77777777" w:rsidR="000D3635" w:rsidRPr="0038441B" w:rsidRDefault="000D3635" w:rsidP="0038441B">
      <w:pPr>
        <w:rPr>
          <w:rFonts w:ascii="Times New Roman" w:hAnsi="Times New Roman"/>
          <w:b/>
          <w:szCs w:val="24"/>
        </w:rPr>
      </w:pPr>
      <w:r w:rsidRPr="0038441B">
        <w:rPr>
          <w:rFonts w:ascii="Times New Roman" w:hAnsi="Times New Roman"/>
          <w:b/>
          <w:szCs w:val="24"/>
        </w:rPr>
        <w:t>Ram M. Pendyala</w:t>
      </w:r>
    </w:p>
    <w:p w14:paraId="371BAB4B" w14:textId="10EBF5F5" w:rsidR="000D3635" w:rsidRPr="0038441B" w:rsidRDefault="000D3635" w:rsidP="0038441B">
      <w:pPr>
        <w:rPr>
          <w:rFonts w:ascii="Times New Roman" w:hAnsi="Times New Roman"/>
          <w:szCs w:val="24"/>
        </w:rPr>
      </w:pPr>
      <w:r w:rsidRPr="0038441B">
        <w:rPr>
          <w:rFonts w:ascii="Times New Roman" w:hAnsi="Times New Roman"/>
          <w:szCs w:val="24"/>
        </w:rPr>
        <w:t>Arizona State University, School of Sustainable Engineering and the Built Environment</w:t>
      </w:r>
    </w:p>
    <w:p w14:paraId="3B873A49" w14:textId="474777C5" w:rsidR="000D3635" w:rsidRPr="0038441B" w:rsidRDefault="000D3635" w:rsidP="0038441B">
      <w:pPr>
        <w:rPr>
          <w:rFonts w:ascii="Times New Roman" w:hAnsi="Times New Roman"/>
          <w:szCs w:val="24"/>
        </w:rPr>
      </w:pPr>
      <w:r w:rsidRPr="0038441B">
        <w:rPr>
          <w:rFonts w:ascii="Times New Roman" w:hAnsi="Times New Roman"/>
          <w:szCs w:val="24"/>
        </w:rPr>
        <w:t>660 S. College Avenue, Tempe, AZ 85287-3005</w:t>
      </w:r>
      <w:r w:rsidR="0038441B" w:rsidRPr="0038441B">
        <w:rPr>
          <w:rFonts w:ascii="Times New Roman" w:hAnsi="Times New Roman"/>
          <w:szCs w:val="24"/>
        </w:rPr>
        <w:t>, USA</w:t>
      </w:r>
    </w:p>
    <w:p w14:paraId="4DD3CB6D" w14:textId="1BCA8A26" w:rsidR="000D3635" w:rsidRPr="0038441B" w:rsidRDefault="000D3635" w:rsidP="0038441B">
      <w:pPr>
        <w:rPr>
          <w:rFonts w:ascii="Times New Roman" w:hAnsi="Times New Roman"/>
          <w:szCs w:val="24"/>
        </w:rPr>
      </w:pPr>
      <w:r w:rsidRPr="0038441B">
        <w:rPr>
          <w:rFonts w:ascii="Times New Roman" w:hAnsi="Times New Roman"/>
          <w:szCs w:val="24"/>
        </w:rPr>
        <w:t xml:space="preserve">Email: </w:t>
      </w:r>
      <w:hyperlink r:id="rId16" w:history="1">
        <w:r w:rsidRPr="0038441B">
          <w:rPr>
            <w:rStyle w:val="Hyperlink"/>
            <w:rFonts w:ascii="Times New Roman" w:hAnsi="Times New Roman"/>
            <w:szCs w:val="24"/>
          </w:rPr>
          <w:t>ram.pendyala@asu.edu</w:t>
        </w:r>
      </w:hyperlink>
      <w:r w:rsidRPr="0038441B">
        <w:rPr>
          <w:rFonts w:ascii="Times New Roman" w:hAnsi="Times New Roman"/>
          <w:szCs w:val="24"/>
        </w:rPr>
        <w:t xml:space="preserve">; ORCID: </w:t>
      </w:r>
      <w:hyperlink r:id="rId17" w:history="1">
        <w:r w:rsidRPr="0038441B">
          <w:rPr>
            <w:rStyle w:val="Hyperlink"/>
            <w:rFonts w:ascii="Times New Roman" w:hAnsi="Times New Roman"/>
            <w:szCs w:val="24"/>
          </w:rPr>
          <w:t>https://orcid.org/0000-0002-1552-9447</w:t>
        </w:r>
      </w:hyperlink>
    </w:p>
    <w:p w14:paraId="512FE452" w14:textId="77777777" w:rsidR="000D3635" w:rsidRPr="0038441B" w:rsidRDefault="000D3635" w:rsidP="0038441B">
      <w:pPr>
        <w:rPr>
          <w:rFonts w:ascii="Times New Roman" w:hAnsi="Times New Roman"/>
          <w:szCs w:val="24"/>
        </w:rPr>
      </w:pPr>
    </w:p>
    <w:p w14:paraId="355701D2" w14:textId="77777777" w:rsidR="000D3635" w:rsidRPr="0038441B" w:rsidRDefault="000D3635" w:rsidP="0038441B">
      <w:pPr>
        <w:rPr>
          <w:rFonts w:ascii="Times New Roman" w:hAnsi="Times New Roman"/>
          <w:b/>
          <w:szCs w:val="24"/>
        </w:rPr>
      </w:pPr>
      <w:r w:rsidRPr="0038441B">
        <w:rPr>
          <w:rFonts w:ascii="Times New Roman" w:hAnsi="Times New Roman"/>
          <w:b/>
          <w:szCs w:val="24"/>
        </w:rPr>
        <w:t>Chandra R. Bhat (corresponding author)</w:t>
      </w:r>
    </w:p>
    <w:p w14:paraId="65ED9B92" w14:textId="44229584" w:rsidR="000D3635" w:rsidRPr="0038441B" w:rsidRDefault="000D3635" w:rsidP="0038441B">
      <w:pPr>
        <w:rPr>
          <w:rFonts w:ascii="Times New Roman" w:hAnsi="Times New Roman"/>
          <w:szCs w:val="24"/>
        </w:rPr>
      </w:pPr>
      <w:r w:rsidRPr="0038441B">
        <w:rPr>
          <w:rFonts w:ascii="Times New Roman" w:hAnsi="Times New Roman"/>
          <w:szCs w:val="24"/>
        </w:rPr>
        <w:t>The University of Texas at Austin</w:t>
      </w:r>
    </w:p>
    <w:p w14:paraId="67761869" w14:textId="7DCECE41" w:rsidR="000D3635" w:rsidRPr="0038441B" w:rsidRDefault="000D3635" w:rsidP="0038441B">
      <w:pPr>
        <w:rPr>
          <w:rFonts w:ascii="Times New Roman" w:hAnsi="Times New Roman"/>
          <w:szCs w:val="24"/>
        </w:rPr>
      </w:pPr>
      <w:r w:rsidRPr="0038441B">
        <w:rPr>
          <w:rFonts w:ascii="Times New Roman" w:hAnsi="Times New Roman"/>
          <w:szCs w:val="24"/>
        </w:rPr>
        <w:t>Department of Civil, Architectural and Environmental Engineering</w:t>
      </w:r>
    </w:p>
    <w:p w14:paraId="38937552" w14:textId="01CB83A3" w:rsidR="000D3635" w:rsidRPr="0038441B" w:rsidRDefault="000D3635" w:rsidP="0038441B">
      <w:pPr>
        <w:rPr>
          <w:rFonts w:ascii="Times New Roman" w:hAnsi="Times New Roman"/>
          <w:szCs w:val="24"/>
        </w:rPr>
      </w:pPr>
      <w:r w:rsidRPr="0038441B">
        <w:rPr>
          <w:rFonts w:ascii="Times New Roman" w:hAnsi="Times New Roman"/>
          <w:szCs w:val="24"/>
        </w:rPr>
        <w:t>301 E. Dean Keeton St. Stop C1761, Austin TX 78712, USA</w:t>
      </w:r>
    </w:p>
    <w:p w14:paraId="0C08AA53" w14:textId="7785A69B" w:rsidR="000D3635" w:rsidRPr="0038441B" w:rsidRDefault="000D3635" w:rsidP="0038441B">
      <w:pPr>
        <w:rPr>
          <w:rFonts w:ascii="Times New Roman" w:eastAsia="Malgun Gothic" w:hAnsi="Times New Roman"/>
          <w:szCs w:val="24"/>
        </w:rPr>
      </w:pPr>
      <w:r w:rsidRPr="0038441B">
        <w:rPr>
          <w:rFonts w:ascii="Times New Roman" w:hAnsi="Times New Roman"/>
          <w:szCs w:val="24"/>
          <w:lang w:val="fr-FR"/>
        </w:rPr>
        <w:t xml:space="preserve">Email: </w:t>
      </w:r>
      <w:hyperlink r:id="rId18" w:history="1">
        <w:r w:rsidRPr="0038441B">
          <w:rPr>
            <w:rStyle w:val="Hyperlink"/>
            <w:rFonts w:ascii="Times New Roman" w:hAnsi="Times New Roman"/>
            <w:szCs w:val="24"/>
            <w:lang w:val="fr-FR"/>
          </w:rPr>
          <w:t>bhat@mail.utexas.edu</w:t>
        </w:r>
      </w:hyperlink>
      <w:r w:rsidRPr="0038441B">
        <w:rPr>
          <w:rFonts w:ascii="Times New Roman" w:hAnsi="Times New Roman"/>
          <w:szCs w:val="24"/>
          <w:lang w:val="fr-FR"/>
        </w:rPr>
        <w:t xml:space="preserve">; </w:t>
      </w:r>
      <w:r w:rsidRPr="0038441B">
        <w:rPr>
          <w:rFonts w:ascii="Times New Roman" w:hAnsi="Times New Roman"/>
          <w:szCs w:val="24"/>
        </w:rPr>
        <w:t xml:space="preserve">ORCID: </w:t>
      </w:r>
      <w:hyperlink r:id="rId19" w:history="1">
        <w:r w:rsidRPr="0038441B">
          <w:rPr>
            <w:rStyle w:val="Hyperlink"/>
            <w:rFonts w:ascii="Times New Roman" w:hAnsi="Times New Roman"/>
            <w:szCs w:val="24"/>
          </w:rPr>
          <w:t>https://orcid.org/0000-0002-0715-8121</w:t>
        </w:r>
      </w:hyperlink>
    </w:p>
    <w:p w14:paraId="1F5661E9" w14:textId="121F3395" w:rsidR="00B52E9D" w:rsidRPr="0038441B" w:rsidRDefault="00B52E9D" w:rsidP="0038441B">
      <w:pPr>
        <w:rPr>
          <w:rFonts w:ascii="Times New Roman" w:hAnsi="Times New Roman"/>
          <w:szCs w:val="24"/>
          <w:lang w:val="fr-FR"/>
        </w:rPr>
      </w:pPr>
    </w:p>
    <w:p w14:paraId="520A96B2" w14:textId="77777777" w:rsidR="0038441B" w:rsidRPr="0038441B" w:rsidRDefault="0038441B" w:rsidP="0038441B">
      <w:pPr>
        <w:rPr>
          <w:rFonts w:ascii="Times New Roman" w:eastAsiaTheme="minorEastAsia" w:hAnsi="Times New Roman"/>
          <w:iCs/>
          <w:szCs w:val="24"/>
          <w:lang w:eastAsia="ko-KR"/>
        </w:rPr>
      </w:pPr>
    </w:p>
    <w:p w14:paraId="4CEDA0CC" w14:textId="0B45261A" w:rsidR="00B52E9D" w:rsidRPr="0038441B" w:rsidRDefault="00B52E9D" w:rsidP="0038441B">
      <w:pPr>
        <w:rPr>
          <w:rFonts w:ascii="Times New Roman" w:eastAsiaTheme="minorEastAsia" w:hAnsi="Times New Roman"/>
          <w:iCs/>
          <w:szCs w:val="24"/>
          <w:lang w:eastAsia="ko-KR"/>
        </w:rPr>
      </w:pPr>
    </w:p>
    <w:p w14:paraId="596EFAE1" w14:textId="77777777" w:rsidR="000D3635" w:rsidRPr="0038441B" w:rsidRDefault="000D3635" w:rsidP="0038441B">
      <w:pPr>
        <w:rPr>
          <w:rFonts w:ascii="Times New Roman" w:hAnsi="Times New Roman"/>
          <w:b/>
          <w:color w:val="000000" w:themeColor="text1"/>
          <w:szCs w:val="24"/>
        </w:rPr>
      </w:pPr>
      <w:r w:rsidRPr="0038441B">
        <w:rPr>
          <w:rFonts w:ascii="Times New Roman" w:hAnsi="Times New Roman"/>
          <w:b/>
          <w:color w:val="000000" w:themeColor="text1"/>
          <w:szCs w:val="24"/>
        </w:rPr>
        <w:br w:type="page"/>
      </w:r>
    </w:p>
    <w:p w14:paraId="65CD94E8" w14:textId="1E846DA4" w:rsidR="00334957" w:rsidRPr="0038441B" w:rsidRDefault="00B510FF" w:rsidP="00433C80">
      <w:pPr>
        <w:rPr>
          <w:rFonts w:ascii="Times New Roman" w:hAnsi="Times New Roman"/>
        </w:rPr>
      </w:pPr>
      <w:r w:rsidRPr="0038441B">
        <w:rPr>
          <w:rFonts w:ascii="Times New Roman" w:hAnsi="Times New Roman"/>
          <w:b/>
          <w:color w:val="000000" w:themeColor="text1"/>
          <w:szCs w:val="24"/>
        </w:rPr>
        <w:lastRenderedPageBreak/>
        <w:t>ABSTRACT</w:t>
      </w:r>
    </w:p>
    <w:p w14:paraId="2DDDECAB" w14:textId="1DB77572" w:rsidR="00334957" w:rsidRPr="0038441B" w:rsidRDefault="00433AEA" w:rsidP="00433AEA">
      <w:pPr>
        <w:jc w:val="both"/>
        <w:rPr>
          <w:rFonts w:ascii="Times New Roman" w:eastAsiaTheme="minorEastAsia" w:hAnsi="Times New Roman"/>
          <w:lang w:eastAsia="ko-KR"/>
        </w:rPr>
      </w:pPr>
      <w:r w:rsidRPr="0038441B">
        <w:rPr>
          <w:rFonts w:ascii="Times New Roman" w:hAnsi="Times New Roman"/>
        </w:rPr>
        <w:t xml:space="preserve">This paper </w:t>
      </w:r>
      <w:r w:rsidR="00EF3E50" w:rsidRPr="0038441B">
        <w:rPr>
          <w:rFonts w:ascii="Times New Roman" w:hAnsi="Times New Roman"/>
        </w:rPr>
        <w:t>examines</w:t>
      </w:r>
      <w:r w:rsidRPr="0038441B">
        <w:rPr>
          <w:rFonts w:ascii="Times New Roman" w:hAnsi="Times New Roman"/>
        </w:rPr>
        <w:t xml:space="preserve"> the factors that contribute to walking frequency</w:t>
      </w:r>
      <w:r w:rsidR="00EF3E50" w:rsidRPr="0038441B">
        <w:rPr>
          <w:rFonts w:ascii="Times New Roman" w:hAnsi="Times New Roman"/>
        </w:rPr>
        <w:t xml:space="preserve"> </w:t>
      </w:r>
      <w:r w:rsidRPr="0038441B">
        <w:rPr>
          <w:rFonts w:ascii="Times New Roman" w:hAnsi="Times New Roman"/>
        </w:rPr>
        <w:t>and the reasons for changes in walking frequency during the pandemic</w:t>
      </w:r>
      <w:r w:rsidR="00EF3E50" w:rsidRPr="0038441B">
        <w:rPr>
          <w:rFonts w:ascii="Times New Roman" w:hAnsi="Times New Roman"/>
        </w:rPr>
        <w:t>.</w:t>
      </w:r>
      <w:r w:rsidRPr="0038441B">
        <w:rPr>
          <w:rFonts w:ascii="Times New Roman" w:hAnsi="Times New Roman"/>
        </w:rPr>
        <w:t xml:space="preserve"> </w:t>
      </w:r>
      <w:r w:rsidR="00EF3E50" w:rsidRPr="0038441B">
        <w:rPr>
          <w:rFonts w:ascii="Times New Roman" w:hAnsi="Times New Roman"/>
        </w:rPr>
        <w:t>U</w:t>
      </w:r>
      <w:r w:rsidRPr="0038441B">
        <w:rPr>
          <w:rFonts w:ascii="Times New Roman" w:hAnsi="Times New Roman"/>
        </w:rPr>
        <w:t>sing data from the COVID Future Panel Survey</w:t>
      </w:r>
      <w:r w:rsidR="00A96A32" w:rsidRPr="0038441B">
        <w:rPr>
          <w:rFonts w:ascii="Times New Roman" w:hAnsi="Times New Roman"/>
        </w:rPr>
        <w:t>,</w:t>
      </w:r>
      <w:r w:rsidRPr="0038441B">
        <w:rPr>
          <w:rFonts w:ascii="Times New Roman" w:hAnsi="Times New Roman"/>
        </w:rPr>
        <w:t xml:space="preserve"> </w:t>
      </w:r>
      <w:r w:rsidR="00EF3E50" w:rsidRPr="0038441B">
        <w:rPr>
          <w:rFonts w:ascii="Times New Roman" w:hAnsi="Times New Roman"/>
        </w:rPr>
        <w:t>a</w:t>
      </w:r>
      <w:r w:rsidRPr="0038441B">
        <w:rPr>
          <w:rFonts w:ascii="Times New Roman" w:hAnsi="Times New Roman"/>
        </w:rPr>
        <w:t xml:space="preserve"> bivariate ordered </w:t>
      </w:r>
      <w:proofErr w:type="spellStart"/>
      <w:r w:rsidRPr="0038441B">
        <w:rPr>
          <w:rFonts w:ascii="Times New Roman" w:hAnsi="Times New Roman"/>
        </w:rPr>
        <w:t>probit</w:t>
      </w:r>
      <w:proofErr w:type="spellEnd"/>
      <w:r w:rsidRPr="0038441B">
        <w:rPr>
          <w:rFonts w:ascii="Times New Roman" w:hAnsi="Times New Roman"/>
        </w:rPr>
        <w:t xml:space="preserve"> model of before- and after</w:t>
      </w:r>
      <w:r w:rsidR="00EF3E50" w:rsidRPr="0038441B">
        <w:rPr>
          <w:rFonts w:ascii="Times New Roman" w:hAnsi="Times New Roman"/>
        </w:rPr>
        <w:t>-</w:t>
      </w:r>
      <w:r w:rsidRPr="0038441B">
        <w:rPr>
          <w:rFonts w:ascii="Times New Roman" w:hAnsi="Times New Roman"/>
        </w:rPr>
        <w:t>pandemic walking frequency that accounts for fixed effects and pandemic-era shift effects is estimated to determine effects of socio-economic, demographic, and built</w:t>
      </w:r>
      <w:r w:rsidR="00EF3E50" w:rsidRPr="0038441B">
        <w:rPr>
          <w:rFonts w:ascii="Times New Roman" w:hAnsi="Times New Roman"/>
        </w:rPr>
        <w:t>-</w:t>
      </w:r>
      <w:r w:rsidRPr="0038441B">
        <w:rPr>
          <w:rFonts w:ascii="Times New Roman" w:hAnsi="Times New Roman"/>
        </w:rPr>
        <w:t xml:space="preserve">environment attributes on walking frequency. </w:t>
      </w:r>
      <w:r w:rsidR="00EF3E50" w:rsidRPr="0038441B">
        <w:rPr>
          <w:rFonts w:ascii="Times New Roman" w:hAnsi="Times New Roman"/>
        </w:rPr>
        <w:t>Also</w:t>
      </w:r>
      <w:r w:rsidRPr="0038441B">
        <w:rPr>
          <w:rFonts w:ascii="Times New Roman" w:hAnsi="Times New Roman"/>
        </w:rPr>
        <w:t xml:space="preserve">, a multivariate </w:t>
      </w:r>
      <w:proofErr w:type="spellStart"/>
      <w:r w:rsidRPr="0038441B">
        <w:rPr>
          <w:rFonts w:ascii="Times New Roman" w:hAnsi="Times New Roman"/>
        </w:rPr>
        <w:t>probit</w:t>
      </w:r>
      <w:proofErr w:type="spellEnd"/>
      <w:r w:rsidRPr="0038441B">
        <w:rPr>
          <w:rFonts w:ascii="Times New Roman" w:hAnsi="Times New Roman"/>
        </w:rPr>
        <w:t xml:space="preserve"> model is estimated </w:t>
      </w:r>
      <w:r w:rsidR="00AF2615" w:rsidRPr="0038441B">
        <w:rPr>
          <w:rFonts w:ascii="Times New Roman" w:hAnsi="Times New Roman"/>
        </w:rPr>
        <w:t>to identify reasons for increased walking frequency among different groups. Overall, it is found that individuals with greater resources and flexibility are able to increase their walking frequency</w:t>
      </w:r>
      <w:r w:rsidR="00EF3E50" w:rsidRPr="0038441B">
        <w:rPr>
          <w:rFonts w:ascii="Times New Roman" w:hAnsi="Times New Roman"/>
        </w:rPr>
        <w:t>.</w:t>
      </w:r>
      <w:r w:rsidR="00AF2615" w:rsidRPr="0038441B">
        <w:rPr>
          <w:rFonts w:ascii="Times New Roman" w:hAnsi="Times New Roman"/>
        </w:rPr>
        <w:t xml:space="preserve"> Built</w:t>
      </w:r>
      <w:r w:rsidR="00EF3E50" w:rsidRPr="0038441B">
        <w:rPr>
          <w:rFonts w:ascii="Times New Roman" w:hAnsi="Times New Roman"/>
        </w:rPr>
        <w:t>-</w:t>
      </w:r>
      <w:r w:rsidR="00AF2615" w:rsidRPr="0038441B">
        <w:rPr>
          <w:rFonts w:ascii="Times New Roman" w:hAnsi="Times New Roman"/>
        </w:rPr>
        <w:t xml:space="preserve">environment attributes are </w:t>
      </w:r>
      <w:r w:rsidR="00EF3E50" w:rsidRPr="0038441B">
        <w:rPr>
          <w:rFonts w:ascii="Times New Roman" w:hAnsi="Times New Roman"/>
        </w:rPr>
        <w:t xml:space="preserve">also </w:t>
      </w:r>
      <w:r w:rsidR="00AF2615" w:rsidRPr="0038441B">
        <w:rPr>
          <w:rFonts w:ascii="Times New Roman" w:hAnsi="Times New Roman"/>
        </w:rPr>
        <w:t>significant predictors of walking frequency. Some groups (e.g., households with children) elevated walking due to a realization of the enjoyment afforded by walking, thus offering a glimmer of hope that higher levels of walking may persist even after the pandemic is a distant memory.</w:t>
      </w:r>
    </w:p>
    <w:p w14:paraId="0598DA50" w14:textId="53FBF1AC" w:rsidR="00B510FF" w:rsidRPr="0038441B" w:rsidRDefault="00B510FF" w:rsidP="00433C80">
      <w:pPr>
        <w:rPr>
          <w:rFonts w:ascii="Times New Roman" w:hAnsi="Times New Roman"/>
        </w:rPr>
      </w:pPr>
    </w:p>
    <w:p w14:paraId="0D09C142" w14:textId="6BCCF937" w:rsidR="00B510FF" w:rsidRPr="0038441B" w:rsidRDefault="00E72D22" w:rsidP="00433C80">
      <w:pPr>
        <w:rPr>
          <w:rFonts w:ascii="Times New Roman" w:hAnsi="Times New Roman"/>
        </w:rPr>
      </w:pPr>
      <w:r w:rsidRPr="0038441B">
        <w:rPr>
          <w:rFonts w:ascii="Times New Roman" w:hAnsi="Times New Roman"/>
          <w:b/>
          <w:bCs/>
        </w:rPr>
        <w:t>Keywords</w:t>
      </w:r>
      <w:r w:rsidRPr="0038441B">
        <w:rPr>
          <w:rFonts w:ascii="Times New Roman" w:hAnsi="Times New Roman"/>
        </w:rPr>
        <w:t xml:space="preserve">: </w:t>
      </w:r>
      <w:r w:rsidR="00F971D9" w:rsidRPr="0038441B">
        <w:rPr>
          <w:rFonts w:ascii="Times New Roman" w:hAnsi="Times New Roman"/>
        </w:rPr>
        <w:t>physical activity, walking frequency, COVID impacts, active travel, multivariate models</w:t>
      </w:r>
      <w:r w:rsidR="00174108" w:rsidRPr="0038441B">
        <w:rPr>
          <w:rFonts w:ascii="Times New Roman" w:hAnsi="Times New Roman"/>
        </w:rPr>
        <w:t>, built environment</w:t>
      </w:r>
      <w:r w:rsidR="00B510FF" w:rsidRPr="0038441B">
        <w:rPr>
          <w:rFonts w:ascii="Times New Roman" w:hAnsi="Times New Roman"/>
        </w:rPr>
        <w:br w:type="page"/>
      </w:r>
    </w:p>
    <w:p w14:paraId="743714FD" w14:textId="77777777" w:rsidR="0038441B" w:rsidRDefault="0038441B" w:rsidP="008B58C4">
      <w:pPr>
        <w:pStyle w:val="Heading1"/>
        <w:spacing w:line="240" w:lineRule="auto"/>
        <w:jc w:val="both"/>
        <w:sectPr w:rsidR="0038441B" w:rsidSect="001F4A0E">
          <w:footerReference w:type="default" r:id="rId20"/>
          <w:pgSz w:w="12240" w:h="15840"/>
          <w:pgMar w:top="1440" w:right="1440" w:bottom="1440" w:left="1440" w:header="720" w:footer="720" w:gutter="0"/>
          <w:pgNumType w:start="1"/>
          <w:cols w:space="720"/>
          <w:docGrid w:linePitch="360"/>
        </w:sectPr>
      </w:pPr>
    </w:p>
    <w:p w14:paraId="431D53BF" w14:textId="12FFA3AE" w:rsidR="008B58C4" w:rsidRPr="0038441B" w:rsidRDefault="008B58C4" w:rsidP="008B58C4">
      <w:pPr>
        <w:pStyle w:val="Heading1"/>
        <w:spacing w:line="240" w:lineRule="auto"/>
        <w:jc w:val="both"/>
        <w:rPr>
          <w:caps/>
        </w:rPr>
      </w:pPr>
      <w:r w:rsidRPr="0038441B">
        <w:rPr>
          <w:caps/>
        </w:rPr>
        <w:lastRenderedPageBreak/>
        <w:t>Introduction</w:t>
      </w:r>
    </w:p>
    <w:p w14:paraId="572291D7" w14:textId="0668E80B" w:rsidR="008B58C4" w:rsidRPr="00EB1290" w:rsidRDefault="008B58C4" w:rsidP="008B58C4">
      <w:pPr>
        <w:jc w:val="both"/>
        <w:rPr>
          <w:rFonts w:ascii="Times New Roman" w:hAnsi="Times New Roman"/>
        </w:rPr>
      </w:pPr>
      <w:r w:rsidRPr="00EB1290">
        <w:rPr>
          <w:rFonts w:ascii="Times New Roman" w:hAnsi="Times New Roman"/>
        </w:rPr>
        <w:t xml:space="preserve">Walking is a cost-effective and healthy mode of transport and physical activity. Walking offers numerous physical health benefits, including reducing the risk of chronic diseases </w:t>
      </w:r>
      <w:r w:rsidRPr="00EB1290">
        <w:rPr>
          <w:rFonts w:ascii="Times New Roman" w:hAnsi="Times New Roman"/>
        </w:rPr>
        <w:fldChar w:fldCharType="begin"/>
      </w:r>
      <w:r w:rsidR="00E66090">
        <w:rPr>
          <w:rFonts w:ascii="Times New Roman" w:hAnsi="Times New Roman"/>
        </w:rPr>
        <w:instrText xml:space="preserve"> ADDIN ZOTERO_ITEM CSL_CITATION {"citationID":"Ewy93uTt","properties":{"formattedCitation":"(I.-M. Lee &amp; Buchner, 2008)","plainCitation":"(I.-M. Lee &amp; Buchner, 2008)","dontUpdate":true,"noteIndex":0},"citationItems":[{"id":"Fxqj00vV/K4kefdIE","uris":["http://zotero.org/users/10132210/items/HYFZ52IE"],"itemData":{"id":122,"type":"article-journal","abstract":"LEE, I-M., and D. M. BUCHNER. The Importance of Walking to Public Health. Med. Sci. Sports Exerc., Vol. 40, No. 7S, pp. S512–S518, 2008. Purpose: There is clear evidence that physical activity, including walking, has substantial benefits for health. This article, prepared as part of the proceedings of a conference on walking and health, discusses the type of walking that produces substantial health benefits, considers several methodological issues pertinent to epidemiologic studies investigating the association of walking and health, and reviews some of the reasons for the large public health importance of walking. Methods: Review of the available literature. Due to space constraints, this is not intended to be a comprehensive review; instead, selected studies are cited to illustrate the points raised. Results: Walking as a healthful form of physical activity began to receive attention in the 1990s due to new recommendations that emphasized moderate-intensity physical activity. The main example of moderate-intensity activity in the 1995 Centers for Disease Control/American College of Sports Medicine recommendation was brisk walking at 3 to 4 mph. Evidence for the health benefits of walking comes largely from epidemiologic studies. When interpreting the data from such studies, it is necessary to consider several methodological issues, including the design of the study, confounding by other lifestyle behaviors, and confounding by other kinds of physical activity. Walking has the potential to have a large public health impact due to its accessibility, its documented health benefits, and the fact that effective programs to promote walking already exist. Conclusions: Walking is a simple health behavior that can reduce rates of chronic disease and ameliorate rising health care costs, with only a modest increase in the number of activity-related injuries.","container-title":"Medicine &amp; Science in Sports &amp; Exercise","DOI":"10.1249/MSS.0b013e31817c65d0","ISSN":"0195-9131","issue":"7","language":"en","page":"S512-S518","source":"DOI.org (Crossref)","title":"The Importance of Walking to Public Health","volume":"40","author":[{"family":"Lee","given":"I-Min"},{"family":"Buchner","given":"David M."}],"issued":{"date-parts":[["2008",7]]}}}],"schema":"https://github.com/citation-style-language/schema/raw/master/csl-citation.json"} </w:instrText>
      </w:r>
      <w:r w:rsidRPr="00EB1290">
        <w:rPr>
          <w:rFonts w:ascii="Times New Roman" w:hAnsi="Times New Roman"/>
        </w:rPr>
        <w:fldChar w:fldCharType="separate"/>
      </w:r>
      <w:r w:rsidRPr="00EB1290">
        <w:rPr>
          <w:rFonts w:ascii="Times New Roman" w:hAnsi="Times New Roman"/>
        </w:rPr>
        <w:t>(Lee and Buchner, 2008)</w:t>
      </w:r>
      <w:r w:rsidRPr="00EB1290">
        <w:rPr>
          <w:rFonts w:ascii="Times New Roman" w:hAnsi="Times New Roman"/>
        </w:rPr>
        <w:fldChar w:fldCharType="end"/>
      </w:r>
      <w:r w:rsidRPr="00EB1290">
        <w:rPr>
          <w:rFonts w:ascii="Times New Roman" w:hAnsi="Times New Roman"/>
        </w:rPr>
        <w:t xml:space="preserve">, and enhancing bone density </w:t>
      </w:r>
      <w:r w:rsidRPr="00EB1290">
        <w:rPr>
          <w:rFonts w:ascii="Times New Roman" w:hAnsi="Times New Roman"/>
        </w:rPr>
        <w:fldChar w:fldCharType="begin"/>
      </w:r>
      <w:r w:rsidR="00E66090">
        <w:rPr>
          <w:rFonts w:ascii="Times New Roman" w:hAnsi="Times New Roman"/>
        </w:rPr>
        <w:instrText xml:space="preserve"> ADDIN ZOTERO_ITEM CSL_CITATION {"citationID":"UicMWR58","properties":{"formattedCitation":"(Krall &amp; Dawson-Hughes, 1994)","plainCitation":"(Krall &amp; Dawson-Hughes, 1994)","dontUpdate":true,"noteIndex":0},"citationItems":[{"id":"Fxqj00vV/e5MTyUqG","uris":["http://zotero.org/users/10132210/items/8SWEDRQV"],"itemData":{"id":126,"type":"article-journal","abstract":"PURPOSE: To determine if walking, independently of other types of physical activity, influences bone density and rates of bone loss from the lumbar spine and whole body. PATIENTSANDMETIIODS: Healthy,white,postmenopausal women (n = 239) participating in a l-year, placebo-controlled trial of vitamin D supplementation were studied. Bone densities of the lumbar spine and whole body were measured semiannually by dual-energy x-ray absorptiometry. Current and historical participation in outdoor walking and other leisure-time physical activities was assessed by questionnaire.\nRESULTS: Women who walk more than 7.5 miles per week had higher mean bone density of the whole body and of the legs and trunk regions of the body than women who walk less than 1 mile per week The current level of walking activity was reflective of lifelong walking habits. The number of miles walked per week was also correlated with longitudinal rates of change in bone density at the legs (r* = 0.16, p = 0.03).\nCONCLUSIONS: Healthy postmenopausal women who walk approximately 1 mile each day have higher whole-body bone density than women who walk shorter distances. Walking is also effective in slowing the rate of bone loss from the legs. These results strongly support the widely held belief that walking is a beneficial form of physical activity for maintaining skeletal integrity.","container-title":"The American Journal of Medicine","DOI":"10.1016/0002-9343(94)90111-2","ISSN":"00029343","issue":"1","journalAbbreviation":"The American Journal of Medicine","language":"en","page":"20-26","source":"DOI.org (Crossref)","title":"Walking is related to bone density and rates of bone loss","volume":"96","author":[{"family":"Krall","given":"Elizabeth A."},{"family":"Dawson-Hughes","given":"Bess"}],"issued":{"date-parts":[["1994",1]]}}}],"schema":"https://github.com/citation-style-language/schema/raw/master/csl-citation.json"} </w:instrText>
      </w:r>
      <w:r w:rsidRPr="00EB1290">
        <w:rPr>
          <w:rFonts w:ascii="Times New Roman" w:hAnsi="Times New Roman"/>
        </w:rPr>
        <w:fldChar w:fldCharType="separate"/>
      </w:r>
      <w:r w:rsidRPr="00EB1290">
        <w:rPr>
          <w:rFonts w:ascii="Times New Roman" w:hAnsi="Times New Roman"/>
        </w:rPr>
        <w:t>(Krall and Dawson-Hughes, 1994)</w:t>
      </w:r>
      <w:r w:rsidRPr="00EB1290">
        <w:rPr>
          <w:rFonts w:ascii="Times New Roman" w:hAnsi="Times New Roman"/>
        </w:rPr>
        <w:fldChar w:fldCharType="end"/>
      </w:r>
      <w:r w:rsidRPr="00EB1290">
        <w:rPr>
          <w:rFonts w:ascii="Times New Roman" w:hAnsi="Times New Roman"/>
        </w:rPr>
        <w:t xml:space="preserve">. Additionally, regular walking has been shown to positively impact mental well-being by reducing anxiety and depression levels </w:t>
      </w:r>
      <w:r w:rsidRPr="00EB1290">
        <w:rPr>
          <w:rFonts w:ascii="Times New Roman" w:hAnsi="Times New Roman"/>
        </w:rPr>
        <w:fldChar w:fldCharType="begin"/>
      </w:r>
      <w:r w:rsidR="00E66090">
        <w:rPr>
          <w:rFonts w:ascii="Times New Roman" w:hAnsi="Times New Roman"/>
        </w:rPr>
        <w:instrText xml:space="preserve"> ADDIN ZOTERO_ITEM CSL_CITATION {"citationID":"qBPV6nC9","properties":{"formattedCitation":"(Vetrovsky et al., 2017)","plainCitation":"(Vetrovsky et al., 2017)","noteIndex":0},"citationItems":[{"id":"Fxqj00vV/a09IY7s8","uris":["http://zotero.org/users/10132210/items/BE7VGM5F"],"itemData":{"id":137,"type":"article-journal","abstract":"Background: Physical activity level is positively associated with mental health and health-related quality of life. Primary care providers are ideally situated to offer physical activity interventions, and pedometers are commonly used as motivational tools to increase walking. However, several recent trials of pedometer-based interventions in primary care settings neither improved patients’ quality of life nor reduced anxiety or depression, but these interventions only had relatively modest effects on physical activity levels. Objective: Our aim was to assess whether a pedometer-based walking intervention delivered in a primary care setting affects anxiety, depression, and health-related quality of life. Methods: A quasi-experimental, pre-post, single group study was conducted in 23 physically inactive patients from four general practices who participated in a pedometer-based intervention. The patients were administered the Hospital Anxiety and Depression Scale (HADS) and MOS 36-Item Short-Form Health Survey (SF-36) questionnaires before and after the 3-month intervention. Results: Following the intervention, the patients increased their walking volume by 1,676 steps per day (p &lt; .001). Both the anxiety (–1.4, p = .011) and depression (–2.4, p = .001) subscales of HADS decreased, while the physical functioning (+6, p = .023), social functioning (+9, p = .035), mental health (+12, p = .001), vitality (+12, p = .003), and general health (+7, p = .013) subscales of SF-36 increased. Conclusions: Providing physically inactive patients with a pedometer and encouraging them to walk more in a primary care setting was associated with lower anxiety and depression scores, and improved health-related quality of life.","container-title":"Acta Gymnica","DOI":"10.5507/ag.2017.017","ISSN":"23364912, 23364920","issue":"3","journalAbbreviation":"Acta Gymnica","language":"en","page":"138-143","source":"DOI.org (Crossref)","title":"Mental health and quality of life benefits of a pedometer-based walking intervention delivered in a primary care setting","volume":"47","author":[{"family":"Vetrovsky","given":"Tomas"},{"family":"Cupka","given":"Jozef"},{"family":"Dudek","given":"Martin"},{"family":"Kuthanova","given":"Blanka"},{"family":"Vetrovska","given":"Klaudia"},{"family":"Capek","given":"Vaclav"},{"family":"Bunc","given":"Vaclav"}],"issued":{"date-parts":[["2017",10,6]]}}}],"schema":"https://github.com/citation-style-language/schema/raw/master/csl-citation.json"} </w:instrText>
      </w:r>
      <w:r w:rsidRPr="00EB1290">
        <w:rPr>
          <w:rFonts w:ascii="Times New Roman" w:hAnsi="Times New Roman"/>
        </w:rPr>
        <w:fldChar w:fldCharType="separate"/>
      </w:r>
      <w:r w:rsidRPr="00EB1290">
        <w:rPr>
          <w:rFonts w:ascii="Times New Roman" w:hAnsi="Times New Roman"/>
        </w:rPr>
        <w:t>(Vetrovsky et al., 2017)</w:t>
      </w:r>
      <w:r w:rsidRPr="00EB1290">
        <w:rPr>
          <w:rFonts w:ascii="Times New Roman" w:hAnsi="Times New Roman"/>
        </w:rPr>
        <w:fldChar w:fldCharType="end"/>
      </w:r>
      <w:r w:rsidRPr="00EB1290">
        <w:rPr>
          <w:rFonts w:ascii="Times New Roman" w:hAnsi="Times New Roman"/>
        </w:rPr>
        <w:t xml:space="preserve">. Further, replacing motorized trips with walking reduces vehicular traffic and associated fossil fuel consumption while improving air quality </w:t>
      </w:r>
      <w:r w:rsidRPr="00EB1290">
        <w:rPr>
          <w:rFonts w:ascii="Times New Roman" w:hAnsi="Times New Roman"/>
        </w:rPr>
        <w:fldChar w:fldCharType="begin"/>
      </w:r>
      <w:r w:rsidR="00E66090">
        <w:rPr>
          <w:rFonts w:ascii="Times New Roman" w:hAnsi="Times New Roman"/>
        </w:rPr>
        <w:instrText xml:space="preserve"> ADDIN ZOTERO_ITEM CSL_CITATION {"citationID":"2amM6VfQ","properties":{"formattedCitation":"(Xia et al., 2013)","plainCitation":"(Xia et al., 2013)","noteIndex":0},"citationItems":[{"id":"Fxqj00vV/VzOJLwaY","uris":["http://zotero.org/users/10132210/items/26HYB3DR"],"itemData":{"id":197,"type":"article-journal","abstract":"It has been reported that motor vehicle emissions contribute nearly a quarter of world energy-related greenhouse gases and cause nonnegligible air pollution primarily in urban areas. Reducing car use and increasing ecofriendly alternative transport, such as public and active transport, are efficient approaches to mitigate harmful environmental impacts caused by a large amount of vehicle use. Besides the environmental benefits of promoting alternative transport, it can also induce other health and economic benefits. At present, a number of studies have been conducted to evaluate cobenefits from greenhouse gas mitigation policies. However, relatively few have focused specifically on the transport sector. A comprehensive understanding of the multiple benefits of alternative transport could assist with policy making in the areas of transport, health, and environment. However, there is no straightforward method which could estimate cobenefits effect at one time. In this paper, the links between vehicle emissions and air quality, as well as the health and economic benefits from alternative transport use, are considered, and methodological issues relating to the modelling of these cobenefits are discussed.","container-title":"Journal of Environmental and Public Health","DOI":"10.1155/2013/797312","ISSN":"1687-9805, 1687-9813","journalAbbreviation":"Journal of Environmental and Public Health","language":"en","page":"1-14","source":"DOI.org (Crossref)","title":"Cobenefits of Replacing Car Trips with Alternative Transportation: A Review of Evidence and Methodological Issues","title-short":"Cobenefits of Replacing Car Trips with Alternative Transportation","volume":"2013","author":[{"family":"Xia","given":"Ting"},{"family":"Zhang","given":"Ying"},{"family":"Crabb","given":"Shona"},{"family":"Shah","given":"Pushan"}],"issued":{"date-parts":[["2013"]]}}}],"schema":"https://github.com/citation-style-language/schema/raw/master/csl-citation.json"} </w:instrText>
      </w:r>
      <w:r w:rsidRPr="00EB1290">
        <w:rPr>
          <w:rFonts w:ascii="Times New Roman" w:hAnsi="Times New Roman"/>
        </w:rPr>
        <w:fldChar w:fldCharType="separate"/>
      </w:r>
      <w:r w:rsidRPr="00EB1290">
        <w:rPr>
          <w:rFonts w:ascii="Times New Roman" w:hAnsi="Times New Roman"/>
        </w:rPr>
        <w:t>(Xia et al., 2013)</w:t>
      </w:r>
      <w:r w:rsidRPr="00EB1290">
        <w:rPr>
          <w:rFonts w:ascii="Times New Roman" w:hAnsi="Times New Roman"/>
        </w:rPr>
        <w:fldChar w:fldCharType="end"/>
      </w:r>
      <w:r w:rsidRPr="00EB1290">
        <w:rPr>
          <w:rFonts w:ascii="Times New Roman" w:hAnsi="Times New Roman"/>
        </w:rPr>
        <w:t>. Despite the many advantages of physical activity, including walking, more than half of the U</w:t>
      </w:r>
      <w:r>
        <w:rPr>
          <w:rFonts w:ascii="Times New Roman" w:hAnsi="Times New Roman"/>
        </w:rPr>
        <w:t>.</w:t>
      </w:r>
      <w:r w:rsidRPr="00EB1290">
        <w:rPr>
          <w:rFonts w:ascii="Times New Roman" w:hAnsi="Times New Roman"/>
        </w:rPr>
        <w:t>S</w:t>
      </w:r>
      <w:r>
        <w:rPr>
          <w:rFonts w:ascii="Times New Roman" w:hAnsi="Times New Roman"/>
        </w:rPr>
        <w:t>.</w:t>
      </w:r>
      <w:r w:rsidRPr="00EB1290">
        <w:rPr>
          <w:rFonts w:ascii="Times New Roman" w:hAnsi="Times New Roman"/>
        </w:rPr>
        <w:t xml:space="preserve"> population (53.1%) did not meet the U.S. Department of Health’s physical activity guidelines in 2020 </w:t>
      </w:r>
      <w:r w:rsidRPr="00EB1290">
        <w:rPr>
          <w:rFonts w:ascii="Times New Roman" w:hAnsi="Times New Roman"/>
        </w:rPr>
        <w:fldChar w:fldCharType="begin"/>
      </w:r>
      <w:r w:rsidR="00E66090">
        <w:rPr>
          <w:rFonts w:ascii="Times New Roman" w:hAnsi="Times New Roman"/>
        </w:rPr>
        <w:instrText xml:space="preserve"> ADDIN ZOTERO_ITEM CSL_CITATION {"citationID":"yBxHrDmb","properties":{"formattedCitation":"(Elgaddal et al., 2022)","plainCitation":"(Elgaddal et al., 2022)","noteIndex":0},"citationItems":[{"id":"Fxqj00vV/EQ0n0lfb","uris":["http://zotero.org/users/10132210/items/XNGBS87D"],"itemData":{"id":524,"type":"article-journal","abstract":"Regular physical activity can improve overall health and prevent negative health outcomes in people of all ages (1). Increasing the proportion of adults meeting  the 2018 Physical Activity Guidelines for Americans for both aerobic and  muscle-strengthening activities is a Healthy People 2030 Leading Health Indicator  (2), highlighting its priority for well-being. Research shows that health  benefits occur with at least 150 minutes a week of moderate-intensity aerobic  activity, and that both aerobic and muscle-strengthening activities are  beneficial (1). Using data from the 2020 National Health Interview Survey (NHIS),  this report presents estimates of the percentage of men and women aged 18 and  over meeting guidelines for both aerobic and musclestrengthening activities, by  age, race and Hispanic origin, and family income.","container-title":"NCHS data brief","ISSN":"1941-4927 1941-4935","issue":"443","journalAbbreviation":"NCHS Data Brief","language":"eng","license":"All material appearing in this report is in the public domain and may be reproduced or copied without permission; citation as to source, however, is  appreciated.","note":"publisher-place: United States\nPMID: 36043905","page":"1-8","title":"Physical Activity Among Adults Aged 18 and Over: United States, 2020.","author":[{"family":"Elgaddal","given":"Nazik"},{"family":"Kramarow","given":"Ellen A."},{"family":"Reuben","given":"Cynthia"}],"issued":{"date-parts":[["2022",8]]}}}],"schema":"https://github.com/citation-style-language/schema/raw/master/csl-citation.json"} </w:instrText>
      </w:r>
      <w:r w:rsidRPr="00EB1290">
        <w:rPr>
          <w:rFonts w:ascii="Times New Roman" w:hAnsi="Times New Roman"/>
        </w:rPr>
        <w:fldChar w:fldCharType="separate"/>
      </w:r>
      <w:r w:rsidRPr="00EB1290">
        <w:rPr>
          <w:rFonts w:ascii="Times New Roman" w:hAnsi="Times New Roman"/>
        </w:rPr>
        <w:t>(Elgaddal et al., 2022)</w:t>
      </w:r>
      <w:r w:rsidRPr="00EB1290">
        <w:rPr>
          <w:rFonts w:ascii="Times New Roman" w:hAnsi="Times New Roman"/>
        </w:rPr>
        <w:fldChar w:fldCharType="end"/>
      </w:r>
      <w:r w:rsidRPr="00EB1290">
        <w:rPr>
          <w:rFonts w:ascii="Times New Roman" w:hAnsi="Times New Roman"/>
        </w:rPr>
        <w:t>. With regards to walking, National Household Travel Survey (NHTS) 20</w:t>
      </w:r>
      <w:r w:rsidR="000E6323">
        <w:rPr>
          <w:rFonts w:ascii="Times New Roman" w:eastAsiaTheme="minorEastAsia" w:hAnsi="Times New Roman" w:hint="eastAsia"/>
          <w:lang w:eastAsia="ko-KR"/>
        </w:rPr>
        <w:t>22</w:t>
      </w:r>
      <w:r w:rsidRPr="00EB1290">
        <w:rPr>
          <w:rFonts w:ascii="Times New Roman" w:hAnsi="Times New Roman"/>
        </w:rPr>
        <w:t xml:space="preserve"> data reveal that almost </w:t>
      </w:r>
      <w:r w:rsidR="003045FC">
        <w:rPr>
          <w:rFonts w:ascii="Times New Roman" w:eastAsiaTheme="minorEastAsia" w:hAnsi="Times New Roman" w:hint="eastAsia"/>
          <w:lang w:eastAsia="ko-KR"/>
        </w:rPr>
        <w:t>56</w:t>
      </w:r>
      <w:r w:rsidRPr="00EB1290">
        <w:rPr>
          <w:rFonts w:ascii="Times New Roman" w:hAnsi="Times New Roman"/>
        </w:rPr>
        <w:t xml:space="preserve">% of the population did not </w:t>
      </w:r>
      <w:r w:rsidR="003045FC">
        <w:rPr>
          <w:rFonts w:ascii="Times New Roman" w:eastAsiaTheme="minorEastAsia" w:hAnsi="Times New Roman" w:hint="eastAsia"/>
          <w:lang w:eastAsia="ko-KR"/>
        </w:rPr>
        <w:t>walk from place to place</w:t>
      </w:r>
      <w:r w:rsidR="00B55550">
        <w:rPr>
          <w:rFonts w:ascii="Times New Roman" w:eastAsiaTheme="minorEastAsia" w:hAnsi="Times New Roman" w:hint="eastAsia"/>
          <w:lang w:eastAsia="ko-KR"/>
        </w:rPr>
        <w:t xml:space="preserve"> in a month</w:t>
      </w:r>
      <w:r w:rsidRPr="00EB1290">
        <w:rPr>
          <w:rFonts w:ascii="Times New Roman" w:hAnsi="Times New Roman"/>
        </w:rPr>
        <w:t xml:space="preserve"> </w:t>
      </w:r>
      <w:r w:rsidRPr="00EB1290">
        <w:rPr>
          <w:rFonts w:ascii="Times New Roman" w:hAnsi="Times New Roman"/>
        </w:rPr>
        <w:fldChar w:fldCharType="begin"/>
      </w:r>
      <w:r w:rsidR="00E66090">
        <w:rPr>
          <w:rFonts w:ascii="Times New Roman" w:hAnsi="Times New Roman"/>
        </w:rPr>
        <w:instrText xml:space="preserve"> ADDIN ZOTERO_ITEM CSL_CITATION {"citationID":"YGtKl038","properties":{"formattedCitation":"(Federal Highway Administration, 2017)","plainCitation":"(Federal Highway Administration, 2017)","dontUpdate":true,"noteIndex":0},"citationItems":[{"id":"Fxqj00vV/5itOyLGd","uris":["http://zotero.org/users/10132210/items/D2HNJ8T5"],"itemData":{"id":501,"type":"dataset","number":"U.S. Department of Transportation, Washington, DC","title":"2017 National Household Travel Survey","URL":"s.ornl.gov","author":[{"family":"Federal Highway Administration","given":""}],"issued":{"date-parts":[["2017"]]}}}],"schema":"https://github.com/citation-style-language/schema/raw/master/csl-citation.json"} </w:instrText>
      </w:r>
      <w:r w:rsidRPr="00EB1290">
        <w:rPr>
          <w:rFonts w:ascii="Times New Roman" w:hAnsi="Times New Roman"/>
        </w:rPr>
        <w:fldChar w:fldCharType="separate"/>
      </w:r>
      <w:r w:rsidRPr="00EB1290">
        <w:rPr>
          <w:rFonts w:ascii="Times New Roman" w:hAnsi="Times New Roman"/>
        </w:rPr>
        <w:t>(Federal Highway Administration, 20</w:t>
      </w:r>
      <w:r w:rsidR="000E6323">
        <w:rPr>
          <w:rFonts w:ascii="Times New Roman" w:eastAsiaTheme="minorEastAsia" w:hAnsi="Times New Roman" w:hint="eastAsia"/>
          <w:lang w:eastAsia="ko-KR"/>
        </w:rPr>
        <w:t>22</w:t>
      </w:r>
      <w:r w:rsidRPr="00EB1290">
        <w:rPr>
          <w:rFonts w:ascii="Times New Roman" w:hAnsi="Times New Roman"/>
        </w:rPr>
        <w:t>)</w:t>
      </w:r>
      <w:r w:rsidRPr="00EB1290">
        <w:rPr>
          <w:rFonts w:ascii="Times New Roman" w:hAnsi="Times New Roman"/>
        </w:rPr>
        <w:fldChar w:fldCharType="end"/>
      </w:r>
      <w:r w:rsidRPr="00EB1290">
        <w:rPr>
          <w:rFonts w:ascii="Times New Roman" w:hAnsi="Times New Roman"/>
        </w:rPr>
        <w:t>.</w:t>
      </w:r>
    </w:p>
    <w:p w14:paraId="6441BB92" w14:textId="349FA03B" w:rsidR="008B58C4" w:rsidRPr="00EB1290" w:rsidRDefault="008B58C4" w:rsidP="008B58C4">
      <w:pPr>
        <w:ind w:firstLine="720"/>
        <w:jc w:val="both"/>
        <w:rPr>
          <w:rFonts w:ascii="Times New Roman" w:hAnsi="Times New Roman"/>
          <w:bCs/>
        </w:rPr>
      </w:pPr>
      <w:r w:rsidRPr="00EB1290">
        <w:rPr>
          <w:rFonts w:ascii="Times New Roman" w:hAnsi="Times New Roman"/>
          <w:bCs/>
        </w:rPr>
        <w:t xml:space="preserve">In the realm of transportation, studies have been conducted to analyze the impacts of walking on transportation systems and land use patterns (see, for example, </w:t>
      </w:r>
      <w:r w:rsidRPr="00EB1290">
        <w:rPr>
          <w:rFonts w:ascii="Times New Roman" w:hAnsi="Times New Roman"/>
          <w:bCs/>
        </w:rPr>
        <w:fldChar w:fldCharType="begin"/>
      </w:r>
      <w:r w:rsidR="00B856E6">
        <w:rPr>
          <w:rFonts w:ascii="Times New Roman" w:hAnsi="Times New Roman"/>
          <w:bCs/>
        </w:rPr>
        <w:instrText xml:space="preserve"> ADDIN ZOTERO_ITEM CSL_CITATION {"citationID":"uH161xEg","properties":{"unsorted":true,"formattedCitation":"(Duncan et al., 2010; C. Lee &amp; Moudon, 2006; McConville et al., 2011; Choi et al., 2020)","plainCitation":"(Duncan et al., 2010; C. Lee &amp; Moudon, 2006; McConville et al., 2011; Choi et al., 2020)","noteIndex":0},"citationItems":[{"id":"Fxqj00vV/vxfipR3U","uris":["http://zotero.org/users/10132210/items/YQDHK2KQ"],"itemData":{"id":271,"type":"article-journal","abstract":"Physical activity and public health recommendations now emphasize the creation of activity-friendly neighborhoods. Mixed land use in a neighborhood is important in this regard, as it reflects the availability of destinations to which residents can walk or ride bicycles, and thus is likely to contribute to residents’ active lifestyles that in turn will influence their overall health. Relationships between land use mix (LUM) and physical activity have not been apparent in some studies, which may be because geographical scale and the specificity of hypothesized environment–behavior associations are not taken into account. We compared the strength of association of four Geographic Information Systems-derived LUM measures with walking for transport and perceived proximity to destinations. We assessed physical activity behaviors of 2,506 adults in 154 Census Collection Districts (CCDs) in Adelaide, Australia, for which ‘‘original’’ LUM measures were calculated, and then refined by either: accounting for the geographic scale of measurement; including only the mostrelevant land uses; or, both. The refined (but not the ‘‘original’’) LUM measures had significant associations with the frequency of walking for transport (pG0.05) and areacorrected measures had significant associations with the duration of walking for transport. All LUM measures had significant associations with perceived proximity to destinations, but stronger associations were seen when using the refined measures compared with the original LUM. Identifying the LUM attributes most strongly associated with walking for transport is a priority and can inform environmental and policy initiatives that are needed to promote health-enhancing physical activity.","container-title":"Journal of Urban Health","DOI":"10.1007/s11524-010-9488-7","ISSN":"1099-3460, 1468-2869","issue":"5","journalAbbreviation":"J Urban Health","language":"en","page":"782-795","source":"DOI.org (Crossref)","title":"Relationships of Land Use Mix with Walking for Transport: Do Land Uses and Geographical Scale Matter?","title-short":"Relationships of Land Use Mix with Walking for Transport","volume":"87","author":[{"family":"Duncan","given":"Mitch J."},{"family":"Winkler","given":"Elisabeth"},{"family":"Sugiyama","given":"Takemi"},{"family":"Cerin","given":"Ester"},{"family":"duToit","given":"Lorinne"},{"family":"Leslie","given":"Eva"},{"family":"Owen","given":"Neville"}],"issued":{"date-parts":[["2010",9]]}}},{"id":"Fxqj00vV/KMZxvWlr","uris":["http://zotero.org/users/10132210/items/SIEVTBEQ"],"itemData":{"id":270,"type":"article-journal","abstract":"This paper focuses on objectively measured and individually observable micro-scale environmental variables. The process consists of initial variable screening, variable grouping and selection, variable prioritization, and statistical modeling. Using this method, small subset of correlates is isolated to be strongly associated with walking, that are grouped as destinations, distance, density, and route: the 3Ds + R. Distance measures to routine daily destinations are shown to be simple and eﬀective alternatives to complicated composite measures often used to capture land use mix and street connectivity. The 3Ds + R can serve as the core constructs to quantify neighborhood walkability, and as practical targets for policies and interventions aimed at promoting walkable communities.","container-title":"Transportation Research Part D: Transport and Environment","DOI":"10.1016/j.trd.2006.02.003","ISSN":"13619209","issue":"3","journalAbbreviation":"Transportation Research Part D: Transport and Environment","language":"en","page":"204-215","source":"DOI.org (Crossref)","title":"The 3Ds+R: Quantifying land use and urban form correlates of walking","title-short":"The 3Ds+R","volume":"11","author":[{"family":"Lee","given":"Chanam"},{"family":"Moudon","given":"Anne Vernez"}],"issued":{"date-parts":[["2006",5]]}}},{"id":"Fxqj00vV/W8KOnp6A","uris":["http://zotero.org/users/10132210/items/SL5XQLQL"],"itemData":{"id":272,"type":"article-journal","abstract":"Background: Although researchers have explored associations between mixed-use development and physical activity, few have examined the influence of specifıc land uses.\nPurpose: This study analyzes how the accessibility, intensity, and diversity of nonresidential land uses are related to walking for transportation.\nMethods: Multinomial logistic regression was used to investigate associations between walking for transportation and neighborhood land uses in a choice-based sample of individuals (nϭ260) in Montgomery County MD. Land uses examined included banks, bus stops, fast-food restaurants, grocery stores, libraries, rail stations, offıces, parks, recreation centers, non–fast-food restaurants, retail, schools, sports facilities, night uses, physical activity uses, and social uses. Exposure to these uses was measured as the street distance from participants’ homes to the closest instance of each land use (accessibility); the number of instances of each land use (intensity); and the number of different land uses (diversity). Data were collected from 2004 –2006 and analyzed in 2009 –2010.\nResults: After adjusting for individual-level characteristics, the distances to banks, bus stops, fast-food restaurants, grocery stores, rail stations, physical activity uses, recreational facilities, restaurants, social uses and sports facilities were associated negatively with transportation walking (ORs [95% CI] range from 0.01 [0.001, 0.11] to 0.91 [0.85, 0.97]). The intensities of bus stops, grocery stores, offıces, and retail stores in participants’ neighborhoods were associated positively with transportation walking (ORs [95% CI] range from 1.05 [1.01, 1.08] to 5.42 [1.73, 17.01]). Land-use diversity also was associated positively with walking for transportation (ORs [95% CI] range from 1.39 [1.20, 1.59] to 1.69 [1.30, 2.20]).\nConclusions: The accessibility and intensity of certain nonresidential land uses, along with landuse diversity, are positively associated with walking for transportation. A careful mix of land uses in a neighborhood can encourage physical activity.","container-title":"American Journal of Preventive Medicine","DOI":"10.1016/j.amepre.2010.09.023","ISSN":"07493797","issue":"1","journalAbbreviation":"American Journal of Preventive Medicine","language":"en","page":"25-32","source":"DOI.org (Crossref)","title":"Disaggregate Land Uses and Walking","volume":"40","author":[{"family":"McConville","given":"Megan E."},{"family":"Rodríguez","given":"Daniel A."},{"family":"Clifton","given":"Kelly"},{"family":"Cho","given":"Gihyoug"},{"family":"Fleischhacker","given":"Sheila"}],"issued":{"date-parts":[["2011",1]]}}},{"id":1100,"uris":["http://zotero.org/users/10132210/items/3CBPZPHA"],"itemData":{"id":1100,"type":"article-journal","abstract":"Although the inﬂuence of compact development on travel behavior has been extensively studied over the past decades, additional empirical evidence is needed to better understand that eﬀect. This study explores the inﬂuences of the built environment (BE) on zone-based travel patterns using the 2010 Household Travel Survey data in Korea, . We apply seemingly unrelated regression (SUR) and censored regression models to reveal relationships between the BE and zone-based travel patterns in the SMA. Results indicate that: (1) transit-oriented design promotes public transit and suppresses auto trips; (2) the rail mode is more predominant relative to the bus mode; (3) mixed land use with high-density development and gridded pattern streets have a positive impact on walking; and (4) high density and easy access to rail have positive inﬂuences on reducing distance traveled by automobiles. Our results suggest that a diﬀerentiated strategy is needed to improve urban sustainability in the SMA.","container-title":"Transportation Letters","DOI":"10.1080/19427867.2019.1589716","ISSN":"1942-7867, 1942-7875","issue":"5","journalAbbreviation":"Transportation Letters","language":"en","page":"316-328","source":"DOI.org (Crossref)","title":"Exploring the influences of compact development on zone-based travel patterns: a case study of the Seoul metropolitan area","title-short":"Exploring the influences of compact development on zone-based travel patterns","volume":"12","author":[{"family":"Choi","given":"Sungtaek"},{"family":"Choo","given":"Sangho"},{"family":"Kim","given":"Sujae"}],"issued":{"date-parts":[["2020",5,27]]}}}],"schema":"https://github.com/citation-style-language/schema/raw/master/csl-citation.json"} </w:instrText>
      </w:r>
      <w:r w:rsidRPr="00EB1290">
        <w:rPr>
          <w:rFonts w:ascii="Times New Roman" w:hAnsi="Times New Roman"/>
          <w:bCs/>
        </w:rPr>
        <w:fldChar w:fldCharType="separate"/>
      </w:r>
      <w:r w:rsidR="00B856E6" w:rsidRPr="00B856E6">
        <w:rPr>
          <w:rFonts w:ascii="Times New Roman" w:hAnsi="Times New Roman"/>
        </w:rPr>
        <w:t>Duncan et al., 2010</w:t>
      </w:r>
      <w:r w:rsidR="003C329C">
        <w:rPr>
          <w:rFonts w:ascii="Times New Roman" w:eastAsiaTheme="minorEastAsia" w:hAnsi="Times New Roman"/>
          <w:lang w:eastAsia="ko-KR"/>
        </w:rPr>
        <w:t xml:space="preserve">, </w:t>
      </w:r>
      <w:r w:rsidR="00B856E6" w:rsidRPr="00B856E6">
        <w:rPr>
          <w:rFonts w:ascii="Times New Roman" w:hAnsi="Times New Roman"/>
        </w:rPr>
        <w:t xml:space="preserve"> Lee </w:t>
      </w:r>
      <w:r w:rsidR="00B856E6">
        <w:rPr>
          <w:rFonts w:ascii="Times New Roman" w:eastAsiaTheme="minorEastAsia" w:hAnsi="Times New Roman" w:hint="eastAsia"/>
          <w:lang w:eastAsia="ko-KR"/>
        </w:rPr>
        <w:t>and</w:t>
      </w:r>
      <w:r w:rsidR="00B856E6" w:rsidRPr="00B856E6">
        <w:rPr>
          <w:rFonts w:ascii="Times New Roman" w:hAnsi="Times New Roman"/>
        </w:rPr>
        <w:t xml:space="preserve"> Moudon, 2006</w:t>
      </w:r>
      <w:r w:rsidR="00B856E6">
        <w:rPr>
          <w:rFonts w:ascii="Times New Roman" w:eastAsiaTheme="minorEastAsia" w:hAnsi="Times New Roman" w:hint="eastAsia"/>
          <w:lang w:eastAsia="ko-KR"/>
        </w:rPr>
        <w:t>,</w:t>
      </w:r>
      <w:r w:rsidR="00B856E6" w:rsidRPr="00B856E6">
        <w:rPr>
          <w:rFonts w:ascii="Times New Roman" w:hAnsi="Times New Roman"/>
        </w:rPr>
        <w:t xml:space="preserve"> McConville et al., 2011</w:t>
      </w:r>
      <w:r w:rsidR="00B856E6">
        <w:rPr>
          <w:rFonts w:ascii="Times New Roman" w:eastAsiaTheme="minorEastAsia" w:hAnsi="Times New Roman" w:hint="eastAsia"/>
          <w:lang w:eastAsia="ko-KR"/>
        </w:rPr>
        <w:t>, and</w:t>
      </w:r>
      <w:r w:rsidR="00B856E6" w:rsidRPr="00B856E6">
        <w:rPr>
          <w:rFonts w:ascii="Times New Roman" w:hAnsi="Times New Roman"/>
        </w:rPr>
        <w:t xml:space="preserve"> Choi et al., 2020)</w:t>
      </w:r>
      <w:r w:rsidRPr="00EB1290">
        <w:rPr>
          <w:rFonts w:ascii="Times New Roman" w:hAnsi="Times New Roman"/>
          <w:bCs/>
        </w:rPr>
        <w:fldChar w:fldCharType="end"/>
      </w:r>
      <w:r w:rsidRPr="00EB1290">
        <w:rPr>
          <w:rFonts w:ascii="Times New Roman" w:hAnsi="Times New Roman"/>
          <w:bCs/>
        </w:rPr>
        <w:t>. There have also been numerous empirical studies examining the effect</w:t>
      </w:r>
      <w:r w:rsidR="00863C4F">
        <w:rPr>
          <w:rFonts w:ascii="Times New Roman" w:hAnsi="Times New Roman"/>
          <w:bCs/>
        </w:rPr>
        <w:t>s</w:t>
      </w:r>
      <w:r w:rsidRPr="00EB1290">
        <w:rPr>
          <w:rFonts w:ascii="Times New Roman" w:hAnsi="Times New Roman"/>
          <w:bCs/>
        </w:rPr>
        <w:t xml:space="preserve"> of sociodemographic characteristics and </w:t>
      </w:r>
      <w:r w:rsidR="00443932">
        <w:rPr>
          <w:rFonts w:ascii="Times New Roman" w:hAnsi="Times New Roman"/>
          <w:bCs/>
        </w:rPr>
        <w:t>built-environment (BE)</w:t>
      </w:r>
      <w:r w:rsidRPr="00EB1290">
        <w:rPr>
          <w:rFonts w:ascii="Times New Roman" w:hAnsi="Times New Roman"/>
          <w:bCs/>
        </w:rPr>
        <w:t xml:space="preserve"> attributes on the adoption of walking for travel</w:t>
      </w:r>
      <w:r w:rsidR="00246DE9">
        <w:rPr>
          <w:rFonts w:ascii="Times New Roman" w:eastAsiaTheme="minorEastAsia" w:hAnsi="Times New Roman" w:hint="eastAsia"/>
          <w:bCs/>
          <w:lang w:eastAsia="ko-KR"/>
        </w:rPr>
        <w:t xml:space="preserve"> </w:t>
      </w:r>
      <w:r w:rsidR="00246DE9">
        <w:rPr>
          <w:rFonts w:ascii="Times New Roman" w:eastAsiaTheme="minorEastAsia" w:hAnsi="Times New Roman"/>
          <w:bCs/>
          <w:lang w:eastAsia="ko-KR"/>
        </w:rPr>
        <w:fldChar w:fldCharType="begin"/>
      </w:r>
      <w:r w:rsidR="00E66090">
        <w:rPr>
          <w:rFonts w:ascii="Times New Roman" w:eastAsiaTheme="minorEastAsia" w:hAnsi="Times New Roman"/>
          <w:bCs/>
          <w:lang w:eastAsia="ko-KR"/>
        </w:rPr>
        <w:instrText xml:space="preserve"> ADDIN ZOTERO_ITEM CSL_CITATION {"citationID":"oTywoGpw","properties":{"formattedCitation":"(Burbidge &amp; Goulias, 2009)","plainCitation":"(Burbidge &amp; Goulias, 2009)","dontUpdate":true,"noteIndex":0},"citationItems":[{"id":1096,"uris":["http://zotero.org/users/10132210/items/SCB82ULL"],"itemData":{"id":1096,"type":"article-journal","abstract":"Physical inactivity has become a dominant feature of most American’s lives over the past quarter century. This has spurred an entire research domain straddling several different disciplines. Although model development within the field of travel behavior as a whole continues today with more momentum than ever, the focus on active mode choice has largely been overlooked and left to a small fragment of transportation and public health researchers. Research regarding active mode choice has been primarily conducted outside the field of travel behavior and has utilized research methods designed for other purposes. This leads to results which address behavioral causality in a superficial way while also neglecting the role of residential self-selection. This paper provides an overview of existing travel behavior analysis regarding active mode choice, presents potential threats to validity in this type of research, and critiques existing intervention methodologies. Additionally, a conceptual model of active travel behavior is presented and the roots of each component are discussed. By applying the rigor of travel behavior research to the subfield of active travel behavior research, and incorporating the conceptual model provided, great strides can be made relatively quickly in understanding animate mode choice and active travel behavior.","container-title":"Transportation Letters","DOI":"10.3328/TL.2009.01.02.147-167","ISSN":"1942-7867, 1942-7875","issue":"2","journalAbbreviation":"Transportation Letters","language":"en","page":"147-167","source":"DOI.org (Crossref)","title":"Active travel behavior","volume":"1","author":[{"family":"Burbidge","given":"Shaunna"},{"family":"Goulias","given":"Konstadinos"}],"issued":{"date-parts":[["2009",4]]}}}],"schema":"https://github.com/citation-style-language/schema/raw/master/csl-citation.json"} </w:instrText>
      </w:r>
      <w:r w:rsidR="00246DE9">
        <w:rPr>
          <w:rFonts w:ascii="Times New Roman" w:eastAsiaTheme="minorEastAsia" w:hAnsi="Times New Roman"/>
          <w:bCs/>
          <w:lang w:eastAsia="ko-KR"/>
        </w:rPr>
        <w:fldChar w:fldCharType="separate"/>
      </w:r>
      <w:r w:rsidR="00246DE9" w:rsidRPr="00246DE9">
        <w:rPr>
          <w:rFonts w:ascii="Times New Roman" w:hAnsi="Times New Roman"/>
        </w:rPr>
        <w:t xml:space="preserve">(Burbidge </w:t>
      </w:r>
      <w:r w:rsidR="00134B79">
        <w:rPr>
          <w:rFonts w:ascii="Times New Roman" w:eastAsiaTheme="minorEastAsia" w:hAnsi="Times New Roman" w:hint="eastAsia"/>
          <w:lang w:eastAsia="ko-KR"/>
        </w:rPr>
        <w:t>and</w:t>
      </w:r>
      <w:r w:rsidR="00246DE9" w:rsidRPr="00246DE9">
        <w:rPr>
          <w:rFonts w:ascii="Times New Roman" w:hAnsi="Times New Roman"/>
        </w:rPr>
        <w:t xml:space="preserve"> Goulias, 2009)</w:t>
      </w:r>
      <w:r w:rsidR="00246DE9">
        <w:rPr>
          <w:rFonts w:ascii="Times New Roman" w:eastAsiaTheme="minorEastAsia" w:hAnsi="Times New Roman"/>
          <w:bCs/>
          <w:lang w:eastAsia="ko-KR"/>
        </w:rPr>
        <w:fldChar w:fldCharType="end"/>
      </w:r>
      <w:r w:rsidRPr="00EB1290">
        <w:rPr>
          <w:rFonts w:ascii="Times New Roman" w:hAnsi="Times New Roman"/>
          <w:bCs/>
        </w:rPr>
        <w:t>.</w:t>
      </w:r>
      <w:r w:rsidRPr="00EB1290">
        <w:rPr>
          <w:rFonts w:ascii="Times New Roman" w:hAnsi="Times New Roman"/>
        </w:rPr>
        <w:t xml:space="preserve"> From a sociodemographic perspective, </w:t>
      </w:r>
      <w:r w:rsidRPr="00EB1290">
        <w:rPr>
          <w:rFonts w:ascii="Times New Roman" w:hAnsi="Times New Roman"/>
          <w:bCs/>
        </w:rPr>
        <w:t xml:space="preserve">these investigations examine how factors such as age, gender, income, education, and employment status relate to walking behavior </w:t>
      </w:r>
      <w:r w:rsidRPr="00EB1290">
        <w:rPr>
          <w:rFonts w:ascii="Times New Roman" w:hAnsi="Times New Roman"/>
          <w:bCs/>
        </w:rPr>
        <w:fldChar w:fldCharType="begin"/>
      </w:r>
      <w:r w:rsidR="00E66090">
        <w:rPr>
          <w:rFonts w:ascii="Times New Roman" w:hAnsi="Times New Roman"/>
          <w:bCs/>
        </w:rPr>
        <w:instrText xml:space="preserve"> ADDIN ZOTERO_ITEM CSL_CITATION {"citationID":"N9k5xlQF","properties":{"formattedCitation":"(Adams et al., 2017; Aliyas, 2020a, 2020b; Evans et al., 2022; Wasfi et al., 2013)","plainCitation":"(Adams et al., 2017; Aliyas, 2020a, 2020b; Evans et al., 2022; Wasfi et al., 2013)","dontUpdate":true,"noteIndex":0},"citationItems":[{"id":"Fxqj00vV/LOanEgOj","uris":["http://zotero.org/users/10132210/items/H8XXPV7Y"],"itemData":{"id":274,"type":"article-journal","abstract":"Background Promoting walking for the journey to and from work (commuter walking) is a potential strategy for increasing physical activity. Understanding the factors influencing commuter walking is important for identifying target groups and designing effective interventions. This study aimed to examine individual, employment-related and psychosocial factors associated with commuter walking and to discuss the implications for targeting and future design of interventions.\nMethods 1,544 employees completed a baseline survey as part of the ‘Walking Works’ intervention project (33.4% male; 36.3% aged &lt;30 years). Multivariate logistic regression was used to examine the associations of individual (age, ethnic group, educational qualifications, number of children &lt;16 and car ownership), employment-related (distance lived from work, free car parking at work, working hours, working pattern and occupation) and psychosocial factors (perceived behavioural control, intention, social norms and social support from work colleagues) with commuter walking.\nResults Almost half of respondents (n = 587, 49%) were classified as commuter walkers. Those who were aged &lt;30 years, did not have a car, had no free car parking at work, were confident of including some walking or intended to walk to or from work on a regular basis, and had support from colleagues for walking were more likely to be commuter walkers. Those who perceived they lived too far away from work to walk, thought walking was less convenient than using a car for commuting, did not have time to walk, needed a car for work or had always travelled the same way were less likely to be commuter walkers.\nConclusions A number of individual, employment-related and psychosocial factors were associated with commuter walking. Target groups for interventions to promote walking to and from work","container-title":"PLOS ONE","DOI":"10.1371/journal.pone.0171374","ISSN":"1932-6203","issue":"2","journalAbbreviation":"PLoS ONE","language":"en","page":"e0171374","source":"DOI.org (Crossref)","title":"Individual, employment and psychosocial factors influencing walking to work: Implications for intervention design","title-short":"Individual, employment and psychosocial factors influencing walking to work","volume":"12","author":[{"family":"Adams","given":"Emma J."},{"family":"Esliger","given":"Dale W."},{"family":"Taylor","given":"Ian M."},{"family":"Sherar","given":"Lauren B."}],"editor":[{"family":"Van Wouwe","given":"Jacobus P."}],"issued":{"date-parts":[["2017",2,9]]}}},{"id":"Fxqj00vV/89uwEG0e","uris":["http://zotero.org/users/10132210/items/2E7IKWRV"],"itemData":{"id":204,"type":"article-journal","abstract":"Background: Despite several studies on the concept of social capital in relation to health during the last two decades, the majority of these works have been conducted in developed countries. Purposes: This study examines the correlation between domains of social capital (reciprocity, trust, and social network) and physical activity level in an Iranian adult population. In addition, the study explores to find whether this relation is affected by socioeconomic status. Method: A total of 2000 questionnaires were distributed among adults living in 12 neighborhoods of Bandar Abbas city, Iran. Of this population, 1828 qualified questionnaires were utilized for further analysis. Results: High level of physical inactivity (62.3%) was reported by the participants. Discussion: Norms of reciprocity and neighborhood trust associated with the higher physical activity level among men and women. However, social network contributed to a higher level of physical activity among women group. The study indicated the correlation of socioeconomic variables with social capital indicators and physical activity level. Translation to Health Education Practice: Findings suggest that programming efforts and research should focus on increasing organized activities that support neighborhood participation and social activity to promote social interaction and trust among residents.","container-title":"American Journal of Health Education","DOI":"10.1080/19325037.2019.1691092","ISSN":"1932-5037, 2168-3751","issue":"1","journalAbbreviation":"American Journal of Health Education","language":"en","page":"40-49","source":"DOI.org (Crossref)","title":"Social Capital and Physical Activity Level in an Urban Adult Population","volume":"51","author":[{"family":"Aliyas","given":"Zeinab"}],"issued":{"date-parts":[["2020",1,2]]}}},{"id":"Fxqj00vV/CytoRf3z","uris":["http://zotero.org/users/10132210/items/99FVEEDS"],"itemData":{"id":202,"type":"article-journal","abstract":"Objective: The study was aimed at assessing the association of all components of safety (crime, traffic, social, and physical) and general safety with walking for leisure and transportation among Iranian adults. In this regard, sociodemographic factors as potential effect modifiers on walking behavior and the association of neighborhood safety with the level of walking were explored.\nMethod: A total of 1300 questionnaires were distributed among respondents residing in 8 neighborhoods in Bandar Abbas city, among which 1132 qualified for use in further analysis. Using a binary logistic regression method, differences in walking behavior and perceived safety to walk were evaluated across sociodemographic characteristics.\nResults: The results showed that the walking rate is higher among older adults, married people, and adults with lower education and a higher length of residency. An increase in neighborhood safety from crime, traffic, social disorders, and overall safety associates with increased leisure walking among all populations. Further, overall neighborhood safety and safety from crime and traffic positively correlate with the level of transportation walking among all respondents. For both types of walking, this association varies in sociodemographic groups.\nConclusion: The study suggests that an increase in the safety of a neighborhood contributes to a higher level of leisure and transportation walking; however, it varies in different subgroups. This study provides the knowledge needed to consider all aspects of neighborhood safety to measure walking behavior level.","container-title":"Journal of Public Health Management and Practice","DOI":"10.1097/PHH.0000000000000992","ISSN":"1078-4659","issue":"4","language":"en","page":"E24-E32","source":"DOI.org (Crossref)","title":"Why Some Walk and Others Don't: Neighborhood Safety and the Sociodemographic Variation Effect on Walking for Leisure and Transportation","title-short":"Why Some Walk and Others Don't","volume":"26","author":[{"family":"Aliyas","given":"Zeinab"}],"issued":{"date-parts":[["2020",7]]}}},{"id":"Fxqj00vV/unFSNqsU","uris":["http://zotero.org/users/10132210/items/73IEVQUE"],"itemData":{"id":199,"type":"article-journal","abstract":"Introduction:  Transport-related physical activity (TRPA) has been identified as a way to increase physical activity due to its discretionary and habitual nature. Factors thought to influence TRPA span multiple disciplines and are rarely systematically considered in unison. This systematic review aimed to identify cross-sectional and longitudinal factors associated with adult TRPA across multiple research disciplines.\nMethods:  Using four electronic databases, a systematic search of English, peer-reviewed literature from 2010 – 2020 was performed. Studies quantitatively examining factors associated with the outcome of adult TRPA were eligible.\nResults:  Seventy-three studies (n = 66 cross-sectional; n = 7 longitudinal) were included, cumulatively reporting data from 1,278,632 observations. Thirty-six factors were examined for potential association with TRPA and presented in a social-ecological framework: individual (n = 15), social (n = 3), and environmental (n = 18). Seven factors were found to be consistently associated with higher adult TRPA: lower socio-economic status, higher self-efficacy, higher social normalization, lower distance of travel, higher destination concentration, more streetlighting, and higher public trans‑portation frequency with a greater number of terminals near route start and endpoints.\nConclusions:  This is the first comprehensive compilation of the correlates and determinants of adult TRPA. Seven individual, social, and environmental factors demonstrated consistent associations with TRPA. Models formed using these factors may facilitate more effective promotion of TRPA. There is a lack of longitudinal studies as well as studies assessing cognitive/attitudinal and social factors, highlighting gaps for further research. Those developing policies and strategies targeting TRPA need to consider a range of factors at the individual, social, and environmental level to maximise the likelihood of effectiveness.","container-title":"BMC Public Health","DOI":"10.1186/s12889-022-13937-9","ISSN":"1471-2458","issue":"1","journalAbbreviation":"BMC Public Health","language":"en","page":"1519","source":"DOI.org (Crossref)","title":"Correlates and determinants of transport-related physical activity among adults: an interdisciplinary systematic review","title-short":"Correlates and determinants of transport-related physical activity among adults","volume":"22","author":[{"family":"Evans","given":"Jack T."},{"family":"Phan","given":"Hoang"},{"family":"Buscot","given":"Marie-Jeanne"},{"family":"Gall","given":"Seana"},{"family":"Cleland","given":"Verity"}],"issued":{"date-parts":[["2022",8,10]]}}},{"id":"Fxqj00vV/Z3CF81KX","uris":["http://zotero.org/users/10132210/items/V522MGAQ"],"itemData":{"id":276,"type":"article-journal","abstract":"This paper estimates the amount of daily walking associated with using public transportation in a large metropolitan area and examines individual and contextual characteristics associated with walking distances. Total walking distance to and from transit was calculated from a travel diary survey for 6913 individuals. Multilevel regression modelling was used to examine the underlying factors associated with walking to public transportation. The physical activity beneﬁts of public transportation varied along gender and socio-economic lines. Recommended minutes of daily physical activity can be achieved for public transportation users, especially train users living in afﬂuent suburbs.","container-title":"Health &amp; Place","DOI":"10.1016/j.healthplace.2013.04.006","ISSN":"13538292","journalAbbreviation":"Health &amp; Place","language":"en","page":"18-25","source":"DOI.org (Crossref)","title":"Achieving recommended daily physical activity levels through commuting by public transportation: Unpacking individual and contextual influences","title-short":"Achieving recommended daily physical activity levels through commuting by public transportation","volume":"23","author":[{"family":"Wasfi","given":"Rania A."},{"family":"Ross","given":"Nancy A."},{"family":"El-Geneidy","given":"Ahmed M."}],"issued":{"date-parts":[["2013",9]]}}}],"schema":"https://github.com/citation-style-language/schema/raw/master/csl-citation.json"} </w:instrText>
      </w:r>
      <w:r w:rsidRPr="00EB1290">
        <w:rPr>
          <w:rFonts w:ascii="Times New Roman" w:hAnsi="Times New Roman"/>
          <w:bCs/>
        </w:rPr>
        <w:fldChar w:fldCharType="separate"/>
      </w:r>
      <w:r w:rsidRPr="00EB1290">
        <w:rPr>
          <w:rFonts w:ascii="Times New Roman" w:hAnsi="Times New Roman"/>
        </w:rPr>
        <w:t>(see Wasfi et al., 2013, Adams et al., 2017, Aliyas, 2020a, 2020b, and Evans et al., 2022)</w:t>
      </w:r>
      <w:r w:rsidRPr="00EB1290">
        <w:rPr>
          <w:rFonts w:ascii="Times New Roman" w:hAnsi="Times New Roman"/>
          <w:bCs/>
        </w:rPr>
        <w:fldChar w:fldCharType="end"/>
      </w:r>
      <w:r w:rsidRPr="00EB1290">
        <w:rPr>
          <w:rFonts w:ascii="Times New Roman" w:hAnsi="Times New Roman"/>
          <w:bCs/>
          <w:lang w:val="fr-FR"/>
        </w:rPr>
        <w:t xml:space="preserve">. </w:t>
      </w:r>
      <w:r w:rsidRPr="00EB1290">
        <w:rPr>
          <w:rFonts w:ascii="Times New Roman" w:hAnsi="Times New Roman"/>
          <w:bCs/>
        </w:rPr>
        <w:t xml:space="preserve">Empirical studies have also investigated the impact of neighborhood BE factors, such as land use patterns, street connectivity, pedestrian-oriented infrastructure, parks, and destinations </w:t>
      </w:r>
      <w:r w:rsidR="00443932">
        <w:rPr>
          <w:rFonts w:ascii="Times New Roman" w:hAnsi="Times New Roman"/>
          <w:bCs/>
        </w:rPr>
        <w:t>such as</w:t>
      </w:r>
      <w:r w:rsidR="00443932" w:rsidRPr="00EB1290">
        <w:rPr>
          <w:rFonts w:ascii="Times New Roman" w:hAnsi="Times New Roman"/>
          <w:bCs/>
        </w:rPr>
        <w:t xml:space="preserve"> </w:t>
      </w:r>
      <w:r w:rsidRPr="00EB1290">
        <w:rPr>
          <w:rFonts w:ascii="Times New Roman" w:hAnsi="Times New Roman"/>
          <w:bCs/>
        </w:rPr>
        <w:t xml:space="preserve">schools, workplaces, and retail areas on individuals’ propensity to walk </w:t>
      </w:r>
      <w:r w:rsidRPr="00EB1290">
        <w:rPr>
          <w:rFonts w:ascii="Times New Roman" w:hAnsi="Times New Roman"/>
          <w:bCs/>
        </w:rPr>
        <w:fldChar w:fldCharType="begin"/>
      </w:r>
      <w:r w:rsidR="00E66090">
        <w:rPr>
          <w:rFonts w:ascii="Times New Roman" w:hAnsi="Times New Roman"/>
          <w:bCs/>
        </w:rPr>
        <w:instrText xml:space="preserve"> ADDIN ZOTERO_ITEM CSL_CITATION {"citationID":"hoOIxCwV","properties":{"formattedCitation":"(Adlakha et al., 2015; Mumford et al., 2011; Quinn et al., 2017; Van Heeswijck et al., 2015; Wilson et al., 2012)","plainCitation":"(Adlakha et al., 2015; Mumford et al., 2011; Quinn et al., 2017; Van Heeswijck et al., 2015; Wilson et al., 2012)","dontUpdate":true,"noteIndex":0},"citationItems":[{"id":"Fxqj00vV/TgHYw7ax","uris":["http://zotero.org/users/10132210/items/9V2MUS4F"],"itemData":{"id":286,"type":"article-journal","abstract":"Background: Physical inactivity has been associated with obesity and related chronic diseases. Understanding built environment (BE) inﬂuences on speciﬁc domains of physical activity (PA) around homes and workplaces is important for public health interventions to increase population PA.\nPurpose: To examine the association of home and workplace BE features with PA occurring across speciﬁc life domains (work, leisure, and travel).\nMethods: Between 2012 and 2013, telephone interviews were conducted with participants in four Missouri metropolitan areas. Questions included sociodemographic characteristics, home and workplace supports for PA, and dietary behaviors. Data analysis was conducted in 2013; logistic regression was used to examine associations between BE features and domain-speciﬁc PA.\nResults: In home neighborhoods, seven of 12 BE features (availability of fruits and vegetables, presence of shops and stores, bike facilities, recreation facilities, crime rate, seeing others active, and interesting things) were associated with leisure PA. The global average score of home neighborhood BE features was associated with greater odds of travel PA (AOR¼1.99, 95% CI¼1.46, 2.72); leisure PA (AOR¼1.84, 95% CI¼1.44, 2.34); and total PA (AOR¼1.41, 95% CI¼1.04, 1.92). Associations between workplace neighborhoods’ BE features and workplace PA were small but in the expected direction.\nConclusions: This study offers empirical evidence on BE supports for domain-speciﬁc PA. Findings suggest that diverse, attractive, and walkable neighborhoods around workplaces support walking, bicycling, and use of public transit. Public health practitioners, researchers, and worksite leaders could beneﬁt by utilizing worksite domains and measures from this study for future BE assessments.","container-title":"American Journal of Preventive Medicine","DOI":"10.1016/j.amepre.2014.08.023","ISSN":"07493797","issue":"1","journalAbbreviation":"American Journal of Preventive Medicine","language":"en","page":"104-107","source":"DOI.org (Crossref)","title":"Home and Workplace Built Environment Supports for Physical Activity","volume":"48","author":[{"family":"Adlakha","given":"Deepti"},{"family":"Hipp","given":"Aaron J."},{"family":"Marx","given":"Christine"},{"family":"Yang","given":"Lin"},{"family":"Tabak","given":"Rachel"},{"family":"Dodson","given":"Elizabeth A."},{"family":"Brownson","given":"Ross C."}],"issued":{"date-parts":[["2015",1]]}}},{"id":"Fxqj00vV/r5SlZrUo","uris":["http://zotero.org/users/10132210/items/39R4XN5M"],"itemData":{"id":283,"type":"article-journal","abstract":"Background: Mixed-use developments may be especially promising settings for encouraging walking and other types of physical activity.\nPurpose: This study examined the physical activity and travel behaviors of individuals before and after they relocated to Atlantic Station, a mixed-use redevelopment community in metropolitan Atlanta.\nMethods: A survey study was conducted to compare the behaviors, experiences, and attitudes of Atlantic Station residents before and after moving to a mixed-use neighborhood. Data were collected in 2008 and 2009 and analyzed in 2010. Key dependent variables were self-reported physical activity and travel behaviors including walking for recreation and transport, automobile use, and use of public transportation.\nResults: Study participants included 101 adult residents of Atlantic Station, most of whom were female, young, and well educated. There were signifıcant increases in walking for recreation or fıtness (46%–54%; pϽ0.05) and walking for transportation (44%– 84%; pϽ0.001) after moving into the mixed-use development. Respondents also reported reduced automobile travel and increased time spent using public transportation after moving to Atlantic Station. Because this study used individuals as their own controls, there is more control over confounding lifestyle variables compared to cross-sectional studies of individuals living in different neighborhoods.\nConclusions: Adults who move to a denser, mixed-use neighborhood increase their levels of walking for both recreation and transportation, decrease their automobile travel, and increase their use of public transportation.","container-title":"American Journal of Preventive Medicine","DOI":"10.1016/j.amepre.2011.07.016","ISSN":"07493797","issue":"5","journalAbbreviation":"American Journal of Preventive Medicine","language":"en","page":"504-507","source":"DOI.org (Crossref)","title":"Changes in Physical Activity and Travel Behaviors in Residents of a Mixed-Use Development","volume":"41","author":[{"family":"Mumford","given":"Karen G."},{"family":"Contant","given":"Cheryl K."},{"family":"Weissman","given":"Jennifer"},{"family":"Wolf","given":"Jean"},{"family":"Glanz","given":"Karen"}],"issued":{"date-parts":[["2011",11]]}}},{"id":"Fxqj00vV/p1JKpy3v","uris":["http://zotero.org/users/10132210/items/384QQ43M"],"itemData":{"id":282,"type":"article-journal","abstract":"Background While active transportation has health, economic and environmental beneﬁts, participation within the USA is low. The purpose of this study is to examine relationships of demographic and workplace factors with health-enhancing active transportation and commuting.\nMethods Participants in the 2009 National Household Travel Survey reported demographics, workplace factors (time/distance to work, ﬂextime availability, option to work from home and work start time) and active transportation (for any purpose) or commuting (to and from work, workers only) as walking or biking (≥10 min bouts only). Multiple logistic regression examined crosssectional relationships between demographics and workplace factors with active transportation and commuting.\nResults Among 152 573 participants, active transportation was reported by 1.11% by biking and 11.74% by walking. Among 111 808 working participants, active commuting was reported by 0.80% by biking and 2.76% by walking. Increased odds ( p&lt;0.05) of active commuting and transportation were associated with younger age, lower income, urban dwelling, and the highest and lowest education categories. Males had greater odds of commuting and transporting by bike but decreased odds of walk transporting. Inconsistent patterns were observed by race, but whites had greater odds of any biking ( p&lt;0.05). Odds of active commuting were higher with a ﬂexible schedule ( p&lt;0.001), the option to work from home ( p&lt;0.05), shorter time and distance to work (both p&lt;0.001), and work arrival time between 11:00 and 15:59 (walking only, p=0.001).\nConclusions Active transportation differed across demographic and workplace factors. These relationships could inform infrastructure policy decisions and workplace wellness programming targeting increased active transportation.","container-title":"Journal of Epidemiology and Community Health","DOI":"10.1136/jech-2016-207820","ISSN":"0143-005X, 1470-2738","issue":"5","journalAbbreviation":"J Epidemiol Community Health","language":"en","page":"480-486","source":"DOI.org (Crossref)","title":"Demographic factors, workplace factors and active transportation use in the USA: a secondary analysis of 2009 NHTS data","title-short":"Demographic factors, workplace factors and active transportation use in the USA","volume":"71","author":[{"family":"Quinn","given":"Tyler D"},{"family":"Jakicic","given":"John M"},{"family":"Fertman","given":"Carl I"},{"family":"Barone Gibbs","given":"Bethany"}],"issued":{"date-parts":[["2017",5]]}}},{"id":"Fxqj00vV/T78BmgCS","uris":["http://zotero.org/users/10132210/items/3GCCNARC"],"itemData":{"id":284,"type":"article-journal","abstract":"This study assessed relationships between built environmental exposures measured within components of individual activity spaces (i.e., travel origins, destinations and paths in-between), and use of active transportation in a metropolitan setting. Individuals (n ¼ 37,165) were categorised as using active or sedentary transportation based on travel survey data. Generalised Estimating Equations analysis was used to test relationships with active transportation. Strength and signiﬁcance of relationships between exposures and active transportation varied for different components of the activity space. Associations were strongest when including travel paths in expression of the built environment. Land use mix and greenness were negatively related to active transportation.","container-title":"Health &amp; Place","DOI":"10.1016/j.healthplace.2015.03.003","ISSN":"13538292","journalAbbreviation":"Health &amp; Place","language":"en","page":"195-202","source":"DOI.org (Crossref)","title":"Differences in associations between active transportation and built environmental exposures when expressed using different components of individual activity spaces","volume":"33","author":[{"family":"Van Heeswijck","given":"Torbjorn"},{"family":"Paquet","given":"Catherine"},{"family":"Kestens","given":"Yan"},{"family":"Thierry","given":"Benoit"},{"family":"Morency","given":"Catherine"},{"family":"Daniel","given":"Mark"}],"issued":{"date-parts":[["2015",5]]}}},{"id":"Fxqj00vV/cxicEp3Z","uris":["http://zotero.org/users/10132210/items/X7CTRZA5"],"itemData":{"id":285,"type":"article-journal","container-title":"Local Environment","DOI":"10.1080/13549839.2011.646965","ISSN":"1354-9839, 1469-6711","issue":"2","journalAbbreviation":"Local Environment","language":"en","page":"131-146","source":"DOI.org (Crossref)","title":"The association between objectively measured neighbourhood features and walking for transport in mid-aged adults","volume":"17","author":[{"family":"Wilson","given":"Lee-Ann"},{"family":"Giles-Corti","given":"Billie"},{"family":"Turrell","given":"Gavin"}],"issued":{"date-parts":[["2012",2]]}}}],"schema":"https://github.com/citation-style-language/schema/raw/master/csl-citation.json"} </w:instrText>
      </w:r>
      <w:r w:rsidRPr="00EB1290">
        <w:rPr>
          <w:rFonts w:ascii="Times New Roman" w:hAnsi="Times New Roman"/>
          <w:bCs/>
        </w:rPr>
        <w:fldChar w:fldCharType="separate"/>
      </w:r>
      <w:r w:rsidRPr="00EB1290">
        <w:rPr>
          <w:rFonts w:ascii="Times New Roman" w:hAnsi="Times New Roman"/>
        </w:rPr>
        <w:t>(see, for example, Mumford et al., 2011, Wilson et al., 2012, Adlakha et al., 2015, Van Heeswijck et al., 2015, and Quinn et al., 2017)</w:t>
      </w:r>
      <w:r w:rsidRPr="00EB1290">
        <w:rPr>
          <w:rFonts w:ascii="Times New Roman" w:hAnsi="Times New Roman"/>
          <w:bCs/>
        </w:rPr>
        <w:fldChar w:fldCharType="end"/>
      </w:r>
      <w:r w:rsidRPr="00EB1290">
        <w:rPr>
          <w:rFonts w:ascii="Times New Roman" w:hAnsi="Times New Roman"/>
          <w:bCs/>
        </w:rPr>
        <w:t>.</w:t>
      </w:r>
    </w:p>
    <w:p w14:paraId="48C5C168" w14:textId="6832DF3C" w:rsidR="008B58C4" w:rsidRPr="00EB1290" w:rsidRDefault="008B58C4" w:rsidP="00443932">
      <w:pPr>
        <w:ind w:firstLine="720"/>
        <w:jc w:val="both"/>
        <w:rPr>
          <w:rFonts w:ascii="Times New Roman" w:hAnsi="Times New Roman"/>
        </w:rPr>
      </w:pPr>
      <w:r w:rsidRPr="00EB1290">
        <w:rPr>
          <w:rFonts w:ascii="Times New Roman" w:hAnsi="Times New Roman"/>
          <w:bCs/>
          <w:szCs w:val="24"/>
        </w:rPr>
        <w:t>Walking behavior and attitudes were further affected by the disturbance in mobility and lifestyle caused by the outbreak of COVID-19</w:t>
      </w:r>
      <w:r w:rsidRPr="00EB1290">
        <w:rPr>
          <w:rFonts w:ascii="Times New Roman" w:hAnsi="Times New Roman"/>
        </w:rPr>
        <w:t xml:space="preserve">. With restrictions imposed on indoor activities and reduced public transportation services, the pandemic era witnessed an increase in walking as a means of transportation and exercise </w:t>
      </w:r>
      <w:r w:rsidRPr="00EB1290">
        <w:rPr>
          <w:rFonts w:ascii="Times New Roman" w:hAnsi="Times New Roman"/>
        </w:rPr>
        <w:fldChar w:fldCharType="begin"/>
      </w:r>
      <w:r w:rsidR="00E66090">
        <w:rPr>
          <w:rFonts w:ascii="Times New Roman" w:hAnsi="Times New Roman"/>
        </w:rPr>
        <w:instrText xml:space="preserve"> ADDIN ZOTERO_ITEM CSL_CITATION {"citationID":"i8wx4Fo5","properties":{"formattedCitation":"(Kellermann et al., 2022)","plainCitation":"(Kellermann et al., 2022)","noteIndex":0},"citationItems":[{"id":"Fxqj00vV/DyHsfhfy","uris":["http://zotero.org/users/10132210/items/GLEURCI2"],"itemData":{"id":169,"type":"article-journal","abstract":"The COVID-19 pandemic marked a global disruption of unprecedented scale which was closely associated with human mobility. Since mobility acts as a facilitator for spreading the virus, individuals were forced to reconsider their respective behaviors. Despite numerous studies having detected behavioral changes during the first lock­ down period (spring 2020), there is a lack of longitudinal perspectives that can provide insights into the intrapandemic dynamics and potential long-term effects. This article investigates COVID-19-induced mobilitybehavioral transformations by analyzing travel patterns of Berlin residents during a 20-month pandemic period and comparing them to the pre-pandemic situation. Based on quantitative analysis of almost 800,000 recorded trips, our longitudinal examination revealed individuals having reduced average monthly travel distances by ~20%, trip frequencies by ~11%, and having switched to individual modes. Public transportation has suffered a continual regression, with trip frequencies experiencing a relative long-term reduction of ~50%, and a respective decrease of traveled distances by ~43%. In contrast, the bicycle (rather than the car) was the central beneficiary, indicated by bicycle-related trip frequencies experiencing a relative long-term increase of ~53%, and travel distances increasing by ~117%. Comparing behavioral responses to three pandemic waves, our analysis revealed each wave to have created unique response patterns, which show a gradual softening of individuals’ mobility related self-restrictions. Our findings contribute to retracing and quantifying individuals’ changing mobility behaviors induced by the pandemic, and to detecting possible long-term effects that may constitute a “new normal” of an entirely altered urban mobility landscape.","container-title":"Transportation Research Interdisciplinary Perspectives","DOI":"10.1016/j.trip.2022.100668","ISSN":"25901982","journalAbbreviation":"Transportation Research Interdisciplinary Perspectives","language":"en","page":"100668","source":"DOI.org (Crossref)","title":"Mobility in pandemic times: Exploring changes and long-term effects of COVID-19 on urban mobility behavior","title-short":"Mobility in pandemic times","volume":"15","author":[{"family":"Kellermann","given":"Robin"},{"family":"Sivizaca Conde","given":"Daniel"},{"family":"Rößler","given":"David"},{"family":"Kliewer","given":"Natalia"},{"family":"Dienel","given":"Hans-Liudger"}],"issued":{"date-parts":[["2022",9]]}}}],"schema":"https://github.com/citation-style-language/schema/raw/master/csl-citation.json"} </w:instrText>
      </w:r>
      <w:r w:rsidRPr="00EB1290">
        <w:rPr>
          <w:rFonts w:ascii="Times New Roman" w:hAnsi="Times New Roman"/>
        </w:rPr>
        <w:fldChar w:fldCharType="separate"/>
      </w:r>
      <w:r w:rsidRPr="00EB1290">
        <w:rPr>
          <w:rFonts w:ascii="Times New Roman" w:hAnsi="Times New Roman"/>
        </w:rPr>
        <w:t>(Kellermann et al., 2022)</w:t>
      </w:r>
      <w:r w:rsidRPr="00EB1290">
        <w:rPr>
          <w:rFonts w:ascii="Times New Roman" w:hAnsi="Times New Roman"/>
        </w:rPr>
        <w:fldChar w:fldCharType="end"/>
      </w:r>
      <w:r w:rsidRPr="00EB1290">
        <w:rPr>
          <w:rFonts w:ascii="Times New Roman" w:hAnsi="Times New Roman"/>
        </w:rPr>
        <w:t xml:space="preserve">. </w:t>
      </w:r>
      <w:r w:rsidR="00443932" w:rsidRPr="00443932">
        <w:rPr>
          <w:rFonts w:ascii="Times New Roman" w:hAnsi="Times New Roman"/>
        </w:rPr>
        <w:t>During the height of the pandemic in April 2020, the total number of trips in the U.S. decreased to as low as 62.1% of pre-pandemic levels</w:t>
      </w:r>
      <w:r w:rsidR="00443932">
        <w:rPr>
          <w:rFonts w:ascii="Times New Roman" w:hAnsi="Times New Roman"/>
        </w:rPr>
        <w:t xml:space="preserve"> </w:t>
      </w:r>
      <w:r w:rsidRPr="00EB1290">
        <w:rPr>
          <w:rFonts w:ascii="Times New Roman" w:hAnsi="Times New Roman"/>
        </w:rPr>
        <w:fldChar w:fldCharType="begin"/>
      </w:r>
      <w:r w:rsidR="00E66090">
        <w:rPr>
          <w:rFonts w:ascii="Times New Roman" w:hAnsi="Times New Roman"/>
        </w:rPr>
        <w:instrText xml:space="preserve"> ADDIN ZOTERO_ITEM CSL_CITATION {"citationID":"aav9OBfr","properties":{"formattedCitation":"(Titlow, 2023)","plainCitation":"(Titlow, 2023)","noteIndex":0},"citationItems":[{"id":"Fxqj00vV/PPTW5Rmh","uris":["http://zotero.org/users/10132210/items/8PG4XC3X"],"itemData":{"id":474,"type":"dataset","publisher":"Bureau of Transportation Statistics","title":"Trips by Distance","URL":"https://data.bts.gov/Research-and-Statistics/Trips-by-Distance/w96p-f2qv","author":[{"family":"Titlow","given":"Kyle"}],"issued":{"date-parts":[["2023"]]}}}],"schema":"https://github.com/citation-style-language/schema/raw/master/csl-citation.json"} </w:instrText>
      </w:r>
      <w:r w:rsidRPr="00EB1290">
        <w:rPr>
          <w:rFonts w:ascii="Times New Roman" w:hAnsi="Times New Roman"/>
        </w:rPr>
        <w:fldChar w:fldCharType="separate"/>
      </w:r>
      <w:r w:rsidRPr="00EB1290">
        <w:rPr>
          <w:rFonts w:ascii="Times New Roman" w:hAnsi="Times New Roman"/>
        </w:rPr>
        <w:t>(Titlow, 2023)</w:t>
      </w:r>
      <w:r w:rsidRPr="00EB1290">
        <w:rPr>
          <w:rFonts w:ascii="Times New Roman" w:hAnsi="Times New Roman"/>
        </w:rPr>
        <w:fldChar w:fldCharType="end"/>
      </w:r>
      <w:r w:rsidRPr="00EB1290">
        <w:rPr>
          <w:rFonts w:ascii="Times New Roman" w:hAnsi="Times New Roman"/>
        </w:rPr>
        <w:t xml:space="preserve">, </w:t>
      </w:r>
      <w:r w:rsidR="00443932" w:rsidRPr="00443932">
        <w:rPr>
          <w:rFonts w:ascii="Times New Roman" w:hAnsi="Times New Roman"/>
        </w:rPr>
        <w:t xml:space="preserve">and the number of transit riders dropped to its lowest point since the 1930s </w:t>
      </w:r>
      <w:r w:rsidRPr="00EB1290">
        <w:rPr>
          <w:rFonts w:ascii="Times New Roman" w:hAnsi="Times New Roman"/>
        </w:rPr>
        <w:fldChar w:fldCharType="begin"/>
      </w:r>
      <w:r w:rsidR="00E66090">
        <w:rPr>
          <w:rFonts w:ascii="Times New Roman" w:hAnsi="Times New Roman"/>
        </w:rPr>
        <w:instrText xml:space="preserve"> ADDIN ZOTERO_ITEM CSL_CITATION {"citationID":"516zTdQ7","properties":{"formattedCitation":"(Bureau of Transporation Statistics, 2023; Ziedan et al., 2023)","plainCitation":"(Bureau of Transporation Statistics, 2023; Ziedan et al., 2023)","dontUpdate":true,"noteIndex":0},"citationItems":[{"id":"Fxqj00vV/tJmhJyCS","uris":["http://zotero.org/users/10132210/items/88RZZ5JY"],"itemData":{"id":506,"type":"article-journal","abstract":"Although the COVID-19 pandemic highly impacted transit ridership as people reduced or stopped travel, these changes occurred at different rates in different regions across the United States. This study explores the impacts of COVID-19 on ridership and recovery trends for all federally funded transit agencies in the United States from January 2020 to June 2022. The findings of this analysis show that overall transit ridership hit a 100-year low in 2020. Changepoint analysis revealed that June 2021 marked the beginning of the recovery for transit ridership in the United States. However, even by June 2022, rail and bus ridership were only about two-thirds of the prepandemic levels in most metropolitan statistical areas (MSAs). Only in a handful of MSAs like Tampa and Tucson did rail ridership reach or exceed 2019 ridership. This retrospective study concludes with a discussion of some longer-term changes likely to continue to impact ridership, such as increased telecommuting and operator shortages, as well as some opportunities, such as free fares and increased availability of bus lanes. The findings of this study can help inform agencies about their performance compared to their peers and highlight general challenges facing the transit industry.","container-title":"Journal of Public Transportation","DOI":"10.1016/j.jpubtr.2023.100046","ISSN":"1077291X","journalAbbreviation":"Journal of Public Transportation","language":"en","page":"100046","source":"DOI.org (Crossref)","title":"Will transit recover? A retrospective study of nationwide ridership in the United States during the COVID-19 pandemic","title-short":"Will transit recover?","volume":"25","author":[{"family":"Ziedan","given":"Abubakr"},{"family":"Brakewood","given":"Candace"},{"family":"Watkins","given":"Kari"}],"issued":{"date-parts":[["2023"]]}}},{"id":"Fxqj00vV/CaTBFsyp","uris":["http://zotero.org/users/10132210/items/YDZBGS7R"],"itemData":{"id":135,"type":"report","archive":"2023","publisher":"Bureau of Transporation Statistics","title":"Trips by Distance","URL":"https://data.bts.gov/Research-and-Statistics/Trips-by-Distance/w96p-f2qv","author":[{"family":"Bureau of Transporation Statistics","given":""}],"accessed":{"date-parts":[["2023",4,17]]},"issued":{"date-parts":[["2023"]]}}}],"schema":"https://github.com/citation-style-language/schema/raw/master/csl-citation.json"} </w:instrText>
      </w:r>
      <w:r w:rsidRPr="00EB1290">
        <w:rPr>
          <w:rFonts w:ascii="Times New Roman" w:hAnsi="Times New Roman"/>
        </w:rPr>
        <w:fldChar w:fldCharType="separate"/>
      </w:r>
      <w:r w:rsidRPr="00EB1290">
        <w:rPr>
          <w:rFonts w:ascii="Times New Roman" w:hAnsi="Times New Roman"/>
        </w:rPr>
        <w:t>(Bureau of Transpor</w:t>
      </w:r>
      <w:r>
        <w:rPr>
          <w:rFonts w:ascii="Times New Roman" w:hAnsi="Times New Roman"/>
        </w:rPr>
        <w:t>t</w:t>
      </w:r>
      <w:r w:rsidRPr="00EB1290">
        <w:rPr>
          <w:rFonts w:ascii="Times New Roman" w:hAnsi="Times New Roman"/>
        </w:rPr>
        <w:t>ation Statistics, 2023, and Ziedan et al., 2023)</w:t>
      </w:r>
      <w:r w:rsidRPr="00EB1290">
        <w:rPr>
          <w:rFonts w:ascii="Times New Roman" w:hAnsi="Times New Roman"/>
        </w:rPr>
        <w:fldChar w:fldCharType="end"/>
      </w:r>
      <w:r w:rsidRPr="00EB1290">
        <w:rPr>
          <w:rFonts w:ascii="Times New Roman" w:hAnsi="Times New Roman"/>
        </w:rPr>
        <w:t>, which can cause</w:t>
      </w:r>
      <w:r w:rsidR="009D0DB4">
        <w:rPr>
          <w:rFonts w:ascii="Times New Roman" w:hAnsi="Times New Roman"/>
        </w:rPr>
        <w:t xml:space="preserve"> a</w:t>
      </w:r>
      <w:r w:rsidRPr="00EB1290">
        <w:rPr>
          <w:rFonts w:ascii="Times New Roman" w:hAnsi="Times New Roman"/>
        </w:rPr>
        <w:t xml:space="preserve"> decrease in utilitarian walking trips</w:t>
      </w:r>
      <w:r w:rsidR="00443932">
        <w:rPr>
          <w:rFonts w:ascii="Times New Roman" w:hAnsi="Times New Roman"/>
        </w:rPr>
        <w:t>. However,</w:t>
      </w:r>
      <w:r w:rsidRPr="00EB1290">
        <w:rPr>
          <w:rFonts w:ascii="Times New Roman" w:hAnsi="Times New Roman"/>
        </w:rPr>
        <w:t xml:space="preserve"> available data suggest that </w:t>
      </w:r>
      <w:r w:rsidR="00B025B9">
        <w:rPr>
          <w:rFonts w:ascii="Times New Roman" w:eastAsiaTheme="minorEastAsia" w:hAnsi="Times New Roman"/>
          <w:lang w:eastAsia="ko-KR"/>
        </w:rPr>
        <w:t>the reduction in</w:t>
      </w:r>
      <w:r w:rsidR="00102C47">
        <w:rPr>
          <w:rFonts w:ascii="Times New Roman" w:eastAsiaTheme="minorEastAsia" w:hAnsi="Times New Roman" w:hint="eastAsia"/>
          <w:lang w:eastAsia="ko-KR"/>
        </w:rPr>
        <w:t xml:space="preserve"> </w:t>
      </w:r>
      <w:r w:rsidR="00892B0C">
        <w:rPr>
          <w:rFonts w:ascii="Times New Roman" w:eastAsiaTheme="minorEastAsia" w:hAnsi="Times New Roman" w:hint="eastAsia"/>
          <w:lang w:eastAsia="ko-KR"/>
        </w:rPr>
        <w:t xml:space="preserve">car use for </w:t>
      </w:r>
      <w:r w:rsidR="00102C47">
        <w:rPr>
          <w:rFonts w:ascii="Times New Roman" w:eastAsiaTheme="minorEastAsia" w:hAnsi="Times New Roman" w:hint="eastAsia"/>
          <w:lang w:eastAsia="ko-KR"/>
        </w:rPr>
        <w:t>directed</w:t>
      </w:r>
      <w:r w:rsidR="00892B0C">
        <w:rPr>
          <w:rFonts w:ascii="Times New Roman" w:eastAsiaTheme="minorEastAsia" w:hAnsi="Times New Roman" w:hint="eastAsia"/>
          <w:lang w:eastAsia="ko-KR"/>
        </w:rPr>
        <w:t xml:space="preserve"> and </w:t>
      </w:r>
      <w:r w:rsidR="00B025B9">
        <w:rPr>
          <w:rFonts w:ascii="Times New Roman" w:eastAsiaTheme="minorEastAsia" w:hAnsi="Times New Roman"/>
          <w:lang w:eastAsia="ko-KR"/>
        </w:rPr>
        <w:t>recreational</w:t>
      </w:r>
      <w:r w:rsidR="00892B0C">
        <w:rPr>
          <w:rFonts w:ascii="Times New Roman" w:eastAsiaTheme="minorEastAsia" w:hAnsi="Times New Roman" w:hint="eastAsia"/>
          <w:lang w:eastAsia="ko-KR"/>
        </w:rPr>
        <w:t xml:space="preserve"> activities</w:t>
      </w:r>
      <w:r w:rsidR="00102C47">
        <w:rPr>
          <w:rFonts w:ascii="Times New Roman" w:eastAsiaTheme="minorEastAsia" w:hAnsi="Times New Roman" w:hint="eastAsia"/>
          <w:lang w:eastAsia="ko-KR"/>
        </w:rPr>
        <w:t xml:space="preserve"> </w:t>
      </w:r>
      <w:r w:rsidR="0077750B">
        <w:rPr>
          <w:rFonts w:ascii="Times New Roman" w:eastAsiaTheme="minorEastAsia" w:hAnsi="Times New Roman" w:hint="eastAsia"/>
          <w:lang w:eastAsia="ko-KR"/>
        </w:rPr>
        <w:t xml:space="preserve">was </w:t>
      </w:r>
      <w:r w:rsidR="00443932">
        <w:rPr>
          <w:rFonts w:ascii="Times New Roman" w:eastAsiaTheme="minorEastAsia" w:hAnsi="Times New Roman"/>
          <w:lang w:eastAsia="ko-KR"/>
        </w:rPr>
        <w:t>offset</w:t>
      </w:r>
      <w:r w:rsidR="0077750B">
        <w:rPr>
          <w:rFonts w:ascii="Times New Roman" w:eastAsiaTheme="minorEastAsia" w:hAnsi="Times New Roman" w:hint="eastAsia"/>
          <w:lang w:eastAsia="ko-KR"/>
        </w:rPr>
        <w:t xml:space="preserve"> by</w:t>
      </w:r>
      <w:r w:rsidR="00D459F6">
        <w:rPr>
          <w:rFonts w:ascii="Times New Roman" w:eastAsiaTheme="minorEastAsia" w:hAnsi="Times New Roman" w:hint="eastAsia"/>
          <w:lang w:eastAsia="ko-KR"/>
        </w:rPr>
        <w:t xml:space="preserve"> </w:t>
      </w:r>
      <w:r w:rsidR="00443932">
        <w:rPr>
          <w:rFonts w:ascii="Times New Roman" w:eastAsiaTheme="minorEastAsia" w:hAnsi="Times New Roman"/>
          <w:lang w:eastAsia="ko-KR"/>
        </w:rPr>
        <w:t xml:space="preserve">an increase in </w:t>
      </w:r>
      <w:r w:rsidR="00892B0C">
        <w:rPr>
          <w:rFonts w:ascii="Times New Roman" w:eastAsiaTheme="minorEastAsia" w:hAnsi="Times New Roman" w:hint="eastAsia"/>
          <w:lang w:eastAsia="ko-KR"/>
        </w:rPr>
        <w:t xml:space="preserve">active mode trips </w:t>
      </w:r>
      <w:r w:rsidR="008653F6">
        <w:rPr>
          <w:rFonts w:ascii="Times New Roman" w:eastAsiaTheme="minorEastAsia" w:hAnsi="Times New Roman"/>
          <w:lang w:eastAsia="ko-KR"/>
        </w:rPr>
        <w:t>for</w:t>
      </w:r>
      <w:r w:rsidR="00892B0C">
        <w:rPr>
          <w:rFonts w:ascii="Times New Roman" w:eastAsiaTheme="minorEastAsia" w:hAnsi="Times New Roman" w:hint="eastAsia"/>
          <w:lang w:eastAsia="ko-KR"/>
        </w:rPr>
        <w:t xml:space="preserve"> </w:t>
      </w:r>
      <w:r w:rsidR="00961C25">
        <w:rPr>
          <w:rFonts w:ascii="Times New Roman" w:eastAsiaTheme="minorEastAsia" w:hAnsi="Times New Roman" w:hint="eastAsia"/>
          <w:lang w:eastAsia="ko-KR"/>
        </w:rPr>
        <w:t>undirected</w:t>
      </w:r>
      <w:r w:rsidR="00892B0C">
        <w:rPr>
          <w:rFonts w:ascii="Times New Roman" w:eastAsiaTheme="minorEastAsia" w:hAnsi="Times New Roman" w:hint="eastAsia"/>
          <w:lang w:eastAsia="ko-KR"/>
        </w:rPr>
        <w:t xml:space="preserve"> and</w:t>
      </w:r>
      <w:r w:rsidR="00961C25">
        <w:rPr>
          <w:rFonts w:ascii="Times New Roman" w:eastAsiaTheme="minorEastAsia" w:hAnsi="Times New Roman" w:hint="eastAsia"/>
          <w:lang w:eastAsia="ko-KR"/>
        </w:rPr>
        <w:t xml:space="preserve"> </w:t>
      </w:r>
      <w:r w:rsidRPr="00EB1290">
        <w:rPr>
          <w:rFonts w:ascii="Times New Roman" w:hAnsi="Times New Roman"/>
        </w:rPr>
        <w:t xml:space="preserve">recreational </w:t>
      </w:r>
      <w:r w:rsidR="00892B0C">
        <w:rPr>
          <w:rFonts w:ascii="Times New Roman" w:eastAsiaTheme="minorEastAsia" w:hAnsi="Times New Roman" w:hint="eastAsia"/>
          <w:lang w:eastAsia="ko-KR"/>
        </w:rPr>
        <w:t>purpose</w:t>
      </w:r>
      <w:r w:rsidR="008653F6">
        <w:rPr>
          <w:rFonts w:ascii="Times New Roman" w:eastAsiaTheme="minorEastAsia" w:hAnsi="Times New Roman"/>
          <w:lang w:eastAsia="ko-KR"/>
        </w:rPr>
        <w:t>s</w:t>
      </w:r>
      <w:r w:rsidR="00892B0C">
        <w:rPr>
          <w:rFonts w:ascii="Times New Roman" w:eastAsiaTheme="minorEastAsia" w:hAnsi="Times New Roman" w:hint="eastAsia"/>
          <w:lang w:eastAsia="ko-KR"/>
        </w:rPr>
        <w:t xml:space="preserve"> </w:t>
      </w:r>
      <w:r w:rsidR="00C7192F">
        <w:rPr>
          <w:rFonts w:ascii="Times New Roman" w:eastAsiaTheme="minorEastAsia" w:hAnsi="Times New Roman" w:hint="eastAsia"/>
          <w:lang w:eastAsia="ko-KR"/>
        </w:rPr>
        <w:t>during lockdown</w:t>
      </w:r>
      <w:r w:rsidR="0077750B">
        <w:rPr>
          <w:rFonts w:ascii="Times New Roman" w:eastAsiaTheme="minorEastAsia" w:hAnsi="Times New Roman" w:hint="eastAsia"/>
          <w:lang w:eastAsia="ko-KR"/>
        </w:rPr>
        <w:t xml:space="preserve"> </w:t>
      </w:r>
      <w:r w:rsidR="00443932">
        <w:rPr>
          <w:rFonts w:ascii="Times New Roman" w:eastAsiaTheme="minorEastAsia" w:hAnsi="Times New Roman"/>
          <w:lang w:eastAsia="ko-KR"/>
        </w:rPr>
        <w:t xml:space="preserve">periods </w:t>
      </w:r>
      <w:r w:rsidR="00332E34">
        <w:rPr>
          <w:rFonts w:ascii="Times New Roman" w:eastAsiaTheme="minorEastAsia" w:hAnsi="Times New Roman"/>
          <w:lang w:eastAsia="ko-KR"/>
        </w:rPr>
        <w:fldChar w:fldCharType="begin"/>
      </w:r>
      <w:r w:rsidR="00246DE9">
        <w:rPr>
          <w:rFonts w:ascii="Times New Roman" w:eastAsiaTheme="minorEastAsia" w:hAnsi="Times New Roman"/>
          <w:lang w:eastAsia="ko-KR"/>
        </w:rPr>
        <w:instrText xml:space="preserve"> ADDIN ZOTERO_ITEM CSL_CITATION {"citationID":"Kpc2c9dw","properties":{"formattedCitation":"(Dingil &amp; Eszterg\\uc0\\u225{}r-Kiss, 2021; Hook et al., 2021)","plainCitation":"(Dingil &amp; Esztergár-Kiss, 2021; Hook et al., 2021)","dontUpdate":true,"noteIndex":0},"citationItems":[{"id":1092,"uris":["http://zotero.org/users/10132210/items/D8YV989Q"],"itemData":{"id":1092,"type":"article-journal","abstract":"The present study focuses on the relationship between the Covid-19 pandemic and mobility patterns. By using data from an international survey, transport users’ socio-demographic features and travel character­ istics during the pre-pandemic and pandemic time are analyzed.Afterward, the pandemic commuting travel behavior is modeled. The multinomial model shows that public transport users are 31.5, 10.6, and 6.9 times more likely to change their commuting transportation mode than car users, motorcycle users, and walkers, respectively. The results demonstrate that travel distance and income level are the two most influential factors in pandemic decision-making. These results confirm the reflection of spatial-economic inequalities during the pandemic. Active modes, motorcycle, and personal car are perceived by the participants as the least risky urban transportation modes during the pandemic. Thus, a considerable growth in individual transportation modes, up to 26% increase for commuting and up to 15% for leisure activities, can be recognized.","container-title":"Transportation Letters","DOI":"10.1080/19427867.2021.1901011","ISSN":"1942-7867, 1942-7875","issue":"5-6","journalAbbreviation":"Transportation Letters","language":"en","page":"434-446","source":"DOI.org (Crossref)","title":"The Influence of the Covid-19 Pandemic on Mobility Patterns: The First Wave’s Results","title-short":"The Influence of the Covid-19 Pandemic on Mobility Patterns","volume":"13","author":[{"family":"Dingil","given":"Ali Enes"},{"family":"Esztergár-Kiss","given":"Domokos"}],"issued":{"date-parts":[["2021",5,28]]}}},{"id":1090,"uris":["http://zotero.org/users/10132210/items/AHG2C43R"],"itemData":{"id":1090,"type":"article-journal","abstract":"The COVID-19 pandemic lockdown undeniably impacted travel behavior. It is assumed that directed (commute and non-work) trips reduced following reduced out-of-home activities. This study analyzing 764 respondents in Flanders, Belgium, explores whether undirected trips, or travel for the purpose of travel itself, increase as compensation or to ‘get out and about’. Additionally, change in commute and non-work trip mode and frequency is analyzed to assess whether a shift from public to private transport modes and from motorized to active modes occurred. The effect of urbanization on travel behavior change was also evaluated. Results did not indicate a shift from public to private transport modes, suggesting a general decrease in directed trips, but indicated compensation for decreased car use with both undirected and active trips. The built environment was not significantly related to changes in travel behavior, suggesting that respondents participated in compensatory behavior during the lockdown regardless of residential urbanization.","container-title":"Transportation Letters","DOI":"10.1080/19427867.2021.1892935","ISSN":"1942-7867, 1942-7875","issue":"5-6","journalAbbreviation":"Transportation Letters","language":"en","page":"414-420","source":"DOI.org (Crossref)","title":"Does undirected travel compensate for reduced directed travel during lockdown?","volume":"13","author":[{"family":"Hook","given":"Hannah"},{"family":"De Vos","given":"Jonas"},{"family":"Van Acker","given":"Veronique"},{"family":"Witlox","given":"Frank"}],"issued":{"date-parts":[["2021",5,28]]}}}],"schema":"https://github.com/citation-style-language/schema/raw/master/csl-citation.json"} </w:instrText>
      </w:r>
      <w:r w:rsidR="00332E34">
        <w:rPr>
          <w:rFonts w:ascii="Times New Roman" w:eastAsiaTheme="minorEastAsia" w:hAnsi="Times New Roman"/>
          <w:lang w:eastAsia="ko-KR"/>
        </w:rPr>
        <w:fldChar w:fldCharType="separate"/>
      </w:r>
      <w:r w:rsidR="00A63EFA" w:rsidRPr="00A63EFA">
        <w:rPr>
          <w:rFonts w:ascii="Times New Roman" w:hAnsi="Times New Roman"/>
        </w:rPr>
        <w:t xml:space="preserve">(Dingil </w:t>
      </w:r>
      <w:r w:rsidR="00A63EFA">
        <w:rPr>
          <w:rFonts w:ascii="Times New Roman" w:eastAsiaTheme="minorEastAsia" w:hAnsi="Times New Roman" w:hint="eastAsia"/>
          <w:lang w:eastAsia="ko-KR"/>
        </w:rPr>
        <w:t>and</w:t>
      </w:r>
      <w:r w:rsidR="00A63EFA" w:rsidRPr="00A63EFA">
        <w:rPr>
          <w:rFonts w:ascii="Times New Roman" w:hAnsi="Times New Roman"/>
        </w:rPr>
        <w:t xml:space="preserve"> Esztergár-Kiss, 2021</w:t>
      </w:r>
      <w:r w:rsidR="00A63EFA">
        <w:rPr>
          <w:rFonts w:ascii="Times New Roman" w:eastAsiaTheme="minorEastAsia" w:hAnsi="Times New Roman" w:hint="eastAsia"/>
          <w:lang w:eastAsia="ko-KR"/>
        </w:rPr>
        <w:t>, and</w:t>
      </w:r>
      <w:r w:rsidR="00A63EFA" w:rsidRPr="00A63EFA">
        <w:rPr>
          <w:rFonts w:ascii="Times New Roman" w:hAnsi="Times New Roman"/>
        </w:rPr>
        <w:t xml:space="preserve"> Hook et al., 2021)</w:t>
      </w:r>
      <w:r w:rsidR="00332E34">
        <w:rPr>
          <w:rFonts w:ascii="Times New Roman" w:eastAsiaTheme="minorEastAsia" w:hAnsi="Times New Roman"/>
          <w:lang w:eastAsia="ko-KR"/>
        </w:rPr>
        <w:fldChar w:fldCharType="end"/>
      </w:r>
      <w:r w:rsidR="0077750B">
        <w:rPr>
          <w:rFonts w:ascii="Times New Roman" w:eastAsiaTheme="minorEastAsia" w:hAnsi="Times New Roman" w:hint="eastAsia"/>
          <w:lang w:eastAsia="ko-KR"/>
        </w:rPr>
        <w:t>.</w:t>
      </w:r>
      <w:r w:rsidRPr="00EB1290">
        <w:rPr>
          <w:rFonts w:ascii="Times New Roman" w:hAnsi="Times New Roman"/>
        </w:rPr>
        <w:t xml:space="preserve"> Furthermore, as the stay-at-home orders were lifted, a notable increase in walking levels was observed </w:t>
      </w:r>
      <w:r w:rsidRPr="00EB1290">
        <w:rPr>
          <w:rFonts w:ascii="Times New Roman" w:hAnsi="Times New Roman"/>
        </w:rPr>
        <w:fldChar w:fldCharType="begin"/>
      </w:r>
      <w:r w:rsidR="00E66090">
        <w:rPr>
          <w:rFonts w:ascii="Times New Roman" w:hAnsi="Times New Roman"/>
        </w:rPr>
        <w:instrText xml:space="preserve"> ADDIN ZOTERO_ITEM CSL_CITATION {"citationID":"qFSat5rP","properties":{"formattedCitation":"(Doubleday et al., 2021)","plainCitation":"(Doubleday et al., 2021)","noteIndex":0},"citationItems":[{"id":"Fxqj00vV/vXIJeCsL","uris":["http://zotero.org/users/10132210/items/EVERPYMS"],"itemData":{"id":171,"type":"article-journal","abstract":"A growing body of literature suggests that restrictive public health measures implemented to control COVID-19 have had negative impacts on physical activity. We examined how Stay Home orders in Houston, New York City, and Seattle impacted outdoor physical activity patterns, measured by daily bicycle and pedestrian count data. We assessed changes in activity levels between the period before and during Stay Home orders. Across all three cities, we found significant changes in bicycle and pedestrian counts from the period before to the period during Stay Home orders. The direction of change varied by location, likely due to differing local contexts and outbreak progression. These results can inform policy around the use of outdoor public infrastructure as the COVID-19 pandemic continues.","container-title":"PLOS ONE","DOI":"10.1371/journal.pone.0245514","ISSN":"1932-6203","issue":"1","journalAbbreviation":"PLoS ONE","language":"en","page":"e0245514","source":"DOI.org (Crossref)","title":"How did outdoor biking and walking change during COVID-19?: A case study of three U.S. cities","title-short":"How did outdoor biking and walking change during COVID-19?","volume":"16","author":[{"family":"Doubleday","given":"Annie"},{"family":"Choe","given":"Youngjun"},{"family":"Busch Isaksen","given":"Tania"},{"family":"Miles","given":"Scott"},{"family":"Errett","given":"Nicole A."}],"editor":[{"family":"Stimpson","given":"Jim P."}],"issued":{"date-parts":[["2021",1,20]]}}}],"schema":"https://github.com/citation-style-language/schema/raw/master/csl-citation.json"} </w:instrText>
      </w:r>
      <w:r w:rsidRPr="00EB1290">
        <w:rPr>
          <w:rFonts w:ascii="Times New Roman" w:hAnsi="Times New Roman"/>
        </w:rPr>
        <w:fldChar w:fldCharType="separate"/>
      </w:r>
      <w:r w:rsidRPr="00EB1290">
        <w:rPr>
          <w:rFonts w:ascii="Times New Roman" w:hAnsi="Times New Roman"/>
        </w:rPr>
        <w:t>(Doubleday et al., 2021)</w:t>
      </w:r>
      <w:r w:rsidRPr="00EB1290">
        <w:rPr>
          <w:rFonts w:ascii="Times New Roman" w:hAnsi="Times New Roman"/>
        </w:rPr>
        <w:fldChar w:fldCharType="end"/>
      </w:r>
      <w:r w:rsidRPr="00EB1290">
        <w:rPr>
          <w:rFonts w:ascii="Times New Roman" w:hAnsi="Times New Roman"/>
        </w:rPr>
        <w:t xml:space="preserve">, which is largely attributed to new participants engaging in outdoor walking/recreational activities </w:t>
      </w:r>
      <w:r w:rsidRPr="000856ED">
        <w:rPr>
          <w:rFonts w:ascii="Times New Roman" w:hAnsi="Times New Roman"/>
        </w:rPr>
        <w:fldChar w:fldCharType="begin"/>
      </w:r>
      <w:r w:rsidR="00E66090">
        <w:rPr>
          <w:rFonts w:ascii="Times New Roman" w:hAnsi="Times New Roman"/>
        </w:rPr>
        <w:instrText xml:space="preserve"> ADDIN ZOTERO_ITEM CSL_CITATION {"citationID":"WOJ0yYNP","properties":{"formattedCitation":"(Outdoor industry association, 2021; Taff et al., 2021)","plainCitation":"(Outdoor industry association, 2021; Taff et al., 2021)","dontUpdate":true,"noteIndex":0},"citationItems":[{"id":"Fxqj00vV/L3yRrqby","uris":["http://zotero.org/users/10132210/items/RH3Q7SZQ"],"itemData":{"id":173,"type":"report","publisher":"Outdoor industry association","title":"The new outdoor participant (Covid and beyond)","author":[{"family":"Outdoor industry association","given":""}],"issued":{"date-parts":[["2021"]]}}},{"id":"Fxqj00vV/xSxUA7pH","uris":["http://zotero.org/users/10132210/items/DIGD8UIZ"],"itemData":{"id":175,"type":"article-journal","abstract":"The COVID-19 pandemic has been proposed as a catalyst for many U.S. residents to re-engage in outdoor recreation or engage in outdoor recreation for the ﬁrst time. This manuscript describes the results of a representative U.S. national panel study aimed at better understanding the socio-demographic proﬁle (gender, ethnicity, community type, income, and age) of those participants new to outdoor recreation since the start of the COVID-19 pandemic. In doing so, we address how these new outdoor recreationists differ from (1) those who frequently participated in outdoor recreation prior to the pandemic and continue to participate in outdoor recreation, (2) those who did not frequently participate in outdoor recreation prior to the pandemic and remain un-engaged, and (3) those who frequently participated in outdoor recreation prior to the pandemic but stopped their frequent participation following the onset of the pandemic. Results from this U.S. national study suggest that 35.8% of respondents indicated that they did not participate regularly in outdoor recreation prior to the pandemic or during the pandemic, 30.4% indicated that they did participate regularly in outdoor recreation prior to the pandemic and continued to do so regularly during the pandemic, and 13.5% indicated that they did participate regularly in outdoor recreation prior to the pandemic, but did not continue to do so during the pandemic. More than 20% of the sample indicated that they were new outdoor recreationists. The majority of respondents in all categories, including those that were new to outdoor recreation amidst the pandemic, identiﬁed as being white, however these new outdoor recreationists were also the least ethnically diverse. The previously but no longer outdoor recreationist respondents were signiﬁcantly more ethnically diverse than the other three groups, and they tended to live in more urbanized settings. Discussion of these results includes implications for outdoor recreation managers, and researchers who seek to better understand who the COVID-19 pandemic has inﬂuenced with regard to outdoor recreation participation. Implications regarding social justice, access and equity to public places that facilitate outdoor recreation, and health-related policies are discussed.","container-title":"Land","DOI":"10.3390/land10121396","ISSN":"2073-445X","issue":"12","journalAbbreviation":"Land","language":"en","page":"1396","source":"DOI.org (Crossref)","title":"Who Started, Stopped, and Continued Participating in Outdoor Recreation during the COVID-19 Pandemic in the United States? Results from a National Panel Study","title-short":"Who Started, Stopped, and Continued Participating in Outdoor Recreation during the COVID-19 Pandemic in the United States?","volume":"10","author":[{"family":"Taff","given":"B. Derrick"},{"family":"Rice","given":"William L."},{"family":"Lawhon","given":"Ben"},{"family":"Newman","given":"Peter"}],"issued":{"date-parts":[["2021",12,17]]}}}],"schema":"https://github.com/citation-style-language/schema/raw/master/csl-citation.json"} </w:instrText>
      </w:r>
      <w:r w:rsidRPr="000856ED">
        <w:rPr>
          <w:rFonts w:ascii="Times New Roman" w:hAnsi="Times New Roman"/>
        </w:rPr>
        <w:fldChar w:fldCharType="separate"/>
      </w:r>
      <w:r w:rsidRPr="000856ED">
        <w:rPr>
          <w:rFonts w:ascii="Times New Roman" w:hAnsi="Times New Roman"/>
        </w:rPr>
        <w:t>(Outdoor Foundation, 2022, and Taff et al., 2021)</w:t>
      </w:r>
      <w:r w:rsidRPr="000856ED">
        <w:rPr>
          <w:rFonts w:ascii="Times New Roman" w:hAnsi="Times New Roman"/>
        </w:rPr>
        <w:fldChar w:fldCharType="end"/>
      </w:r>
      <w:r w:rsidRPr="000856ED">
        <w:rPr>
          <w:rFonts w:ascii="Times New Roman" w:hAnsi="Times New Roman"/>
        </w:rPr>
        <w:t>. These findings underscore the adaptability and appeal of w</w:t>
      </w:r>
      <w:r w:rsidRPr="00EB1290">
        <w:rPr>
          <w:rFonts w:ascii="Times New Roman" w:hAnsi="Times New Roman"/>
        </w:rPr>
        <w:t>alking as a mode of transportation and physical activity during times of restricted mobility and point to the emergence of a growing interest in outdoor activities.</w:t>
      </w:r>
    </w:p>
    <w:p w14:paraId="659985CD" w14:textId="4B748F89" w:rsidR="008B58C4" w:rsidRPr="00EB1290" w:rsidRDefault="008B58C4" w:rsidP="008B58C4">
      <w:pPr>
        <w:ind w:firstLine="720"/>
        <w:jc w:val="both"/>
        <w:rPr>
          <w:rFonts w:ascii="Times New Roman" w:hAnsi="Times New Roman"/>
        </w:rPr>
      </w:pPr>
      <w:r w:rsidRPr="00EB1290">
        <w:rPr>
          <w:rFonts w:ascii="Times New Roman" w:hAnsi="Times New Roman"/>
        </w:rPr>
        <w:t xml:space="preserve">Although the health threats of the COVID-19 pandemic have diminished, walking habits continue to be impacted by the persisting safety concerns related to the virus, daily trip reductions resulting from the adoption of remote work and online shopping modalities </w:t>
      </w:r>
      <w:r w:rsidRPr="00EB1290">
        <w:rPr>
          <w:rFonts w:ascii="Times New Roman" w:hAnsi="Times New Roman"/>
        </w:rPr>
        <w:fldChar w:fldCharType="begin"/>
      </w:r>
      <w:r w:rsidR="00E66090">
        <w:rPr>
          <w:rFonts w:ascii="Times New Roman" w:hAnsi="Times New Roman"/>
        </w:rPr>
        <w:instrText xml:space="preserve"> ADDIN ZOTERO_ITEM CSL_CITATION {"citationID":"9SB6E5K9","properties":{"formattedCitation":"(Javadinasr et al., 2022)","plainCitation":"(Javadinasr et al., 2022)","noteIndex":0},"citationItems":[{"id":"Fxqj00vV/WSnm1WX7","uris":["http://zotero.org/users/10132210/items/U46LLQT3"],"itemData":{"id":114,"type":"article-journal","abstract":"A critical challenge facing transportation planners is to identify the type and the extent of changes in people’s activity-travel behavior in the post-Covid-19 pandemic world. In this study, we investigate the travel behavior evolution by analyzing a longitudinal two-wave panel survey data conducted in the United States from April 2020 to May 2021. Encompassing nearly 3,000 re­ spondents across different states, we explored the effects of the pandemic on four major cate­ gories of work from home, travel mode choice, online shopping, and air travel. We utilized descriptive and econometric measures, including random effects ordered probit models, to shed light on the pandemic-induced changes and the underlying factors affecting the future of mobility in the post-pandemic world. Upon concrete evidence, our findings substantiate significant observed (i.e., during the pandemic) and expected (i.e., after the pandemic) changes in people’s habits and preferences. According to our results, 48% of the respondents anticipate having the option to WFH after the pandemic, which indicates an approximately 30% increase compared to the pre-pandemic period. In the post-pandemic period, auto and transit commuters are expected to be 9% and 31% less than pre-pandemic, respectively. A considerable rise in hybrid work and grocery online shopping is expected. Moreover, 41% of pre-covid business travelers expect to have fewer flights (after the pandemic) while only 8% anticipate more, compared to the prepandemic.","container-title":"Transportation Research Part F: Traffic Psychology and Behaviour","DOI":"10.1016/j.trf.2022.09.019","ISSN":"13698478","journalAbbreviation":"Transportation Research Part F: Traffic Psychology and Behaviour","language":"en","page":"466-484","source":"DOI.org (Crossref)","title":"The Long-Term effects of COVID-19 on travel behavior in the United States: A panel study on work from home, mode choice, online shopping, and air travel","title-short":"The Long-Term effects of COVID-19 on travel behavior in the United States","volume":"90","author":[{"family":"Javadinasr","given":"Mohammadjavad"},{"family":"Maggasy","given":"Tassio"},{"family":"Mohammadi","given":"Motahare"},{"family":"Mohammadain","given":"Kouros"},{"family":"Rahimi","given":"Ehsan"},{"family":"Salon","given":"Deborah"},{"family":"Conway","given":"Matthew W."},{"family":"Pendyala","given":"Ram"},{"family":"Derrible","given":"Sybil"}],"issued":{"date-parts":[["2022",10]]}}}],"schema":"https://github.com/citation-style-language/schema/raw/master/csl-citation.json"} </w:instrText>
      </w:r>
      <w:r w:rsidRPr="00EB1290">
        <w:rPr>
          <w:rFonts w:ascii="Times New Roman" w:hAnsi="Times New Roman"/>
        </w:rPr>
        <w:fldChar w:fldCharType="separate"/>
      </w:r>
      <w:r w:rsidRPr="00EB1290">
        <w:rPr>
          <w:rFonts w:ascii="Times New Roman" w:hAnsi="Times New Roman"/>
        </w:rPr>
        <w:t>(Javadinasr et al., 2022)</w:t>
      </w:r>
      <w:r w:rsidRPr="00EB1290">
        <w:rPr>
          <w:rFonts w:ascii="Times New Roman" w:hAnsi="Times New Roman"/>
        </w:rPr>
        <w:fldChar w:fldCharType="end"/>
      </w:r>
      <w:r w:rsidRPr="00EB1290">
        <w:rPr>
          <w:rFonts w:ascii="Times New Roman" w:hAnsi="Times New Roman"/>
        </w:rPr>
        <w:t xml:space="preserve">, and the continuance of new (activity/mode choice) routines adopted during the pandemic. </w:t>
      </w:r>
      <w:r w:rsidRPr="00EB1290">
        <w:rPr>
          <w:rFonts w:ascii="Times New Roman" w:hAnsi="Times New Roman"/>
          <w:bCs/>
          <w:szCs w:val="24"/>
        </w:rPr>
        <w:t xml:space="preserve">However, the overarching effects of the pandemic, both in the short and long term, are expected to differ among individuals and various groups due to a range of sociodemographic, economic, </w:t>
      </w:r>
      <w:r w:rsidRPr="00EB1290">
        <w:rPr>
          <w:rFonts w:ascii="Times New Roman" w:hAnsi="Times New Roman"/>
          <w:bCs/>
          <w:szCs w:val="24"/>
        </w:rPr>
        <w:lastRenderedPageBreak/>
        <w:t xml:space="preserve">and BE factors, as highlighted in previous research </w:t>
      </w:r>
      <w:r w:rsidRPr="00EB1290">
        <w:rPr>
          <w:rFonts w:ascii="Times New Roman" w:hAnsi="Times New Roman"/>
        </w:rPr>
        <w:fldChar w:fldCharType="begin"/>
      </w:r>
      <w:r w:rsidR="00E66090">
        <w:rPr>
          <w:rFonts w:ascii="Times New Roman" w:hAnsi="Times New Roman"/>
        </w:rPr>
        <w:instrText xml:space="preserve"> ADDIN ZOTERO_ITEM CSL_CITATION {"citationID":"VOtpdlrQ","properties":{"formattedCitation":"(Dali et al., 2020; Kleinman, 2020)","plainCitation":"(Dali et al., 2020; Kleinman, 2020)","dontUpdate":true,"noteIndex":0},"citationItems":[{"id":"Fxqj00vV/LI81kXgq","uris":["http://zotero.org/users/10132210/items/HY2HBJBM"],"itemData":{"id":140,"type":"article-journal","container-title":"Environment and Planning B: Urban Analytics and City Science","DOI":"10.1177/2399808320950252","ISSN":"2399-8083, 2399-8091","issue":"7","journalAbbreviation":"Environment and Planning B: Urban Analytics and City Science","language":"en","page":"1136-1139","source":"DOI.org (Crossref)","title":"Policy challenges for the post-pandemic city","volume":"47","author":[{"family":"Kleinman","given":"Mark"}],"issued":{"date-parts":[["2020",9]]}}},{"id":"Fxqj00vV/36dvLe1q","uris":["http://zotero.org/users/10132210/items/43VA7QB6"],"itemData":{"id":141,"type":"article-journal","abstract":"Theories on consumer behavioral change emerged from the study of psychology and later used on consumer behaviors. Behaviorists believe that human behaviors can change from stimulus and responses based on the theories developed by Pavlov, Skinner, Thorndike, and many others. In this paper, the COVID-19 pandemic has forced many countries to take actions such as restricting people movement, providing economic stimulus to push the economy back up, and enforcing social distancing rules and alike to flatten the pandemic curve. The study envisioned that all the actions taken by the government, especially in the context of Malaysia, as stimulus that create positive and negative responses from the learning consumers. The study emulates the operant conditioning theory and proposes four different types of behavior categories that arises from the pandemic. The aim of this paper is to propose a conceptual framework of the market segmentation arising from COVID-19 pandemic. Methodology used by the study is based from the literature search and secondary data to come out with the suggested framework. The expected findings of the study are the four segments of the consumers based on their behavioral reactions post pandemic. The four segments are the back to square one, new normal, moderately new norm, and recycle consumer groups. Their preferences, needs, and wants can change the landscape of how market can be segmented apart from how business should react towards the changes in the future. Policy could be developed in terms of promoting the new norms behavior to overcome COVID-19 problems and future outbreaks as well as to ensure that Malaysia can be accommodative to the industrial revolution 4.0. Future research should be conducted to replicate the framework in different contexts and industries.","container-title":"The Journal of Muamalat and Islamic Finance Research","DOI":"10.33102/jmifr.v17i3.280","ISSN":"2948-5266, 1823-075X","journalAbbreviation":"JMIFR","language":"en","page":"13-24","source":"DOI.org (Crossref)","title":"Post pandemic consumer behavior: Conceptual framework","title-short":"Post pandemic consumer behavior","author":[{"family":"Dali","given":"NRS Mohad"},{"literal":"Wan Rasyidah Wan Nawang"},{"literal":"Wan Nur Fazni Wan Mohamad Nazarie"},{"literal":"Hanifah Abdul Hamid"}],"issued":{"date-parts":[["2020",11,4]]}}}],"schema":"https://github.com/citation-style-language/schema/raw/master/csl-citation.json"} </w:instrText>
      </w:r>
      <w:r w:rsidRPr="00EB1290">
        <w:rPr>
          <w:rFonts w:ascii="Times New Roman" w:hAnsi="Times New Roman"/>
        </w:rPr>
        <w:fldChar w:fldCharType="separate"/>
      </w:r>
      <w:r w:rsidRPr="00EB1290">
        <w:rPr>
          <w:rFonts w:ascii="Times New Roman" w:hAnsi="Times New Roman"/>
        </w:rPr>
        <w:t>(</w:t>
      </w:r>
      <w:r w:rsidR="00443932">
        <w:rPr>
          <w:rFonts w:ascii="Times New Roman" w:hAnsi="Times New Roman"/>
        </w:rPr>
        <w:t xml:space="preserve">see </w:t>
      </w:r>
      <w:r w:rsidRPr="00EB1290">
        <w:rPr>
          <w:rFonts w:ascii="Times New Roman" w:hAnsi="Times New Roman"/>
        </w:rPr>
        <w:t>Dali et al., 2020, and Kleinman, 2020)</w:t>
      </w:r>
      <w:r w:rsidRPr="00EB1290">
        <w:rPr>
          <w:rFonts w:ascii="Times New Roman" w:hAnsi="Times New Roman"/>
        </w:rPr>
        <w:fldChar w:fldCharType="end"/>
      </w:r>
      <w:r w:rsidRPr="00EB1290">
        <w:rPr>
          <w:rFonts w:ascii="Times New Roman" w:hAnsi="Times New Roman"/>
        </w:rPr>
        <w:t xml:space="preserve">. These varying impacts are expected to also extend to walking habits. While specific changes in walking and physical activity that occurred during the pandemic have been extensively studied, the </w:t>
      </w:r>
      <w:r w:rsidRPr="00EB1290">
        <w:rPr>
          <w:rFonts w:ascii="Times New Roman" w:hAnsi="Times New Roman"/>
          <w:bCs/>
          <w:szCs w:val="24"/>
        </w:rPr>
        <w:t>majority of these studies were predominantly descriptive, without applying rigorous statistical analyses to draw robust inferences. Additionally, there has been limited research exploring the underlying reasons for shifts in walking frequency and the extent to which these changes will persist in the future.</w:t>
      </w:r>
    </w:p>
    <w:p w14:paraId="4DAEED34" w14:textId="070F77D6" w:rsidR="008B58C4" w:rsidRPr="00EB1290" w:rsidRDefault="008B58C4" w:rsidP="008B58C4">
      <w:pPr>
        <w:ind w:firstLine="720"/>
        <w:jc w:val="both"/>
        <w:rPr>
          <w:rFonts w:ascii="Times New Roman" w:hAnsi="Times New Roman"/>
          <w:lang w:eastAsia="ko-KR"/>
        </w:rPr>
      </w:pPr>
      <w:r w:rsidRPr="00EB1290">
        <w:rPr>
          <w:rFonts w:ascii="Times New Roman" w:hAnsi="Times New Roman"/>
          <w:bCs/>
          <w:szCs w:val="24"/>
        </w:rPr>
        <w:t xml:space="preserve">The above discussion motivates the current research. We contribute to the earlier investigations of walking behavior in a pandemic-altered world, but using multivariate econometric models that accommodate multiple demographic and BE variables at once rather than simple univariate or bivariate descriptive correlations of determinant factors with walking behavior. In addition, we seek to identify the determinants that contribute to any stated increase in walking frequency in the after-COVID period relative to the before-COVID period. In particular, the study uses a bivariate ordered response </w:t>
      </w:r>
      <w:proofErr w:type="spellStart"/>
      <w:r w:rsidRPr="00EB1290">
        <w:rPr>
          <w:rFonts w:ascii="Times New Roman" w:hAnsi="Times New Roman"/>
          <w:bCs/>
          <w:szCs w:val="24"/>
        </w:rPr>
        <w:t>probit</w:t>
      </w:r>
      <w:proofErr w:type="spellEnd"/>
      <w:r w:rsidRPr="00EB1290">
        <w:rPr>
          <w:rFonts w:ascii="Times New Roman" w:hAnsi="Times New Roman"/>
          <w:bCs/>
          <w:szCs w:val="24"/>
        </w:rPr>
        <w:t xml:space="preserve"> model to jointly model an individual's walking frequency before the pandemic and expectations of walking frequency in the after-COVID period. While some factors affect walking frequency during both periods with the same magnitude, the effects of some other factors on the frequency of walking may have shifted after the pandemic. The model is structured to explicitly present the extent of </w:t>
      </w:r>
      <w:r w:rsidR="00443932">
        <w:rPr>
          <w:rFonts w:ascii="Times New Roman" w:hAnsi="Times New Roman"/>
          <w:bCs/>
          <w:szCs w:val="24"/>
        </w:rPr>
        <w:t xml:space="preserve">the </w:t>
      </w:r>
      <w:r w:rsidRPr="00EB1290">
        <w:rPr>
          <w:rFonts w:ascii="Times New Roman" w:hAnsi="Times New Roman"/>
          <w:bCs/>
          <w:szCs w:val="24"/>
        </w:rPr>
        <w:t xml:space="preserve">expected shift occurring in the after-COVID period. This model is estimated using data on walking habits obtained from </w:t>
      </w:r>
      <w:r w:rsidRPr="00EB1290">
        <w:rPr>
          <w:rFonts w:ascii="Times New Roman" w:hAnsi="Times New Roman"/>
          <w:bCs/>
        </w:rPr>
        <w:t xml:space="preserve">the COVID Future Panel Survey which gathered detailed information from April 2020 to November 2021 </w:t>
      </w:r>
      <w:r w:rsidRPr="00EB1290">
        <w:rPr>
          <w:rFonts w:ascii="Times New Roman" w:hAnsi="Times New Roman"/>
        </w:rPr>
        <w:t>on walking frequency, sociodemographic factors such as education level and household composition, BE factors based on residence zip code, and personal attributes for a large national sample of respondents</w:t>
      </w:r>
      <w:r w:rsidRPr="00EB1290">
        <w:rPr>
          <w:rFonts w:ascii="Times New Roman" w:hAnsi="Times New Roman"/>
          <w:lang w:eastAsia="ko-KR"/>
        </w:rPr>
        <w:t xml:space="preserve">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{"citationID":"PDvo24XH","properties":{"formattedCitation":"(Chauhan et al., 2021)","plainCitation":"(Chauhan et al., 2021)","noteIndex":0},"citationItems":[{"id":"Fxqj00vV/pq29TH2B","uris":["http://zotero.org/users/10132210/items/TBSMZC6S"],"itemData":{"id":183,"type":"article-journal","abstract":"Abstract\n            The COVID-19 pandemic has impacted billions of people around the world. To capture some of these impacts in the United States, we are conducting a nationwide longitudinal survey collecting information about activity and travel-related behaviors and attitudes before, during, and after the COVID-19 pandemic. The survey questions cover a wide range of topics including commuting, daily travel, air travel, working from home, online learning, shopping, and risk perception, along with attitudinal, socioeconomic, and demographic information. The survey is deployed over multiple waves to the same respondents to monitor how behaviors and attitudes evolve over time. Version 1.0 of the survey contains 8,723 responses that are publicly available. This article details the methodology adopted for the collection, cleaning, and processing of the data. In addition, the data are weighted to be representative of national and regional demographics. This survey dataset can aid researchers, policymakers, businesses, and government agencies in understanding both the extent of behavioral shifts and the likelihood that changes in behaviors will persist after COVID-19.","container-title":"Scientific Data","DOI":"10.1038/s41597-021-01020-8","ISSN":"2052-4463","issue":"1","journalAbbreviation":"Sci Data","language":"en","page":"245","source":"DOI.org (Crossref)","title":"A database of travel-related behaviors and attitudes before, during, and after COVID-19 in the United States","volume":"8","author":[{"family":"Chauhan","given":"Rishabh Singh"},{"family":"Bhagat-Conway","given":"Matthew Wigginton"},{"family":"Capasso Da Silva","given":"Denise"},{"family":"Salon","given":"Deborah"},{"family":"Shamshiripour","given":"Ali"},{"family":"Rahimi","given":"Ehsan"},{"family":"Khoeini","given":"Sara"},{"family":"Mohammadian","given":"Abolfazl"},{"family":"Derrible","given":"Sybil"},{"family":"Pendyala","given":"Ram"}],"issued":{"date-parts":[["2021",9,23]]}}}],"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(Chauhan et al., 2021)</w:t>
      </w:r>
      <w:r w:rsidRPr="00EB1290">
        <w:rPr>
          <w:rFonts w:ascii="Times New Roman" w:hAnsi="Times New Roman"/>
          <w:lang w:eastAsia="ko-KR"/>
        </w:rPr>
        <w:fldChar w:fldCharType="end"/>
      </w:r>
      <w:r w:rsidRPr="00EB1290">
        <w:rPr>
          <w:rFonts w:ascii="Times New Roman" w:hAnsi="Times New Roman"/>
          <w:lang w:eastAsia="ko-KR"/>
        </w:rPr>
        <w:t xml:space="preserve">. In doing so, the current study </w:t>
      </w:r>
      <w:r w:rsidRPr="00EB1290">
        <w:rPr>
          <w:rFonts w:ascii="Times New Roman" w:hAnsi="Times New Roman"/>
          <w:bCs/>
          <w:szCs w:val="24"/>
        </w:rPr>
        <w:t>not only reveals how walking habits have shifted and how the impacts of individual and environmental factors have changed over time, but also provides insights to promote a long-term increase in walking levels customized to specific population groups.</w:t>
      </w:r>
    </w:p>
    <w:p w14:paraId="4ACEB4AA" w14:textId="77777777" w:rsidR="008B58C4" w:rsidRPr="00EB1290" w:rsidRDefault="008B58C4" w:rsidP="008B58C4">
      <w:pPr>
        <w:ind w:firstLine="720"/>
        <w:jc w:val="both"/>
        <w:rPr>
          <w:rFonts w:ascii="Times New Roman" w:hAnsi="Times New Roman"/>
          <w:lang w:eastAsia="ko-KR"/>
        </w:rPr>
      </w:pPr>
    </w:p>
    <w:p w14:paraId="76F5B040" w14:textId="77777777" w:rsidR="008B58C4" w:rsidRPr="0038441B" w:rsidRDefault="008B58C4" w:rsidP="008B58C4">
      <w:pPr>
        <w:pStyle w:val="Heading1"/>
        <w:spacing w:line="240" w:lineRule="auto"/>
        <w:jc w:val="both"/>
        <w:rPr>
          <w:caps/>
        </w:rPr>
      </w:pPr>
      <w:r w:rsidRPr="0038441B">
        <w:rPr>
          <w:caps/>
        </w:rPr>
        <w:t xml:space="preserve">Walking Activity and the COVID-19 Pandemic </w:t>
      </w:r>
    </w:p>
    <w:p w14:paraId="4A7786ED" w14:textId="3D39B19D" w:rsidR="008B58C4" w:rsidRPr="00EB1290" w:rsidRDefault="008B58C4" w:rsidP="008B58C4">
      <w:pPr>
        <w:jc w:val="both"/>
        <w:rPr>
          <w:rFonts w:ascii="Times New Roman" w:hAnsi="Times New Roman"/>
          <w:lang w:eastAsia="ko-KR"/>
        </w:rPr>
      </w:pPr>
      <w:r w:rsidRPr="00EB1290">
        <w:rPr>
          <w:rFonts w:ascii="Times New Roman" w:hAnsi="Times New Roman"/>
          <w:lang w:eastAsia="ko-KR"/>
        </w:rPr>
        <w:t xml:space="preserve">Several studies have focused on tracking changes in walking behavior during pandemic-induced lockdowns and the subsequent transition back to normalcy. During the COVID-19 pandemic,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{"citationID":"aQXTEf2m","properties":{"formattedCitation":"(Schmidt et al., 2021)","plainCitation":"(Schmidt et al., 2021)","dontUpdate":true,"noteIndex":0},"citationItems":[{"id":"Fxqj00vV/lJdWZcLG","uris":["http://zotero.org/users/10132210/items/MBIVDQYG"],"itemData":{"id":237,"type":"article-journal","abstract":"The mobility sector was one of the sectors most affected by COVID‐19 and its political restrictions, with, inter alia a huge drop in mobility behavior due to travel bans, lockdowns, and a reduced need to be mobile. The present study examined the potential of COVID‐19 restrictions aiming at containing the spread of the virus to be a window of opportunity for the transition toward sustainable mobility by breaking up strongly habitualized daily and travel mobility behaviors through changes of behavioral contexts. We conducted an online survey in a sample representative for the German population (N = 3092) to study the consequences of the COVID19 restrictions on Germans’ daily and travel mode choices and on their wishes for future mobility. Furthermore, we examined the moderating effects of Germans’ personal norms to protect the climate on changes in their mobility behavior toward sustainable mobility, both within and beyond the corona pandemic. In line with previous research, the present study shows an overall reduction of mobility across almost all modes of transport for daily and travel mobility during time periods of COVID‐19 restrictions compared to pre‐COVID‐19‐times, with different transport modes being affected differently. Our ﬁndings additionally point out the relevance of personal norms to protect the climate for the transition toward sustainable mobility behavior. Altogether, the present study provides ﬁrst empirical evidence for the corona pandemic to represent a window of opportunity for the transition toward sustainable mobility. Furthermore, the study also points out relevant directions for further research.","container-title":"Transportation Research Interdisciplinary Perspectives","DOI":"10.1016/j.trip.2021.100374","ISSN":"25901982","journalAbbreviation":"Transportation Research Interdisciplinary Perspectives","language":"en","page":"100374","source":"DOI.org (Crossref)","title":"COVID-19 – A window of opportunity for the transition toward sustainable mobility?","volume":"10","author":[{"family":"Schmidt","given":"Karolin"},{"family":"Sieverding","given":"Theresa"},{"family":"Wallis","given":"Hannah"},{"family":"Matthies","given":"Ellen"}],"issued":{"date-parts":[["2021",6]]}}}],"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Schmidt et al. (2021)</w:t>
      </w:r>
      <w:r w:rsidRPr="00EB1290">
        <w:rPr>
          <w:rFonts w:ascii="Times New Roman" w:hAnsi="Times New Roman"/>
          <w:lang w:eastAsia="ko-KR"/>
        </w:rPr>
        <w:fldChar w:fldCharType="end"/>
      </w:r>
      <w:r w:rsidRPr="00EB1290">
        <w:rPr>
          <w:rFonts w:ascii="Times New Roman" w:hAnsi="Times New Roman"/>
          <w:lang w:eastAsia="ko-KR"/>
        </w:rPr>
        <w:t xml:space="preserve"> found an increase in the willingness to walk and the frequency of walking, while use of all other modes decreased (with the exception of bicycling, which also increased in usage). A few studies compared walking and mobility trends over several phases of the pandemic.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{"citationID":"sgLCJDVX","properties":{"formattedCitation":"(Hunter et al., 2021)","plainCitation":"(Hunter et al., 2021)","dontUpdate":true,"noteIndex":0},"citationItems":[{"id":"Fxqj00vV/icbqFTtp","uris":["http://zotero.org/users/10132210/items/4BR49ZJN"],"itemData":{"id":102,"type":"article-journal","abstract":"Abstract\n            The COVID-19 pandemic is causing mass disruption to our daily lives. We integrate mobility data from mobile devices and area-level data to study the walking patterns of 1.62 million anonymous users in 10 metropolitan areas in the United States. The data covers the period from mid-February 2020 (pre-lockdown) to late June 2020 (easing of lockdown restrictions). We detect when users were walking, distance walked and time of the walk, and classify each walk as recreational or utilitarian. Our results reveal dramatic declines in walking, particularly utilitarian walking, while recreational walking has recovered and even surpassed pre-pandemic levels. Our findings also demonstrate important social patterns, widening existing inequalities in walking behavior. COVID-19 response measures have a larger impact on walking behavior for those from low-income areas and high use of public transportation. Provision of equal opportunities to support walking is key to opening up our society and economy.","container-title":"Nature Communications","DOI":"10.1038/s41467-021-23937-9","ISSN":"2041-1723","issue":"1","journalAbbreviation":"Nat Commun","language":"en","page":"3652","source":"DOI.org (Crossref)","title":"Effect of COVID-19 response policies on walking behavior in US cities","volume":"12","author":[{"family":"Hunter","given":"Ruth F."},{"family":"Garcia","given":"Leandro"},{"family":"Sa","given":"Thiago Herick","non-dropping-particle":"de"},{"family":"Zapata-Diomedi","given":"Belen"},{"family":"Millett","given":"Christopher"},{"family":"Woodcock","given":"James"},{"family":"Pentland","given":"Alex ’Sandy’"},{"family":"Moro","given":"Esteban"}],"issued":{"date-parts":[["2021",6,16]]}}}],"schema":"https://github.com/citation-style-language/schema/raw/master/csl-citation.json"}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Hunter et al. (2021)</w:t>
      </w:r>
      <w:r w:rsidRPr="00EB1290">
        <w:rPr>
          <w:rFonts w:ascii="Times New Roman" w:hAnsi="Times New Roman"/>
          <w:lang w:eastAsia="ko-KR"/>
        </w:rPr>
        <w:fldChar w:fldCharType="end"/>
      </w:r>
      <w:r w:rsidRPr="00EB1290">
        <w:rPr>
          <w:rFonts w:ascii="Times New Roman" w:hAnsi="Times New Roman"/>
          <w:lang w:eastAsia="ko-KR"/>
        </w:rPr>
        <w:t xml:space="preserve"> distinguished leisure and utilitarian walking trends using mobile phone mobility data and assessed the reduction in walking following the implementation of lockdown measures and the declaration of a national emergency on March 13, 2020. They also tracked the recovery trend once the lockdown restrictions were lifted. During the critical lockdown period, </w:t>
      </w:r>
      <w:r w:rsidRPr="00EB1290">
        <w:rPr>
          <w:rFonts w:ascii="Times New Roman" w:hAnsi="Times New Roman"/>
          <w:i/>
          <w:iCs/>
          <w:lang w:eastAsia="ko-KR"/>
        </w:rPr>
        <w:t>utilitarian</w:t>
      </w:r>
      <w:r w:rsidRPr="00EB1290">
        <w:rPr>
          <w:rFonts w:ascii="Times New Roman" w:hAnsi="Times New Roman"/>
          <w:lang w:eastAsia="ko-KR"/>
        </w:rPr>
        <w:t xml:space="preserve"> walking distance decreased by more than 72%; and even in July 2020 when severe lockdown measures were lifted, </w:t>
      </w:r>
      <w:r w:rsidRPr="00EB1290">
        <w:rPr>
          <w:rFonts w:ascii="Times New Roman" w:hAnsi="Times New Roman"/>
          <w:i/>
          <w:iCs/>
          <w:lang w:eastAsia="ko-KR"/>
        </w:rPr>
        <w:t xml:space="preserve">utilitarian </w:t>
      </w:r>
      <w:r w:rsidRPr="00EB1290">
        <w:rPr>
          <w:rFonts w:ascii="Times New Roman" w:hAnsi="Times New Roman"/>
          <w:lang w:eastAsia="ko-KR"/>
        </w:rPr>
        <w:t xml:space="preserve">walking distances remained 39% lower than pre-pandemic levels. In contrast, </w:t>
      </w:r>
      <w:r w:rsidRPr="00EB1290">
        <w:rPr>
          <w:rFonts w:ascii="Times New Roman" w:hAnsi="Times New Roman"/>
          <w:i/>
          <w:iCs/>
          <w:lang w:eastAsia="ko-KR"/>
        </w:rPr>
        <w:t>leisure</w:t>
      </w:r>
      <w:r w:rsidRPr="00EB1290">
        <w:rPr>
          <w:rFonts w:ascii="Times New Roman" w:hAnsi="Times New Roman"/>
          <w:lang w:eastAsia="ko-KR"/>
        </w:rPr>
        <w:t xml:space="preserve"> walking did not significantly decrease in distance and, by July 2020, had actually experienced an increase in distance relative to before the pandemic. </w:t>
      </w:r>
    </w:p>
    <w:p w14:paraId="66801FB7" w14:textId="5661C18F" w:rsidR="008B58C4" w:rsidRPr="00EB1290" w:rsidRDefault="008B58C4" w:rsidP="008B58C4">
      <w:pPr>
        <w:jc w:val="both"/>
        <w:rPr>
          <w:rFonts w:ascii="Times New Roman" w:hAnsi="Times New Roman"/>
          <w:lang w:eastAsia="ko-KR"/>
        </w:rPr>
      </w:pPr>
      <w:r w:rsidRPr="00EB1290">
        <w:rPr>
          <w:rFonts w:ascii="Times New Roman" w:hAnsi="Times New Roman"/>
          <w:lang w:eastAsia="ko-KR"/>
        </w:rPr>
        <w:tab/>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{"citationID":"J01TLdyh","properties":{"formattedCitation":"(Doubleday et al., 2021)","plainCitation":"(Doubleday et al., 2021)","dontUpdate":true,"noteIndex":0},"citationItems":[{"id":"Fxqj00vV/vXIJeCsL","uris":["http://zotero.org/users/10132210/items/EVERPYMS"],"itemData":{"id":171,"type":"article-journal","abstract":"A growing body of literature suggests that restrictive public health measures implemented to control COVID-19 have had negative impacts on physical activity. We examined how Stay Home orders in Houston, New York City, and Seattle impacted outdoor physical activity patterns, measured by daily bicycle and pedestrian count data. We assessed changes in activity levels between the period before and during Stay Home orders. Across all three cities, we found significant changes in bicycle and pedestrian counts from the period before to the period during Stay Home orders. The direction of change varied by location, likely due to differing local contexts and outbreak progression. These results can inform policy around the use of outdoor public infrastructure as the COVID-19 pandemic continues.","container-title":"PLOS ONE","DOI":"10.1371/journal.pone.0245514","ISSN":"1932-6203","issue":"1","journalAbbreviation":"PLoS ONE","language":"en","page":"e0245514","source":"DOI.org (Crossref)","title":"How did outdoor biking and walking change during COVID-19?: A case study of three U.S. cities","title-short":"How did outdoor biking and walking change during COVID-19?","volume":"16","author":[{"family":"Doubleday","given":"Annie"},{"family":"Choe","given":"Youngjun"},{"family":"Busch Isaksen","given":"Tania"},{"family":"Miles","given":"Scott"},{"family":"Errett","given":"Nicole A."}],"editor":[{"family":"Stimpson","given":"Jim P."}],"issued":{"date-parts":[["2021",1,20]]}}}],"schema":"https://github.com/citation-style-language/schema/raw/master/csl-citation.json"}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Doubleday et al. (2021)</w:t>
      </w:r>
      <w:r w:rsidRPr="00EB1290">
        <w:rPr>
          <w:rFonts w:ascii="Times New Roman" w:hAnsi="Times New Roman"/>
          <w:lang w:eastAsia="ko-KR"/>
        </w:rPr>
        <w:fldChar w:fldCharType="end"/>
      </w:r>
      <w:r w:rsidRPr="00EB1290">
        <w:rPr>
          <w:rFonts w:ascii="Times New Roman" w:hAnsi="Times New Roman"/>
          <w:lang w:eastAsia="ko-KR"/>
        </w:rPr>
        <w:t xml:space="preserve"> focused on the effects of the pandemic on leisure walking by counting daily bikes and pedestrians in parks and trails in megacities and observed a decreasing trend in biking and walking volumes (which varied across cities). In analyzing general mobility patterns during the recovery phase following lockdowns,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{"citationID":"VNNGIrg2","properties":{"formattedCitation":"(Chen &amp; Steiner, 2022)","plainCitation":"(Chen &amp; Steiner, 2022)","dontUpdate":true,"noteIndex":0},"citationItems":[{"id":"Fxqj00vV/lklId0nT","uris":["http://zotero.org/users/10132210/items/V7B3A6KY"],"itemData":{"id":106,"type":"article-journal","abstract":"Travel has become less common due to COVID-19. While prior research has discussed recent travel changes for Americans in multiple ways, few have examined the adjusted travel that has been sustained since March 2021. In addition, little is known about changes in Americans’ travel patterns in trips by distance.","container-title":"Transportation Research Part D: Transport and Environment","DOI":"10.1016/j.trd.2022.103414","ISSN":"13619209","journalAbbreviation":"Transportation Research Part D: Transport and Environment","language":"en","page":"103414","source":"DOI.org (Crossref)","title":"Longitudinal and spatial analysis of Americans’ travel distances following COVID-19","volume":"110","author":[{"family":"Chen","given":"Kanglin"},{"family":"Steiner","given":"Ruth"}],"issued":{"date-parts":[["2022",9]]}}}],"schema":"https://github.com/citation-style-language/schema/raw/master/csl-citation.json"}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Chen and Steiner (2022)</w:t>
      </w:r>
      <w:r w:rsidRPr="00EB1290">
        <w:rPr>
          <w:rFonts w:ascii="Times New Roman" w:hAnsi="Times New Roman"/>
          <w:lang w:eastAsia="ko-KR"/>
        </w:rPr>
        <w:fldChar w:fldCharType="end"/>
      </w:r>
      <w:r w:rsidRPr="00EB1290">
        <w:rPr>
          <w:rFonts w:ascii="Times New Roman" w:hAnsi="Times New Roman"/>
          <w:lang w:eastAsia="ko-KR"/>
        </w:rPr>
        <w:t xml:space="preserve"> found that, in comparison to the baseline of 2019, the total number of trips (regardless of mode) remained lower </w:t>
      </w:r>
      <w:r w:rsidRPr="00EB1290">
        <w:rPr>
          <w:rFonts w:ascii="Times New Roman" w:hAnsi="Times New Roman"/>
          <w:lang w:eastAsia="ko-KR"/>
        </w:rPr>
        <w:lastRenderedPageBreak/>
        <w:t xml:space="preserve">by 7% in the U.S. in 2021. However, they observed an increase in trips shorter than one mile and between 50 and 500 miles, suggesting a potential increase in travel within walking distance range and in longer distance recreational travel. In the case of Berlin, Germany,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{"citationID":"4UKoiO5o","properties":{"formattedCitation":"(Kellermann et al., 2022)","plainCitation":"(Kellermann et al., 2022)","dontUpdate":true,"noteIndex":0},"citationItems":[{"id":"Fxqj00vV/DyHsfhfy","uris":["http://zotero.org/users/10132210/items/GLEURCI2"],"itemData":{"id":169,"type":"article-journal","abstract":"The COVID-19 pandemic marked a global disruption of unprecedented scale which was closely associated with human mobility. Since mobility acts as a facilitator for spreading the virus, individuals were forced to reconsider their respective behaviors. Despite numerous studies having detected behavioral changes during the first lock­ down period (spring 2020), there is a lack of longitudinal perspectives that can provide insights into the intrapandemic dynamics and potential long-term effects. This article investigates COVID-19-induced mobilitybehavioral transformations by analyzing travel patterns of Berlin residents during a 20-month pandemic period and comparing them to the pre-pandemic situation. Based on quantitative analysis of almost 800,000 recorded trips, our longitudinal examination revealed individuals having reduced average monthly travel distances by ~20%, trip frequencies by ~11%, and having switched to individual modes. Public transportation has suffered a continual regression, with trip frequencies experiencing a relative long-term reduction of ~50%, and a respective decrease of traveled distances by ~43%. In contrast, the bicycle (rather than the car) was the central beneficiary, indicated by bicycle-related trip frequencies experiencing a relative long-term increase of ~53%, and travel distances increasing by ~117%. Comparing behavioral responses to three pandemic waves, our analysis revealed each wave to have created unique response patterns, which show a gradual softening of individuals’ mobility related self-restrictions. Our findings contribute to retracing and quantifying individuals’ changing mobility behaviors induced by the pandemic, and to detecting possible long-term effects that may constitute a “new normal” of an entirely altered urban mobility landscape.","container-title":"Transportation Research Interdisciplinary Perspectives","DOI":"10.1016/j.trip.2022.100668","ISSN":"25901982","journalAbbreviation":"Transportation Research Interdisciplinary Perspectives","language":"en","page":"100668","source":"DOI.org (Crossref)","title":"Mobility in pandemic times: Exploring changes and long-term effects of COVID-19 on urban mobility behavior","title-short":"Mobility in pandemic times","volume":"15","author":[{"family":"Kellermann","given":"Robin"},{"family":"Sivizaca Conde","given":"Daniel"},{"family":"Rößler","given":"David"},{"family":"Kliewer","given":"Natalia"},{"family":"Dienel","given":"Hans-Liudger"}],"issued":{"date-parts":[["2022",9]]}}}],"schema":"https://github.com/citation-style-language/schema/raw/master/csl-citation.json"}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Kellermann et al. (2022)</w:t>
      </w:r>
      <w:r w:rsidRPr="00EB1290">
        <w:rPr>
          <w:rFonts w:ascii="Times New Roman" w:hAnsi="Times New Roman"/>
          <w:lang w:eastAsia="ko-KR"/>
        </w:rPr>
        <w:fldChar w:fldCharType="end"/>
      </w:r>
      <w:r w:rsidRPr="00EB1290">
        <w:rPr>
          <w:rFonts w:ascii="Times New Roman" w:hAnsi="Times New Roman"/>
          <w:lang w:eastAsia="ko-KR"/>
        </w:rPr>
        <w:t xml:space="preserve"> also found a decrease in total </w:t>
      </w:r>
      <w:r w:rsidR="00443932" w:rsidRPr="00EB1290">
        <w:rPr>
          <w:rFonts w:ascii="Times New Roman" w:hAnsi="Times New Roman"/>
          <w:lang w:eastAsia="ko-KR"/>
        </w:rPr>
        <w:t>trip</w:t>
      </w:r>
      <w:r w:rsidR="00443932">
        <w:rPr>
          <w:rFonts w:ascii="Times New Roman" w:hAnsi="Times New Roman"/>
          <w:lang w:eastAsia="ko-KR"/>
        </w:rPr>
        <w:t>-</w:t>
      </w:r>
      <w:r w:rsidRPr="00EB1290">
        <w:rPr>
          <w:rFonts w:ascii="Times New Roman" w:hAnsi="Times New Roman"/>
          <w:lang w:eastAsia="ko-KR"/>
        </w:rPr>
        <w:t xml:space="preserve">making, but an increase in very </w:t>
      </w:r>
      <w:r w:rsidR="00443932" w:rsidRPr="00EB1290">
        <w:rPr>
          <w:rFonts w:ascii="Times New Roman" w:hAnsi="Times New Roman"/>
          <w:lang w:eastAsia="ko-KR"/>
        </w:rPr>
        <w:t>short</w:t>
      </w:r>
      <w:r w:rsidR="00443932">
        <w:rPr>
          <w:rFonts w:ascii="Times New Roman" w:hAnsi="Times New Roman"/>
          <w:lang w:eastAsia="ko-KR"/>
        </w:rPr>
        <w:t>-</w:t>
      </w:r>
      <w:r w:rsidRPr="00EB1290">
        <w:rPr>
          <w:rFonts w:ascii="Times New Roman" w:hAnsi="Times New Roman"/>
          <w:lang w:eastAsia="ko-KR"/>
        </w:rPr>
        <w:t xml:space="preserve">distance trips that are more conducive to walking. </w:t>
      </w:r>
    </w:p>
    <w:p w14:paraId="5C4DA5B7" w14:textId="13D39DF5" w:rsidR="008B58C4" w:rsidRPr="00EB1290" w:rsidRDefault="008B58C4" w:rsidP="008B58C4">
      <w:pPr>
        <w:ind w:firstLine="720"/>
        <w:jc w:val="both"/>
        <w:rPr>
          <w:rFonts w:ascii="Times New Roman" w:eastAsiaTheme="minorEastAsia" w:hAnsi="Times New Roman"/>
          <w:lang w:eastAsia="ko-KR"/>
        </w:rPr>
      </w:pPr>
      <w:r w:rsidRPr="00EB1290">
        <w:rPr>
          <w:rFonts w:ascii="Times New Roman" w:eastAsiaTheme="minorEastAsia" w:hAnsi="Times New Roman"/>
          <w:lang w:eastAsia="ko-KR"/>
        </w:rPr>
        <w:t xml:space="preserve">Research on walking behavior changes during the pandemic has identified variations across different socio-economic groups.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{"citationID":"42KAmg0t","properties":{"formattedCitation":"(Kyan &amp; Takakura, 2022)","plainCitation":"(Kyan &amp; Takakura, 2022)","dontUpdate":true,"noteIndex":0},"citationItems":[{"id":"Fxqj00vV/tr7DLqTS","uris":["http://zotero.org/users/10132210/items/ARLTQ8X3"],"itemData":{"id":186,"type":"article-journal","abstract":"Objectives: This study aimed to explore the socio-economic inequalities in physical activity (PA) based on domains of daily life, such as work, transport, recreation and sedentary life, among Japanese adults during the COVID-19 pandemic. Study design: This was a cross-sectional study.\nMethods: This study used data from the 2020 National Sport and Lifestyle Survey, conducted by the Sasakawa Sports Foundation. Data of 2,296 (1,103 women) participants were analysed. PAs were assessed using the Global Physical Activity Questionnaire. Educational level and household income were used as indicators of socio-economic status. We calculated the slope index of inequality (SII) and relative index of inequality (RII).\nResults: We detected absolute and relative inequalities for household income in all PA domains, except for work-related PA. The higher the participants’ income, the longer they engaged in transport- and recreation-related PA and sedentary behaviour. Recreation-related PA had a larger disparity than other domains, with SII at 20.8% (95% conﬁdence interval [CI] À28.4 to À13.1) and RII at 0.58 (95% CI 0.47 e0.71). At the educational level, each inequality was observed in work- and recreation-related PA and sedentary behaviour. The higher the participants’ educational level, the longer they engaged in recreation-related PA and sedentary behaviour. However, work-related PA was longer at lower educational levels, with RII at 1.90 (95% CI 1.48e2.44). The inequality in recreation-related PA was also relatively large (SII 23.3%, 95% CI À30.9 to À15.7; RII 0.54, 95% CI 0.45e0.66).\nConclusion: Our study revealed signiﬁcant socio-economic disparities in each PA domain, particularly in recreational PA. These results suggest a widening gap because of the COVID-19 pandemic. © 2022 The Royal Society for Public Health. Published by Elsevier Ltd. All rights reserved.","container-title":"Public Health","DOI":"10.1016/j.puhe.2022.03.006","ISSN":"00333506","journalAbbreviation":"Public Health","language":"en","page":"7-13","source":"DOI.org (Crossref)","title":"Socio-economic inequalities in physical activity among Japanese adults during the COVID-19 pandemic","volume":"207","author":[{"family":"Kyan","given":"A."},{"family":"Takakura","given":"M."}],"issued":{"date-parts":[["2022",6]]}}}],"schema":"https://github.com/citation-style-language/schema/raw/master/csl-citation.json"}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lang w:eastAsia="ko-KR"/>
        </w:rPr>
        <w:t>Kyan and Takakura (2022)</w:t>
      </w:r>
      <w:r w:rsidRPr="00EB1290">
        <w:rPr>
          <w:rFonts w:ascii="Times New Roman" w:hAnsi="Times New Roman"/>
          <w:lang w:eastAsia="ko-KR"/>
        </w:rPr>
        <w:fldChar w:fldCharType="end"/>
      </w:r>
      <w:r w:rsidRPr="00EB1290">
        <w:rPr>
          <w:rFonts w:ascii="Times New Roman" w:hAnsi="Times New Roman"/>
          <w:lang w:eastAsia="ko-KR"/>
        </w:rPr>
        <w:t xml:space="preserve">,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{"citationID":"CQ3lI2wc","properties":{"formattedCitation":"(Qu et al., 2022)","plainCitation":"(Qu et al., 2022)","dontUpdate":true,"noteIndex":0},"citationItems":[{"id":"Fxqj00vV/eLcn5a4P","uris":["http://zotero.org/users/10132210/items/UZPUT6EI"],"itemData":{"id":242,"type":"article-journal","abstract":"This study sought to assess changes in active transportation behaviors due to the COVID-19 pandemic, in addition to identifying the disparate impacts between sociodemographic groups. A survey was conducted in November 2020, which collected responses from 1,000 Michigan residents statewide regarding walking and biking behaviors before, during, and anticipated post-pandemic. The survey found that people who walked or biked frequently for recreation before the pandemic maintained or increased their activities during the pandemic. More importantly, the survey also revealed differing pandemic-related impacts on walking and biking behaviors between sociodemographic groups. Specifically, people from un­ derprivileged sociodemographic groups, such as those who are older, have lower education or income level, or identify as a minority, were less active in general before the pandemic, and these walking and biking behavior gaps were exacerbated by the pandemic. Furthermore, the elevated negative impacts on these sociodemographic groups were anticipated to continue in the future.","container-title":"Transportation Research Part D: Transport and Environment","DOI":"10.1016/j.trd.2022.103494","ISSN":"13619209","journalAbbreviation":"Transportation Research Part D: Transport and Environment","language":"en","page":"103494","source":"DOI.org (Crossref)","title":"The disparate impact of COVID-19 pandemic on walking and biking behaviors","volume":"112","author":[{"family":"Qu","given":"Tongbin"},{"family":"Gates","given":"Timothy J."},{"family":"Xu","given":"Chang"},{"family":"Seguin","given":"Dan"},{"family":"Kay","given":"Jonathan"}],"issued":{"date-parts":[["2022",11]]}}}],"schema":"https://github.com/citation-style-language/schema/raw/master/csl-citation.json"}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Qu et al. (2022)</w:t>
      </w:r>
      <w:r w:rsidRPr="00EB1290">
        <w:rPr>
          <w:rFonts w:ascii="Times New Roman" w:hAnsi="Times New Roman"/>
          <w:lang w:eastAsia="ko-KR"/>
        </w:rPr>
        <w:fldChar w:fldCharType="end"/>
      </w:r>
      <w:r w:rsidRPr="00EB1290">
        <w:rPr>
          <w:rFonts w:ascii="Times New Roman" w:hAnsi="Times New Roman"/>
          <w:lang w:eastAsia="ko-KR"/>
        </w:rPr>
        <w:t xml:space="preserve">, and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{"citationID":"WpAQUNMG","properties":{"formattedCitation":"(Zafri et al., 2021)","plainCitation":"(Zafri et al., 2021)","dontUpdate":true,"noteIndex":0},"citationItems":[{"id":"Fxqj00vV/BeW8BXNt","uris":["http://zotero.org/users/10132210/items/EKGPU6H4"],"itemData":{"id":239,"type":"article-journal","abstract":"The COVID-19 pandemic has caused incredible impacts on people’s travel behavior. Recent studies suggest that while the demand for public transport has decreased due to passengers’ inability to maintain physical distance inside this mode, the demand for private automobile and active transport modes (walking and cycling) has increased during the pandemic. Policymakers should take this opportunity given by the pandemic and encourage people to use active transport more in the new normal situation to achieve sustainable transportation outcomes. This study explores the expected change in active transport mode usage in the new normal situation in Bangladesh based on the data from a questionnaire survey. The study ﬁnds that 56% and 45% of the respondents were expected to increase travel by walking and cycling, respectively, during the new normal situation. On the other hand, 19% of the respondents were expected to do the opposite. The study further identiﬁes the factors inﬂuencing the expected change in travel by active transport modes during the new normal situation by developing multinomial logistic regression models. Finally, this study proposes policies to increase active transport use beyond the pandemic and ensure sustainable mobility for city dwellers and their well-being.","container-title":"Sustainability","DOI":"10.3390/su13126975","ISSN":"2071-1050","issue":"12","journalAbbreviation":"Sustainability","language":"en","page":"6975","source":"DOI.org (Crossref)","title":"Impacts of the COVID-19 Pandemic on Active Travel Mode Choice in Bangladesh: A Study from the Perspective of Sustainability and New Normal Situation","title-short":"Impacts of the COVID-19 Pandemic on Active Travel Mode Choice in Bangladesh","volume":"13","author":[{"family":"Zafri","given":"Niaz Mahmud"},{"family":"Khan","given":"Asif"},{"family":"Jamal","given":"Shaila"},{"family":"Alam","given":"Bhuiyan Monwar"}],"issued":{"date-parts":[["2021",6,21]]}}}],"schema":"https://github.com/citation-style-language/schema/raw/master/csl-citation.json"}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Zafri et al. (2021)</w:t>
      </w:r>
      <w:r w:rsidRPr="00EB1290">
        <w:rPr>
          <w:rFonts w:ascii="Times New Roman" w:hAnsi="Times New Roman"/>
          <w:lang w:eastAsia="ko-KR"/>
        </w:rPr>
        <w:fldChar w:fldCharType="end"/>
      </w:r>
      <w:r w:rsidRPr="00EB1290">
        <w:rPr>
          <w:rFonts w:ascii="Times New Roman" w:hAnsi="Times New Roman"/>
          <w:lang w:eastAsia="ko-KR"/>
        </w:rPr>
        <w:t xml:space="preserve"> found that individuals from lower household income and education levels tended to engage in less walking during the pandemic. </w:t>
      </w:r>
      <w:r w:rsidRPr="00EB1290">
        <w:rPr>
          <w:rFonts w:ascii="Times New Roman" w:hAnsi="Times New Roman"/>
        </w:rPr>
        <w:t xml:space="preserve">Furthermore,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{"citationID":"wi5kCLN0","properties":{"formattedCitation":"(Qu et al., 2022)","plainCitation":"(Qu et al., 2022)","dontUpdate":true,"noteIndex":0},"citationItems":[{"id":"Fxqj00vV/eLcn5a4P","uris":["http://zotero.org/users/10132210/items/UZPUT6EI"],"itemData":{"id":242,"type":"article-journal","abstract":"This study sought to assess changes in active transportation behaviors due to the COVID-19 pandemic, in addition to identifying the disparate impacts between sociodemographic groups. A survey was conducted in November 2020, which collected responses from 1,000 Michigan residents statewide regarding walking and biking behaviors before, during, and anticipated post-pandemic. The survey found that people who walked or biked frequently for recreation before the pandemic maintained or increased their activities during the pandemic. More importantly, the survey also revealed differing pandemic-related impacts on walking and biking behaviors between sociodemographic groups. Specifically, people from un­ derprivileged sociodemographic groups, such as those who are older, have lower education or income level, or identify as a minority, were less active in general before the pandemic, and these walking and biking behavior gaps were exacerbated by the pandemic. Furthermore, the elevated negative impacts on these sociodemographic groups were anticipated to continue in the future.","container-title":"Transportation Research Part D: Transport and Environment","DOI":"10.1016/j.trd.2022.103494","ISSN":"13619209","journalAbbreviation":"Transportation Research Part D: Transport and Environment","language":"en","page":"103494","source":"DOI.org (Crossref)","title":"The disparate impact of COVID-19 pandemic on walking and biking behaviors","volume":"112","author":[{"family":"Qu","given":"Tongbin"},{"family":"Gates","given":"Timothy J."},{"family":"Xu","given":"Chang"},{"family":"Seguin","given":"Dan"},{"family":"Kay","given":"Jonathan"}],"issued":{"date-parts":[["2022",11]]}}}],"schema":"https://github.com/citation-style-language/schema/raw/master/csl-citation.json"}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Qu et al. (2022)</w:t>
      </w:r>
      <w:r w:rsidRPr="00EB1290">
        <w:rPr>
          <w:rFonts w:ascii="Times New Roman" w:hAnsi="Times New Roman"/>
          <w:lang w:eastAsia="ko-KR"/>
        </w:rPr>
        <w:fldChar w:fldCharType="end"/>
      </w:r>
      <w:r w:rsidRPr="00EB1290">
        <w:rPr>
          <w:rFonts w:ascii="Times New Roman" w:hAnsi="Times New Roman"/>
          <w:lang w:eastAsia="ko-KR"/>
        </w:rPr>
        <w:t xml:space="preserve"> reported that </w:t>
      </w:r>
      <w:r w:rsidRPr="00EB1290">
        <w:rPr>
          <w:rFonts w:ascii="Times New Roman" w:hAnsi="Times New Roman"/>
        </w:rPr>
        <w:t xml:space="preserve">the gap between income groups widened during the pandemic. </w:t>
      </w:r>
      <w:r w:rsidRPr="00EB1290">
        <w:rPr>
          <w:rFonts w:ascii="Times New Roman" w:hAnsi="Times New Roman"/>
          <w:lang w:eastAsia="ko-KR"/>
        </w:rPr>
        <w:t xml:space="preserve">In contrast,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{"citationID":"gswAweBX","properties":{"formattedCitation":"(Zafri et al., 2021)","plainCitation":"(Zafri et al., 2021)","dontUpdate":true,"noteIndex":0},"citationItems":[{"id":"Fxqj00vV/BeW8BXNt","uris":["http://zotero.org/users/10132210/items/EKGPU6H4"],"itemData":{"id":239,"type":"article-journal","abstract":"The COVID-19 pandemic has caused incredible impacts on people’s travel behavior. Recent studies suggest that while the demand for public transport has decreased due to passengers’ inability to maintain physical distance inside this mode, the demand for private automobile and active transport modes (walking and cycling) has increased during the pandemic. Policymakers should take this opportunity given by the pandemic and encourage people to use active transport more in the new normal situation to achieve sustainable transportation outcomes. This study explores the expected change in active transport mode usage in the new normal situation in Bangladesh based on the data from a questionnaire survey. The study ﬁnds that 56% and 45% of the respondents were expected to increase travel by walking and cycling, respectively, during the new normal situation. On the other hand, 19% of the respondents were expected to do the opposite. The study further identiﬁes the factors inﬂuencing the expected change in travel by active transport modes during the new normal situation by developing multinomial logistic regression models. Finally, this study proposes policies to increase active transport use beyond the pandemic and ensure sustainable mobility for city dwellers and their well-being.","container-title":"Sustainability","DOI":"10.3390/su13126975","ISSN":"2071-1050","issue":"12","journalAbbreviation":"Sustainability","language":"en","page":"6975","source":"DOI.org (Crossref)","title":"Impacts of the COVID-19 Pandemic on Active Travel Mode Choice in Bangladesh: A Study from the Perspective of Sustainability and New Normal Situation","title-short":"Impacts of the COVID-19 Pandemic on Active Travel Mode Choice in Bangladesh","volume":"13","author":[{"family":"Zafri","given":"Niaz Mahmud"},{"family":"Khan","given":"Asif"},{"family":"Jamal","given":"Shaila"},{"family":"Alam","given":"Bhuiyan Monwar"}],"issued":{"date-parts":[["2021",6,21]]}}}],"schema":"https://github.com/citation-style-language/schema/raw/master/csl-citation.json"}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Zafri et al. (2021)</w:t>
      </w:r>
      <w:r w:rsidRPr="00EB1290">
        <w:rPr>
          <w:rFonts w:ascii="Times New Roman" w:hAnsi="Times New Roman"/>
          <w:lang w:eastAsia="ko-KR"/>
        </w:rPr>
        <w:fldChar w:fldCharType="end"/>
      </w:r>
      <w:r w:rsidRPr="00EB1290">
        <w:rPr>
          <w:rFonts w:ascii="Times New Roman" w:hAnsi="Times New Roman"/>
          <w:lang w:eastAsia="ko-KR"/>
        </w:rPr>
        <w:t xml:space="preserve"> </w:t>
      </w:r>
      <w:r w:rsidRPr="00EB1290">
        <w:rPr>
          <w:rFonts w:ascii="Times New Roman" w:hAnsi="Times New Roman"/>
        </w:rPr>
        <w:t>conducted a survey on the expected change in walking frequency once COVID-19 is no longer a threat and found that individuals in low-income groups expressed a higher propensity to increase walking (relative to pre-pandemic levels). The influence of gender on walking behavior has also been studied.</w:t>
      </w:r>
      <w:r w:rsidRPr="00EB1290">
        <w:rPr>
          <w:rFonts w:ascii="Times New Roman" w:hAnsi="Times New Roman"/>
          <w:lang w:eastAsia="ko-KR"/>
        </w:rPr>
        <w:t xml:space="preserve">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{"citationID":"JOVBjT2K","properties":{"formattedCitation":"(Greier et al., 2021)","plainCitation":"(Greier et al., 2021)","dontUpdate":true,"noteIndex":0},"citationItems":[{"id":"Fxqj00vV/SKDpSdLl","uris":["http://zotero.org/users/10132210/items/QBQPNGNM"],"itemData":{"id":244,"type":"article-journal","abstract":"The COVID-19 pandemic has led in many countries to the implementation of policies that mandate social distancing and movement restrictions. While these measures are warranted in order to minimize the spread of the virus they may have detrimental effects on various behaviors, including physical activity (PA). The present study examined PA and sitting time in 14 to18-year-old Austrian high school students prior to and during the second COVID-19 lockdown in Austria. Data was collected via an online questionnaire during fall/winter 2020/21. Questions were based on the International Physical Activity Questionnaire, which examined frequency and duration of PA and sitting time. A total of 221 high school students provided valid data. Participants reported significantly lower moderate and vigorous PA during the lockdown while sitting time increased (p &lt; 0.01). The frequency of walking (days/week) also decreased during COVID-19 lockdown, which also contributed to a significant decline in total walking time (p &lt; 0.01). Further, the decline in PA was more pronounced in boys, while girls reported a greater decline in walking. These differences were due to higher PA and walking in boys and girls, respectively, prior to the lockdown. During the lockdown sex differences in PA and sitting time were limited. Taken together, these results highlight the impact of COVID-19 policies on PA in adolescents and emphasize the importance to promote an active lifestyle even in times of home confinement.","container-title":"AIMS Public Health","DOI":"10.3934/publichealth.2021043","ISSN":"2327-8994","issue":"3","language":"en","page":"531-540","source":"DOI.org (Crossref)","title":"Physical activity and sitting time prior to and during COVID-19 lockdown in Austrian high-school students","volume":"8","author":[{"family":"Greier","given":"Klaus"},{"family":"Drenowatz","given":"Clemens"},{"family":"Bischofer","given":"Theresa"},{"family":"Petrasch","given":"Gloria"},{"family":"Greier","given":"Carla"},{"family":"Cocca","given":"Armando"},{"family":"Ruedl","given":"Gerhard"}],"issued":{"date-parts":[["2021"]]}}}],"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Greier et al. (2021)</w:t>
      </w:r>
      <w:r w:rsidRPr="00EB1290">
        <w:rPr>
          <w:rFonts w:ascii="Times New Roman" w:hAnsi="Times New Roman"/>
          <w:lang w:eastAsia="ko-KR"/>
        </w:rPr>
        <w:fldChar w:fldCharType="end"/>
      </w:r>
      <w:r w:rsidRPr="00EB1290">
        <w:rPr>
          <w:rFonts w:ascii="Times New Roman" w:hAnsi="Times New Roman"/>
          <w:lang w:eastAsia="ko-KR"/>
        </w:rPr>
        <w:t xml:space="preserve"> suggested that during the COVID-19 lockdown, both girls and boys walked less than pre-lockdown, but the decrease is larger for girls among high school students. Additionally,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{"citationID":"na4KbZNE","properties":{"formattedCitation":"(Nikiforiadis et al., 2022)","plainCitation":"(Nikiforiadis et al., 2022)","dontUpdate":true,"noteIndex":0},"citationItems":[{"id":"Fxqj00vV/PesosCjx","uris":["http://zotero.org/users/10132210/items/KLAS8QJ8"],"itemData":{"id":243,"type":"article-journal","abstract":"The paper aims to investigate changes in travel behavior due to COVID-19 focusing in one of the most active social groups in Greece. A questionnaire survey was conducted and 306 young adults (age 18–34 years) living in various Greek cities responded. The survey collected information about travel-related preferences before, during and after the 1st lockdown and during the 2nd lockdown of the COVID-19 pandemic in Greece. City attributes of the respondent's residency location before and after the 1st lockdown were collected. The data are analyzed descriptively and through statistical modelling techniques. During the 1st lockdown an important increase in physical exercise frequency was observed, but this increase was not permanent. The COVID-19 pandemic resulted in essential reductions in the frequency of public transport use and in an increase of walking frequency. The public transport use reduction was mainly attributed to people that had access to a private car and after the 1st lockdown moved to a smaller city. On the other hand, the changes in walking frequency are closely linked to the city's attributes. Useful policy implications are being derived about how the pandemic can assist in promoting sustainable urban mobility goals.","container-title":"Cities","DOI":"10.1016/j.cities.2022.103662","ISSN":"02642751","journalAbbreviation":"Cities","language":"en","page":"103662","source":"DOI.org (Crossref)","title":"Exploring mobility pattern changes between before, during and after COVID-19 lockdown periods for young adults","volume":"125","author":[{"family":"Nikiforiadis","given":"Andreas"},{"family":"Mitropoulos","given":"Lambros"},{"family":"Kopelias","given":"Pantelis"},{"family":"Basbas","given":"Socrates"},{"family":"Stamatiadis","given":"Nikiforos"},{"family":"Kroustali","given":"Sofia"}],"issued":{"date-parts":[["2022",6]]}}}],"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Nikiforiadis et al. (2022)</w:t>
      </w:r>
      <w:r w:rsidRPr="00EB1290">
        <w:rPr>
          <w:rFonts w:ascii="Times New Roman" w:hAnsi="Times New Roman"/>
          <w:lang w:eastAsia="ko-KR"/>
        </w:rPr>
        <w:fldChar w:fldCharType="end"/>
      </w:r>
      <w:r w:rsidRPr="00EB1290">
        <w:rPr>
          <w:rFonts w:ascii="Times New Roman" w:hAnsi="Times New Roman"/>
          <w:lang w:eastAsia="ko-KR"/>
        </w:rPr>
        <w:t xml:space="preserve"> </w:t>
      </w:r>
      <w:r w:rsidRPr="00EB1290">
        <w:rPr>
          <w:rFonts w:ascii="Times New Roman" w:hAnsi="Times New Roman"/>
        </w:rPr>
        <w:t xml:space="preserve">explored the recovery period following the first lockdown in the spring of 2020 and found a greater increase in walking frequency among women and young adults in cities with a more pedestrian-friendly environment.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{"citationID":"wRHfMxNq","properties":{"formattedCitation":"(Carr et al., 2021; H.-S. Lee et al., 2022)","plainCitation":"(Carr et al., 2021; H.-S. Lee et al., 2022)","dontUpdate":true,"noteIndex":0},"citationItems":[{"id":"Fxqj00vV/7BWYKXTn","uris":["http://zotero.org/users/10132210/items/LL5FJGBZ"],"itemData":{"id":246,"type":"article-journal","abstract":"Pet ownership can provide important companionship and facilitate social connections, which may be particularly important to socially isolated older adults. Given the signiﬁcant deleterious impact of loneliness on health and wellbeing in later life, many predicted that public safety measures imposed during the COVID-19 pandemic would greatly increase loneliness, particularly among vulnerable populations like older adults. We investigated whether dog walking buffers loneliness in the context of stressors imposed by the COVID-19 pandemic. Longitudinal survey data were obtained from a Florida community-based sample of adults (n = 466) aged 60+ years old in September 2018 and October 2020. Using OLS regression models, we tested: a) the association between the social consequences of COVID-19 and changes in loneliness, and b) the buffering effect of dog walking on this relationship. The high social consequences of COVID-19 were related to increases in loneliness. Walking a dog daily buffered the relationship. These results suggest potential therapeutic effects of dog walking for the promotion of mental health in older adults, particularly in the context of stressful situations that accentuate risks for loneliness.","container-title":"Animals","DOI":"10.3390/ani11071852","ISSN":"2076-2615","issue":"7","journalAbbreviation":"Animals","language":"en","page":"1852","source":"DOI.org (Crossref)","title":"Dog Walking and the Social Impact of the COVID-19 Pandemic on Loneliness in Older Adults","volume":"11","author":[{"family":"Carr","given":"Dawn"},{"family":"Friedmann","given":"Erika"},{"family":"Gee","given":"Nancy R."},{"family":"Gilchrist","given":"Chelsea"},{"family":"Sachs-Ericsson","given":"Natalie"},{"family":"Koodaly","given":"Lincy"}],"issued":{"date-parts":[["2021",6,22]]}}},{"id":"Fxqj00vV/POH5Lw2g","uris":["http://zotero.org/users/10132210/items/JTKZ4U2Y"],"itemData":{"id":245,"type":"article-journal","abstract":"The COVID-19 pandemic has changed people’s lives and increased their vulnerability to physical and mental health hazards. While Korea has avoided nationwide lockdown measures since the COVID-19 outbreak, the prolonged restrictions and social isolation measures have resulted in detrimental psychological effects, such as increased anxiety, boredom, and loneliness. The present study investigated dog attachment and changes in dog walking during the COVID-19 pandemic and the effects of dog attachment and dog walking on the loneliness of Korean dog owners. An online, cross-sectional survey was conducted in the fall of 2021 in which 249 dog owners responded to questionnaires that asked questions about dog attachment, their perception of dog walking, and their feelings of loneliness during the COVID-19 pandemic. Most dog owners responded that they spent more time with their dogs and developed a stronger bond with them during the pandemic. Additionally, respondents stated that they walked their dogs more often than they did before COVID19 and that their dogs aided in reducing loneliness. We found that dog walking directly affected attachment and indirectly inﬂuenced the loneliness of dog owners. Further research is required to determine how dog walking impacts positive psychological effects and promote dog walking.","container-title":"Animals","DOI":"10.3390/ani12040483","ISSN":"2076-2615","issue":"4","journalAbbreviation":"Animals","language":"en","page":"483","source":"DOI.org (Crossref)","title":"Influences of Dog Attachment and Dog Walking on Reducing Loneliness during the COVID-19 Pandemic in Korea","volume":"12","author":[{"family":"Lee","given":"Hyung-Sook"},{"family":"Song","given":"Jin-Gyeoung"},{"family":"Lee","given":"Jeong-Yeon"}],"issued":{"date-parts":[["2022",2,16]]}}}],"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Carr et al. (2021) and Lee et al. (2022)</w:t>
      </w:r>
      <w:r w:rsidRPr="00EB1290">
        <w:rPr>
          <w:rFonts w:ascii="Times New Roman" w:hAnsi="Times New Roman"/>
          <w:lang w:eastAsia="ko-KR"/>
        </w:rPr>
        <w:fldChar w:fldCharType="end"/>
      </w:r>
      <w:r w:rsidRPr="00EB1290">
        <w:rPr>
          <w:rFonts w:ascii="Times New Roman" w:hAnsi="Times New Roman"/>
          <w:lang w:eastAsia="ko-KR"/>
        </w:rPr>
        <w:t xml:space="preserve"> </w:t>
      </w:r>
      <w:r w:rsidRPr="00EB1290">
        <w:rPr>
          <w:rFonts w:ascii="Times New Roman" w:hAnsi="Times New Roman"/>
        </w:rPr>
        <w:t>highlighted the positive effects of dog walking on reducing loneliness and enhancing mental health among older adults, especially those who experienced significant negative social interaction consequences due to the pandemic.</w:t>
      </w:r>
      <w:r w:rsidRPr="00EB1290">
        <w:rPr>
          <w:rFonts w:ascii="Times New Roman" w:hAnsi="Times New Roman"/>
          <w:lang w:eastAsia="ko-KR"/>
        </w:rPr>
        <w:t xml:space="preserve"> Similarly,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{"citationID":"giS3tVQK","properties":{"formattedCitation":"(M. Liu et al., 2022)","plainCitation":"(M. Liu et al., 2022)","dontUpdate":true,"noteIndex":0},"citationItems":[{"id":"Fxqj00vV/ixWGrRkR","uris":["http://zotero.org/users/10132210/items/F9ZCGEPT"],"itemData":{"id":238,"type":"article-journal","abstract":"Owing to strict access control implemented on university campuses during COVID-19, college students experi­ enced increased isolation, resulting in several physical and mental health issues. This study investigates the relationships among perceived built environment, walking attitudes, walking behavior, physical and mental state, and the impact of COVID-19. A cross-sectional survey was conducted among undergraduate students (N = 429) at Dalian University of Technology, China, on September 20 (Sunday) and 21 (Monday), 2020. The survey questionnaire included questions related to socio-demographic factors, perceived environment (accessibility, road condition and safety, and aesthetics), walking attitudes, walking behavior (number of walking trips), physical and mental state, and the impact of pandemic. Subsequently, two structural equation models (SEMs) were developed to analyze the proposed conceptual framework. The empirical results indicated that the SEMs fit the data well, thereby validating the conceptual framework. Perceived environment (especially accessibility), attitudes, and walking behavior significantly influenced physical and mental state. Perceived environment mediated the effects between attitudes and walking behavior and physical and mental state. The pandemic negatively impacted attitudes and physical and mental state. The effect of perceived accessibility on walking behavior and that of walking behavior on physical and mental state were stronger on weekends, whereas the effects of attitudes and the pandemic on physical and mental state were stronger on weekdays. The findings indicate that universities should implement appropriate strategies to improve the objective and subjective built environment, especially accessibility, and cultivate positive attitudes among students to promote walking and improve physical and mental health during COVID-19.","container-title":"Travel Behaviour and Society","DOI":"10.1016/j.tbs.2022.04.003","ISSN":"2214367X","journalAbbreviation":"Travel Behaviour and Society","language":"en","page":"170-180","source":"DOI.org (Crossref)","title":"Associations among perceived built environment, attitudes, walking behavior, and physical and mental state of college students during COVID-19","volume":"28","author":[{"family":"Liu","given":"Meng"},{"family":"Zhao","given":"Shengchuan"},{"family":"Li","given":"Jingyao"}],"issued":{"date-parts":[["2022",7]]}}}],"schema":"https://github.com/citation-style-language/schema/raw/master/csl-citation.json"}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Liu et al. (2022)</w:t>
      </w:r>
      <w:r w:rsidRPr="00EB1290">
        <w:rPr>
          <w:rFonts w:ascii="Times New Roman" w:hAnsi="Times New Roman"/>
          <w:lang w:eastAsia="ko-KR"/>
        </w:rPr>
        <w:fldChar w:fldCharType="end"/>
      </w:r>
      <w:r w:rsidRPr="00EB1290">
        <w:rPr>
          <w:rFonts w:ascii="Times New Roman" w:hAnsi="Times New Roman"/>
          <w:lang w:eastAsia="ko-KR"/>
        </w:rPr>
        <w:t xml:space="preserve"> reported that individuals who believed COVID-19 had a negative impact on their lives were less inclined to engage in walking activities.</w:t>
      </w:r>
      <w:r w:rsidRPr="00EB1290" w:rsidDel="00FB094D">
        <w:rPr>
          <w:rFonts w:ascii="Times New Roman" w:hAnsi="Times New Roman"/>
        </w:rPr>
        <w:t xml:space="preserve"> </w:t>
      </w:r>
      <w:r w:rsidRPr="00EB1290">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{"citationID":"3TOc2VdU","properties":{"formattedCitation":"(Ma et al., 2022)","plainCitation":"(Ma et al., 2022)","dontUpdate":true,"noteIndex":0},"citationItems":[{"id":"Fxqj00vV/tjOjkaYc","uris":["http://zotero.org/users/10132210/items/M738IVNX"],"itemData":{"id":241,"type":"article-journal","abstract":"The COVID-19 pandemic lockdown has had a significant impact on people’s travel behavior. The level of this impact has been unevenly distributed among different population groups. The recent rise in anti-Asian racism implies that Asians have faced increased stress during the pandemic. As a result, the impact on their travel behavior is likely to differ from other ethnic groups. We examined this hypothesis by focusing on the impact of the pandemic on walking behavior. We collected survey data in Melbourne, Australia, during the pandemic lockdown, and analyzed the data using a Structural Equation Model approach. The results suggest that Asians experienced a significantly higher level of discrimination than other racial groups and were less likely to in­ crease walking than White people. We also found that neighborhood cohesion helped alleviate perceived discrimination and promote walking. This study offers new insights into the role of racism in travel behavior.","container-title":"Transportation Research Part D: Transport and Environment","DOI":"10.1016/j.trd.2022.103335","ISSN":"13619209","journalAbbreviation":"Transportation Research Part D: Transport and Environment","language":"en","page":"103335","source":"DOI.org (Crossref)","title":"The impact of perceived racism on walking behavior during the COVID-19 lockdown","volume":"109","author":[{"family":"Ma","given":"Liang"},{"family":"Liu","given":"Yage"},{"family":"Cao","given":"Jason"},{"family":"Ye","given":"Runing"}],"issued":{"date-parts":[["2022",8]]}}}],"schema":"https://github.com/citation-style-language/schema/raw/master/csl-citation.json"} </w:instrText>
      </w:r>
      <w:r w:rsidRPr="00EB1290">
        <w:rPr>
          <w:rFonts w:ascii="Times New Roman" w:hAnsi="Times New Roman"/>
          <w:lang w:eastAsia="ko-KR"/>
        </w:rPr>
        <w:fldChar w:fldCharType="separate"/>
      </w:r>
      <w:r w:rsidRPr="00EB1290">
        <w:rPr>
          <w:rFonts w:ascii="Times New Roman" w:hAnsi="Times New Roman"/>
        </w:rPr>
        <w:t>Ma et al. (2022)</w:t>
      </w:r>
      <w:r w:rsidRPr="00EB1290">
        <w:rPr>
          <w:rFonts w:ascii="Times New Roman" w:hAnsi="Times New Roman"/>
          <w:lang w:eastAsia="ko-KR"/>
        </w:rPr>
        <w:fldChar w:fldCharType="end"/>
      </w:r>
      <w:r w:rsidRPr="00EB1290">
        <w:rPr>
          <w:rFonts w:ascii="Times New Roman" w:hAnsi="Times New Roman"/>
          <w:lang w:eastAsia="ko-KR"/>
        </w:rPr>
        <w:t xml:space="preserve"> </w:t>
      </w:r>
      <w:r w:rsidRPr="00EB1290">
        <w:rPr>
          <w:rFonts w:ascii="Times New Roman" w:hAnsi="Times New Roman"/>
        </w:rPr>
        <w:t>investigated perceived racism against Asians during the pandemic and found that Asians exhibited a lower tendency to increase walking during the pandemic lockdown.</w:t>
      </w:r>
    </w:p>
    <w:p w14:paraId="29DB4F73" w14:textId="2B8C0A20" w:rsidR="008B58C4" w:rsidRDefault="008B58C4" w:rsidP="008B58C4">
      <w:pPr>
        <w:ind w:firstLine="720"/>
        <w:jc w:val="both"/>
        <w:rPr>
          <w:rFonts w:ascii="Times New Roman" w:hAnsi="Times New Roman"/>
          <w:lang w:eastAsia="ko-KR"/>
        </w:rPr>
      </w:pPr>
      <w:r w:rsidRPr="00EB1290">
        <w:rPr>
          <w:rFonts w:ascii="Times New Roman" w:hAnsi="Times New Roman"/>
          <w:lang w:eastAsia="ko-KR"/>
        </w:rPr>
        <w:t xml:space="preserve">This study recognizes that the COVID-19 pandemic has brought about significant disruptions to lifestyles, some of which have persisted and continue to impact mobility patterns. With the COVID-19 pandemic increasingly fading away, it is of value to understand changes in walking behavior in a post-pandemic era. Not only might the significant sociodemographic and BE attributes that affect walking frequency have changed, but the magnitude of influence of these factors on walking habits may have shifted. Most previous studies that investigated walking habits during the pandemic or the recovery period were mostly descriptive, thus presenting key limitations in the ability to draw robust statistical inferences. Unlike previous studies, this study uses the rigorous multivariate model system </w:t>
      </w:r>
      <w:r w:rsidR="00555160" w:rsidRPr="00EB1290">
        <w:rPr>
          <w:rFonts w:ascii="Times New Roman" w:hAnsi="Times New Roman"/>
          <w:lang w:eastAsia="ko-KR"/>
        </w:rPr>
        <w:t>to show</w:t>
      </w:r>
      <w:r w:rsidRPr="00EB1290">
        <w:rPr>
          <w:rFonts w:ascii="Times New Roman" w:hAnsi="Times New Roman"/>
        </w:rPr>
        <w:t xml:space="preserve"> </w:t>
      </w:r>
      <w:r w:rsidRPr="00EB1290">
        <w:rPr>
          <w:rFonts w:ascii="Times New Roman" w:hAnsi="Times New Roman"/>
          <w:lang w:eastAsia="ko-KR"/>
        </w:rPr>
        <w:t>how walking frequency has evolved and examine how the impacts of various factors have changed over time. Through this study, we evaluate the changes in the influence of socio-economic and BE factors on walking frequency. Furthermore, we analyze the reasons underlying the increased walking frequency among different sociodemographic groups. This analysis will provide valuable insights for developing strategies and interventions to promote (and retain the increase in) walking in the post-pandemic era.</w:t>
      </w:r>
    </w:p>
    <w:p w14:paraId="5D83ACD1" w14:textId="77777777" w:rsidR="008B58C4" w:rsidRPr="00EB1290" w:rsidRDefault="008B58C4" w:rsidP="008B58C4">
      <w:pPr>
        <w:ind w:firstLine="720"/>
        <w:jc w:val="both"/>
        <w:rPr>
          <w:rFonts w:ascii="Times New Roman" w:hAnsi="Times New Roman"/>
          <w:lang w:eastAsia="ko-KR"/>
        </w:rPr>
      </w:pPr>
    </w:p>
    <w:p w14:paraId="1F89B70D" w14:textId="77777777" w:rsidR="008B58C4" w:rsidRPr="0038441B" w:rsidRDefault="008B58C4" w:rsidP="008B58C4">
      <w:pPr>
        <w:pStyle w:val="Heading1"/>
        <w:spacing w:line="240" w:lineRule="auto"/>
        <w:jc w:val="both"/>
        <w:rPr>
          <w:caps/>
          <w:lang w:eastAsia="ko-KR"/>
        </w:rPr>
      </w:pPr>
      <w:r w:rsidRPr="0038441B">
        <w:rPr>
          <w:caps/>
          <w:lang w:eastAsia="ko-KR"/>
        </w:rPr>
        <w:t>Data and Variable Description</w:t>
      </w:r>
    </w:p>
    <w:p w14:paraId="0140417F" w14:textId="77777777" w:rsidR="008B58C4" w:rsidRPr="00CA7F51" w:rsidRDefault="008B58C4" w:rsidP="008B58C4">
      <w:pPr>
        <w:jc w:val="both"/>
        <w:rPr>
          <w:rFonts w:ascii="Times New Roman" w:hAnsi="Times New Roman"/>
          <w:b/>
          <w:bCs/>
          <w:lang w:eastAsia="ko-KR"/>
        </w:rPr>
      </w:pPr>
      <w:r w:rsidRPr="00FE0177">
        <w:rPr>
          <w:lang w:eastAsia="ko-KR"/>
        </w:rPr>
        <w:t xml:space="preserve">This section presents a description of the data and key variables used in this study. </w:t>
      </w:r>
    </w:p>
    <w:p w14:paraId="191D5B76" w14:textId="77777777" w:rsidR="008B58C4" w:rsidRPr="00EB1290" w:rsidRDefault="008B58C4" w:rsidP="008B58C4">
      <w:pPr>
        <w:jc w:val="both"/>
        <w:rPr>
          <w:lang w:eastAsia="ko-KR"/>
        </w:rPr>
      </w:pPr>
    </w:p>
    <w:p w14:paraId="164A8BCC" w14:textId="77777777" w:rsidR="008B58C4" w:rsidRPr="0038441B" w:rsidRDefault="008B58C4" w:rsidP="008B58C4">
      <w:pPr>
        <w:pStyle w:val="Heading2"/>
        <w:spacing w:line="240" w:lineRule="auto"/>
      </w:pPr>
      <w:r w:rsidRPr="0038441B">
        <w:t>Survey</w:t>
      </w:r>
    </w:p>
    <w:p w14:paraId="44E1CC7D" w14:textId="72837041" w:rsidR="008B58C4" w:rsidRDefault="008B58C4" w:rsidP="008B58C4">
      <w:pPr>
        <w:jc w:val="both"/>
        <w:rPr>
          <w:rFonts w:ascii="Times New Roman" w:hAnsi="Times New Roman"/>
          <w:lang w:eastAsia="ko-KR"/>
        </w:rPr>
      </w:pPr>
      <w:r>
        <w:rPr>
          <w:rFonts w:ascii="Times New Roman" w:hAnsi="Times New Roman"/>
          <w:lang w:eastAsia="ko-KR"/>
        </w:rPr>
        <w:t xml:space="preserve">The data used for this study is derived from the COVID Future Panel Survey in the U.S. </w:t>
      </w:r>
      <w:r>
        <w:rPr>
          <w:rFonts w:ascii="Times New Roman" w:hAnsi="Times New Roman"/>
          <w:lang w:eastAsia="ko-KR"/>
        </w:rPr>
        <w:fldChar w:fldCharType="begin"/>
      </w:r>
      <w:r w:rsidR="00E66090">
        <w:rPr>
          <w:rFonts w:ascii="Times New Roman" w:hAnsi="Times New Roman"/>
          <w:lang w:eastAsia="ko-KR"/>
        </w:rPr>
        <w:instrText xml:space="preserve"> ADDIN ZOTERO_ITEM CSL_CITATION {"citationID":"ldwZHw7M","properties":{"formattedCitation":"(Chauhan et al., 2021)","plainCitation":"(Chauhan et al., 2021)","noteIndex":0},"citationItems":[{"id":"Fxqj00vV/pq29TH2B","uris":["http://zotero.org/users/10132210/items/TBSMZC6S"],"itemData":{"id":183,"type":"article-journal","abstract":"Abstract\n            The COVID-19 pandemic has impacted billions of people around the world. To capture some of these impacts in the United States, we are conducting a nationwide longitudinal survey collecting information about activity and travel-related behaviors and attitudes before, during, and after the COVID-19 pandemic. The survey questions cover a wide range of topics including commuting, daily travel, air travel, working from home, online learning, shopping, and risk perception, along with attitudinal, socioeconomic, and demographic information. The survey is deployed over multiple waves to the same respondents to monitor how behaviors and attitudes evolve over time. Version 1.0 of the survey contains 8,723 responses that are publicly available. This article details the methodology adopted for the collection, cleaning, and processing of the data. In addition, the data are weighted to be representative of national and regional demographics. This survey dataset can aid researchers, policymakers, businesses, and government agencies in understanding both the extent of behavioral shifts and the likelihood that changes in behaviors will persist after COVID-19.","container-title":"Scientific Data","DOI":"10.1038/s41597-021-01020-8","ISSN":"2052-4463","issue":"1","journalAbbreviation":"Sci Data","language":"en","page":"245","source":"DOI.org (Crossref)","title":"A database of travel-related behaviors and attitudes before, during, and after COVID-19 in the United States","volume":"8","author":[{"family":"Chauhan","given":"Rishabh Singh"},{"family":"Bhagat-Conway","given":"Matthew Wigginton"},{"family":"Capasso Da Silva","given":"Denise"},{"family":"Salon","given":"Deborah"},{"family":"Shamshiripour","given":"Ali"},{"family":"Rahimi","given":"Ehsan"},{"family":"Khoeini","given":"Sara"},{"family":"Mohammadian","given":"Abolfazl"},{"family":"Derrible","given":"Sybil"},{"family":"Pendyala","given":"Ram"}],"issued":{"date-parts":[["2021",9,23]]}}}],"schema":"https://github.com/citation-style-language/schema/raw/master/csl-citation.json"} </w:instrText>
      </w:r>
      <w:r>
        <w:rPr>
          <w:rFonts w:ascii="Times New Roman" w:hAnsi="Times New Roman"/>
          <w:lang w:eastAsia="ko-KR"/>
        </w:rPr>
        <w:fldChar w:fldCharType="separate"/>
      </w:r>
      <w:r w:rsidRPr="00A62590">
        <w:rPr>
          <w:rFonts w:ascii="Times New Roman" w:hAnsi="Times New Roman"/>
          <w:lang w:eastAsia="ko-KR"/>
        </w:rPr>
        <w:t>(Chauhan et al., 2021)</w:t>
      </w:r>
      <w:r>
        <w:rPr>
          <w:rFonts w:ascii="Times New Roman" w:hAnsi="Times New Roman"/>
          <w:lang w:eastAsia="ko-KR"/>
        </w:rPr>
        <w:fldChar w:fldCharType="end"/>
      </w:r>
      <w:r>
        <w:rPr>
          <w:rFonts w:ascii="Times New Roman" w:hAnsi="Times New Roman"/>
          <w:lang w:eastAsia="ko-KR"/>
        </w:rPr>
        <w:t xml:space="preserve">. The survey consists of three waves and covers a myriad of topics before, during, and after the pandemic. The first wave collected data from 8,723 respondents during the early stages </w:t>
      </w:r>
      <w:r>
        <w:rPr>
          <w:rFonts w:ascii="Times New Roman" w:hAnsi="Times New Roman"/>
          <w:lang w:eastAsia="ko-KR"/>
        </w:rPr>
        <w:lastRenderedPageBreak/>
        <w:t xml:space="preserve">of the pandemic from April to October 2020, the second wave collected 2,877 responses from November 2020 to May 2021, and the third wave collected 2,728 responses from October to November 2021 </w:t>
      </w:r>
      <w:r>
        <w:rPr>
          <w:rFonts w:ascii="Times New Roman" w:hAnsi="Times New Roman"/>
          <w:szCs w:val="24"/>
          <w:lang w:eastAsia="ko-KR"/>
        </w:rPr>
        <w:t>representing the</w:t>
      </w:r>
      <w:r w:rsidRPr="008815CB">
        <w:rPr>
          <w:rFonts w:ascii="Times New Roman" w:hAnsi="Times New Roman"/>
          <w:szCs w:val="24"/>
          <w:lang w:eastAsia="ko-KR"/>
        </w:rPr>
        <w:t xml:space="preserve"> period when the restrictions and fears caused by the pandemic had faded</w:t>
      </w:r>
      <w:r>
        <w:rPr>
          <w:rFonts w:ascii="Times New Roman" w:hAnsi="Times New Roman"/>
          <w:szCs w:val="24"/>
          <w:lang w:eastAsia="ko-KR"/>
        </w:rPr>
        <w:t>.</w:t>
      </w:r>
      <w:r>
        <w:rPr>
          <w:rFonts w:ascii="Times New Roman" w:hAnsi="Times New Roman"/>
          <w:lang w:eastAsia="ko-KR"/>
        </w:rPr>
        <w:t xml:space="preserve"> Since our study focuses on analyzing the changes in walking frequency before and after the pandemic, we use the </w:t>
      </w:r>
      <w:r w:rsidRPr="00B57E9A">
        <w:rPr>
          <w:rFonts w:ascii="Times New Roman" w:hAnsi="Times New Roman"/>
          <w:lang w:eastAsia="ko-KR"/>
        </w:rPr>
        <w:t>2,728</w:t>
      </w:r>
      <w:r>
        <w:rPr>
          <w:rFonts w:ascii="Times New Roman" w:hAnsi="Times New Roman"/>
          <w:lang w:eastAsia="ko-KR"/>
        </w:rPr>
        <w:t xml:space="preserve"> responses from</w:t>
      </w:r>
      <w:r w:rsidRPr="00B57E9A">
        <w:rPr>
          <w:rFonts w:ascii="Times New Roman" w:hAnsi="Times New Roman"/>
          <w:lang w:eastAsia="ko-KR"/>
        </w:rPr>
        <w:t xml:space="preserve"> </w:t>
      </w:r>
      <w:r>
        <w:rPr>
          <w:rFonts w:ascii="Times New Roman" w:hAnsi="Times New Roman"/>
          <w:lang w:eastAsia="ko-KR"/>
        </w:rPr>
        <w:t>those</w:t>
      </w:r>
      <w:r w:rsidRPr="00B57E9A">
        <w:rPr>
          <w:rFonts w:ascii="Times New Roman" w:hAnsi="Times New Roman"/>
          <w:lang w:eastAsia="ko-KR"/>
        </w:rPr>
        <w:t xml:space="preserve"> who participated in the first and third wave</w:t>
      </w:r>
      <w:r>
        <w:rPr>
          <w:rFonts w:ascii="Times New Roman" w:hAnsi="Times New Roman"/>
          <w:lang w:eastAsia="ko-KR"/>
        </w:rPr>
        <w:t xml:space="preserve">s. After extensive data cleaning and deletion of clearly erroneous data, </w:t>
      </w:r>
      <w:r w:rsidRPr="00B57E9A">
        <w:rPr>
          <w:rFonts w:ascii="Times New Roman" w:hAnsi="Times New Roman"/>
          <w:lang w:eastAsia="ko-KR"/>
        </w:rPr>
        <w:t xml:space="preserve">2,629 </w:t>
      </w:r>
      <w:r>
        <w:rPr>
          <w:rFonts w:ascii="Times New Roman" w:hAnsi="Times New Roman"/>
          <w:lang w:eastAsia="ko-KR"/>
        </w:rPr>
        <w:t xml:space="preserve">were included in the final sample. </w:t>
      </w:r>
    </w:p>
    <w:p w14:paraId="256EC286" w14:textId="77777777" w:rsidR="008B58C4" w:rsidRPr="00C2344B" w:rsidRDefault="008B58C4" w:rsidP="008B58C4">
      <w:pPr>
        <w:ind w:firstLine="720"/>
        <w:jc w:val="both"/>
        <w:rPr>
          <w:rFonts w:ascii="Times New Roman" w:hAnsi="Times New Roman"/>
        </w:rPr>
      </w:pPr>
      <w:r w:rsidRPr="00C2344B">
        <w:rPr>
          <w:rFonts w:ascii="Times New Roman" w:hAnsi="Times New Roman"/>
        </w:rPr>
        <w:t>To gather pre-pandemic socio</w:t>
      </w:r>
      <w:r>
        <w:rPr>
          <w:rFonts w:ascii="Times New Roman" w:hAnsi="Times New Roman"/>
        </w:rPr>
        <w:t>-</w:t>
      </w:r>
      <w:r w:rsidRPr="00C2344B">
        <w:rPr>
          <w:rFonts w:ascii="Times New Roman" w:hAnsi="Times New Roman"/>
        </w:rPr>
        <w:t xml:space="preserve">economic and environmental factors, we </w:t>
      </w:r>
      <w:r>
        <w:rPr>
          <w:rFonts w:ascii="Times New Roman" w:hAnsi="Times New Roman"/>
        </w:rPr>
        <w:t xml:space="preserve">utilized data from </w:t>
      </w:r>
      <w:r w:rsidRPr="00C2344B">
        <w:rPr>
          <w:rFonts w:ascii="Times New Roman" w:hAnsi="Times New Roman"/>
        </w:rPr>
        <w:t xml:space="preserve">responses </w:t>
      </w:r>
      <w:r>
        <w:rPr>
          <w:rFonts w:ascii="Times New Roman" w:hAnsi="Times New Roman"/>
        </w:rPr>
        <w:t>of</w:t>
      </w:r>
      <w:r w:rsidRPr="00C2344B">
        <w:rPr>
          <w:rFonts w:ascii="Times New Roman" w:hAnsi="Times New Roman"/>
        </w:rPr>
        <w:t xml:space="preserve"> </w:t>
      </w:r>
      <w:r>
        <w:rPr>
          <w:rFonts w:ascii="Times New Roman" w:hAnsi="Times New Roman"/>
        </w:rPr>
        <w:t>W</w:t>
      </w:r>
      <w:r w:rsidRPr="00C2344B">
        <w:rPr>
          <w:rFonts w:ascii="Times New Roman" w:hAnsi="Times New Roman"/>
        </w:rPr>
        <w:t>ave 1</w:t>
      </w:r>
      <w:r>
        <w:rPr>
          <w:rFonts w:ascii="Times New Roman" w:hAnsi="Times New Roman"/>
        </w:rPr>
        <w:t>, while p</w:t>
      </w:r>
      <w:r w:rsidRPr="00C2344B">
        <w:rPr>
          <w:rFonts w:ascii="Times New Roman" w:hAnsi="Times New Roman"/>
        </w:rPr>
        <w:t>ost-pandemic</w:t>
      </w:r>
      <w:r>
        <w:rPr>
          <w:rFonts w:ascii="Times New Roman" w:hAnsi="Times New Roman"/>
        </w:rPr>
        <w:t xml:space="preserve"> information </w:t>
      </w:r>
      <w:r w:rsidRPr="00C2344B">
        <w:rPr>
          <w:rFonts w:ascii="Times New Roman" w:hAnsi="Times New Roman"/>
        </w:rPr>
        <w:t>w</w:t>
      </w:r>
      <w:r>
        <w:rPr>
          <w:rFonts w:ascii="Times New Roman" w:hAnsi="Times New Roman"/>
        </w:rPr>
        <w:t>as</w:t>
      </w:r>
      <w:r w:rsidRPr="00C2344B">
        <w:rPr>
          <w:rFonts w:ascii="Times New Roman" w:hAnsi="Times New Roman"/>
        </w:rPr>
        <w:t xml:space="preserve"> obtained </w:t>
      </w:r>
      <w:r>
        <w:rPr>
          <w:rFonts w:ascii="Times New Roman" w:hAnsi="Times New Roman"/>
        </w:rPr>
        <w:t>from W</w:t>
      </w:r>
      <w:r w:rsidRPr="00C2344B">
        <w:rPr>
          <w:rFonts w:ascii="Times New Roman" w:hAnsi="Times New Roman"/>
        </w:rPr>
        <w:t>ave 3</w:t>
      </w:r>
      <w:r>
        <w:rPr>
          <w:rFonts w:ascii="Times New Roman" w:hAnsi="Times New Roman"/>
        </w:rPr>
        <w:t xml:space="preserve"> data. </w:t>
      </w:r>
      <w:r w:rsidRPr="00C2344B">
        <w:rPr>
          <w:rFonts w:ascii="Times New Roman" w:hAnsi="Times New Roman"/>
        </w:rPr>
        <w:t>Certain demographic factors, such as race, remained unchanged during the pandemic, while other factors experienced similar shifts for everyone or exhibited minimal changes within our sample</w:t>
      </w:r>
      <w:r>
        <w:rPr>
          <w:rFonts w:ascii="Times New Roman" w:hAnsi="Times New Roman"/>
        </w:rPr>
        <w:t xml:space="preserve"> (e.g., </w:t>
      </w:r>
      <w:r w:rsidRPr="00C2344B">
        <w:rPr>
          <w:rFonts w:ascii="Times New Roman" w:hAnsi="Times New Roman"/>
        </w:rPr>
        <w:t>age and education</w:t>
      </w:r>
      <w:r>
        <w:rPr>
          <w:rFonts w:ascii="Times New Roman" w:hAnsi="Times New Roman"/>
        </w:rPr>
        <w:t>)</w:t>
      </w:r>
      <w:r w:rsidRPr="00C2344B">
        <w:rPr>
          <w:rFonts w:ascii="Times New Roman" w:hAnsi="Times New Roman"/>
        </w:rPr>
        <w:t xml:space="preserve">. In such cases, we established </w:t>
      </w:r>
      <w:r>
        <w:rPr>
          <w:rFonts w:ascii="Times New Roman" w:hAnsi="Times New Roman"/>
        </w:rPr>
        <w:t>W</w:t>
      </w:r>
      <w:r w:rsidRPr="00C2344B">
        <w:rPr>
          <w:rFonts w:ascii="Times New Roman" w:hAnsi="Times New Roman"/>
        </w:rPr>
        <w:t>ave 1 as the baseline for these factors.</w:t>
      </w:r>
    </w:p>
    <w:p w14:paraId="25294814" w14:textId="77777777" w:rsidR="008B58C4" w:rsidRPr="00A91E4F" w:rsidRDefault="008B58C4" w:rsidP="008B58C4">
      <w:pPr>
        <w:jc w:val="both"/>
        <w:rPr>
          <w:lang w:eastAsia="ko-KR"/>
        </w:rPr>
      </w:pPr>
    </w:p>
    <w:p w14:paraId="3BBEDFFD" w14:textId="4CBA78D4" w:rsidR="008B58C4" w:rsidRPr="0038441B" w:rsidRDefault="008B58C4" w:rsidP="008B58C4">
      <w:pPr>
        <w:pStyle w:val="Heading2"/>
        <w:spacing w:line="240" w:lineRule="auto"/>
      </w:pPr>
      <w:r w:rsidRPr="0038441B">
        <w:t xml:space="preserve">Exogenous </w:t>
      </w:r>
      <w:r w:rsidR="0038441B" w:rsidRPr="0038441B">
        <w:t>V</w:t>
      </w:r>
      <w:r w:rsidRPr="0038441B">
        <w:t>ariables</w:t>
      </w:r>
    </w:p>
    <w:p w14:paraId="24A3B3A5" w14:textId="0EAF9679" w:rsidR="008B58C4" w:rsidRDefault="008B58C4" w:rsidP="008B58C4">
      <w:pPr>
        <w:jc w:val="both"/>
        <w:rPr>
          <w:rFonts w:ascii="Times New Roman" w:hAnsi="Times New Roman"/>
        </w:rPr>
      </w:pPr>
      <w:r w:rsidRPr="00BA0EBC">
        <w:rPr>
          <w:rFonts w:ascii="Times New Roman" w:hAnsi="Times New Roman"/>
        </w:rPr>
        <w:t xml:space="preserve">We categorized the explanatory variables into </w:t>
      </w:r>
      <w:r>
        <w:rPr>
          <w:rFonts w:ascii="Times New Roman" w:hAnsi="Times New Roman"/>
        </w:rPr>
        <w:t>three</w:t>
      </w:r>
      <w:r w:rsidRPr="00BA0EBC">
        <w:rPr>
          <w:rFonts w:ascii="Times New Roman" w:hAnsi="Times New Roman"/>
        </w:rPr>
        <w:t xml:space="preserve"> groups: individual characteristics, household</w:t>
      </w:r>
      <w:r>
        <w:rPr>
          <w:rFonts w:ascii="Times New Roman" w:hAnsi="Times New Roman"/>
        </w:rPr>
        <w:t xml:space="preserve"> sociodemographic</w:t>
      </w:r>
      <w:r w:rsidRPr="00BA0EBC">
        <w:rPr>
          <w:rFonts w:ascii="Times New Roman" w:hAnsi="Times New Roman"/>
        </w:rPr>
        <w:t xml:space="preserve"> characteristics, </w:t>
      </w:r>
      <w:r>
        <w:rPr>
          <w:rFonts w:ascii="Times New Roman" w:hAnsi="Times New Roman"/>
        </w:rPr>
        <w:t xml:space="preserve">and </w:t>
      </w:r>
      <w:r w:rsidRPr="00BA0EBC">
        <w:rPr>
          <w:rFonts w:ascii="Times New Roman" w:hAnsi="Times New Roman"/>
        </w:rPr>
        <w:t>built</w:t>
      </w:r>
      <w:r>
        <w:rPr>
          <w:rFonts w:ascii="Times New Roman" w:hAnsi="Times New Roman"/>
        </w:rPr>
        <w:t xml:space="preserve"> environment (BE) attributes. </w:t>
      </w:r>
      <w:r w:rsidRPr="00BA0EBC">
        <w:rPr>
          <w:rFonts w:ascii="Times New Roman" w:hAnsi="Times New Roman"/>
        </w:rPr>
        <w:t>Individual characteristics</w:t>
      </w:r>
      <w:r>
        <w:rPr>
          <w:rFonts w:ascii="Times New Roman" w:hAnsi="Times New Roman"/>
        </w:rPr>
        <w:t xml:space="preserve"> include</w:t>
      </w:r>
      <w:r w:rsidRPr="00BA0EBC">
        <w:rPr>
          <w:rFonts w:ascii="Times New Roman" w:hAnsi="Times New Roman"/>
        </w:rPr>
        <w:t xml:space="preserve"> gender, age, employment status, education level, and work-from-home statu</w:t>
      </w:r>
      <w:r>
        <w:rPr>
          <w:rFonts w:ascii="Times New Roman" w:hAnsi="Times New Roman"/>
        </w:rPr>
        <w:t>s (including availability of such an option and frequency)</w:t>
      </w:r>
      <w:r w:rsidRPr="00BA0EBC">
        <w:rPr>
          <w:rFonts w:ascii="Times New Roman" w:hAnsi="Times New Roman"/>
        </w:rPr>
        <w:t>.</w:t>
      </w:r>
      <w:r>
        <w:rPr>
          <w:rFonts w:ascii="Times New Roman" w:hAnsi="Times New Roman"/>
        </w:rPr>
        <w:t xml:space="preserve"> </w:t>
      </w:r>
      <w:r w:rsidRPr="00BA0EBC">
        <w:rPr>
          <w:rFonts w:ascii="Times New Roman" w:hAnsi="Times New Roman"/>
        </w:rPr>
        <w:t>Household characteristics include household composition, household vehicle ownership, and household income.</w:t>
      </w:r>
      <w:r>
        <w:rPr>
          <w:rFonts w:ascii="Times New Roman" w:hAnsi="Times New Roman"/>
        </w:rPr>
        <w:t xml:space="preserve"> </w:t>
      </w:r>
      <w:r w:rsidRPr="001C14CF">
        <w:rPr>
          <w:rFonts w:ascii="Times New Roman" w:hAnsi="Times New Roman"/>
        </w:rPr>
        <w:t xml:space="preserve">To account for the changes that occurred during the pandemic, we took into consideration both pre- and post-pandemic employment and household income levels. We categorized the shifts in these variables as exogenous variables, allowing us to analyze and understand the impact of these changes on the outcomes of interest. </w:t>
      </w:r>
      <w:r w:rsidR="00443932">
        <w:rPr>
          <w:rFonts w:ascii="Times New Roman" w:hAnsi="Times New Roman"/>
        </w:rPr>
        <w:t>BE</w:t>
      </w:r>
      <w:r w:rsidRPr="00BA0EBC">
        <w:rPr>
          <w:rFonts w:ascii="Times New Roman" w:hAnsi="Times New Roman"/>
        </w:rPr>
        <w:t xml:space="preserve"> factors included population density, walkability index, distance to the nearest transit from the center</w:t>
      </w:r>
      <w:r>
        <w:rPr>
          <w:rFonts w:ascii="Times New Roman" w:hAnsi="Times New Roman"/>
        </w:rPr>
        <w:t xml:space="preserve"> of the residence zip code</w:t>
      </w:r>
      <w:r w:rsidRPr="00BA0EBC">
        <w:rPr>
          <w:rFonts w:ascii="Times New Roman" w:hAnsi="Times New Roman"/>
        </w:rPr>
        <w:t>, crime rate of the zip code where respondents lived, accessibility to personal or public bikes, and commute time.</w:t>
      </w:r>
      <w:r>
        <w:rPr>
          <w:rFonts w:ascii="Times New Roman" w:hAnsi="Times New Roman"/>
        </w:rPr>
        <w:t xml:space="preserve"> The walkability index is defined in Smart Location Database Version 3.0 </w:t>
      </w:r>
      <w:r>
        <w:rPr>
          <w:rFonts w:ascii="Times New Roman" w:hAnsi="Times New Roman"/>
        </w:rPr>
        <w:fldChar w:fldCharType="begin"/>
      </w:r>
      <w:r w:rsidR="00E66090">
        <w:rPr>
          <w:rFonts w:ascii="Times New Roman" w:hAnsi="Times New Roman"/>
        </w:rPr>
        <w:instrText xml:space="preserve"> ADDIN ZOTERO_ITEM CSL_CITATION {"citationID":"I8dZJZQ1","properties":{"formattedCitation":"(EPA, 2021)","plainCitation":"(EPA, 2021)","noteIndex":0},"citationItems":[{"id":"Fxqj00vV/8x0zGw83","uris":["http://zotero.org/users/10132210/items/LQ6V2FZW"],"itemData":{"id":299,"type":"dataset","title":"Smart Location Database Version 3.0","URL":"https://www.epa.gov/smartgrowth/smart-location-mapping","author":[{"family":"EPA","given":""}],"issued":{"date-parts":[["2021"]]}}}],"schema":"https://github.com/citation-style-language/schema/raw/master/csl-citation.json"} </w:instrText>
      </w:r>
      <w:r>
        <w:rPr>
          <w:rFonts w:ascii="Times New Roman" w:hAnsi="Times New Roman"/>
        </w:rPr>
        <w:fldChar w:fldCharType="separate"/>
      </w:r>
      <w:r w:rsidRPr="00025D34">
        <w:rPr>
          <w:rFonts w:ascii="Times New Roman" w:hAnsi="Times New Roman"/>
        </w:rPr>
        <w:t>(EPA, 2021)</w:t>
      </w:r>
      <w:r>
        <w:rPr>
          <w:rFonts w:ascii="Times New Roman" w:hAnsi="Times New Roman"/>
        </w:rPr>
        <w:fldChar w:fldCharType="end"/>
      </w:r>
      <w:r>
        <w:rPr>
          <w:rFonts w:ascii="Times New Roman" w:hAnsi="Times New Roman"/>
        </w:rPr>
        <w:t xml:space="preserve"> as a function of intersection density, proximity to transit stops, employment mix, and household and employment mix </w:t>
      </w:r>
      <w:r>
        <w:rPr>
          <w:rFonts w:ascii="Times New Roman" w:hAnsi="Times New Roman"/>
        </w:rPr>
        <w:fldChar w:fldCharType="begin"/>
      </w:r>
      <w:r w:rsidR="00E66090">
        <w:rPr>
          <w:rFonts w:ascii="Times New Roman" w:hAnsi="Times New Roman"/>
        </w:rPr>
        <w:instrText xml:space="preserve"> ADDIN ZOTERO_ITEM CSL_CITATION {"citationID":"Aw3WTQTH","properties":{"formattedCitation":"(Champman et al., 2021)","plainCitation":"(Champman et al., 2021)","noteIndex":0},"citationItems":[{"id":"Fxqj00vV/6w8Jk7ey","uris":["http://zotero.org/users/10132210/items/QANE3YCF"],"itemData":{"id":322,"type":"article-journal","language":"en","source":"Zotero","title":"Smart Location Database Technical Documentation and User Guide Version 3.0","URL":"https://www.epa.gov/sites/default/files/2021-06/documents/epa_sld_3.0_technicaldocumentationuserguide_may2021.pdf","author":[{"family":"Champman","given":"Jim"},{"family":"Fox","given":"Eric H."},{"family":"Bachman","given":"William Bachman"},{"family":"Frank","given":"Lawrence D."},{"family":"Thomas","given":"John"},{"family":"Reyes","given":"Alexis Rourk"}],"issued":{"date-parts":[["2021"]]}}}],"schema":"https://github.com/citation-style-language/schema/raw/master/csl-citation.json"} </w:instrText>
      </w:r>
      <w:r>
        <w:rPr>
          <w:rFonts w:ascii="Times New Roman" w:hAnsi="Times New Roman"/>
        </w:rPr>
        <w:fldChar w:fldCharType="separate"/>
      </w:r>
      <w:r w:rsidRPr="00025D34">
        <w:rPr>
          <w:rFonts w:ascii="Times New Roman" w:hAnsi="Times New Roman"/>
        </w:rPr>
        <w:t>(Champman et al., 2021)</w:t>
      </w:r>
      <w:r>
        <w:rPr>
          <w:rFonts w:ascii="Times New Roman" w:hAnsi="Times New Roman"/>
        </w:rPr>
        <w:fldChar w:fldCharType="end"/>
      </w:r>
      <w:r>
        <w:rPr>
          <w:rFonts w:ascii="Times New Roman" w:hAnsi="Times New Roman"/>
        </w:rPr>
        <w:t>.</w:t>
      </w:r>
    </w:p>
    <w:p w14:paraId="372F8667" w14:textId="3F31540E" w:rsidR="008B58C4" w:rsidRDefault="008B58C4" w:rsidP="008B58C4">
      <w:pPr>
        <w:ind w:firstLine="720"/>
        <w:jc w:val="both"/>
        <w:rPr>
          <w:rFonts w:ascii="Times New Roman" w:hAnsi="Times New Roman"/>
        </w:rPr>
      </w:pPr>
      <w:r w:rsidRPr="0084627C">
        <w:rPr>
          <w:rFonts w:ascii="Times New Roman" w:hAnsi="Times New Roman"/>
        </w:rPr>
        <w:t xml:space="preserve">We obtained data from the American Community Survey (ACS) 5-year estimates for </w:t>
      </w:r>
      <w:r>
        <w:rPr>
          <w:rFonts w:ascii="Times New Roman" w:hAnsi="Times New Roman"/>
        </w:rPr>
        <w:t xml:space="preserve">2019 and </w:t>
      </w:r>
      <w:r w:rsidRPr="0084627C">
        <w:rPr>
          <w:rFonts w:ascii="Times New Roman" w:hAnsi="Times New Roman"/>
        </w:rPr>
        <w:t>2020 to determine</w:t>
      </w:r>
      <w:r>
        <w:rPr>
          <w:rFonts w:ascii="Times New Roman" w:hAnsi="Times New Roman"/>
        </w:rPr>
        <w:t xml:space="preserve"> sample</w:t>
      </w:r>
      <w:r w:rsidRPr="0084627C">
        <w:rPr>
          <w:rFonts w:ascii="Times New Roman" w:hAnsi="Times New Roman"/>
        </w:rPr>
        <w:t xml:space="preserve"> </w:t>
      </w:r>
      <w:r>
        <w:rPr>
          <w:rFonts w:ascii="Times New Roman" w:hAnsi="Times New Roman"/>
        </w:rPr>
        <w:t>representativeness as depicted in Table 1 (U.S. Census Bureau, 2019, 2020)</w:t>
      </w:r>
      <w:r w:rsidR="00555160" w:rsidRPr="0084627C">
        <w:rPr>
          <w:rFonts w:ascii="Times New Roman" w:hAnsi="Times New Roman"/>
        </w:rPr>
        <w:t xml:space="preserve">. </w:t>
      </w:r>
      <w:r>
        <w:rPr>
          <w:rFonts w:ascii="Times New Roman" w:hAnsi="Times New Roman"/>
        </w:rPr>
        <w:t xml:space="preserve">Although the sample shows some deviations from census distributions, this is not of any major concern in the context of a multivariate modeling study such as this one because it focuses on individual-level causal effects rather than sample descriptive statistics. The data depict the richness of variation in socio-economic characteristics that is desired in data sets used for modeling purposes and is therefore quite appropriate for accomplishing the objectives of this study. </w:t>
      </w:r>
    </w:p>
    <w:p w14:paraId="3543DF81" w14:textId="77777777" w:rsidR="008B58C4" w:rsidRDefault="008B58C4" w:rsidP="008B58C4">
      <w:pPr>
        <w:rPr>
          <w:rFonts w:ascii="Times New Roman" w:hAnsi="Times New Roman"/>
          <w:b/>
          <w:bCs/>
        </w:rPr>
      </w:pPr>
      <w:r>
        <w:rPr>
          <w:rFonts w:ascii="Times New Roman" w:hAnsi="Times New Roman"/>
          <w:b/>
          <w:bCs/>
        </w:rPr>
        <w:br w:type="page"/>
      </w:r>
    </w:p>
    <w:p w14:paraId="07E239A6" w14:textId="7CC9E441" w:rsidR="008B58C4" w:rsidRPr="00021172" w:rsidRDefault="008B58C4" w:rsidP="008B58C4">
      <w:pPr>
        <w:jc w:val="both"/>
        <w:rPr>
          <w:b/>
          <w:bCs/>
        </w:rPr>
      </w:pPr>
      <w:r w:rsidRPr="00021172">
        <w:rPr>
          <w:rFonts w:ascii="Times New Roman" w:hAnsi="Times New Roman"/>
          <w:b/>
          <w:bCs/>
        </w:rPr>
        <w:lastRenderedPageBreak/>
        <w:t xml:space="preserve">Table </w:t>
      </w:r>
      <w:r w:rsidRPr="00021172">
        <w:rPr>
          <w:rFonts w:ascii="Times New Roman" w:hAnsi="Times New Roman"/>
          <w:b/>
          <w:bCs/>
        </w:rPr>
        <w:fldChar w:fldCharType="begin"/>
      </w:r>
      <w:r w:rsidRPr="00021172">
        <w:rPr>
          <w:rFonts w:ascii="Times New Roman" w:hAnsi="Times New Roman"/>
          <w:b/>
          <w:bCs/>
        </w:rPr>
        <w:instrText xml:space="preserve"> SEQ Table \* ARABIC </w:instrText>
      </w:r>
      <w:r w:rsidRPr="00021172">
        <w:rPr>
          <w:rFonts w:ascii="Times New Roman" w:hAnsi="Times New Roman"/>
          <w:b/>
          <w:bCs/>
        </w:rPr>
        <w:fldChar w:fldCharType="separate"/>
      </w:r>
      <w:r w:rsidRPr="00021172">
        <w:rPr>
          <w:rFonts w:ascii="Times New Roman" w:hAnsi="Times New Roman"/>
          <w:b/>
          <w:bCs/>
        </w:rPr>
        <w:t>1</w:t>
      </w:r>
      <w:r w:rsidRPr="00021172">
        <w:rPr>
          <w:rFonts w:ascii="Times New Roman" w:hAnsi="Times New Roman"/>
          <w:b/>
          <w:bCs/>
        </w:rPr>
        <w:fldChar w:fldCharType="end"/>
      </w:r>
      <w:r w:rsidR="0038441B">
        <w:rPr>
          <w:rFonts w:ascii="Times New Roman" w:hAnsi="Times New Roman"/>
          <w:b/>
          <w:bCs/>
        </w:rPr>
        <w:t>.</w:t>
      </w:r>
      <w:r>
        <w:rPr>
          <w:rFonts w:ascii="Times New Roman" w:hAnsi="Times New Roman"/>
          <w:b/>
          <w:bCs/>
        </w:rPr>
        <w:t xml:space="preserve"> </w:t>
      </w:r>
      <w:r w:rsidRPr="00021172">
        <w:rPr>
          <w:rFonts w:ascii="Times New Roman" w:hAnsi="Times New Roman"/>
          <w:b/>
          <w:bCs/>
        </w:rPr>
        <w:t xml:space="preserve">Sample </w:t>
      </w:r>
      <w:r>
        <w:rPr>
          <w:rFonts w:ascii="Times New Roman" w:hAnsi="Times New Roman"/>
          <w:b/>
          <w:bCs/>
        </w:rPr>
        <w:t>D</w:t>
      </w:r>
      <w:r w:rsidRPr="00021172">
        <w:rPr>
          <w:rFonts w:ascii="Times New Roman" w:hAnsi="Times New Roman"/>
          <w:b/>
          <w:bCs/>
        </w:rPr>
        <w:t xml:space="preserve">istribution of </w:t>
      </w:r>
      <w:r>
        <w:rPr>
          <w:rFonts w:ascii="Times New Roman" w:hAnsi="Times New Roman"/>
          <w:b/>
          <w:bCs/>
        </w:rPr>
        <w:t>E</w:t>
      </w:r>
      <w:r w:rsidRPr="00021172">
        <w:rPr>
          <w:rFonts w:ascii="Times New Roman" w:hAnsi="Times New Roman"/>
          <w:b/>
          <w:bCs/>
        </w:rPr>
        <w:t xml:space="preserve">xogenous </w:t>
      </w:r>
      <w:r>
        <w:rPr>
          <w:rFonts w:ascii="Times New Roman" w:hAnsi="Times New Roman"/>
          <w:b/>
          <w:bCs/>
        </w:rPr>
        <w:t>V</w:t>
      </w:r>
      <w:r w:rsidRPr="00021172">
        <w:rPr>
          <w:rFonts w:ascii="Times New Roman" w:hAnsi="Times New Roman"/>
          <w:b/>
          <w:bCs/>
        </w:rPr>
        <w:t>ariables (N = 2,629)</w:t>
      </w:r>
    </w:p>
    <w:tbl>
      <w:tblPr>
        <w:tblStyle w:val="TableGrid"/>
        <w:tblW w:w="933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585"/>
        <w:gridCol w:w="2876"/>
        <w:gridCol w:w="2877"/>
      </w:tblGrid>
      <w:tr w:rsidR="008B58C4" w:rsidRPr="00EB1290" w14:paraId="41177BC4" w14:textId="77777777" w:rsidTr="00EC669E">
        <w:trPr>
          <w:trHeight w:val="216"/>
          <w:tblHeader/>
        </w:trPr>
        <w:tc>
          <w:tcPr>
            <w:tcW w:w="3585" w:type="dxa"/>
            <w:tcBorders>
              <w:top w:val="double" w:sz="4" w:space="0" w:color="auto"/>
              <w:left w:val="double" w:sz="4" w:space="0" w:color="auto"/>
              <w:bottom w:val="double" w:sz="4" w:space="0" w:color="auto"/>
              <w:right w:val="double" w:sz="4" w:space="0" w:color="auto"/>
            </w:tcBorders>
            <w:noWrap/>
            <w:vAlign w:val="center"/>
            <w:hideMark/>
          </w:tcPr>
          <w:p w14:paraId="0CCA4A5B" w14:textId="77777777" w:rsidR="008B58C4" w:rsidRPr="00EB1290" w:rsidRDefault="008B58C4" w:rsidP="00EC669E">
            <w:pPr>
              <w:jc w:val="both"/>
              <w:rPr>
                <w:rFonts w:ascii="Times New Roman" w:eastAsia="Times New Roman" w:hAnsi="Times New Roman"/>
                <w:b/>
                <w:bCs/>
                <w:sz w:val="22"/>
                <w:szCs w:val="22"/>
                <w:lang w:eastAsia="ko-KR"/>
              </w:rPr>
            </w:pPr>
            <w:bookmarkStart w:id="1" w:name="_Hlk150337301"/>
            <w:r w:rsidRPr="00EB1290">
              <w:rPr>
                <w:rFonts w:ascii="Times New Roman" w:eastAsia="Times New Roman" w:hAnsi="Times New Roman"/>
                <w:b/>
                <w:bCs/>
                <w:sz w:val="22"/>
                <w:szCs w:val="22"/>
                <w:lang w:eastAsia="ko-KR"/>
              </w:rPr>
              <w:t>Variable</w:t>
            </w:r>
          </w:p>
        </w:tc>
        <w:tc>
          <w:tcPr>
            <w:tcW w:w="2876" w:type="dxa"/>
            <w:tcBorders>
              <w:top w:val="double" w:sz="4" w:space="0" w:color="auto"/>
              <w:left w:val="double" w:sz="4" w:space="0" w:color="auto"/>
              <w:bottom w:val="double" w:sz="4" w:space="0" w:color="auto"/>
              <w:right w:val="double" w:sz="4" w:space="0" w:color="auto"/>
            </w:tcBorders>
            <w:noWrap/>
            <w:vAlign w:val="center"/>
            <w:hideMark/>
          </w:tcPr>
          <w:p w14:paraId="47934F9D" w14:textId="77777777" w:rsidR="008B58C4" w:rsidRPr="00EB1290" w:rsidRDefault="008B58C4" w:rsidP="00EC669E">
            <w:pPr>
              <w:jc w:val="center"/>
              <w:rPr>
                <w:rFonts w:ascii="Times New Roman" w:eastAsia="Times New Roman" w:hAnsi="Times New Roman"/>
                <w:b/>
                <w:bCs/>
                <w:color w:val="000000"/>
                <w:sz w:val="22"/>
                <w:szCs w:val="22"/>
                <w:lang w:eastAsia="ko-KR"/>
              </w:rPr>
            </w:pPr>
            <w:r w:rsidRPr="00EB1290">
              <w:rPr>
                <w:rFonts w:ascii="Times New Roman" w:eastAsia="Times New Roman" w:hAnsi="Times New Roman"/>
                <w:b/>
                <w:bCs/>
                <w:color w:val="000000"/>
                <w:sz w:val="22"/>
                <w:szCs w:val="22"/>
                <w:lang w:eastAsia="ko-KR"/>
              </w:rPr>
              <w:t>Sample (%)</w:t>
            </w:r>
          </w:p>
        </w:tc>
        <w:tc>
          <w:tcPr>
            <w:tcW w:w="2877" w:type="dxa"/>
            <w:tcBorders>
              <w:top w:val="double" w:sz="4" w:space="0" w:color="auto"/>
              <w:left w:val="double" w:sz="4" w:space="0" w:color="auto"/>
              <w:bottom w:val="double" w:sz="4" w:space="0" w:color="auto"/>
              <w:right w:val="double" w:sz="4" w:space="0" w:color="auto"/>
            </w:tcBorders>
            <w:noWrap/>
            <w:vAlign w:val="center"/>
            <w:hideMark/>
          </w:tcPr>
          <w:p w14:paraId="7962099B" w14:textId="77777777" w:rsidR="008B58C4" w:rsidRPr="00EB1290" w:rsidRDefault="008B58C4" w:rsidP="00EC669E">
            <w:pPr>
              <w:jc w:val="center"/>
              <w:rPr>
                <w:rFonts w:ascii="Times New Roman" w:eastAsia="Times New Roman" w:hAnsi="Times New Roman"/>
                <w:b/>
                <w:bCs/>
                <w:color w:val="000000"/>
                <w:sz w:val="22"/>
                <w:szCs w:val="22"/>
                <w:lang w:eastAsia="ko-KR"/>
              </w:rPr>
            </w:pPr>
            <w:r w:rsidRPr="00EB1290">
              <w:rPr>
                <w:rFonts w:ascii="Times New Roman" w:eastAsia="Times New Roman" w:hAnsi="Times New Roman"/>
                <w:b/>
                <w:bCs/>
                <w:color w:val="000000"/>
                <w:sz w:val="22"/>
                <w:szCs w:val="22"/>
                <w:lang w:eastAsia="ko-KR"/>
              </w:rPr>
              <w:t>ACS 2020 (%)</w:t>
            </w:r>
          </w:p>
        </w:tc>
      </w:tr>
      <w:tr w:rsidR="008B58C4" w:rsidRPr="00EB1290" w14:paraId="6A935D79" w14:textId="77777777" w:rsidTr="00EC669E">
        <w:trPr>
          <w:trHeight w:val="216"/>
        </w:trPr>
        <w:tc>
          <w:tcPr>
            <w:tcW w:w="3585" w:type="dxa"/>
            <w:tcBorders>
              <w:top w:val="double" w:sz="4" w:space="0" w:color="auto"/>
              <w:left w:val="double" w:sz="4" w:space="0" w:color="auto"/>
              <w:bottom w:val="dashSmallGap" w:sz="4" w:space="0" w:color="auto"/>
              <w:right w:val="double" w:sz="4" w:space="0" w:color="auto"/>
            </w:tcBorders>
            <w:noWrap/>
            <w:vAlign w:val="center"/>
          </w:tcPr>
          <w:p w14:paraId="3CF3DCCE" w14:textId="77777777" w:rsidR="008B58C4" w:rsidRPr="00EB1290" w:rsidRDefault="008B58C4" w:rsidP="00EC669E">
            <w:pPr>
              <w:jc w:val="both"/>
              <w:rPr>
                <w:rFonts w:ascii="Times New Roman" w:eastAsia="Times New Roman" w:hAnsi="Times New Roman"/>
                <w:b/>
                <w:bCs/>
                <w:color w:val="000000"/>
                <w:sz w:val="22"/>
                <w:szCs w:val="22"/>
                <w:lang w:eastAsia="ko-KR"/>
              </w:rPr>
            </w:pPr>
            <w:r w:rsidRPr="00EB1290">
              <w:rPr>
                <w:rFonts w:ascii="Times New Roman" w:eastAsia="Times New Roman" w:hAnsi="Times New Roman"/>
                <w:b/>
                <w:bCs/>
                <w:color w:val="000000"/>
                <w:sz w:val="22"/>
                <w:szCs w:val="22"/>
                <w:lang w:eastAsia="ko-KR"/>
              </w:rPr>
              <w:t>Age</w:t>
            </w:r>
          </w:p>
        </w:tc>
        <w:tc>
          <w:tcPr>
            <w:tcW w:w="2876" w:type="dxa"/>
            <w:tcBorders>
              <w:top w:val="double" w:sz="4" w:space="0" w:color="auto"/>
              <w:left w:val="double" w:sz="4" w:space="0" w:color="auto"/>
              <w:bottom w:val="dashSmallGap" w:sz="4" w:space="0" w:color="auto"/>
              <w:right w:val="double" w:sz="4" w:space="0" w:color="auto"/>
            </w:tcBorders>
            <w:noWrap/>
            <w:vAlign w:val="center"/>
          </w:tcPr>
          <w:p w14:paraId="726A9310" w14:textId="77777777" w:rsidR="008B58C4" w:rsidRPr="00EB1290" w:rsidRDefault="008B58C4" w:rsidP="00EC669E">
            <w:pPr>
              <w:jc w:val="right"/>
              <w:rPr>
                <w:rFonts w:ascii="Times New Roman" w:eastAsia="Times New Roman" w:hAnsi="Times New Roman"/>
                <w:color w:val="000000"/>
                <w:sz w:val="22"/>
                <w:szCs w:val="22"/>
                <w:lang w:eastAsia="ko-KR"/>
              </w:rPr>
            </w:pPr>
          </w:p>
        </w:tc>
        <w:tc>
          <w:tcPr>
            <w:tcW w:w="2877" w:type="dxa"/>
            <w:tcBorders>
              <w:top w:val="double" w:sz="4" w:space="0" w:color="auto"/>
              <w:left w:val="double" w:sz="4" w:space="0" w:color="auto"/>
              <w:bottom w:val="dashSmallGap" w:sz="4" w:space="0" w:color="auto"/>
              <w:right w:val="double" w:sz="4" w:space="0" w:color="auto"/>
            </w:tcBorders>
            <w:noWrap/>
            <w:vAlign w:val="center"/>
          </w:tcPr>
          <w:p w14:paraId="7D98D0E8" w14:textId="77777777" w:rsidR="008B58C4" w:rsidRPr="00EB1290" w:rsidRDefault="008B58C4" w:rsidP="00EC669E">
            <w:pPr>
              <w:jc w:val="right"/>
              <w:rPr>
                <w:rFonts w:ascii="Times New Roman" w:eastAsia="Times New Roman" w:hAnsi="Times New Roman"/>
                <w:color w:val="000000"/>
                <w:sz w:val="22"/>
                <w:szCs w:val="22"/>
                <w:lang w:eastAsia="ko-KR"/>
              </w:rPr>
            </w:pPr>
          </w:p>
        </w:tc>
      </w:tr>
      <w:tr w:rsidR="008B58C4" w:rsidRPr="00EB1290" w14:paraId="75CB707D" w14:textId="77777777" w:rsidTr="00EC669E">
        <w:trPr>
          <w:trHeight w:val="216"/>
        </w:trPr>
        <w:tc>
          <w:tcPr>
            <w:tcW w:w="3585"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3275DB47"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18 to 29 years</w:t>
            </w:r>
          </w:p>
        </w:tc>
        <w:tc>
          <w:tcPr>
            <w:tcW w:w="2876" w:type="dxa"/>
            <w:tcBorders>
              <w:top w:val="dashSmallGap" w:sz="4" w:space="0" w:color="auto"/>
              <w:left w:val="double" w:sz="4" w:space="0" w:color="auto"/>
              <w:bottom w:val="dashSmallGap" w:sz="4" w:space="0" w:color="595959" w:themeColor="text1" w:themeTint="A6"/>
              <w:right w:val="double" w:sz="4" w:space="0" w:color="auto"/>
            </w:tcBorders>
            <w:noWrap/>
            <w:vAlign w:val="center"/>
          </w:tcPr>
          <w:p w14:paraId="6E69F0FB"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6.7</w:t>
            </w:r>
          </w:p>
        </w:tc>
        <w:tc>
          <w:tcPr>
            <w:tcW w:w="2877"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714EC43E" w14:textId="1C23667D"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20.</w:t>
            </w:r>
            <w:r w:rsidR="00443932">
              <w:rPr>
                <w:rFonts w:ascii="Times New Roman" w:eastAsia="Times New Roman" w:hAnsi="Times New Roman"/>
                <w:color w:val="000000"/>
                <w:sz w:val="22"/>
                <w:szCs w:val="22"/>
                <w:lang w:eastAsia="ko-KR"/>
              </w:rPr>
              <w:t>7</w:t>
            </w:r>
          </w:p>
        </w:tc>
      </w:tr>
      <w:tr w:rsidR="008B58C4" w:rsidRPr="00EB1290" w14:paraId="55E67C88" w14:textId="77777777" w:rsidTr="00EC669E">
        <w:trPr>
          <w:trHeight w:val="216"/>
        </w:trPr>
        <w:tc>
          <w:tcPr>
            <w:tcW w:w="3585"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hideMark/>
          </w:tcPr>
          <w:p w14:paraId="18A74FE4"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30 to 49 years</w:t>
            </w:r>
          </w:p>
        </w:tc>
        <w:tc>
          <w:tcPr>
            <w:tcW w:w="2876"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tcPr>
          <w:p w14:paraId="65B0A7A1"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27.8</w:t>
            </w:r>
          </w:p>
        </w:tc>
        <w:tc>
          <w:tcPr>
            <w:tcW w:w="2877"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hideMark/>
          </w:tcPr>
          <w:p w14:paraId="451BC878"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33.7</w:t>
            </w:r>
          </w:p>
        </w:tc>
      </w:tr>
      <w:tr w:rsidR="008B58C4" w:rsidRPr="00EB1290" w14:paraId="7BCE46E3" w14:textId="77777777" w:rsidTr="00EC669E">
        <w:trPr>
          <w:trHeight w:val="216"/>
        </w:trPr>
        <w:tc>
          <w:tcPr>
            <w:tcW w:w="3585"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hideMark/>
          </w:tcPr>
          <w:p w14:paraId="06445E8D"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50 to 64 years</w:t>
            </w:r>
          </w:p>
        </w:tc>
        <w:tc>
          <w:tcPr>
            <w:tcW w:w="2876"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tcPr>
          <w:p w14:paraId="07EC0558"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31.9</w:t>
            </w:r>
          </w:p>
        </w:tc>
        <w:tc>
          <w:tcPr>
            <w:tcW w:w="2877"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hideMark/>
          </w:tcPr>
          <w:p w14:paraId="0495A457"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24.9</w:t>
            </w:r>
          </w:p>
        </w:tc>
      </w:tr>
      <w:tr w:rsidR="008B58C4" w:rsidRPr="00EB1290" w14:paraId="329E5D71" w14:textId="77777777" w:rsidTr="00EC669E">
        <w:trPr>
          <w:trHeight w:val="216"/>
        </w:trPr>
        <w:tc>
          <w:tcPr>
            <w:tcW w:w="3585"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338275E4"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65 years or older</w:t>
            </w:r>
          </w:p>
        </w:tc>
        <w:tc>
          <w:tcPr>
            <w:tcW w:w="2876" w:type="dxa"/>
            <w:tcBorders>
              <w:top w:val="dashSmallGap" w:sz="4" w:space="0" w:color="595959" w:themeColor="text1" w:themeTint="A6"/>
              <w:left w:val="double" w:sz="4" w:space="0" w:color="auto"/>
              <w:bottom w:val="single" w:sz="4" w:space="0" w:color="auto"/>
              <w:right w:val="double" w:sz="4" w:space="0" w:color="auto"/>
            </w:tcBorders>
            <w:noWrap/>
            <w:vAlign w:val="center"/>
          </w:tcPr>
          <w:p w14:paraId="2EF17662"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33.6</w:t>
            </w:r>
          </w:p>
        </w:tc>
        <w:tc>
          <w:tcPr>
            <w:tcW w:w="2877"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00575D2E"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20.7</w:t>
            </w:r>
          </w:p>
        </w:tc>
      </w:tr>
      <w:tr w:rsidR="008B58C4" w:rsidRPr="00EB1290" w14:paraId="54215CFB" w14:textId="77777777" w:rsidTr="00EC669E">
        <w:trPr>
          <w:trHeight w:val="216"/>
        </w:trPr>
        <w:tc>
          <w:tcPr>
            <w:tcW w:w="3585" w:type="dxa"/>
            <w:tcBorders>
              <w:top w:val="single" w:sz="4" w:space="0" w:color="auto"/>
              <w:left w:val="double" w:sz="4" w:space="0" w:color="auto"/>
              <w:bottom w:val="dashSmallGap" w:sz="4" w:space="0" w:color="auto"/>
              <w:right w:val="double" w:sz="4" w:space="0" w:color="auto"/>
            </w:tcBorders>
            <w:noWrap/>
            <w:vAlign w:val="center"/>
          </w:tcPr>
          <w:p w14:paraId="00738695" w14:textId="77777777" w:rsidR="008B58C4" w:rsidRPr="00EB1290" w:rsidRDefault="008B58C4" w:rsidP="00EC669E">
            <w:pPr>
              <w:jc w:val="both"/>
              <w:rPr>
                <w:rFonts w:ascii="Times New Roman" w:eastAsia="Times New Roman" w:hAnsi="Times New Roman"/>
                <w:b/>
                <w:bCs/>
                <w:color w:val="000000"/>
                <w:sz w:val="22"/>
                <w:szCs w:val="22"/>
                <w:lang w:eastAsia="ko-KR"/>
              </w:rPr>
            </w:pPr>
            <w:r w:rsidRPr="00EB1290">
              <w:rPr>
                <w:rFonts w:ascii="Times New Roman" w:eastAsia="Times New Roman" w:hAnsi="Times New Roman"/>
                <w:b/>
                <w:bCs/>
                <w:color w:val="000000"/>
                <w:sz w:val="22"/>
                <w:szCs w:val="22"/>
                <w:lang w:eastAsia="ko-KR"/>
              </w:rPr>
              <w:t>Gender</w:t>
            </w:r>
          </w:p>
        </w:tc>
        <w:tc>
          <w:tcPr>
            <w:tcW w:w="2876" w:type="dxa"/>
            <w:tcBorders>
              <w:top w:val="single" w:sz="4" w:space="0" w:color="auto"/>
              <w:left w:val="double" w:sz="4" w:space="0" w:color="auto"/>
              <w:bottom w:val="dashSmallGap" w:sz="4" w:space="0" w:color="auto"/>
              <w:right w:val="double" w:sz="4" w:space="0" w:color="auto"/>
            </w:tcBorders>
            <w:noWrap/>
            <w:vAlign w:val="center"/>
          </w:tcPr>
          <w:p w14:paraId="6AFEAB69" w14:textId="77777777" w:rsidR="008B58C4" w:rsidRPr="00EB1290" w:rsidRDefault="008B58C4" w:rsidP="00EC669E">
            <w:pPr>
              <w:ind w:right="164"/>
              <w:jc w:val="right"/>
              <w:rPr>
                <w:rFonts w:ascii="Times New Roman" w:eastAsia="Times New Roman" w:hAnsi="Times New Roman"/>
                <w:color w:val="000000"/>
                <w:sz w:val="22"/>
                <w:szCs w:val="22"/>
                <w:lang w:eastAsia="ko-KR"/>
              </w:rPr>
            </w:pPr>
          </w:p>
        </w:tc>
        <w:tc>
          <w:tcPr>
            <w:tcW w:w="2877" w:type="dxa"/>
            <w:tcBorders>
              <w:top w:val="single" w:sz="4" w:space="0" w:color="auto"/>
              <w:left w:val="double" w:sz="4" w:space="0" w:color="auto"/>
              <w:bottom w:val="dashSmallGap" w:sz="4" w:space="0" w:color="auto"/>
              <w:right w:val="double" w:sz="4" w:space="0" w:color="auto"/>
            </w:tcBorders>
            <w:noWrap/>
            <w:vAlign w:val="center"/>
          </w:tcPr>
          <w:p w14:paraId="4702DE92" w14:textId="77777777" w:rsidR="008B58C4" w:rsidRPr="00EB1290" w:rsidRDefault="008B58C4" w:rsidP="00EC669E">
            <w:pPr>
              <w:ind w:right="60"/>
              <w:jc w:val="right"/>
              <w:rPr>
                <w:rFonts w:ascii="Times New Roman" w:eastAsia="Times New Roman" w:hAnsi="Times New Roman"/>
                <w:color w:val="000000"/>
                <w:sz w:val="22"/>
                <w:szCs w:val="22"/>
                <w:lang w:eastAsia="ko-KR"/>
              </w:rPr>
            </w:pPr>
          </w:p>
        </w:tc>
      </w:tr>
      <w:tr w:rsidR="008B58C4" w:rsidRPr="00EB1290" w14:paraId="09832E35" w14:textId="77777777" w:rsidTr="00EC669E">
        <w:trPr>
          <w:trHeight w:val="216"/>
        </w:trPr>
        <w:tc>
          <w:tcPr>
            <w:tcW w:w="3585"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1EF8F023"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Female</w:t>
            </w:r>
          </w:p>
        </w:tc>
        <w:tc>
          <w:tcPr>
            <w:tcW w:w="2876" w:type="dxa"/>
            <w:tcBorders>
              <w:top w:val="dashSmallGap" w:sz="4" w:space="0" w:color="auto"/>
              <w:left w:val="double" w:sz="4" w:space="0" w:color="auto"/>
              <w:bottom w:val="dashSmallGap" w:sz="4" w:space="0" w:color="595959" w:themeColor="text1" w:themeTint="A6"/>
              <w:right w:val="double" w:sz="4" w:space="0" w:color="auto"/>
            </w:tcBorders>
            <w:noWrap/>
            <w:vAlign w:val="center"/>
          </w:tcPr>
          <w:p w14:paraId="4F213838"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37.3</w:t>
            </w:r>
          </w:p>
        </w:tc>
        <w:tc>
          <w:tcPr>
            <w:tcW w:w="2877"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48769D73"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50.5</w:t>
            </w:r>
          </w:p>
        </w:tc>
      </w:tr>
      <w:tr w:rsidR="008B58C4" w:rsidRPr="00EB1290" w14:paraId="7B20DC70" w14:textId="77777777" w:rsidTr="00EC669E">
        <w:trPr>
          <w:trHeight w:val="216"/>
        </w:trPr>
        <w:tc>
          <w:tcPr>
            <w:tcW w:w="3585"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08904A2D"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Male</w:t>
            </w:r>
          </w:p>
        </w:tc>
        <w:tc>
          <w:tcPr>
            <w:tcW w:w="2876" w:type="dxa"/>
            <w:tcBorders>
              <w:top w:val="dashSmallGap" w:sz="4" w:space="0" w:color="595959" w:themeColor="text1" w:themeTint="A6"/>
              <w:left w:val="double" w:sz="4" w:space="0" w:color="auto"/>
              <w:bottom w:val="single" w:sz="4" w:space="0" w:color="auto"/>
              <w:right w:val="double" w:sz="4" w:space="0" w:color="auto"/>
            </w:tcBorders>
            <w:noWrap/>
            <w:vAlign w:val="center"/>
          </w:tcPr>
          <w:p w14:paraId="227A4630"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62.7</w:t>
            </w:r>
          </w:p>
        </w:tc>
        <w:tc>
          <w:tcPr>
            <w:tcW w:w="2877"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47E36EDD"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49.5</w:t>
            </w:r>
          </w:p>
        </w:tc>
      </w:tr>
      <w:tr w:rsidR="008B58C4" w:rsidRPr="00EB1290" w14:paraId="7A4BDFAB" w14:textId="77777777" w:rsidTr="00EC669E">
        <w:trPr>
          <w:trHeight w:val="216"/>
        </w:trPr>
        <w:tc>
          <w:tcPr>
            <w:tcW w:w="3585" w:type="dxa"/>
            <w:tcBorders>
              <w:top w:val="single" w:sz="4" w:space="0" w:color="auto"/>
              <w:left w:val="double" w:sz="4" w:space="0" w:color="auto"/>
              <w:bottom w:val="dashSmallGap" w:sz="4" w:space="0" w:color="auto"/>
              <w:right w:val="double" w:sz="4" w:space="0" w:color="auto"/>
            </w:tcBorders>
            <w:noWrap/>
            <w:vAlign w:val="center"/>
          </w:tcPr>
          <w:p w14:paraId="36B5B1D2" w14:textId="77777777" w:rsidR="008B58C4" w:rsidRPr="00EB1290" w:rsidRDefault="008B58C4" w:rsidP="00EC669E">
            <w:pPr>
              <w:jc w:val="both"/>
              <w:rPr>
                <w:rFonts w:ascii="Times New Roman" w:eastAsia="Times New Roman" w:hAnsi="Times New Roman"/>
                <w:b/>
                <w:bCs/>
                <w:color w:val="000000"/>
                <w:sz w:val="22"/>
                <w:szCs w:val="22"/>
                <w:lang w:eastAsia="ko-KR"/>
              </w:rPr>
            </w:pPr>
            <w:r w:rsidRPr="00EB1290">
              <w:rPr>
                <w:rFonts w:ascii="Times New Roman" w:eastAsia="Times New Roman" w:hAnsi="Times New Roman"/>
                <w:b/>
                <w:bCs/>
                <w:color w:val="000000"/>
                <w:sz w:val="22"/>
                <w:szCs w:val="22"/>
                <w:lang w:eastAsia="ko-KR"/>
              </w:rPr>
              <w:t>Education</w:t>
            </w:r>
          </w:p>
        </w:tc>
        <w:tc>
          <w:tcPr>
            <w:tcW w:w="2876" w:type="dxa"/>
            <w:tcBorders>
              <w:top w:val="single" w:sz="4" w:space="0" w:color="auto"/>
              <w:left w:val="double" w:sz="4" w:space="0" w:color="auto"/>
              <w:bottom w:val="dashSmallGap" w:sz="4" w:space="0" w:color="auto"/>
              <w:right w:val="double" w:sz="4" w:space="0" w:color="auto"/>
            </w:tcBorders>
            <w:noWrap/>
            <w:vAlign w:val="center"/>
          </w:tcPr>
          <w:p w14:paraId="737385F3" w14:textId="77777777" w:rsidR="008B58C4" w:rsidRPr="00EB1290" w:rsidRDefault="008B58C4" w:rsidP="00EC669E">
            <w:pPr>
              <w:ind w:right="164"/>
              <w:jc w:val="right"/>
              <w:rPr>
                <w:rFonts w:ascii="Times New Roman" w:eastAsia="Times New Roman" w:hAnsi="Times New Roman"/>
                <w:color w:val="000000"/>
                <w:sz w:val="22"/>
                <w:szCs w:val="22"/>
                <w:lang w:eastAsia="ko-KR"/>
              </w:rPr>
            </w:pPr>
          </w:p>
        </w:tc>
        <w:tc>
          <w:tcPr>
            <w:tcW w:w="2877" w:type="dxa"/>
            <w:tcBorders>
              <w:top w:val="single" w:sz="4" w:space="0" w:color="auto"/>
              <w:left w:val="double" w:sz="4" w:space="0" w:color="auto"/>
              <w:bottom w:val="dashSmallGap" w:sz="4" w:space="0" w:color="auto"/>
              <w:right w:val="double" w:sz="4" w:space="0" w:color="auto"/>
            </w:tcBorders>
            <w:noWrap/>
            <w:vAlign w:val="center"/>
          </w:tcPr>
          <w:p w14:paraId="31E6B21D" w14:textId="77777777" w:rsidR="008B58C4" w:rsidRPr="00EB1290" w:rsidRDefault="008B58C4" w:rsidP="00EC669E">
            <w:pPr>
              <w:ind w:right="60"/>
              <w:jc w:val="right"/>
              <w:rPr>
                <w:rFonts w:ascii="Times New Roman" w:eastAsia="Times New Roman" w:hAnsi="Times New Roman"/>
                <w:color w:val="000000"/>
                <w:sz w:val="22"/>
                <w:szCs w:val="22"/>
                <w:lang w:eastAsia="ko-KR"/>
              </w:rPr>
            </w:pPr>
          </w:p>
        </w:tc>
      </w:tr>
      <w:tr w:rsidR="008B58C4" w:rsidRPr="00EB1290" w14:paraId="3A1FB117" w14:textId="77777777" w:rsidTr="00EC669E">
        <w:trPr>
          <w:trHeight w:val="216"/>
        </w:trPr>
        <w:tc>
          <w:tcPr>
            <w:tcW w:w="3585" w:type="dxa"/>
            <w:tcBorders>
              <w:top w:val="dashSmallGap" w:sz="4" w:space="0" w:color="auto"/>
              <w:left w:val="double" w:sz="4" w:space="0" w:color="auto"/>
              <w:bottom w:val="dashSmallGap" w:sz="4" w:space="0" w:color="auto"/>
              <w:right w:val="double" w:sz="4" w:space="0" w:color="auto"/>
            </w:tcBorders>
            <w:noWrap/>
            <w:vAlign w:val="center"/>
            <w:hideMark/>
          </w:tcPr>
          <w:p w14:paraId="4BD09ADB"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High school or less</w:t>
            </w:r>
          </w:p>
        </w:tc>
        <w:tc>
          <w:tcPr>
            <w:tcW w:w="2876" w:type="dxa"/>
            <w:tcBorders>
              <w:top w:val="dashSmallGap" w:sz="4" w:space="0" w:color="auto"/>
              <w:left w:val="double" w:sz="4" w:space="0" w:color="auto"/>
              <w:bottom w:val="dashSmallGap" w:sz="4" w:space="0" w:color="auto"/>
              <w:right w:val="double" w:sz="4" w:space="0" w:color="auto"/>
            </w:tcBorders>
            <w:noWrap/>
            <w:vAlign w:val="center"/>
          </w:tcPr>
          <w:p w14:paraId="1CD1A797"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12.0</w:t>
            </w:r>
          </w:p>
        </w:tc>
        <w:tc>
          <w:tcPr>
            <w:tcW w:w="2877" w:type="dxa"/>
            <w:tcBorders>
              <w:top w:val="dashSmallGap" w:sz="4" w:space="0" w:color="auto"/>
              <w:left w:val="double" w:sz="4" w:space="0" w:color="auto"/>
              <w:bottom w:val="dashSmallGap" w:sz="4" w:space="0" w:color="auto"/>
              <w:right w:val="double" w:sz="4" w:space="0" w:color="auto"/>
            </w:tcBorders>
            <w:noWrap/>
            <w:vAlign w:val="center"/>
            <w:hideMark/>
          </w:tcPr>
          <w:p w14:paraId="32171224"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11.1</w:t>
            </w:r>
          </w:p>
        </w:tc>
      </w:tr>
      <w:tr w:rsidR="008B58C4" w:rsidRPr="00EB1290" w14:paraId="3D353C29" w14:textId="77777777" w:rsidTr="00EC669E">
        <w:trPr>
          <w:trHeight w:val="216"/>
        </w:trPr>
        <w:tc>
          <w:tcPr>
            <w:tcW w:w="3585"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6CD99A2B"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 xml:space="preserve">Some college </w:t>
            </w:r>
          </w:p>
        </w:tc>
        <w:tc>
          <w:tcPr>
            <w:tcW w:w="2876" w:type="dxa"/>
            <w:tcBorders>
              <w:top w:val="dashSmallGap" w:sz="4" w:space="0" w:color="auto"/>
              <w:left w:val="double" w:sz="4" w:space="0" w:color="auto"/>
              <w:bottom w:val="dashSmallGap" w:sz="4" w:space="0" w:color="595959" w:themeColor="text1" w:themeTint="A6"/>
              <w:right w:val="double" w:sz="4" w:space="0" w:color="auto"/>
            </w:tcBorders>
            <w:noWrap/>
            <w:vAlign w:val="center"/>
          </w:tcPr>
          <w:p w14:paraId="72FC4327"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60.3</w:t>
            </w:r>
          </w:p>
        </w:tc>
        <w:tc>
          <w:tcPr>
            <w:tcW w:w="2877"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52A91FC9"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55.2</w:t>
            </w:r>
          </w:p>
        </w:tc>
      </w:tr>
      <w:tr w:rsidR="008B58C4" w:rsidRPr="00EB1290" w14:paraId="27E30EC9" w14:textId="77777777" w:rsidTr="00EC669E">
        <w:trPr>
          <w:trHeight w:val="216"/>
        </w:trPr>
        <w:tc>
          <w:tcPr>
            <w:tcW w:w="3585"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3E51B814"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Bachelor’s or higher</w:t>
            </w:r>
          </w:p>
        </w:tc>
        <w:tc>
          <w:tcPr>
            <w:tcW w:w="2876" w:type="dxa"/>
            <w:tcBorders>
              <w:top w:val="dashSmallGap" w:sz="4" w:space="0" w:color="595959" w:themeColor="text1" w:themeTint="A6"/>
              <w:left w:val="double" w:sz="4" w:space="0" w:color="auto"/>
              <w:bottom w:val="single" w:sz="4" w:space="0" w:color="auto"/>
              <w:right w:val="double" w:sz="4" w:space="0" w:color="auto"/>
            </w:tcBorders>
            <w:noWrap/>
            <w:vAlign w:val="center"/>
          </w:tcPr>
          <w:p w14:paraId="600FA02B"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27.7</w:t>
            </w:r>
          </w:p>
        </w:tc>
        <w:tc>
          <w:tcPr>
            <w:tcW w:w="2877"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528087B5"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33.7</w:t>
            </w:r>
          </w:p>
        </w:tc>
      </w:tr>
      <w:tr w:rsidR="008B58C4" w:rsidRPr="00EB1290" w14:paraId="2BF6A0FA" w14:textId="77777777" w:rsidTr="00EC669E">
        <w:trPr>
          <w:trHeight w:val="216"/>
        </w:trPr>
        <w:tc>
          <w:tcPr>
            <w:tcW w:w="3585" w:type="dxa"/>
            <w:tcBorders>
              <w:top w:val="single" w:sz="4" w:space="0" w:color="auto"/>
              <w:left w:val="double" w:sz="4" w:space="0" w:color="auto"/>
              <w:bottom w:val="dashSmallGap" w:sz="4" w:space="0" w:color="auto"/>
              <w:right w:val="double" w:sz="4" w:space="0" w:color="auto"/>
            </w:tcBorders>
            <w:noWrap/>
            <w:vAlign w:val="center"/>
          </w:tcPr>
          <w:p w14:paraId="4CBAFB4D" w14:textId="77777777" w:rsidR="008B58C4" w:rsidRPr="00EB1290" w:rsidRDefault="008B58C4" w:rsidP="00EC669E">
            <w:pPr>
              <w:jc w:val="both"/>
              <w:rPr>
                <w:rFonts w:ascii="Times New Roman" w:eastAsia="Times New Roman" w:hAnsi="Times New Roman"/>
                <w:b/>
                <w:bCs/>
                <w:color w:val="000000"/>
                <w:sz w:val="22"/>
                <w:szCs w:val="22"/>
                <w:lang w:eastAsia="ko-KR"/>
              </w:rPr>
            </w:pPr>
            <w:r w:rsidRPr="00EB1290">
              <w:rPr>
                <w:rFonts w:ascii="Times New Roman" w:eastAsia="Times New Roman" w:hAnsi="Times New Roman"/>
                <w:b/>
                <w:bCs/>
                <w:color w:val="000000"/>
                <w:sz w:val="22"/>
                <w:szCs w:val="22"/>
                <w:lang w:eastAsia="ko-KR"/>
              </w:rPr>
              <w:t>Employment Status</w:t>
            </w:r>
          </w:p>
        </w:tc>
        <w:tc>
          <w:tcPr>
            <w:tcW w:w="2876" w:type="dxa"/>
            <w:tcBorders>
              <w:top w:val="single" w:sz="4" w:space="0" w:color="auto"/>
              <w:left w:val="double" w:sz="4" w:space="0" w:color="auto"/>
              <w:bottom w:val="dashSmallGap" w:sz="4" w:space="0" w:color="auto"/>
              <w:right w:val="double" w:sz="4" w:space="0" w:color="auto"/>
            </w:tcBorders>
            <w:noWrap/>
            <w:vAlign w:val="center"/>
          </w:tcPr>
          <w:p w14:paraId="3C47A159" w14:textId="77777777" w:rsidR="008B58C4" w:rsidRPr="00EB1290" w:rsidRDefault="008B58C4" w:rsidP="00EC669E">
            <w:pPr>
              <w:ind w:right="164"/>
              <w:jc w:val="right"/>
              <w:rPr>
                <w:rFonts w:ascii="Times New Roman" w:eastAsia="Times New Roman" w:hAnsi="Times New Roman"/>
                <w:color w:val="000000"/>
                <w:sz w:val="22"/>
                <w:szCs w:val="22"/>
                <w:lang w:eastAsia="ko-KR"/>
              </w:rPr>
            </w:pPr>
          </w:p>
        </w:tc>
        <w:tc>
          <w:tcPr>
            <w:tcW w:w="2877" w:type="dxa"/>
            <w:tcBorders>
              <w:top w:val="single" w:sz="4" w:space="0" w:color="auto"/>
              <w:left w:val="double" w:sz="4" w:space="0" w:color="auto"/>
              <w:bottom w:val="dashSmallGap" w:sz="4" w:space="0" w:color="auto"/>
              <w:right w:val="double" w:sz="4" w:space="0" w:color="auto"/>
            </w:tcBorders>
            <w:noWrap/>
            <w:vAlign w:val="center"/>
          </w:tcPr>
          <w:p w14:paraId="2305AE26" w14:textId="77777777" w:rsidR="008B58C4" w:rsidRPr="00EB1290" w:rsidRDefault="008B58C4" w:rsidP="00EC669E">
            <w:pPr>
              <w:ind w:right="60"/>
              <w:jc w:val="right"/>
              <w:rPr>
                <w:rFonts w:ascii="Times New Roman" w:eastAsia="Times New Roman" w:hAnsi="Times New Roman"/>
                <w:color w:val="000000"/>
                <w:sz w:val="22"/>
                <w:szCs w:val="22"/>
                <w:lang w:eastAsia="ko-KR"/>
              </w:rPr>
            </w:pPr>
          </w:p>
        </w:tc>
      </w:tr>
      <w:tr w:rsidR="008B58C4" w:rsidRPr="00EB1290" w14:paraId="01E2FC87" w14:textId="77777777" w:rsidTr="00EC669E">
        <w:trPr>
          <w:trHeight w:val="216"/>
        </w:trPr>
        <w:tc>
          <w:tcPr>
            <w:tcW w:w="3585"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2F8A6100"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Employed</w:t>
            </w:r>
          </w:p>
        </w:tc>
        <w:tc>
          <w:tcPr>
            <w:tcW w:w="2876" w:type="dxa"/>
            <w:tcBorders>
              <w:top w:val="dashSmallGap" w:sz="4" w:space="0" w:color="auto"/>
              <w:left w:val="double" w:sz="4" w:space="0" w:color="auto"/>
              <w:bottom w:val="dashSmallGap" w:sz="4" w:space="0" w:color="595959" w:themeColor="text1" w:themeTint="A6"/>
              <w:right w:val="double" w:sz="4" w:space="0" w:color="auto"/>
            </w:tcBorders>
            <w:noWrap/>
            <w:vAlign w:val="center"/>
          </w:tcPr>
          <w:p w14:paraId="6AB81018"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55.1</w:t>
            </w:r>
          </w:p>
        </w:tc>
        <w:tc>
          <w:tcPr>
            <w:tcW w:w="2877"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324E536B"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62.0</w:t>
            </w:r>
          </w:p>
        </w:tc>
      </w:tr>
      <w:tr w:rsidR="008B58C4" w:rsidRPr="00EB1290" w14:paraId="1A35DDB7" w14:textId="77777777" w:rsidTr="00EC669E">
        <w:trPr>
          <w:trHeight w:val="216"/>
        </w:trPr>
        <w:tc>
          <w:tcPr>
            <w:tcW w:w="3585"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7BFE738C"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Non-employed</w:t>
            </w:r>
          </w:p>
        </w:tc>
        <w:tc>
          <w:tcPr>
            <w:tcW w:w="2876" w:type="dxa"/>
            <w:tcBorders>
              <w:top w:val="dashSmallGap" w:sz="4" w:space="0" w:color="595959" w:themeColor="text1" w:themeTint="A6"/>
              <w:left w:val="double" w:sz="4" w:space="0" w:color="auto"/>
              <w:bottom w:val="single" w:sz="4" w:space="0" w:color="auto"/>
              <w:right w:val="double" w:sz="4" w:space="0" w:color="auto"/>
            </w:tcBorders>
            <w:noWrap/>
            <w:vAlign w:val="center"/>
          </w:tcPr>
          <w:p w14:paraId="6BA3BE04"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44.9</w:t>
            </w:r>
          </w:p>
        </w:tc>
        <w:tc>
          <w:tcPr>
            <w:tcW w:w="2877"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03BD8F7A"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38.0</w:t>
            </w:r>
          </w:p>
        </w:tc>
      </w:tr>
      <w:tr w:rsidR="008B58C4" w:rsidRPr="00EB1290" w14:paraId="31B0871D" w14:textId="77777777" w:rsidTr="00EC669E">
        <w:trPr>
          <w:trHeight w:val="216"/>
        </w:trPr>
        <w:tc>
          <w:tcPr>
            <w:tcW w:w="3585" w:type="dxa"/>
            <w:tcBorders>
              <w:top w:val="single" w:sz="4" w:space="0" w:color="auto"/>
              <w:left w:val="double" w:sz="4" w:space="0" w:color="auto"/>
              <w:bottom w:val="dashSmallGap" w:sz="4" w:space="0" w:color="auto"/>
              <w:right w:val="double" w:sz="4" w:space="0" w:color="auto"/>
            </w:tcBorders>
            <w:noWrap/>
            <w:vAlign w:val="center"/>
          </w:tcPr>
          <w:p w14:paraId="1F877745" w14:textId="77777777" w:rsidR="008B58C4" w:rsidRPr="00EB1290" w:rsidRDefault="008B58C4" w:rsidP="00EC669E">
            <w:pPr>
              <w:jc w:val="both"/>
              <w:rPr>
                <w:rFonts w:ascii="Times New Roman" w:eastAsia="Times New Roman" w:hAnsi="Times New Roman"/>
                <w:color w:val="000000"/>
                <w:sz w:val="22"/>
                <w:szCs w:val="22"/>
                <w:lang w:eastAsia="ko-KR"/>
              </w:rPr>
            </w:pPr>
            <w:r w:rsidRPr="00EB1290">
              <w:rPr>
                <w:rFonts w:ascii="Times New Roman" w:eastAsia="Times New Roman" w:hAnsi="Times New Roman"/>
                <w:b/>
                <w:bCs/>
                <w:color w:val="000000"/>
                <w:sz w:val="22"/>
                <w:szCs w:val="22"/>
                <w:lang w:eastAsia="ko-KR"/>
              </w:rPr>
              <w:t xml:space="preserve">Ethnicity </w:t>
            </w:r>
          </w:p>
        </w:tc>
        <w:tc>
          <w:tcPr>
            <w:tcW w:w="2876" w:type="dxa"/>
            <w:tcBorders>
              <w:top w:val="single" w:sz="4" w:space="0" w:color="auto"/>
              <w:left w:val="double" w:sz="4" w:space="0" w:color="auto"/>
              <w:bottom w:val="dashSmallGap" w:sz="4" w:space="0" w:color="auto"/>
              <w:right w:val="double" w:sz="4" w:space="0" w:color="auto"/>
            </w:tcBorders>
            <w:noWrap/>
            <w:vAlign w:val="center"/>
          </w:tcPr>
          <w:p w14:paraId="2AF757FA" w14:textId="77777777" w:rsidR="008B58C4" w:rsidRPr="00EB1290" w:rsidRDefault="008B58C4" w:rsidP="00EC669E">
            <w:pPr>
              <w:ind w:right="164"/>
              <w:jc w:val="right"/>
              <w:rPr>
                <w:rFonts w:ascii="Times New Roman" w:eastAsia="Times New Roman" w:hAnsi="Times New Roman"/>
                <w:color w:val="000000"/>
                <w:sz w:val="22"/>
                <w:szCs w:val="22"/>
                <w:lang w:eastAsia="ko-KR"/>
              </w:rPr>
            </w:pPr>
          </w:p>
        </w:tc>
        <w:tc>
          <w:tcPr>
            <w:tcW w:w="2877" w:type="dxa"/>
            <w:tcBorders>
              <w:top w:val="single" w:sz="4" w:space="0" w:color="auto"/>
              <w:left w:val="double" w:sz="4" w:space="0" w:color="auto"/>
              <w:bottom w:val="dashSmallGap" w:sz="4" w:space="0" w:color="auto"/>
              <w:right w:val="double" w:sz="4" w:space="0" w:color="auto"/>
            </w:tcBorders>
            <w:noWrap/>
            <w:vAlign w:val="center"/>
          </w:tcPr>
          <w:p w14:paraId="6DF6D75A" w14:textId="77777777" w:rsidR="008B58C4" w:rsidRPr="00EB1290" w:rsidRDefault="008B58C4" w:rsidP="00EC669E">
            <w:pPr>
              <w:ind w:right="60"/>
              <w:jc w:val="right"/>
              <w:rPr>
                <w:rFonts w:ascii="Times New Roman" w:eastAsia="Times New Roman" w:hAnsi="Times New Roman"/>
                <w:color w:val="000000"/>
                <w:sz w:val="22"/>
                <w:szCs w:val="22"/>
                <w:lang w:eastAsia="ko-KR"/>
              </w:rPr>
            </w:pPr>
          </w:p>
        </w:tc>
      </w:tr>
      <w:tr w:rsidR="008B58C4" w:rsidRPr="00EB1290" w14:paraId="74EDB904" w14:textId="77777777" w:rsidTr="00EC669E">
        <w:trPr>
          <w:trHeight w:val="216"/>
        </w:trPr>
        <w:tc>
          <w:tcPr>
            <w:tcW w:w="3585"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5C3C4145"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Hispanic</w:t>
            </w:r>
          </w:p>
        </w:tc>
        <w:tc>
          <w:tcPr>
            <w:tcW w:w="2876" w:type="dxa"/>
            <w:tcBorders>
              <w:top w:val="dashSmallGap" w:sz="4" w:space="0" w:color="auto"/>
              <w:left w:val="double" w:sz="4" w:space="0" w:color="auto"/>
              <w:bottom w:val="dashSmallGap" w:sz="4" w:space="0" w:color="595959" w:themeColor="text1" w:themeTint="A6"/>
              <w:right w:val="double" w:sz="4" w:space="0" w:color="auto"/>
            </w:tcBorders>
            <w:noWrap/>
            <w:vAlign w:val="center"/>
          </w:tcPr>
          <w:p w14:paraId="0EA0D6D3"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7.4</w:t>
            </w:r>
          </w:p>
        </w:tc>
        <w:tc>
          <w:tcPr>
            <w:tcW w:w="2877"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4B5E1F90"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18.4</w:t>
            </w:r>
          </w:p>
        </w:tc>
      </w:tr>
      <w:tr w:rsidR="008B58C4" w:rsidRPr="00EB1290" w14:paraId="3F47602C" w14:textId="77777777" w:rsidTr="00EC669E">
        <w:trPr>
          <w:trHeight w:val="216"/>
        </w:trPr>
        <w:tc>
          <w:tcPr>
            <w:tcW w:w="3585"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5EDFC942"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Non-Hispanic</w:t>
            </w:r>
          </w:p>
        </w:tc>
        <w:tc>
          <w:tcPr>
            <w:tcW w:w="2876" w:type="dxa"/>
            <w:tcBorders>
              <w:top w:val="dashSmallGap" w:sz="4" w:space="0" w:color="595959" w:themeColor="text1" w:themeTint="A6"/>
              <w:left w:val="double" w:sz="4" w:space="0" w:color="auto"/>
              <w:bottom w:val="single" w:sz="4" w:space="0" w:color="auto"/>
              <w:right w:val="double" w:sz="4" w:space="0" w:color="auto"/>
            </w:tcBorders>
            <w:noWrap/>
            <w:vAlign w:val="center"/>
          </w:tcPr>
          <w:p w14:paraId="4A38DE17"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92.6</w:t>
            </w:r>
          </w:p>
        </w:tc>
        <w:tc>
          <w:tcPr>
            <w:tcW w:w="2877"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02ACEE87"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81.6</w:t>
            </w:r>
          </w:p>
        </w:tc>
      </w:tr>
      <w:tr w:rsidR="008B58C4" w:rsidRPr="00EB1290" w14:paraId="0C2F1351" w14:textId="77777777" w:rsidTr="00EC669E">
        <w:trPr>
          <w:trHeight w:val="216"/>
        </w:trPr>
        <w:tc>
          <w:tcPr>
            <w:tcW w:w="3585" w:type="dxa"/>
            <w:tcBorders>
              <w:top w:val="single" w:sz="4" w:space="0" w:color="auto"/>
              <w:left w:val="double" w:sz="4" w:space="0" w:color="auto"/>
              <w:bottom w:val="dashSmallGap" w:sz="4" w:space="0" w:color="auto"/>
              <w:right w:val="double" w:sz="4" w:space="0" w:color="auto"/>
            </w:tcBorders>
            <w:noWrap/>
            <w:vAlign w:val="center"/>
          </w:tcPr>
          <w:p w14:paraId="30415B7E" w14:textId="77777777" w:rsidR="008B58C4" w:rsidRPr="00EB1290" w:rsidRDefault="008B58C4" w:rsidP="00EC669E">
            <w:pPr>
              <w:jc w:val="both"/>
              <w:rPr>
                <w:rFonts w:ascii="Times New Roman" w:eastAsia="Times New Roman" w:hAnsi="Times New Roman"/>
                <w:color w:val="000000"/>
                <w:sz w:val="22"/>
                <w:szCs w:val="22"/>
                <w:lang w:eastAsia="ko-KR"/>
              </w:rPr>
            </w:pPr>
            <w:r w:rsidRPr="00EB1290">
              <w:rPr>
                <w:rFonts w:ascii="Times New Roman" w:eastAsia="Times New Roman" w:hAnsi="Times New Roman"/>
                <w:b/>
                <w:bCs/>
                <w:color w:val="000000"/>
                <w:sz w:val="22"/>
                <w:szCs w:val="22"/>
                <w:lang w:eastAsia="ko-KR"/>
              </w:rPr>
              <w:t>Race</w:t>
            </w:r>
          </w:p>
        </w:tc>
        <w:tc>
          <w:tcPr>
            <w:tcW w:w="2876" w:type="dxa"/>
            <w:tcBorders>
              <w:top w:val="single" w:sz="4" w:space="0" w:color="auto"/>
              <w:left w:val="double" w:sz="4" w:space="0" w:color="auto"/>
              <w:bottom w:val="dashSmallGap" w:sz="4" w:space="0" w:color="auto"/>
              <w:right w:val="double" w:sz="4" w:space="0" w:color="auto"/>
            </w:tcBorders>
            <w:noWrap/>
            <w:vAlign w:val="center"/>
          </w:tcPr>
          <w:p w14:paraId="565FC3A5" w14:textId="77777777" w:rsidR="008B58C4" w:rsidRPr="00EB1290" w:rsidRDefault="008B58C4" w:rsidP="00EC669E">
            <w:pPr>
              <w:ind w:right="164"/>
              <w:jc w:val="right"/>
              <w:rPr>
                <w:rFonts w:ascii="Times New Roman" w:eastAsia="Times New Roman" w:hAnsi="Times New Roman"/>
                <w:color w:val="000000"/>
                <w:sz w:val="22"/>
                <w:szCs w:val="22"/>
                <w:lang w:eastAsia="ko-KR"/>
              </w:rPr>
            </w:pPr>
          </w:p>
        </w:tc>
        <w:tc>
          <w:tcPr>
            <w:tcW w:w="2877" w:type="dxa"/>
            <w:tcBorders>
              <w:top w:val="single" w:sz="4" w:space="0" w:color="auto"/>
              <w:left w:val="double" w:sz="4" w:space="0" w:color="auto"/>
              <w:bottom w:val="dashSmallGap" w:sz="4" w:space="0" w:color="auto"/>
              <w:right w:val="double" w:sz="4" w:space="0" w:color="auto"/>
            </w:tcBorders>
            <w:noWrap/>
            <w:vAlign w:val="center"/>
          </w:tcPr>
          <w:p w14:paraId="32E166BC" w14:textId="77777777" w:rsidR="008B58C4" w:rsidRPr="00EB1290" w:rsidRDefault="008B58C4" w:rsidP="00EC669E">
            <w:pPr>
              <w:ind w:right="60"/>
              <w:jc w:val="right"/>
              <w:rPr>
                <w:rFonts w:ascii="Times New Roman" w:eastAsia="Times New Roman" w:hAnsi="Times New Roman"/>
                <w:color w:val="000000"/>
                <w:sz w:val="22"/>
                <w:szCs w:val="22"/>
                <w:lang w:eastAsia="ko-KR"/>
              </w:rPr>
            </w:pPr>
          </w:p>
        </w:tc>
      </w:tr>
      <w:tr w:rsidR="008B58C4" w:rsidRPr="00EB1290" w14:paraId="18D49337" w14:textId="77777777" w:rsidTr="00EC669E">
        <w:trPr>
          <w:trHeight w:val="216"/>
        </w:trPr>
        <w:tc>
          <w:tcPr>
            <w:tcW w:w="3585"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0504B5D0"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Non-White</w:t>
            </w:r>
          </w:p>
        </w:tc>
        <w:tc>
          <w:tcPr>
            <w:tcW w:w="2876" w:type="dxa"/>
            <w:tcBorders>
              <w:top w:val="dashSmallGap" w:sz="4" w:space="0" w:color="auto"/>
              <w:left w:val="double" w:sz="4" w:space="0" w:color="auto"/>
              <w:bottom w:val="dashSmallGap" w:sz="4" w:space="0" w:color="595959" w:themeColor="text1" w:themeTint="A6"/>
              <w:right w:val="double" w:sz="4" w:space="0" w:color="auto"/>
            </w:tcBorders>
            <w:noWrap/>
            <w:vAlign w:val="center"/>
          </w:tcPr>
          <w:p w14:paraId="20BFA68F"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14.1</w:t>
            </w:r>
          </w:p>
        </w:tc>
        <w:tc>
          <w:tcPr>
            <w:tcW w:w="2877"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7365860D"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25.5</w:t>
            </w:r>
          </w:p>
        </w:tc>
      </w:tr>
      <w:tr w:rsidR="008B58C4" w:rsidRPr="00EB1290" w14:paraId="01D116AA" w14:textId="77777777" w:rsidTr="00EC669E">
        <w:trPr>
          <w:trHeight w:val="216"/>
        </w:trPr>
        <w:tc>
          <w:tcPr>
            <w:tcW w:w="3585"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2E206D70"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White</w:t>
            </w:r>
          </w:p>
        </w:tc>
        <w:tc>
          <w:tcPr>
            <w:tcW w:w="2876" w:type="dxa"/>
            <w:tcBorders>
              <w:top w:val="dashSmallGap" w:sz="4" w:space="0" w:color="595959" w:themeColor="text1" w:themeTint="A6"/>
              <w:left w:val="double" w:sz="4" w:space="0" w:color="auto"/>
              <w:bottom w:val="single" w:sz="4" w:space="0" w:color="auto"/>
              <w:right w:val="double" w:sz="4" w:space="0" w:color="auto"/>
            </w:tcBorders>
            <w:noWrap/>
            <w:vAlign w:val="center"/>
          </w:tcPr>
          <w:p w14:paraId="2D132DF7"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85.9</w:t>
            </w:r>
          </w:p>
        </w:tc>
        <w:tc>
          <w:tcPr>
            <w:tcW w:w="2877"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53D7331F"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74.5</w:t>
            </w:r>
          </w:p>
        </w:tc>
      </w:tr>
      <w:tr w:rsidR="008B58C4" w:rsidRPr="00EB1290" w14:paraId="31FB24C5" w14:textId="77777777" w:rsidTr="00EC669E">
        <w:trPr>
          <w:trHeight w:val="216"/>
        </w:trPr>
        <w:tc>
          <w:tcPr>
            <w:tcW w:w="3585" w:type="dxa"/>
            <w:tcBorders>
              <w:top w:val="single" w:sz="4" w:space="0" w:color="auto"/>
              <w:left w:val="double" w:sz="4" w:space="0" w:color="auto"/>
              <w:bottom w:val="dashSmallGap" w:sz="4" w:space="0" w:color="auto"/>
              <w:right w:val="double" w:sz="4" w:space="0" w:color="auto"/>
            </w:tcBorders>
            <w:noWrap/>
            <w:vAlign w:val="center"/>
          </w:tcPr>
          <w:p w14:paraId="4D5F2889" w14:textId="77777777" w:rsidR="008B58C4" w:rsidRPr="00EB1290" w:rsidRDefault="008B58C4" w:rsidP="00EC669E">
            <w:pPr>
              <w:jc w:val="both"/>
              <w:rPr>
                <w:rFonts w:ascii="Times New Roman" w:eastAsia="Times New Roman" w:hAnsi="Times New Roman"/>
                <w:color w:val="000000"/>
                <w:sz w:val="22"/>
                <w:szCs w:val="22"/>
                <w:lang w:eastAsia="ko-KR"/>
              </w:rPr>
            </w:pPr>
            <w:r w:rsidRPr="00EB1290">
              <w:rPr>
                <w:rFonts w:ascii="Times New Roman" w:eastAsia="Times New Roman" w:hAnsi="Times New Roman"/>
                <w:b/>
                <w:bCs/>
                <w:color w:val="000000"/>
                <w:sz w:val="22"/>
                <w:szCs w:val="22"/>
                <w:lang w:eastAsia="ko-KR"/>
              </w:rPr>
              <w:t>Household Vehicles</w:t>
            </w:r>
          </w:p>
        </w:tc>
        <w:tc>
          <w:tcPr>
            <w:tcW w:w="2876" w:type="dxa"/>
            <w:tcBorders>
              <w:top w:val="single" w:sz="4" w:space="0" w:color="auto"/>
              <w:left w:val="double" w:sz="4" w:space="0" w:color="auto"/>
              <w:bottom w:val="dashSmallGap" w:sz="4" w:space="0" w:color="auto"/>
              <w:right w:val="double" w:sz="4" w:space="0" w:color="auto"/>
            </w:tcBorders>
            <w:noWrap/>
            <w:vAlign w:val="center"/>
          </w:tcPr>
          <w:p w14:paraId="56A2F320" w14:textId="77777777" w:rsidR="008B58C4" w:rsidRPr="00EB1290" w:rsidRDefault="008B58C4" w:rsidP="00EC669E">
            <w:pPr>
              <w:ind w:right="164"/>
              <w:jc w:val="right"/>
              <w:rPr>
                <w:rFonts w:ascii="Times New Roman" w:eastAsia="Times New Roman" w:hAnsi="Times New Roman"/>
                <w:color w:val="000000"/>
                <w:sz w:val="22"/>
                <w:szCs w:val="22"/>
                <w:lang w:eastAsia="ko-KR"/>
              </w:rPr>
            </w:pPr>
          </w:p>
        </w:tc>
        <w:tc>
          <w:tcPr>
            <w:tcW w:w="2877" w:type="dxa"/>
            <w:tcBorders>
              <w:top w:val="single" w:sz="4" w:space="0" w:color="auto"/>
              <w:left w:val="double" w:sz="4" w:space="0" w:color="auto"/>
              <w:bottom w:val="dashSmallGap" w:sz="4" w:space="0" w:color="auto"/>
              <w:right w:val="double" w:sz="4" w:space="0" w:color="auto"/>
            </w:tcBorders>
            <w:noWrap/>
            <w:vAlign w:val="center"/>
          </w:tcPr>
          <w:p w14:paraId="4455FDEC" w14:textId="77777777" w:rsidR="008B58C4" w:rsidRPr="00EB1290" w:rsidRDefault="008B58C4" w:rsidP="00EC669E">
            <w:pPr>
              <w:ind w:right="60"/>
              <w:jc w:val="right"/>
              <w:rPr>
                <w:rFonts w:ascii="Times New Roman" w:eastAsia="Times New Roman" w:hAnsi="Times New Roman"/>
                <w:color w:val="000000"/>
                <w:sz w:val="22"/>
                <w:szCs w:val="22"/>
                <w:lang w:eastAsia="ko-KR"/>
              </w:rPr>
            </w:pPr>
          </w:p>
        </w:tc>
      </w:tr>
      <w:tr w:rsidR="008B58C4" w:rsidRPr="00EB1290" w14:paraId="0F842860" w14:textId="77777777" w:rsidTr="00EC669E">
        <w:trPr>
          <w:trHeight w:val="216"/>
        </w:trPr>
        <w:tc>
          <w:tcPr>
            <w:tcW w:w="3585"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0ABE71D6"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0</w:t>
            </w:r>
          </w:p>
        </w:tc>
        <w:tc>
          <w:tcPr>
            <w:tcW w:w="2876" w:type="dxa"/>
            <w:tcBorders>
              <w:top w:val="dashSmallGap" w:sz="4" w:space="0" w:color="auto"/>
              <w:left w:val="double" w:sz="4" w:space="0" w:color="auto"/>
              <w:bottom w:val="dashSmallGap" w:sz="4" w:space="0" w:color="595959" w:themeColor="text1" w:themeTint="A6"/>
              <w:right w:val="double" w:sz="4" w:space="0" w:color="auto"/>
            </w:tcBorders>
            <w:noWrap/>
            <w:vAlign w:val="center"/>
          </w:tcPr>
          <w:p w14:paraId="4721D12B"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6.7</w:t>
            </w:r>
          </w:p>
        </w:tc>
        <w:tc>
          <w:tcPr>
            <w:tcW w:w="2877"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776241D3"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8.1</w:t>
            </w:r>
          </w:p>
        </w:tc>
      </w:tr>
      <w:tr w:rsidR="008B58C4" w:rsidRPr="00EB1290" w14:paraId="382FDDC1" w14:textId="77777777" w:rsidTr="00EC669E">
        <w:trPr>
          <w:trHeight w:val="216"/>
        </w:trPr>
        <w:tc>
          <w:tcPr>
            <w:tcW w:w="3585"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hideMark/>
          </w:tcPr>
          <w:p w14:paraId="5C0DB3EE"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1</w:t>
            </w:r>
          </w:p>
        </w:tc>
        <w:tc>
          <w:tcPr>
            <w:tcW w:w="2876"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tcPr>
          <w:p w14:paraId="14BC8F20"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38.8</w:t>
            </w:r>
          </w:p>
        </w:tc>
        <w:tc>
          <w:tcPr>
            <w:tcW w:w="2877"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hideMark/>
          </w:tcPr>
          <w:p w14:paraId="20CB740D"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32.9</w:t>
            </w:r>
          </w:p>
        </w:tc>
      </w:tr>
      <w:tr w:rsidR="008B58C4" w:rsidRPr="00EB1290" w14:paraId="238E7AA5" w14:textId="77777777" w:rsidTr="00EC669E">
        <w:trPr>
          <w:trHeight w:val="216"/>
        </w:trPr>
        <w:tc>
          <w:tcPr>
            <w:tcW w:w="3585"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hideMark/>
          </w:tcPr>
          <w:p w14:paraId="1F5B1673"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2</w:t>
            </w:r>
          </w:p>
        </w:tc>
        <w:tc>
          <w:tcPr>
            <w:tcW w:w="2876"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tcPr>
          <w:p w14:paraId="0478EB62"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39.9</w:t>
            </w:r>
          </w:p>
        </w:tc>
        <w:tc>
          <w:tcPr>
            <w:tcW w:w="2877"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hideMark/>
          </w:tcPr>
          <w:p w14:paraId="2DEACB85"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37.1</w:t>
            </w:r>
          </w:p>
        </w:tc>
      </w:tr>
      <w:tr w:rsidR="008B58C4" w:rsidRPr="00EB1290" w14:paraId="66253FBB" w14:textId="77777777" w:rsidTr="00EC669E">
        <w:trPr>
          <w:trHeight w:val="216"/>
        </w:trPr>
        <w:tc>
          <w:tcPr>
            <w:tcW w:w="3585"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2C03D0CD"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 or more</w:t>
            </w:r>
          </w:p>
        </w:tc>
        <w:tc>
          <w:tcPr>
            <w:tcW w:w="2876" w:type="dxa"/>
            <w:tcBorders>
              <w:top w:val="dashSmallGap" w:sz="4" w:space="0" w:color="595959" w:themeColor="text1" w:themeTint="A6"/>
              <w:left w:val="double" w:sz="4" w:space="0" w:color="auto"/>
              <w:bottom w:val="single" w:sz="4" w:space="0" w:color="auto"/>
              <w:right w:val="double" w:sz="4" w:space="0" w:color="auto"/>
            </w:tcBorders>
            <w:noWrap/>
            <w:vAlign w:val="center"/>
          </w:tcPr>
          <w:p w14:paraId="296E1F8B"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14.6</w:t>
            </w:r>
          </w:p>
        </w:tc>
        <w:tc>
          <w:tcPr>
            <w:tcW w:w="2877" w:type="dxa"/>
            <w:tcBorders>
              <w:top w:val="dashSmallGap" w:sz="4" w:space="0" w:color="595959" w:themeColor="text1" w:themeTint="A6"/>
              <w:left w:val="double" w:sz="4" w:space="0" w:color="auto"/>
              <w:bottom w:val="single" w:sz="4" w:space="0" w:color="auto"/>
              <w:right w:val="double" w:sz="4" w:space="0" w:color="auto"/>
            </w:tcBorders>
            <w:noWrap/>
            <w:vAlign w:val="center"/>
            <w:hideMark/>
          </w:tcPr>
          <w:p w14:paraId="00BCCD86"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21.9</w:t>
            </w:r>
          </w:p>
        </w:tc>
      </w:tr>
      <w:tr w:rsidR="008B58C4" w:rsidRPr="00EB1290" w14:paraId="651AE59D" w14:textId="77777777" w:rsidTr="00EC669E">
        <w:trPr>
          <w:trHeight w:val="216"/>
        </w:trPr>
        <w:tc>
          <w:tcPr>
            <w:tcW w:w="3585" w:type="dxa"/>
            <w:tcBorders>
              <w:top w:val="single" w:sz="4" w:space="0" w:color="auto"/>
              <w:left w:val="double" w:sz="4" w:space="0" w:color="auto"/>
              <w:bottom w:val="dashSmallGap" w:sz="4" w:space="0" w:color="auto"/>
              <w:right w:val="double" w:sz="4" w:space="0" w:color="auto"/>
            </w:tcBorders>
            <w:noWrap/>
            <w:vAlign w:val="center"/>
          </w:tcPr>
          <w:p w14:paraId="3E0ACFA9" w14:textId="77777777" w:rsidR="008B58C4" w:rsidRPr="00EB1290" w:rsidRDefault="008B58C4" w:rsidP="00EC669E">
            <w:pPr>
              <w:jc w:val="both"/>
              <w:rPr>
                <w:rFonts w:ascii="Times New Roman" w:eastAsia="Times New Roman" w:hAnsi="Times New Roman"/>
                <w:color w:val="000000"/>
                <w:sz w:val="22"/>
                <w:szCs w:val="22"/>
                <w:lang w:eastAsia="ko-KR"/>
              </w:rPr>
            </w:pPr>
            <w:r w:rsidRPr="00EB1290">
              <w:rPr>
                <w:rFonts w:ascii="Times New Roman" w:eastAsia="Times New Roman" w:hAnsi="Times New Roman"/>
                <w:b/>
                <w:bCs/>
                <w:color w:val="000000"/>
                <w:sz w:val="22"/>
                <w:szCs w:val="22"/>
                <w:lang w:eastAsia="ko-KR"/>
              </w:rPr>
              <w:t>Household Income</w:t>
            </w:r>
          </w:p>
        </w:tc>
        <w:tc>
          <w:tcPr>
            <w:tcW w:w="2876" w:type="dxa"/>
            <w:tcBorders>
              <w:top w:val="single" w:sz="4" w:space="0" w:color="auto"/>
              <w:left w:val="double" w:sz="4" w:space="0" w:color="auto"/>
              <w:bottom w:val="dashSmallGap" w:sz="4" w:space="0" w:color="auto"/>
              <w:right w:val="double" w:sz="4" w:space="0" w:color="auto"/>
            </w:tcBorders>
            <w:noWrap/>
            <w:vAlign w:val="center"/>
          </w:tcPr>
          <w:p w14:paraId="3FCD6CD2" w14:textId="77777777" w:rsidR="008B58C4" w:rsidRPr="00EB1290" w:rsidRDefault="008B58C4" w:rsidP="00EC669E">
            <w:pPr>
              <w:ind w:right="164"/>
              <w:jc w:val="right"/>
              <w:rPr>
                <w:rFonts w:ascii="Times New Roman" w:eastAsia="Times New Roman" w:hAnsi="Times New Roman"/>
                <w:color w:val="000000"/>
                <w:sz w:val="22"/>
                <w:szCs w:val="22"/>
                <w:lang w:eastAsia="ko-KR"/>
              </w:rPr>
            </w:pPr>
          </w:p>
        </w:tc>
        <w:tc>
          <w:tcPr>
            <w:tcW w:w="2877" w:type="dxa"/>
            <w:tcBorders>
              <w:top w:val="single" w:sz="4" w:space="0" w:color="auto"/>
              <w:left w:val="double" w:sz="4" w:space="0" w:color="auto"/>
              <w:bottom w:val="dashSmallGap" w:sz="4" w:space="0" w:color="auto"/>
              <w:right w:val="double" w:sz="4" w:space="0" w:color="auto"/>
            </w:tcBorders>
            <w:noWrap/>
            <w:vAlign w:val="center"/>
          </w:tcPr>
          <w:p w14:paraId="46D499BE" w14:textId="77777777" w:rsidR="008B58C4" w:rsidRPr="00EB1290" w:rsidDel="00474B6C" w:rsidRDefault="008B58C4" w:rsidP="00EC669E">
            <w:pPr>
              <w:ind w:right="60"/>
              <w:jc w:val="right"/>
              <w:rPr>
                <w:rFonts w:ascii="Times New Roman" w:eastAsia="Times New Roman" w:hAnsi="Times New Roman"/>
                <w:color w:val="000000"/>
                <w:sz w:val="22"/>
                <w:szCs w:val="22"/>
                <w:lang w:eastAsia="ko-KR"/>
              </w:rPr>
            </w:pPr>
          </w:p>
        </w:tc>
      </w:tr>
      <w:tr w:rsidR="008B58C4" w:rsidRPr="00EB1290" w14:paraId="59DC4834" w14:textId="77777777" w:rsidTr="00EC669E">
        <w:trPr>
          <w:trHeight w:val="216"/>
        </w:trPr>
        <w:tc>
          <w:tcPr>
            <w:tcW w:w="3585"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53E79ED6"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Less than $50,000</w:t>
            </w:r>
          </w:p>
        </w:tc>
        <w:tc>
          <w:tcPr>
            <w:tcW w:w="2876" w:type="dxa"/>
            <w:tcBorders>
              <w:top w:val="dashSmallGap" w:sz="4" w:space="0" w:color="auto"/>
              <w:left w:val="double" w:sz="4" w:space="0" w:color="auto"/>
              <w:bottom w:val="dashSmallGap" w:sz="4" w:space="0" w:color="595959" w:themeColor="text1" w:themeTint="A6"/>
              <w:right w:val="double" w:sz="4" w:space="0" w:color="auto"/>
            </w:tcBorders>
            <w:noWrap/>
            <w:vAlign w:val="center"/>
          </w:tcPr>
          <w:p w14:paraId="77C559AC"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19.1</w:t>
            </w:r>
          </w:p>
        </w:tc>
        <w:tc>
          <w:tcPr>
            <w:tcW w:w="2877" w:type="dxa"/>
            <w:tcBorders>
              <w:top w:val="dashSmallGap" w:sz="4" w:space="0" w:color="auto"/>
              <w:left w:val="double" w:sz="4" w:space="0" w:color="auto"/>
              <w:bottom w:val="dashSmallGap" w:sz="4" w:space="0" w:color="595959" w:themeColor="text1" w:themeTint="A6"/>
              <w:right w:val="double" w:sz="4" w:space="0" w:color="auto"/>
            </w:tcBorders>
            <w:noWrap/>
            <w:vAlign w:val="center"/>
            <w:hideMark/>
          </w:tcPr>
          <w:p w14:paraId="690E04D5"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36.8</w:t>
            </w:r>
          </w:p>
        </w:tc>
      </w:tr>
      <w:tr w:rsidR="008B58C4" w:rsidRPr="00EB1290" w14:paraId="48CFAF16" w14:textId="77777777" w:rsidTr="00EC669E">
        <w:trPr>
          <w:trHeight w:val="216"/>
        </w:trPr>
        <w:tc>
          <w:tcPr>
            <w:tcW w:w="3585"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hideMark/>
          </w:tcPr>
          <w:p w14:paraId="72CAD126"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$50,000 to $99,999</w:t>
            </w:r>
          </w:p>
        </w:tc>
        <w:tc>
          <w:tcPr>
            <w:tcW w:w="2876"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tcPr>
          <w:p w14:paraId="69C68BF9"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46.4</w:t>
            </w:r>
          </w:p>
        </w:tc>
        <w:tc>
          <w:tcPr>
            <w:tcW w:w="2877" w:type="dxa"/>
            <w:tcBorders>
              <w:top w:val="dashSmallGap" w:sz="4" w:space="0" w:color="595959" w:themeColor="text1" w:themeTint="A6"/>
              <w:left w:val="double" w:sz="4" w:space="0" w:color="auto"/>
              <w:bottom w:val="dashSmallGap" w:sz="4" w:space="0" w:color="595959" w:themeColor="text1" w:themeTint="A6"/>
              <w:right w:val="double" w:sz="4" w:space="0" w:color="auto"/>
            </w:tcBorders>
            <w:noWrap/>
            <w:vAlign w:val="center"/>
            <w:hideMark/>
          </w:tcPr>
          <w:p w14:paraId="00F4C254"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29.6</w:t>
            </w:r>
          </w:p>
        </w:tc>
      </w:tr>
      <w:tr w:rsidR="008B58C4" w:rsidRPr="00EB1290" w14:paraId="27591463" w14:textId="77777777" w:rsidTr="00EC669E">
        <w:trPr>
          <w:trHeight w:val="216"/>
        </w:trPr>
        <w:tc>
          <w:tcPr>
            <w:tcW w:w="3585" w:type="dxa"/>
            <w:tcBorders>
              <w:top w:val="dashSmallGap" w:sz="4" w:space="0" w:color="595959" w:themeColor="text1" w:themeTint="A6"/>
              <w:left w:val="double" w:sz="4" w:space="0" w:color="auto"/>
              <w:bottom w:val="double" w:sz="4" w:space="0" w:color="auto"/>
              <w:right w:val="double" w:sz="4" w:space="0" w:color="auto"/>
            </w:tcBorders>
            <w:noWrap/>
            <w:vAlign w:val="center"/>
            <w:hideMark/>
          </w:tcPr>
          <w:p w14:paraId="627CBD07" w14:textId="77777777" w:rsidR="008B58C4" w:rsidRPr="00EB1290" w:rsidRDefault="008B58C4" w:rsidP="00EC669E">
            <w:pPr>
              <w:ind w:left="240"/>
              <w:jc w:val="both"/>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$100,000 or more</w:t>
            </w:r>
          </w:p>
        </w:tc>
        <w:tc>
          <w:tcPr>
            <w:tcW w:w="2876" w:type="dxa"/>
            <w:tcBorders>
              <w:top w:val="dashSmallGap" w:sz="4" w:space="0" w:color="595959" w:themeColor="text1" w:themeTint="A6"/>
              <w:left w:val="double" w:sz="4" w:space="0" w:color="auto"/>
              <w:bottom w:val="double" w:sz="4" w:space="0" w:color="auto"/>
              <w:right w:val="double" w:sz="4" w:space="0" w:color="auto"/>
            </w:tcBorders>
            <w:noWrap/>
            <w:vAlign w:val="center"/>
          </w:tcPr>
          <w:p w14:paraId="666C9945" w14:textId="77777777" w:rsidR="008B58C4" w:rsidRPr="00EB1290" w:rsidRDefault="008B58C4" w:rsidP="00EC669E">
            <w:pPr>
              <w:ind w:right="164"/>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34.5</w:t>
            </w:r>
          </w:p>
        </w:tc>
        <w:tc>
          <w:tcPr>
            <w:tcW w:w="2877" w:type="dxa"/>
            <w:tcBorders>
              <w:top w:val="dashSmallGap" w:sz="4" w:space="0" w:color="595959" w:themeColor="text1" w:themeTint="A6"/>
              <w:left w:val="double" w:sz="4" w:space="0" w:color="auto"/>
              <w:bottom w:val="double" w:sz="4" w:space="0" w:color="auto"/>
              <w:right w:val="double" w:sz="4" w:space="0" w:color="auto"/>
            </w:tcBorders>
            <w:noWrap/>
            <w:vAlign w:val="center"/>
            <w:hideMark/>
          </w:tcPr>
          <w:p w14:paraId="6F40E333" w14:textId="77777777" w:rsidR="008B58C4" w:rsidRPr="00EB1290" w:rsidRDefault="008B58C4" w:rsidP="00EC669E">
            <w:pPr>
              <w:ind w:right="60"/>
              <w:jc w:val="right"/>
              <w:rPr>
                <w:rFonts w:ascii="Times New Roman" w:eastAsia="Times New Roman" w:hAnsi="Times New Roman"/>
                <w:color w:val="000000"/>
                <w:sz w:val="22"/>
                <w:szCs w:val="22"/>
                <w:lang w:eastAsia="ko-KR"/>
              </w:rPr>
            </w:pPr>
            <w:r w:rsidRPr="00EB1290">
              <w:rPr>
                <w:rFonts w:ascii="Times New Roman" w:eastAsia="Times New Roman" w:hAnsi="Times New Roman"/>
                <w:color w:val="000000"/>
                <w:sz w:val="22"/>
                <w:szCs w:val="22"/>
                <w:lang w:eastAsia="ko-KR"/>
              </w:rPr>
              <w:t>33.6</w:t>
            </w:r>
          </w:p>
        </w:tc>
      </w:tr>
      <w:bookmarkEnd w:id="1"/>
    </w:tbl>
    <w:p w14:paraId="1F6FF35B" w14:textId="77777777" w:rsidR="008B58C4" w:rsidRDefault="008B58C4" w:rsidP="008B58C4">
      <w:pPr>
        <w:jc w:val="both"/>
        <w:rPr>
          <w:rFonts w:ascii="Times New Roman" w:hAnsi="Times New Roman"/>
        </w:rPr>
      </w:pPr>
    </w:p>
    <w:p w14:paraId="24D7B849" w14:textId="0AC04245" w:rsidR="008B58C4" w:rsidRPr="0038441B" w:rsidRDefault="008B58C4" w:rsidP="008B58C4">
      <w:pPr>
        <w:pStyle w:val="Heading2"/>
        <w:spacing w:line="240" w:lineRule="auto"/>
      </w:pPr>
      <w:r w:rsidRPr="0038441B">
        <w:t xml:space="preserve">Outcome </w:t>
      </w:r>
      <w:r w:rsidR="0038441B" w:rsidRPr="0038441B">
        <w:t>V</w:t>
      </w:r>
      <w:r w:rsidRPr="0038441B">
        <w:t>ariables</w:t>
      </w:r>
    </w:p>
    <w:p w14:paraId="02C59447" w14:textId="071FB241" w:rsidR="008B58C4" w:rsidRDefault="008B58C4" w:rsidP="008B58C4">
      <w:pPr>
        <w:jc w:val="both"/>
        <w:rPr>
          <w:rFonts w:ascii="Times New Roman" w:hAnsi="Times New Roman"/>
        </w:rPr>
      </w:pPr>
      <w:r w:rsidRPr="00722E54">
        <w:rPr>
          <w:rFonts w:ascii="Times New Roman" w:hAnsi="Times New Roman"/>
        </w:rPr>
        <w:t xml:space="preserve">The main outcome variable of this study is the frequency of walking before and after the pandemic. In the survey, participants were asked about their walking frequency on a five-point scale, ranging from </w:t>
      </w:r>
      <w:r>
        <w:rPr>
          <w:rFonts w:ascii="Times New Roman" w:hAnsi="Times New Roman"/>
        </w:rPr>
        <w:t>“</w:t>
      </w:r>
      <w:r w:rsidRPr="00722E54">
        <w:rPr>
          <w:rFonts w:ascii="Times New Roman" w:hAnsi="Times New Roman"/>
        </w:rPr>
        <w:t>never</w:t>
      </w:r>
      <w:r>
        <w:rPr>
          <w:rFonts w:ascii="Times New Roman" w:hAnsi="Times New Roman"/>
        </w:rPr>
        <w:t>”</w:t>
      </w:r>
      <w:r w:rsidRPr="00722E54">
        <w:rPr>
          <w:rFonts w:ascii="Times New Roman" w:hAnsi="Times New Roman"/>
        </w:rPr>
        <w:t xml:space="preserve"> to </w:t>
      </w:r>
      <w:r>
        <w:rPr>
          <w:rFonts w:ascii="Times New Roman" w:hAnsi="Times New Roman"/>
        </w:rPr>
        <w:t>“</w:t>
      </w:r>
      <w:r w:rsidRPr="00722E54">
        <w:rPr>
          <w:rFonts w:ascii="Times New Roman" w:hAnsi="Times New Roman"/>
        </w:rPr>
        <w:t>everyday</w:t>
      </w:r>
      <w:r w:rsidR="00555160">
        <w:rPr>
          <w:rFonts w:ascii="Times New Roman" w:hAnsi="Times New Roman"/>
        </w:rPr>
        <w:t>”</w:t>
      </w:r>
      <w:r w:rsidR="00555160">
        <w:rPr>
          <w:rFonts w:ascii="Times New Roman" w:eastAsiaTheme="minorEastAsia" w:hAnsi="Times New Roman" w:hint="eastAsia"/>
          <w:lang w:eastAsia="ko-KR"/>
        </w:rPr>
        <w:t>,</w:t>
      </w:r>
      <w:r w:rsidRPr="00722E54">
        <w:rPr>
          <w:rFonts w:ascii="Times New Roman" w:hAnsi="Times New Roman"/>
        </w:rPr>
        <w:t xml:space="preserve"> for the pre-pandemic period in Wave 1. In Wave 3, participants were asked to </w:t>
      </w:r>
      <w:r>
        <w:rPr>
          <w:rFonts w:ascii="Times New Roman" w:hAnsi="Times New Roman"/>
        </w:rPr>
        <w:t xml:space="preserve">state their likely </w:t>
      </w:r>
      <w:r w:rsidRPr="00722E54">
        <w:rPr>
          <w:rFonts w:ascii="Times New Roman" w:hAnsi="Times New Roman"/>
        </w:rPr>
        <w:t xml:space="preserve">walking frequency for a future time when COVID-19 </w:t>
      </w:r>
      <w:r>
        <w:rPr>
          <w:rFonts w:ascii="Times New Roman" w:hAnsi="Times New Roman"/>
        </w:rPr>
        <w:t>no longer presents a threat</w:t>
      </w:r>
      <w:r>
        <w:rPr>
          <w:rFonts w:ascii="Times New Roman" w:hAnsi="Times New Roman"/>
          <w:szCs w:val="24"/>
          <w:lang w:eastAsia="ko-KR"/>
        </w:rPr>
        <w:t xml:space="preserve">. For ease in presentation, and to avoid confusion with the statistical use of the term “expected”, we will present the rest of this study as though this expectation of walking frequency represents actual walking frequency in the after-COVID period. </w:t>
      </w:r>
      <w:r w:rsidRPr="00722E54">
        <w:rPr>
          <w:rFonts w:ascii="Times New Roman" w:hAnsi="Times New Roman"/>
        </w:rPr>
        <w:t>The responses regarding walking frequency are presented in Table 2.</w:t>
      </w:r>
      <w:r>
        <w:rPr>
          <w:rFonts w:ascii="Times New Roman" w:hAnsi="Times New Roman"/>
        </w:rPr>
        <w:t xml:space="preserve"> </w:t>
      </w:r>
      <w:r w:rsidRPr="00722E54">
        <w:rPr>
          <w:rFonts w:ascii="Times New Roman" w:hAnsi="Times New Roman"/>
        </w:rPr>
        <w:t>The results indicate that</w:t>
      </w:r>
      <w:r>
        <w:rPr>
          <w:rFonts w:ascii="Times New Roman" w:hAnsi="Times New Roman"/>
        </w:rPr>
        <w:t>,</w:t>
      </w:r>
      <w:r w:rsidRPr="00722E54">
        <w:rPr>
          <w:rFonts w:ascii="Times New Roman" w:hAnsi="Times New Roman"/>
        </w:rPr>
        <w:t xml:space="preserve"> of the total respondents, 1,203 individuals (45.8%) stated that they expected to maintain the same walking frequency as before the pandemic</w:t>
      </w:r>
      <w:r>
        <w:rPr>
          <w:rFonts w:ascii="Times New Roman" w:hAnsi="Times New Roman"/>
        </w:rPr>
        <w:t xml:space="preserve"> (sum of the diagonal elements in </w:t>
      </w:r>
      <w:r w:rsidRPr="00477FED">
        <w:rPr>
          <w:rFonts w:ascii="Times New Roman" w:hAnsi="Times New Roman"/>
        </w:rPr>
        <w:t xml:space="preserve">Table 2). Additionally, 728 respondents (27.7%) expressed that they would walk more frequently (sum of the upper triangular part of Table 2), while 698 respondents (26.5%) indicated that they </w:t>
      </w:r>
      <w:r>
        <w:rPr>
          <w:rFonts w:ascii="Times New Roman" w:hAnsi="Times New Roman"/>
        </w:rPr>
        <w:t xml:space="preserve">expected to </w:t>
      </w:r>
      <w:r w:rsidRPr="00477FED">
        <w:rPr>
          <w:rFonts w:ascii="Times New Roman" w:hAnsi="Times New Roman"/>
        </w:rPr>
        <w:t xml:space="preserve">walk less often than before the pandemic (sum of the lower triangular part of </w:t>
      </w:r>
      <w:r w:rsidRPr="00BC47E7">
        <w:rPr>
          <w:rFonts w:ascii="Times New Roman" w:hAnsi="Times New Roman"/>
        </w:rPr>
        <w:t>Table 2</w:t>
      </w:r>
      <w:r w:rsidRPr="00477FED">
        <w:rPr>
          <w:rFonts w:ascii="Times New Roman" w:hAnsi="Times New Roman"/>
        </w:rPr>
        <w:t>).</w:t>
      </w:r>
      <w:r>
        <w:rPr>
          <w:rFonts w:ascii="Times New Roman" w:hAnsi="Times New Roman"/>
        </w:rPr>
        <w:t xml:space="preserve"> It is important to note that t</w:t>
      </w:r>
      <w:r w:rsidRPr="00A90042">
        <w:rPr>
          <w:rFonts w:ascii="Times New Roman" w:hAnsi="Times New Roman"/>
        </w:rPr>
        <w:t>he use of ordinal</w:t>
      </w:r>
      <w:r>
        <w:rPr>
          <w:rFonts w:ascii="Times New Roman" w:hAnsi="Times New Roman"/>
        </w:rPr>
        <w:t xml:space="preserve"> outcome</w:t>
      </w:r>
      <w:r w:rsidRPr="00A90042">
        <w:rPr>
          <w:rFonts w:ascii="Times New Roman" w:hAnsi="Times New Roman"/>
        </w:rPr>
        <w:t xml:space="preserve"> variable</w:t>
      </w:r>
      <w:r>
        <w:rPr>
          <w:rFonts w:ascii="Times New Roman" w:hAnsi="Times New Roman"/>
        </w:rPr>
        <w:t>s, rather than count variables, for modeling walking frequency</w:t>
      </w:r>
      <w:r w:rsidRPr="00A90042">
        <w:rPr>
          <w:rFonts w:ascii="Times New Roman" w:hAnsi="Times New Roman"/>
        </w:rPr>
        <w:t xml:space="preserve"> does not</w:t>
      </w:r>
      <w:r>
        <w:rPr>
          <w:rFonts w:ascii="Times New Roman" w:hAnsi="Times New Roman"/>
        </w:rPr>
        <w:t xml:space="preserve"> </w:t>
      </w:r>
      <w:r>
        <w:rPr>
          <w:rFonts w:ascii="Times New Roman" w:hAnsi="Times New Roman"/>
        </w:rPr>
        <w:lastRenderedPageBreak/>
        <w:t>compromise</w:t>
      </w:r>
      <w:r w:rsidRPr="00A90042">
        <w:rPr>
          <w:rFonts w:ascii="Times New Roman" w:hAnsi="Times New Roman"/>
        </w:rPr>
        <w:t xml:space="preserve"> the </w:t>
      </w:r>
      <w:r>
        <w:rPr>
          <w:rFonts w:ascii="Times New Roman" w:hAnsi="Times New Roman"/>
        </w:rPr>
        <w:t xml:space="preserve">validity of the study’s </w:t>
      </w:r>
      <w:r w:rsidRPr="00A90042">
        <w:rPr>
          <w:rFonts w:ascii="Times New Roman" w:hAnsi="Times New Roman"/>
        </w:rPr>
        <w:t xml:space="preserve">results, as casual effects </w:t>
      </w:r>
      <w:r w:rsidRPr="00E0344B">
        <w:rPr>
          <w:rFonts w:ascii="Times New Roman" w:hAnsi="Times New Roman"/>
        </w:rPr>
        <w:t>can still be examined</w:t>
      </w:r>
      <w:r>
        <w:rPr>
          <w:rFonts w:ascii="Times New Roman" w:hAnsi="Times New Roman"/>
        </w:rPr>
        <w:t>.</w:t>
      </w:r>
      <w:r w:rsidRPr="00E0344B">
        <w:t xml:space="preserve"> </w:t>
      </w:r>
      <w:r w:rsidRPr="00E0344B">
        <w:rPr>
          <w:rFonts w:ascii="Times New Roman" w:hAnsi="Times New Roman"/>
        </w:rPr>
        <w:t xml:space="preserve">Additionally, </w:t>
      </w:r>
      <w:r>
        <w:rPr>
          <w:rFonts w:ascii="Times New Roman" w:hAnsi="Times New Roman"/>
        </w:rPr>
        <w:t>regarding temporal considerations</w:t>
      </w:r>
      <w:r w:rsidRPr="00E0344B">
        <w:rPr>
          <w:rFonts w:ascii="Times New Roman" w:hAnsi="Times New Roman"/>
        </w:rPr>
        <w:t>, such as</w:t>
      </w:r>
      <w:r>
        <w:rPr>
          <w:rFonts w:ascii="Times New Roman" w:hAnsi="Times New Roman"/>
        </w:rPr>
        <w:t xml:space="preserve"> the</w:t>
      </w:r>
      <w:r w:rsidRPr="00E0344B">
        <w:rPr>
          <w:rFonts w:ascii="Times New Roman" w:hAnsi="Times New Roman"/>
        </w:rPr>
        <w:t xml:space="preserve"> </w:t>
      </w:r>
      <w:r>
        <w:rPr>
          <w:rFonts w:ascii="Times New Roman" w:hAnsi="Times New Roman"/>
        </w:rPr>
        <w:t>recollection of past events</w:t>
      </w:r>
      <w:r w:rsidRPr="00E0344B">
        <w:rPr>
          <w:rFonts w:ascii="Times New Roman" w:hAnsi="Times New Roman"/>
        </w:rPr>
        <w:t xml:space="preserve"> or </w:t>
      </w:r>
      <w:r>
        <w:rPr>
          <w:rFonts w:ascii="Times New Roman" w:hAnsi="Times New Roman"/>
        </w:rPr>
        <w:t>anticipation of future events</w:t>
      </w:r>
      <w:r w:rsidRPr="00E0344B">
        <w:rPr>
          <w:rFonts w:ascii="Times New Roman" w:hAnsi="Times New Roman"/>
        </w:rPr>
        <w:t>, using ordinal scales or categories can be appropriate</w:t>
      </w:r>
      <w:r>
        <w:rPr>
          <w:rFonts w:ascii="Times New Roman" w:hAnsi="Times New Roman"/>
        </w:rPr>
        <w:t xml:space="preserve"> since </w:t>
      </w:r>
      <w:r w:rsidRPr="00E0344B">
        <w:rPr>
          <w:rFonts w:ascii="Times New Roman" w:hAnsi="Times New Roman"/>
        </w:rPr>
        <w:t>soliciting exact numerical frequencies from respondents when dealing with subjective or uncertain events can be challenging.</w:t>
      </w:r>
    </w:p>
    <w:p w14:paraId="70D60D68" w14:textId="60FB208A" w:rsidR="008B58C4" w:rsidRDefault="008B58C4" w:rsidP="008B58C4">
      <w:pPr>
        <w:ind w:firstLine="720"/>
        <w:jc w:val="both"/>
        <w:rPr>
          <w:rFonts w:ascii="Times New Roman" w:hAnsi="Times New Roman"/>
        </w:rPr>
      </w:pPr>
      <w:r>
        <w:rPr>
          <w:rFonts w:ascii="Times New Roman" w:hAnsi="Times New Roman"/>
        </w:rPr>
        <w:t xml:space="preserve">Furthermore, </w:t>
      </w:r>
      <w:r>
        <w:rPr>
          <w:rFonts w:ascii="Times New Roman" w:hAnsi="Times New Roman"/>
          <w:lang w:eastAsia="ko-KR"/>
        </w:rPr>
        <w:t>r</w:t>
      </w:r>
      <w:r w:rsidRPr="00477FED">
        <w:rPr>
          <w:rFonts w:ascii="Times New Roman" w:hAnsi="Times New Roman"/>
          <w:lang w:eastAsia="ko-KR"/>
        </w:rPr>
        <w:t xml:space="preserve">espondents who indicated that they </w:t>
      </w:r>
      <w:r>
        <w:rPr>
          <w:rFonts w:ascii="Times New Roman" w:hAnsi="Times New Roman"/>
          <w:lang w:eastAsia="ko-KR"/>
        </w:rPr>
        <w:t>expected to</w:t>
      </w:r>
      <w:r w:rsidRPr="00477FED">
        <w:rPr>
          <w:rFonts w:ascii="Times New Roman" w:hAnsi="Times New Roman"/>
          <w:lang w:eastAsia="ko-KR"/>
        </w:rPr>
        <w:t xml:space="preserve"> walk more after the pandemic were asked about their reasons for this </w:t>
      </w:r>
      <w:r>
        <w:rPr>
          <w:rFonts w:ascii="Times New Roman" w:hAnsi="Times New Roman"/>
          <w:lang w:eastAsia="ko-KR"/>
        </w:rPr>
        <w:t xml:space="preserve">response as </w:t>
      </w:r>
      <w:r w:rsidRPr="00477FED">
        <w:rPr>
          <w:rFonts w:ascii="Times New Roman" w:hAnsi="Times New Roman"/>
          <w:lang w:eastAsia="ko-KR"/>
        </w:rPr>
        <w:t xml:space="preserve">presented in </w:t>
      </w:r>
      <w:r>
        <w:rPr>
          <w:rFonts w:ascii="Times New Roman" w:hAnsi="Times New Roman"/>
          <w:lang w:eastAsia="ko-KR"/>
        </w:rPr>
        <w:t>Figure 1</w:t>
      </w:r>
      <w:r w:rsidRPr="00477FED">
        <w:rPr>
          <w:rFonts w:ascii="Times New Roman" w:hAnsi="Times New Roman"/>
          <w:lang w:eastAsia="ko-KR"/>
        </w:rPr>
        <w:t>.</w:t>
      </w:r>
      <w:r>
        <w:rPr>
          <w:rFonts w:ascii="Times New Roman" w:hAnsi="Times New Roman"/>
          <w:lang w:eastAsia="ko-KR"/>
        </w:rPr>
        <w:t xml:space="preserve"> </w:t>
      </w:r>
      <w:r w:rsidRPr="00717A87">
        <w:rPr>
          <w:rFonts w:ascii="Times New Roman" w:hAnsi="Times New Roman"/>
        </w:rPr>
        <w:t xml:space="preserve">These findings align with previous research on the reasons </w:t>
      </w:r>
      <w:r>
        <w:rPr>
          <w:rFonts w:ascii="Times New Roman" w:hAnsi="Times New Roman"/>
        </w:rPr>
        <w:t xml:space="preserve">for </w:t>
      </w:r>
      <w:r w:rsidRPr="00717A87">
        <w:rPr>
          <w:rFonts w:ascii="Times New Roman" w:hAnsi="Times New Roman"/>
        </w:rPr>
        <w:t>increased walking. For instance, one of the main reasons people reported walking more is for exercise and recreational purposes, which is consistent with patterns observed during the pandemic</w:t>
      </w:r>
      <w:r>
        <w:rPr>
          <w:rFonts w:ascii="Times New Roman" w:hAnsi="Times New Roman"/>
        </w:rPr>
        <w:t xml:space="preserve"> </w:t>
      </w:r>
      <w:r>
        <w:rPr>
          <w:rFonts w:ascii="Times New Roman" w:hAnsi="Times New Roman"/>
        </w:rPr>
        <w:fldChar w:fldCharType="begin"/>
      </w:r>
      <w:r w:rsidR="00E66090">
        <w:rPr>
          <w:rFonts w:ascii="Times New Roman" w:hAnsi="Times New Roman"/>
        </w:rPr>
        <w:instrText xml:space="preserve"> ADDIN ZOTERO_ITEM CSL_CITATION {"citationID":"2k5zGpAS","properties":{"formattedCitation":"(Hunter et al., 2021)","plainCitation":"(Hunter et al., 2021)","noteIndex":0},"citationItems":[{"id":"Fxqj00vV/icbqFTtp","uris":["http://zotero.org/users/10132210/items/4BR49ZJN"],"itemData":{"id":102,"type":"article-journal","abstract":"Abstract\n            The COVID-19 pandemic is causing mass disruption to our daily lives. We integrate mobility data from mobile devices and area-level data to study the walking patterns of 1.62 million anonymous users in 10 metropolitan areas in the United States. The data covers the period from mid-February 2020 (pre-lockdown) to late June 2020 (easing of lockdown restrictions). We detect when users were walking, distance walked and time of the walk, and classify each walk as recreational or utilitarian. Our results reveal dramatic declines in walking, particularly utilitarian walking, while recreational walking has recovered and even surpassed pre-pandemic levels. Our findings also demonstrate important social patterns, widening existing inequalities in walking behavior. COVID-19 response measures have a larger impact on walking behavior for those from low-income areas and high use of public transportation. Provision of equal opportunities to support walking is key to opening up our society and economy.","container-title":"Nature Communications","DOI":"10.1038/s41467-021-23937-9","ISSN":"2041-1723","issue":"1","journalAbbreviation":"Nat Commun","language":"en","page":"3652","source":"DOI.org (Crossref)","title":"Effect of COVID-19 response policies on walking behavior in US cities","volume":"12","author":[{"family":"Hunter","given":"Ruth F."},{"family":"Garcia","given":"Leandro"},{"family":"Sa","given":"Thiago Herick","non-dropping-particle":"de"},{"family":"Zapata-Diomedi","given":"Belen"},{"family":"Millett","given":"Christopher"},{"family":"Woodcock","given":"James"},{"family":"Pentland","given":"Alex ’Sandy’"},{"family":"Moro","given":"Esteban"}],"issued":{"date-parts":[["2021",6,16]]}}}],"schema":"https://github.com/citation-style-language/schema/raw/master/csl-citation.json"} </w:instrText>
      </w:r>
      <w:r>
        <w:rPr>
          <w:rFonts w:ascii="Times New Roman" w:hAnsi="Times New Roman"/>
        </w:rPr>
        <w:fldChar w:fldCharType="separate"/>
      </w:r>
      <w:r w:rsidRPr="00131C9C">
        <w:rPr>
          <w:rFonts w:ascii="Times New Roman" w:hAnsi="Times New Roman"/>
        </w:rPr>
        <w:t>(Hunter et al., 2021)</w:t>
      </w:r>
      <w:r>
        <w:rPr>
          <w:rFonts w:ascii="Times New Roman" w:hAnsi="Times New Roman"/>
        </w:rPr>
        <w:fldChar w:fldCharType="end"/>
      </w:r>
      <w:r>
        <w:rPr>
          <w:rFonts w:ascii="Times New Roman" w:hAnsi="Times New Roman"/>
        </w:rPr>
        <w:t xml:space="preserve">. </w:t>
      </w:r>
    </w:p>
    <w:p w14:paraId="5ECD2FAA" w14:textId="77777777" w:rsidR="008B58C4" w:rsidRDefault="008B58C4" w:rsidP="008B58C4">
      <w:pPr>
        <w:jc w:val="both"/>
        <w:rPr>
          <w:rFonts w:ascii="Times New Roman" w:hAnsi="Times New Roman"/>
        </w:rPr>
      </w:pPr>
    </w:p>
    <w:p w14:paraId="00AA7849" w14:textId="0CBAFEB4" w:rsidR="008B58C4" w:rsidRDefault="008B58C4" w:rsidP="008B58C4">
      <w:pPr>
        <w:jc w:val="both"/>
        <w:rPr>
          <w:b/>
          <w:bCs/>
        </w:rPr>
      </w:pPr>
      <w:r w:rsidRPr="008024B7">
        <w:rPr>
          <w:b/>
          <w:bCs/>
        </w:rPr>
        <w:t xml:space="preserve">Table </w:t>
      </w:r>
      <w:r w:rsidRPr="008024B7">
        <w:rPr>
          <w:b/>
          <w:bCs/>
        </w:rPr>
        <w:fldChar w:fldCharType="begin"/>
      </w:r>
      <w:r w:rsidRPr="008024B7">
        <w:rPr>
          <w:b/>
          <w:bCs/>
        </w:rPr>
        <w:instrText xml:space="preserve"> SEQ Table \* ARABIC </w:instrText>
      </w:r>
      <w:r w:rsidRPr="008024B7">
        <w:rPr>
          <w:b/>
          <w:bCs/>
        </w:rPr>
        <w:fldChar w:fldCharType="separate"/>
      </w:r>
      <w:r>
        <w:rPr>
          <w:b/>
          <w:bCs/>
          <w:noProof/>
        </w:rPr>
        <w:t>2</w:t>
      </w:r>
      <w:r w:rsidRPr="008024B7">
        <w:rPr>
          <w:b/>
          <w:bCs/>
          <w:noProof/>
        </w:rPr>
        <w:fldChar w:fldCharType="end"/>
      </w:r>
      <w:r w:rsidR="0038441B">
        <w:rPr>
          <w:b/>
          <w:bCs/>
          <w:noProof/>
        </w:rPr>
        <w:t>.</w:t>
      </w:r>
      <w:r w:rsidRPr="008024B7">
        <w:rPr>
          <w:b/>
          <w:bCs/>
        </w:rPr>
        <w:t xml:space="preserve"> Responses on </w:t>
      </w:r>
      <w:r>
        <w:rPr>
          <w:b/>
          <w:bCs/>
        </w:rPr>
        <w:t>W</w:t>
      </w:r>
      <w:r w:rsidRPr="008024B7">
        <w:rPr>
          <w:b/>
          <w:bCs/>
        </w:rPr>
        <w:t xml:space="preserve">alking </w:t>
      </w:r>
      <w:r>
        <w:rPr>
          <w:b/>
          <w:bCs/>
        </w:rPr>
        <w:t>F</w:t>
      </w:r>
      <w:r w:rsidRPr="008024B7">
        <w:rPr>
          <w:b/>
          <w:bCs/>
        </w:rPr>
        <w:t xml:space="preserve">requency </w:t>
      </w:r>
      <w:r>
        <w:rPr>
          <w:b/>
          <w:bCs/>
        </w:rPr>
        <w:t>B</w:t>
      </w:r>
      <w:r w:rsidRPr="008024B7">
        <w:rPr>
          <w:b/>
          <w:bCs/>
        </w:rPr>
        <w:t xml:space="preserve">efore and </w:t>
      </w:r>
      <w:r>
        <w:rPr>
          <w:b/>
          <w:bCs/>
        </w:rPr>
        <w:t>A</w:t>
      </w:r>
      <w:r w:rsidRPr="008024B7">
        <w:rPr>
          <w:b/>
          <w:bCs/>
        </w:rPr>
        <w:t xml:space="preserve">fter the </w:t>
      </w:r>
      <w:r>
        <w:rPr>
          <w:b/>
          <w:bCs/>
        </w:rPr>
        <w:t>P</w:t>
      </w:r>
      <w:r w:rsidRPr="008024B7">
        <w:rPr>
          <w:b/>
          <w:bCs/>
        </w:rPr>
        <w:t>andemic</w:t>
      </w:r>
    </w:p>
    <w:tbl>
      <w:tblPr>
        <w:tblStyle w:val="TableGrid"/>
        <w:tblW w:w="924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37"/>
        <w:gridCol w:w="1080"/>
        <w:gridCol w:w="1260"/>
        <w:gridCol w:w="1312"/>
        <w:gridCol w:w="1298"/>
        <w:gridCol w:w="1137"/>
        <w:gridCol w:w="1023"/>
      </w:tblGrid>
      <w:tr w:rsidR="008B58C4" w:rsidRPr="000A2A04" w14:paraId="401DBFF1" w14:textId="77777777" w:rsidTr="00EC669E">
        <w:trPr>
          <w:trHeight w:val="288"/>
        </w:trPr>
        <w:tc>
          <w:tcPr>
            <w:tcW w:w="2137" w:type="dxa"/>
            <w:vMerge w:val="restart"/>
            <w:tcBorders>
              <w:top w:val="double" w:sz="4" w:space="0" w:color="auto"/>
              <w:left w:val="double" w:sz="4" w:space="0" w:color="auto"/>
              <w:bottom w:val="double" w:sz="4" w:space="0" w:color="auto"/>
              <w:right w:val="double" w:sz="4" w:space="0" w:color="auto"/>
            </w:tcBorders>
            <w:tcMar>
              <w:left w:w="58" w:type="dxa"/>
              <w:right w:w="58" w:type="dxa"/>
            </w:tcMar>
            <w:vAlign w:val="center"/>
          </w:tcPr>
          <w:p w14:paraId="26D52EBC" w14:textId="77777777" w:rsidR="008B58C4" w:rsidRPr="000A2A04" w:rsidRDefault="008B58C4" w:rsidP="00EC669E">
            <w:pPr>
              <w:rPr>
                <w:rFonts w:ascii="Times New Roman" w:eastAsia="Times New Roman" w:hAnsi="Times New Roman"/>
                <w:b/>
                <w:bCs/>
                <w:sz w:val="22"/>
                <w:szCs w:val="22"/>
                <w:lang w:eastAsia="ko-KR"/>
              </w:rPr>
            </w:pPr>
            <w:bookmarkStart w:id="2" w:name="_Hlk150338177"/>
            <w:r w:rsidRPr="000A2A04">
              <w:rPr>
                <w:rFonts w:ascii="Times New Roman" w:eastAsia="Times New Roman" w:hAnsi="Times New Roman"/>
                <w:b/>
                <w:bCs/>
                <w:sz w:val="22"/>
                <w:szCs w:val="22"/>
                <w:lang w:eastAsia="ko-KR"/>
              </w:rPr>
              <w:t>After the Pandemic</w:t>
            </w:r>
          </w:p>
        </w:tc>
        <w:tc>
          <w:tcPr>
            <w:tcW w:w="7110" w:type="dxa"/>
            <w:gridSpan w:val="6"/>
            <w:tcBorders>
              <w:top w:val="double" w:sz="4" w:space="0" w:color="auto"/>
              <w:left w:val="double" w:sz="4" w:space="0" w:color="auto"/>
              <w:bottom w:val="single" w:sz="4" w:space="0" w:color="auto"/>
              <w:right w:val="double" w:sz="4" w:space="0" w:color="auto"/>
            </w:tcBorders>
            <w:noWrap/>
            <w:tcMar>
              <w:left w:w="58" w:type="dxa"/>
              <w:right w:w="58" w:type="dxa"/>
            </w:tcMar>
            <w:vAlign w:val="center"/>
          </w:tcPr>
          <w:p w14:paraId="5B6EAE33" w14:textId="77777777" w:rsidR="008B58C4" w:rsidRPr="000A2A04" w:rsidRDefault="008B58C4" w:rsidP="00EC669E">
            <w:pPr>
              <w:jc w:val="center"/>
              <w:rPr>
                <w:rFonts w:ascii="Times New Roman" w:eastAsia="Times New Roman" w:hAnsi="Times New Roman"/>
                <w:b/>
                <w:bCs/>
                <w:color w:val="000000"/>
                <w:sz w:val="22"/>
                <w:szCs w:val="22"/>
                <w:lang w:eastAsia="ko-KR"/>
              </w:rPr>
            </w:pPr>
            <w:r w:rsidRPr="000A2A04">
              <w:rPr>
                <w:rFonts w:ascii="Times New Roman" w:eastAsia="Times New Roman" w:hAnsi="Times New Roman"/>
                <w:b/>
                <w:bCs/>
                <w:color w:val="000000"/>
                <w:sz w:val="22"/>
                <w:szCs w:val="22"/>
                <w:lang w:eastAsia="ko-KR"/>
              </w:rPr>
              <w:t xml:space="preserve">Before the </w:t>
            </w:r>
            <w:r>
              <w:rPr>
                <w:rFonts w:ascii="Times New Roman" w:eastAsia="Times New Roman" w:hAnsi="Times New Roman"/>
                <w:b/>
                <w:bCs/>
                <w:color w:val="000000"/>
                <w:sz w:val="22"/>
                <w:szCs w:val="22"/>
                <w:lang w:eastAsia="ko-KR"/>
              </w:rPr>
              <w:t>P</w:t>
            </w:r>
            <w:r w:rsidRPr="000A2A04">
              <w:rPr>
                <w:rFonts w:ascii="Times New Roman" w:eastAsia="Times New Roman" w:hAnsi="Times New Roman"/>
                <w:b/>
                <w:bCs/>
                <w:color w:val="000000"/>
                <w:sz w:val="22"/>
                <w:szCs w:val="22"/>
                <w:lang w:eastAsia="ko-KR"/>
              </w:rPr>
              <w:t>andemic</w:t>
            </w:r>
          </w:p>
        </w:tc>
      </w:tr>
      <w:tr w:rsidR="008B58C4" w:rsidRPr="000A2A04" w14:paraId="361F5CD8" w14:textId="77777777" w:rsidTr="00EC669E">
        <w:trPr>
          <w:trHeight w:val="288"/>
        </w:trPr>
        <w:tc>
          <w:tcPr>
            <w:tcW w:w="2137" w:type="dxa"/>
            <w:vMerge/>
            <w:tcBorders>
              <w:top w:val="single" w:sz="4" w:space="0" w:color="auto"/>
              <w:left w:val="double" w:sz="4" w:space="0" w:color="auto"/>
              <w:bottom w:val="double" w:sz="4" w:space="0" w:color="auto"/>
              <w:right w:val="double" w:sz="4" w:space="0" w:color="auto"/>
            </w:tcBorders>
            <w:tcMar>
              <w:left w:w="58" w:type="dxa"/>
              <w:right w:w="58" w:type="dxa"/>
            </w:tcMar>
            <w:vAlign w:val="center"/>
          </w:tcPr>
          <w:p w14:paraId="505967CD" w14:textId="77777777" w:rsidR="008B58C4" w:rsidRPr="000A2A04" w:rsidRDefault="008B58C4" w:rsidP="00EC669E">
            <w:pPr>
              <w:rPr>
                <w:rFonts w:ascii="Times New Roman" w:eastAsia="Times New Roman" w:hAnsi="Times New Roman"/>
                <w:sz w:val="22"/>
                <w:szCs w:val="22"/>
                <w:lang w:eastAsia="ko-KR"/>
              </w:rPr>
            </w:pPr>
          </w:p>
        </w:tc>
        <w:tc>
          <w:tcPr>
            <w:tcW w:w="1080" w:type="dxa"/>
            <w:tcBorders>
              <w:top w:val="single" w:sz="4" w:space="0" w:color="auto"/>
              <w:left w:val="double" w:sz="4" w:space="0" w:color="auto"/>
              <w:bottom w:val="double" w:sz="4" w:space="0" w:color="auto"/>
              <w:right w:val="dashSmallGap" w:sz="4" w:space="0" w:color="auto"/>
            </w:tcBorders>
            <w:noWrap/>
            <w:tcMar>
              <w:left w:w="58" w:type="dxa"/>
              <w:right w:w="58" w:type="dxa"/>
            </w:tcMar>
            <w:vAlign w:val="center"/>
            <w:hideMark/>
          </w:tcPr>
          <w:p w14:paraId="10F008DB" w14:textId="77777777" w:rsidR="008B58C4" w:rsidRPr="000A2A04" w:rsidRDefault="008B58C4" w:rsidP="00EC669E">
            <w:pPr>
              <w:jc w:val="center"/>
              <w:rPr>
                <w:rFonts w:ascii="Times New Roman" w:eastAsia="Times New Roman" w:hAnsi="Times New Roman"/>
                <w:b/>
                <w:bCs/>
                <w:color w:val="000000"/>
                <w:sz w:val="22"/>
                <w:szCs w:val="22"/>
                <w:lang w:eastAsia="ko-KR"/>
              </w:rPr>
            </w:pPr>
            <w:r w:rsidRPr="000A2A04">
              <w:rPr>
                <w:rFonts w:ascii="Times New Roman" w:eastAsia="Times New Roman" w:hAnsi="Times New Roman"/>
                <w:b/>
                <w:bCs/>
                <w:color w:val="000000"/>
                <w:sz w:val="22"/>
                <w:szCs w:val="22"/>
                <w:lang w:eastAsia="ko-KR"/>
              </w:rPr>
              <w:t>Never</w:t>
            </w:r>
          </w:p>
        </w:tc>
        <w:tc>
          <w:tcPr>
            <w:tcW w:w="1260" w:type="dxa"/>
            <w:tcBorders>
              <w:top w:val="single" w:sz="4" w:space="0" w:color="auto"/>
              <w:left w:val="dashSmallGap" w:sz="4" w:space="0" w:color="auto"/>
              <w:bottom w:val="double" w:sz="4" w:space="0" w:color="auto"/>
              <w:right w:val="dashSmallGap" w:sz="4" w:space="0" w:color="auto"/>
            </w:tcBorders>
            <w:noWrap/>
            <w:tcMar>
              <w:left w:w="58" w:type="dxa"/>
              <w:right w:w="58" w:type="dxa"/>
            </w:tcMar>
            <w:vAlign w:val="center"/>
            <w:hideMark/>
          </w:tcPr>
          <w:p w14:paraId="639063D1" w14:textId="77777777" w:rsidR="008B58C4" w:rsidRPr="000A2A04" w:rsidRDefault="008B58C4" w:rsidP="00EC669E">
            <w:pPr>
              <w:jc w:val="center"/>
              <w:rPr>
                <w:rFonts w:ascii="Times New Roman" w:eastAsia="Times New Roman" w:hAnsi="Times New Roman"/>
                <w:b/>
                <w:bCs/>
                <w:color w:val="000000"/>
                <w:sz w:val="22"/>
                <w:szCs w:val="22"/>
                <w:lang w:eastAsia="ko-KR"/>
              </w:rPr>
            </w:pPr>
            <w:r w:rsidRPr="000A2A04">
              <w:rPr>
                <w:rFonts w:ascii="Times New Roman" w:eastAsia="Times New Roman" w:hAnsi="Times New Roman"/>
                <w:b/>
                <w:bCs/>
                <w:color w:val="000000"/>
                <w:sz w:val="22"/>
                <w:szCs w:val="22"/>
                <w:lang w:eastAsia="ko-KR"/>
              </w:rPr>
              <w:t>A few times a year</w:t>
            </w:r>
          </w:p>
        </w:tc>
        <w:tc>
          <w:tcPr>
            <w:tcW w:w="1312" w:type="dxa"/>
            <w:tcBorders>
              <w:top w:val="single" w:sz="4" w:space="0" w:color="auto"/>
              <w:left w:val="dashSmallGap" w:sz="4" w:space="0" w:color="auto"/>
              <w:bottom w:val="double" w:sz="4" w:space="0" w:color="auto"/>
              <w:right w:val="dashSmallGap" w:sz="4" w:space="0" w:color="auto"/>
            </w:tcBorders>
            <w:noWrap/>
            <w:tcMar>
              <w:left w:w="58" w:type="dxa"/>
              <w:right w:w="58" w:type="dxa"/>
            </w:tcMar>
            <w:vAlign w:val="center"/>
            <w:hideMark/>
          </w:tcPr>
          <w:p w14:paraId="355233D9" w14:textId="77777777" w:rsidR="008B58C4" w:rsidRPr="000A2A04" w:rsidRDefault="008B58C4" w:rsidP="00EC669E">
            <w:pPr>
              <w:jc w:val="center"/>
              <w:rPr>
                <w:rFonts w:ascii="Times New Roman" w:eastAsia="Times New Roman" w:hAnsi="Times New Roman"/>
                <w:b/>
                <w:bCs/>
                <w:color w:val="000000"/>
                <w:sz w:val="22"/>
                <w:szCs w:val="22"/>
                <w:lang w:eastAsia="ko-KR"/>
              </w:rPr>
            </w:pPr>
            <w:r w:rsidRPr="000A2A04">
              <w:rPr>
                <w:rFonts w:ascii="Times New Roman" w:eastAsia="Times New Roman" w:hAnsi="Times New Roman"/>
                <w:b/>
                <w:bCs/>
                <w:color w:val="000000"/>
                <w:sz w:val="22"/>
                <w:szCs w:val="22"/>
                <w:lang w:eastAsia="ko-KR"/>
              </w:rPr>
              <w:t>A few times a month</w:t>
            </w:r>
          </w:p>
        </w:tc>
        <w:tc>
          <w:tcPr>
            <w:tcW w:w="1298" w:type="dxa"/>
            <w:tcBorders>
              <w:top w:val="single" w:sz="4" w:space="0" w:color="auto"/>
              <w:left w:val="dashSmallGap" w:sz="4" w:space="0" w:color="auto"/>
              <w:bottom w:val="double" w:sz="4" w:space="0" w:color="auto"/>
              <w:right w:val="dashSmallGap" w:sz="4" w:space="0" w:color="auto"/>
            </w:tcBorders>
            <w:noWrap/>
            <w:tcMar>
              <w:left w:w="58" w:type="dxa"/>
              <w:right w:w="58" w:type="dxa"/>
            </w:tcMar>
            <w:vAlign w:val="center"/>
            <w:hideMark/>
          </w:tcPr>
          <w:p w14:paraId="2D9BED64" w14:textId="77777777" w:rsidR="008B58C4" w:rsidRPr="000A2A04" w:rsidRDefault="008B58C4" w:rsidP="00EC669E">
            <w:pPr>
              <w:jc w:val="center"/>
              <w:rPr>
                <w:rFonts w:ascii="Times New Roman" w:eastAsia="Times New Roman" w:hAnsi="Times New Roman"/>
                <w:b/>
                <w:bCs/>
                <w:color w:val="000000"/>
                <w:sz w:val="22"/>
                <w:szCs w:val="22"/>
                <w:lang w:eastAsia="ko-KR"/>
              </w:rPr>
            </w:pPr>
            <w:r w:rsidRPr="000A2A04">
              <w:rPr>
                <w:rFonts w:ascii="Times New Roman" w:eastAsia="Times New Roman" w:hAnsi="Times New Roman"/>
                <w:b/>
                <w:bCs/>
                <w:color w:val="000000"/>
                <w:sz w:val="22"/>
                <w:szCs w:val="22"/>
                <w:lang w:eastAsia="ko-KR"/>
              </w:rPr>
              <w:t>A few times a week</w:t>
            </w:r>
          </w:p>
        </w:tc>
        <w:tc>
          <w:tcPr>
            <w:tcW w:w="1137" w:type="dxa"/>
            <w:tcBorders>
              <w:top w:val="single" w:sz="4" w:space="0" w:color="auto"/>
              <w:left w:val="dashSmallGap" w:sz="4" w:space="0" w:color="auto"/>
              <w:bottom w:val="double" w:sz="4" w:space="0" w:color="auto"/>
            </w:tcBorders>
            <w:noWrap/>
            <w:tcMar>
              <w:left w:w="58" w:type="dxa"/>
              <w:right w:w="58" w:type="dxa"/>
            </w:tcMar>
            <w:vAlign w:val="center"/>
            <w:hideMark/>
          </w:tcPr>
          <w:p w14:paraId="51EEDBD6" w14:textId="77777777" w:rsidR="008B58C4" w:rsidRPr="000A2A04" w:rsidRDefault="008B58C4" w:rsidP="00EC669E">
            <w:pPr>
              <w:jc w:val="center"/>
              <w:rPr>
                <w:rFonts w:ascii="Times New Roman" w:eastAsia="Times New Roman" w:hAnsi="Times New Roman"/>
                <w:b/>
                <w:bCs/>
                <w:color w:val="000000"/>
                <w:sz w:val="22"/>
                <w:szCs w:val="22"/>
                <w:lang w:eastAsia="ko-KR"/>
              </w:rPr>
            </w:pPr>
            <w:r w:rsidRPr="000A2A04">
              <w:rPr>
                <w:rFonts w:ascii="Times New Roman" w:eastAsia="Times New Roman" w:hAnsi="Times New Roman"/>
                <w:b/>
                <w:bCs/>
                <w:color w:val="000000"/>
                <w:sz w:val="22"/>
                <w:szCs w:val="22"/>
                <w:lang w:eastAsia="ko-KR"/>
              </w:rPr>
              <w:t>Everyday</w:t>
            </w:r>
          </w:p>
        </w:tc>
        <w:tc>
          <w:tcPr>
            <w:tcW w:w="1023" w:type="dxa"/>
            <w:tcBorders>
              <w:top w:val="single" w:sz="4" w:space="0" w:color="auto"/>
              <w:bottom w:val="double" w:sz="4" w:space="0" w:color="auto"/>
              <w:right w:val="double" w:sz="4" w:space="0" w:color="auto"/>
            </w:tcBorders>
            <w:noWrap/>
            <w:tcMar>
              <w:left w:w="58" w:type="dxa"/>
              <w:right w:w="58" w:type="dxa"/>
            </w:tcMar>
            <w:vAlign w:val="center"/>
            <w:hideMark/>
          </w:tcPr>
          <w:p w14:paraId="537477A8" w14:textId="77777777" w:rsidR="008B58C4" w:rsidRPr="000A2A04" w:rsidRDefault="008B58C4" w:rsidP="00EC669E">
            <w:pPr>
              <w:jc w:val="center"/>
              <w:rPr>
                <w:rFonts w:ascii="Times New Roman" w:eastAsia="Times New Roman" w:hAnsi="Times New Roman"/>
                <w:b/>
                <w:bCs/>
                <w:color w:val="000000"/>
                <w:sz w:val="22"/>
                <w:szCs w:val="22"/>
                <w:lang w:eastAsia="ko-KR"/>
              </w:rPr>
            </w:pPr>
            <w:r w:rsidRPr="000A2A04">
              <w:rPr>
                <w:rFonts w:ascii="Times New Roman" w:eastAsia="Times New Roman" w:hAnsi="Times New Roman"/>
                <w:b/>
                <w:bCs/>
                <w:color w:val="000000"/>
                <w:sz w:val="22"/>
                <w:szCs w:val="22"/>
                <w:lang w:eastAsia="ko-KR"/>
              </w:rPr>
              <w:t>Total</w:t>
            </w:r>
          </w:p>
        </w:tc>
      </w:tr>
      <w:tr w:rsidR="008B58C4" w:rsidRPr="000A2A04" w14:paraId="50789B2A" w14:textId="77777777" w:rsidTr="00EC669E">
        <w:trPr>
          <w:trHeight w:val="144"/>
        </w:trPr>
        <w:tc>
          <w:tcPr>
            <w:tcW w:w="2137" w:type="dxa"/>
            <w:vMerge w:val="restart"/>
            <w:tcBorders>
              <w:top w:val="double" w:sz="4" w:space="0" w:color="auto"/>
              <w:left w:val="double" w:sz="4" w:space="0" w:color="auto"/>
              <w:bottom w:val="double" w:sz="4" w:space="0" w:color="auto"/>
              <w:right w:val="double" w:sz="4" w:space="0" w:color="auto"/>
            </w:tcBorders>
            <w:noWrap/>
            <w:tcMar>
              <w:left w:w="58" w:type="dxa"/>
              <w:right w:w="58" w:type="dxa"/>
            </w:tcMar>
            <w:vAlign w:val="center"/>
            <w:hideMark/>
          </w:tcPr>
          <w:p w14:paraId="6C39AB20" w14:textId="77777777" w:rsidR="008B58C4" w:rsidRPr="000A2A04" w:rsidRDefault="008B58C4" w:rsidP="00EC669E">
            <w:pPr>
              <w:rPr>
                <w:rFonts w:ascii="Times New Roman" w:eastAsia="Times New Roman" w:hAnsi="Times New Roman"/>
                <w:b/>
                <w:bCs/>
                <w:color w:val="000000"/>
                <w:sz w:val="22"/>
                <w:szCs w:val="22"/>
                <w:lang w:eastAsia="ko-KR"/>
              </w:rPr>
            </w:pPr>
            <w:r w:rsidRPr="000A2A04">
              <w:rPr>
                <w:rFonts w:ascii="Times New Roman" w:eastAsia="Times New Roman" w:hAnsi="Times New Roman"/>
                <w:b/>
                <w:bCs/>
                <w:color w:val="000000"/>
                <w:sz w:val="22"/>
                <w:szCs w:val="22"/>
                <w:lang w:eastAsia="ko-KR"/>
              </w:rPr>
              <w:t>Never</w:t>
            </w:r>
          </w:p>
        </w:tc>
        <w:tc>
          <w:tcPr>
            <w:tcW w:w="1080" w:type="dxa"/>
            <w:tcBorders>
              <w:top w:val="double" w:sz="4" w:space="0" w:color="auto"/>
              <w:left w:val="double" w:sz="4" w:space="0" w:color="auto"/>
              <w:bottom w:val="nil"/>
              <w:right w:val="dashSmallGap" w:sz="4" w:space="0" w:color="auto"/>
            </w:tcBorders>
            <w:noWrap/>
            <w:tcMar>
              <w:left w:w="58" w:type="dxa"/>
              <w:right w:w="58" w:type="dxa"/>
            </w:tcMar>
            <w:vAlign w:val="center"/>
            <w:hideMark/>
          </w:tcPr>
          <w:p w14:paraId="7B66D099"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313</w:t>
            </w:r>
          </w:p>
        </w:tc>
        <w:tc>
          <w:tcPr>
            <w:tcW w:w="1260" w:type="dxa"/>
            <w:tcBorders>
              <w:top w:val="double" w:sz="4" w:space="0" w:color="auto"/>
              <w:left w:val="dashSmallGap" w:sz="4" w:space="0" w:color="auto"/>
              <w:bottom w:val="nil"/>
              <w:right w:val="dashSmallGap" w:sz="4" w:space="0" w:color="auto"/>
            </w:tcBorders>
            <w:noWrap/>
            <w:tcMar>
              <w:left w:w="58" w:type="dxa"/>
              <w:right w:w="58" w:type="dxa"/>
            </w:tcMar>
            <w:vAlign w:val="center"/>
          </w:tcPr>
          <w:p w14:paraId="325D8607"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71</w:t>
            </w:r>
          </w:p>
        </w:tc>
        <w:tc>
          <w:tcPr>
            <w:tcW w:w="1312" w:type="dxa"/>
            <w:tcBorders>
              <w:top w:val="double" w:sz="4" w:space="0" w:color="auto"/>
              <w:left w:val="dashSmallGap" w:sz="4" w:space="0" w:color="auto"/>
              <w:bottom w:val="nil"/>
              <w:right w:val="dashSmallGap" w:sz="4" w:space="0" w:color="auto"/>
            </w:tcBorders>
            <w:noWrap/>
            <w:tcMar>
              <w:left w:w="58" w:type="dxa"/>
              <w:right w:w="58" w:type="dxa"/>
            </w:tcMar>
            <w:vAlign w:val="center"/>
          </w:tcPr>
          <w:p w14:paraId="48EB8B8A"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68</w:t>
            </w:r>
          </w:p>
        </w:tc>
        <w:tc>
          <w:tcPr>
            <w:tcW w:w="1298" w:type="dxa"/>
            <w:tcBorders>
              <w:top w:val="double" w:sz="4" w:space="0" w:color="auto"/>
              <w:left w:val="dashSmallGap" w:sz="4" w:space="0" w:color="auto"/>
              <w:bottom w:val="nil"/>
              <w:right w:val="dashSmallGap" w:sz="4" w:space="0" w:color="auto"/>
            </w:tcBorders>
            <w:noWrap/>
            <w:tcMar>
              <w:left w:w="58" w:type="dxa"/>
              <w:right w:w="58" w:type="dxa"/>
            </w:tcMar>
            <w:vAlign w:val="center"/>
          </w:tcPr>
          <w:p w14:paraId="0F55148A"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85</w:t>
            </w:r>
          </w:p>
        </w:tc>
        <w:tc>
          <w:tcPr>
            <w:tcW w:w="1137" w:type="dxa"/>
            <w:tcBorders>
              <w:top w:val="double" w:sz="4" w:space="0" w:color="auto"/>
              <w:left w:val="dashSmallGap" w:sz="4" w:space="0" w:color="auto"/>
              <w:bottom w:val="nil"/>
            </w:tcBorders>
            <w:noWrap/>
            <w:tcMar>
              <w:left w:w="58" w:type="dxa"/>
              <w:right w:w="58" w:type="dxa"/>
            </w:tcMar>
            <w:vAlign w:val="center"/>
          </w:tcPr>
          <w:p w14:paraId="4E0198B8"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27</w:t>
            </w:r>
          </w:p>
        </w:tc>
        <w:tc>
          <w:tcPr>
            <w:tcW w:w="1023" w:type="dxa"/>
            <w:tcBorders>
              <w:top w:val="double" w:sz="4" w:space="0" w:color="auto"/>
              <w:bottom w:val="dotted" w:sz="4" w:space="0" w:color="auto"/>
              <w:right w:val="double" w:sz="4" w:space="0" w:color="auto"/>
            </w:tcBorders>
            <w:noWrap/>
            <w:tcMar>
              <w:left w:w="58" w:type="dxa"/>
              <w:right w:w="58" w:type="dxa"/>
            </w:tcMar>
            <w:vAlign w:val="center"/>
          </w:tcPr>
          <w:p w14:paraId="2E4CB997"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564</w:t>
            </w:r>
          </w:p>
        </w:tc>
      </w:tr>
      <w:tr w:rsidR="008B58C4" w:rsidRPr="000A2A04" w14:paraId="6DA37EE9" w14:textId="77777777" w:rsidTr="00EC669E">
        <w:trPr>
          <w:trHeight w:val="144"/>
        </w:trPr>
        <w:tc>
          <w:tcPr>
            <w:tcW w:w="2137" w:type="dxa"/>
            <w:vMerge/>
            <w:tcBorders>
              <w:top w:val="dashSmallGap" w:sz="4" w:space="0" w:color="auto"/>
              <w:left w:val="double" w:sz="4" w:space="0" w:color="auto"/>
              <w:bottom w:val="double" w:sz="4" w:space="0" w:color="auto"/>
              <w:right w:val="double" w:sz="4" w:space="0" w:color="auto"/>
            </w:tcBorders>
            <w:noWrap/>
            <w:tcMar>
              <w:left w:w="58" w:type="dxa"/>
              <w:right w:w="58" w:type="dxa"/>
            </w:tcMar>
            <w:vAlign w:val="center"/>
            <w:hideMark/>
          </w:tcPr>
          <w:p w14:paraId="3DE574C6" w14:textId="77777777" w:rsidR="008B58C4" w:rsidRPr="000A2A04" w:rsidRDefault="008B58C4" w:rsidP="00EC669E">
            <w:pPr>
              <w:rPr>
                <w:rFonts w:ascii="Times New Roman" w:eastAsia="Times New Roman" w:hAnsi="Times New Roman"/>
                <w:b/>
                <w:bCs/>
                <w:color w:val="000000"/>
                <w:sz w:val="22"/>
                <w:szCs w:val="22"/>
                <w:lang w:eastAsia="ko-KR"/>
              </w:rPr>
            </w:pPr>
          </w:p>
        </w:tc>
        <w:tc>
          <w:tcPr>
            <w:tcW w:w="1080" w:type="dxa"/>
            <w:tcBorders>
              <w:top w:val="nil"/>
              <w:left w:val="double" w:sz="4" w:space="0" w:color="auto"/>
              <w:bottom w:val="dashSmallGap" w:sz="4" w:space="0" w:color="auto"/>
              <w:right w:val="dashSmallGap" w:sz="4" w:space="0" w:color="auto"/>
            </w:tcBorders>
            <w:noWrap/>
            <w:tcMar>
              <w:left w:w="58" w:type="dxa"/>
              <w:right w:w="58" w:type="dxa"/>
            </w:tcMar>
            <w:vAlign w:val="center"/>
          </w:tcPr>
          <w:p w14:paraId="26BD9398"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11.9%</w:t>
            </w:r>
          </w:p>
        </w:tc>
        <w:tc>
          <w:tcPr>
            <w:tcW w:w="1260" w:type="dxa"/>
            <w:tcBorders>
              <w:top w:val="nil"/>
              <w:left w:val="dashSmallGap" w:sz="4" w:space="0" w:color="auto"/>
              <w:bottom w:val="dashSmallGap" w:sz="4" w:space="0" w:color="auto"/>
              <w:right w:val="dashSmallGap" w:sz="4" w:space="0" w:color="auto"/>
            </w:tcBorders>
            <w:noWrap/>
            <w:tcMar>
              <w:left w:w="58" w:type="dxa"/>
              <w:right w:w="58" w:type="dxa"/>
            </w:tcMar>
            <w:vAlign w:val="center"/>
          </w:tcPr>
          <w:p w14:paraId="51D3E285"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2.7%</w:t>
            </w:r>
          </w:p>
        </w:tc>
        <w:tc>
          <w:tcPr>
            <w:tcW w:w="1312" w:type="dxa"/>
            <w:tcBorders>
              <w:top w:val="nil"/>
              <w:left w:val="dashSmallGap" w:sz="4" w:space="0" w:color="auto"/>
              <w:bottom w:val="dashSmallGap" w:sz="4" w:space="0" w:color="auto"/>
              <w:right w:val="dashSmallGap" w:sz="4" w:space="0" w:color="auto"/>
            </w:tcBorders>
            <w:noWrap/>
            <w:tcMar>
              <w:left w:w="58" w:type="dxa"/>
              <w:right w:w="58" w:type="dxa"/>
            </w:tcMar>
            <w:vAlign w:val="center"/>
          </w:tcPr>
          <w:p w14:paraId="48A5D9EA"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2.6%</w:t>
            </w:r>
          </w:p>
        </w:tc>
        <w:tc>
          <w:tcPr>
            <w:tcW w:w="1298" w:type="dxa"/>
            <w:tcBorders>
              <w:top w:val="nil"/>
              <w:left w:val="dashSmallGap" w:sz="4" w:space="0" w:color="auto"/>
              <w:bottom w:val="dashSmallGap" w:sz="4" w:space="0" w:color="auto"/>
              <w:right w:val="dashSmallGap" w:sz="4" w:space="0" w:color="auto"/>
            </w:tcBorders>
            <w:noWrap/>
            <w:tcMar>
              <w:left w:w="58" w:type="dxa"/>
              <w:right w:w="58" w:type="dxa"/>
            </w:tcMar>
            <w:vAlign w:val="center"/>
          </w:tcPr>
          <w:p w14:paraId="1DA5B86E"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3.2%</w:t>
            </w:r>
          </w:p>
        </w:tc>
        <w:tc>
          <w:tcPr>
            <w:tcW w:w="1137" w:type="dxa"/>
            <w:tcBorders>
              <w:top w:val="nil"/>
              <w:left w:val="dashSmallGap" w:sz="4" w:space="0" w:color="auto"/>
              <w:bottom w:val="dashSmallGap" w:sz="4" w:space="0" w:color="auto"/>
            </w:tcBorders>
            <w:noWrap/>
            <w:tcMar>
              <w:left w:w="58" w:type="dxa"/>
              <w:right w:w="58" w:type="dxa"/>
            </w:tcMar>
            <w:vAlign w:val="center"/>
          </w:tcPr>
          <w:p w14:paraId="79A1264E"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1.0%</w:t>
            </w:r>
          </w:p>
        </w:tc>
        <w:tc>
          <w:tcPr>
            <w:tcW w:w="1023" w:type="dxa"/>
            <w:tcBorders>
              <w:top w:val="dotted" w:sz="4" w:space="0" w:color="auto"/>
              <w:bottom w:val="dashSmallGap" w:sz="4" w:space="0" w:color="auto"/>
              <w:right w:val="double" w:sz="4" w:space="0" w:color="auto"/>
            </w:tcBorders>
            <w:noWrap/>
            <w:tcMar>
              <w:left w:w="58" w:type="dxa"/>
              <w:right w:w="58" w:type="dxa"/>
            </w:tcMar>
            <w:vAlign w:val="center"/>
          </w:tcPr>
          <w:p w14:paraId="36477014"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21.5%</w:t>
            </w:r>
          </w:p>
        </w:tc>
      </w:tr>
      <w:tr w:rsidR="008B58C4" w:rsidRPr="000A2A04" w14:paraId="51C53235" w14:textId="77777777" w:rsidTr="00EC669E">
        <w:trPr>
          <w:trHeight w:val="144"/>
        </w:trPr>
        <w:tc>
          <w:tcPr>
            <w:tcW w:w="2137" w:type="dxa"/>
            <w:vMerge w:val="restart"/>
            <w:tcBorders>
              <w:top w:val="dashSmallGap" w:sz="4" w:space="0" w:color="auto"/>
              <w:left w:val="double" w:sz="4" w:space="0" w:color="auto"/>
              <w:bottom w:val="double" w:sz="4" w:space="0" w:color="auto"/>
              <w:right w:val="double" w:sz="4" w:space="0" w:color="auto"/>
            </w:tcBorders>
            <w:noWrap/>
            <w:tcMar>
              <w:left w:w="58" w:type="dxa"/>
              <w:right w:w="58" w:type="dxa"/>
            </w:tcMar>
            <w:vAlign w:val="center"/>
            <w:hideMark/>
          </w:tcPr>
          <w:p w14:paraId="3448B412" w14:textId="77777777" w:rsidR="008B58C4" w:rsidRPr="000A2A04" w:rsidRDefault="008B58C4" w:rsidP="00EC669E">
            <w:pPr>
              <w:rPr>
                <w:rFonts w:ascii="Times New Roman" w:eastAsia="Times New Roman" w:hAnsi="Times New Roman"/>
                <w:b/>
                <w:bCs/>
                <w:color w:val="000000"/>
                <w:sz w:val="22"/>
                <w:szCs w:val="22"/>
                <w:lang w:eastAsia="ko-KR"/>
              </w:rPr>
            </w:pPr>
            <w:r w:rsidRPr="000A2A04">
              <w:rPr>
                <w:rFonts w:ascii="Times New Roman" w:eastAsia="Times New Roman" w:hAnsi="Times New Roman"/>
                <w:b/>
                <w:bCs/>
                <w:color w:val="000000"/>
                <w:sz w:val="22"/>
                <w:szCs w:val="22"/>
                <w:lang w:eastAsia="ko-KR"/>
              </w:rPr>
              <w:t>A few times a year</w:t>
            </w:r>
          </w:p>
        </w:tc>
        <w:tc>
          <w:tcPr>
            <w:tcW w:w="1080" w:type="dxa"/>
            <w:tcBorders>
              <w:top w:val="dashSmallGap" w:sz="4" w:space="0" w:color="auto"/>
              <w:left w:val="double" w:sz="4" w:space="0" w:color="auto"/>
              <w:bottom w:val="nil"/>
              <w:right w:val="dashSmallGap" w:sz="4" w:space="0" w:color="auto"/>
            </w:tcBorders>
            <w:noWrap/>
            <w:tcMar>
              <w:left w:w="58" w:type="dxa"/>
              <w:right w:w="58" w:type="dxa"/>
            </w:tcMar>
            <w:vAlign w:val="center"/>
          </w:tcPr>
          <w:p w14:paraId="6430E117"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38</w:t>
            </w:r>
          </w:p>
        </w:tc>
        <w:tc>
          <w:tcPr>
            <w:tcW w:w="1260" w:type="dxa"/>
            <w:tcBorders>
              <w:top w:val="dashSmallGap" w:sz="4" w:space="0" w:color="auto"/>
              <w:left w:val="dashSmallGap" w:sz="4" w:space="0" w:color="auto"/>
              <w:bottom w:val="nil"/>
              <w:right w:val="dashSmallGap" w:sz="4" w:space="0" w:color="auto"/>
            </w:tcBorders>
            <w:noWrap/>
            <w:tcMar>
              <w:left w:w="58" w:type="dxa"/>
              <w:right w:w="58" w:type="dxa"/>
            </w:tcMar>
            <w:vAlign w:val="center"/>
          </w:tcPr>
          <w:p w14:paraId="4238254B"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59</w:t>
            </w:r>
          </w:p>
        </w:tc>
        <w:tc>
          <w:tcPr>
            <w:tcW w:w="1312" w:type="dxa"/>
            <w:tcBorders>
              <w:top w:val="dashSmallGap" w:sz="4" w:space="0" w:color="auto"/>
              <w:left w:val="dashSmallGap" w:sz="4" w:space="0" w:color="auto"/>
              <w:bottom w:val="nil"/>
              <w:right w:val="dashSmallGap" w:sz="4" w:space="0" w:color="auto"/>
            </w:tcBorders>
            <w:noWrap/>
            <w:tcMar>
              <w:left w:w="58" w:type="dxa"/>
              <w:right w:w="58" w:type="dxa"/>
            </w:tcMar>
            <w:vAlign w:val="center"/>
          </w:tcPr>
          <w:p w14:paraId="7EFB8456"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49</w:t>
            </w:r>
          </w:p>
        </w:tc>
        <w:tc>
          <w:tcPr>
            <w:tcW w:w="1298" w:type="dxa"/>
            <w:tcBorders>
              <w:top w:val="dashSmallGap" w:sz="4" w:space="0" w:color="auto"/>
              <w:left w:val="dashSmallGap" w:sz="4" w:space="0" w:color="auto"/>
              <w:bottom w:val="nil"/>
              <w:right w:val="dashSmallGap" w:sz="4" w:space="0" w:color="auto"/>
            </w:tcBorders>
            <w:noWrap/>
            <w:tcMar>
              <w:left w:w="58" w:type="dxa"/>
              <w:right w:w="58" w:type="dxa"/>
            </w:tcMar>
            <w:vAlign w:val="center"/>
          </w:tcPr>
          <w:p w14:paraId="1210CC22"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42</w:t>
            </w:r>
          </w:p>
        </w:tc>
        <w:tc>
          <w:tcPr>
            <w:tcW w:w="1137" w:type="dxa"/>
            <w:tcBorders>
              <w:top w:val="dashSmallGap" w:sz="4" w:space="0" w:color="auto"/>
              <w:left w:val="dashSmallGap" w:sz="4" w:space="0" w:color="auto"/>
              <w:bottom w:val="nil"/>
            </w:tcBorders>
            <w:noWrap/>
            <w:tcMar>
              <w:left w:w="58" w:type="dxa"/>
              <w:right w:w="58" w:type="dxa"/>
            </w:tcMar>
            <w:vAlign w:val="center"/>
          </w:tcPr>
          <w:p w14:paraId="2973F59E"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17</w:t>
            </w:r>
          </w:p>
        </w:tc>
        <w:tc>
          <w:tcPr>
            <w:tcW w:w="1023" w:type="dxa"/>
            <w:tcBorders>
              <w:top w:val="dashSmallGap" w:sz="4" w:space="0" w:color="auto"/>
              <w:bottom w:val="dotted" w:sz="4" w:space="0" w:color="auto"/>
              <w:right w:val="double" w:sz="4" w:space="0" w:color="auto"/>
            </w:tcBorders>
            <w:noWrap/>
            <w:tcMar>
              <w:left w:w="58" w:type="dxa"/>
              <w:right w:w="58" w:type="dxa"/>
            </w:tcMar>
            <w:vAlign w:val="center"/>
          </w:tcPr>
          <w:p w14:paraId="60A269E4"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205</w:t>
            </w:r>
          </w:p>
        </w:tc>
      </w:tr>
      <w:tr w:rsidR="008B58C4" w:rsidRPr="000A2A04" w14:paraId="410395EC" w14:textId="77777777" w:rsidTr="00EC669E">
        <w:trPr>
          <w:trHeight w:val="144"/>
        </w:trPr>
        <w:tc>
          <w:tcPr>
            <w:tcW w:w="2137" w:type="dxa"/>
            <w:vMerge/>
            <w:tcBorders>
              <w:top w:val="dashSmallGap" w:sz="4" w:space="0" w:color="auto"/>
              <w:left w:val="double" w:sz="4" w:space="0" w:color="auto"/>
              <w:bottom w:val="double" w:sz="4" w:space="0" w:color="auto"/>
              <w:right w:val="double" w:sz="4" w:space="0" w:color="auto"/>
            </w:tcBorders>
            <w:noWrap/>
            <w:tcMar>
              <w:left w:w="58" w:type="dxa"/>
              <w:right w:w="58" w:type="dxa"/>
            </w:tcMar>
            <w:vAlign w:val="center"/>
            <w:hideMark/>
          </w:tcPr>
          <w:p w14:paraId="1524080D" w14:textId="77777777" w:rsidR="008B58C4" w:rsidRPr="000A2A04" w:rsidRDefault="008B58C4" w:rsidP="00EC669E">
            <w:pPr>
              <w:rPr>
                <w:rFonts w:ascii="Times New Roman" w:eastAsia="Times New Roman" w:hAnsi="Times New Roman"/>
                <w:b/>
                <w:bCs/>
                <w:color w:val="000000"/>
                <w:sz w:val="22"/>
                <w:szCs w:val="22"/>
                <w:lang w:eastAsia="ko-KR"/>
              </w:rPr>
            </w:pPr>
          </w:p>
        </w:tc>
        <w:tc>
          <w:tcPr>
            <w:tcW w:w="1080" w:type="dxa"/>
            <w:tcBorders>
              <w:top w:val="nil"/>
              <w:left w:val="double" w:sz="4" w:space="0" w:color="auto"/>
              <w:bottom w:val="dashSmallGap" w:sz="4" w:space="0" w:color="auto"/>
              <w:right w:val="dashSmallGap" w:sz="4" w:space="0" w:color="auto"/>
            </w:tcBorders>
            <w:noWrap/>
            <w:tcMar>
              <w:left w:w="58" w:type="dxa"/>
              <w:right w:w="58" w:type="dxa"/>
            </w:tcMar>
            <w:vAlign w:val="center"/>
          </w:tcPr>
          <w:p w14:paraId="2255AAAC"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1.4%</w:t>
            </w:r>
          </w:p>
        </w:tc>
        <w:tc>
          <w:tcPr>
            <w:tcW w:w="1260" w:type="dxa"/>
            <w:tcBorders>
              <w:top w:val="nil"/>
              <w:left w:val="dashSmallGap" w:sz="4" w:space="0" w:color="auto"/>
              <w:bottom w:val="dashSmallGap" w:sz="4" w:space="0" w:color="auto"/>
              <w:right w:val="dashSmallGap" w:sz="4" w:space="0" w:color="auto"/>
            </w:tcBorders>
            <w:noWrap/>
            <w:tcMar>
              <w:left w:w="58" w:type="dxa"/>
              <w:right w:w="58" w:type="dxa"/>
            </w:tcMar>
            <w:vAlign w:val="center"/>
          </w:tcPr>
          <w:p w14:paraId="4B815B0E"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2.2%</w:t>
            </w:r>
          </w:p>
        </w:tc>
        <w:tc>
          <w:tcPr>
            <w:tcW w:w="1312" w:type="dxa"/>
            <w:tcBorders>
              <w:top w:val="nil"/>
              <w:left w:val="dashSmallGap" w:sz="4" w:space="0" w:color="auto"/>
              <w:bottom w:val="dashSmallGap" w:sz="4" w:space="0" w:color="auto"/>
              <w:right w:val="dashSmallGap" w:sz="4" w:space="0" w:color="auto"/>
            </w:tcBorders>
            <w:noWrap/>
            <w:tcMar>
              <w:left w:w="58" w:type="dxa"/>
              <w:right w:w="58" w:type="dxa"/>
            </w:tcMar>
            <w:vAlign w:val="center"/>
          </w:tcPr>
          <w:p w14:paraId="3C8F085F"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1.9%</w:t>
            </w:r>
          </w:p>
        </w:tc>
        <w:tc>
          <w:tcPr>
            <w:tcW w:w="1298" w:type="dxa"/>
            <w:tcBorders>
              <w:top w:val="nil"/>
              <w:left w:val="dashSmallGap" w:sz="4" w:space="0" w:color="auto"/>
              <w:bottom w:val="dashSmallGap" w:sz="4" w:space="0" w:color="auto"/>
              <w:right w:val="dashSmallGap" w:sz="4" w:space="0" w:color="auto"/>
            </w:tcBorders>
            <w:noWrap/>
            <w:tcMar>
              <w:left w:w="58" w:type="dxa"/>
              <w:right w:w="58" w:type="dxa"/>
            </w:tcMar>
            <w:vAlign w:val="center"/>
          </w:tcPr>
          <w:p w14:paraId="5640E7A5"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1.6%</w:t>
            </w:r>
          </w:p>
        </w:tc>
        <w:tc>
          <w:tcPr>
            <w:tcW w:w="1137" w:type="dxa"/>
            <w:tcBorders>
              <w:top w:val="nil"/>
              <w:left w:val="dashSmallGap" w:sz="4" w:space="0" w:color="auto"/>
              <w:bottom w:val="dashSmallGap" w:sz="4" w:space="0" w:color="auto"/>
            </w:tcBorders>
            <w:noWrap/>
            <w:tcMar>
              <w:left w:w="58" w:type="dxa"/>
              <w:right w:w="58" w:type="dxa"/>
            </w:tcMar>
            <w:vAlign w:val="center"/>
          </w:tcPr>
          <w:p w14:paraId="13039B8E"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0.6%</w:t>
            </w:r>
          </w:p>
        </w:tc>
        <w:tc>
          <w:tcPr>
            <w:tcW w:w="1023" w:type="dxa"/>
            <w:tcBorders>
              <w:top w:val="dotted" w:sz="4" w:space="0" w:color="auto"/>
              <w:bottom w:val="dashSmallGap" w:sz="4" w:space="0" w:color="auto"/>
              <w:right w:val="double" w:sz="4" w:space="0" w:color="auto"/>
            </w:tcBorders>
            <w:noWrap/>
            <w:tcMar>
              <w:left w:w="58" w:type="dxa"/>
              <w:right w:w="58" w:type="dxa"/>
            </w:tcMar>
            <w:vAlign w:val="center"/>
          </w:tcPr>
          <w:p w14:paraId="0C735EAC"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7.8%</w:t>
            </w:r>
          </w:p>
        </w:tc>
      </w:tr>
      <w:tr w:rsidR="008B58C4" w:rsidRPr="000A2A04" w14:paraId="13715F78" w14:textId="77777777" w:rsidTr="00EC669E">
        <w:trPr>
          <w:trHeight w:val="144"/>
        </w:trPr>
        <w:tc>
          <w:tcPr>
            <w:tcW w:w="2137" w:type="dxa"/>
            <w:vMerge w:val="restart"/>
            <w:tcBorders>
              <w:top w:val="dashSmallGap" w:sz="4" w:space="0" w:color="auto"/>
              <w:left w:val="double" w:sz="4" w:space="0" w:color="auto"/>
              <w:bottom w:val="double" w:sz="4" w:space="0" w:color="auto"/>
              <w:right w:val="double" w:sz="4" w:space="0" w:color="auto"/>
            </w:tcBorders>
            <w:noWrap/>
            <w:tcMar>
              <w:left w:w="58" w:type="dxa"/>
              <w:right w:w="58" w:type="dxa"/>
            </w:tcMar>
            <w:vAlign w:val="center"/>
            <w:hideMark/>
          </w:tcPr>
          <w:p w14:paraId="419B435E" w14:textId="77777777" w:rsidR="008B58C4" w:rsidRPr="000A2A04" w:rsidRDefault="008B58C4" w:rsidP="00EC669E">
            <w:pPr>
              <w:rPr>
                <w:rFonts w:ascii="Times New Roman" w:eastAsia="Times New Roman" w:hAnsi="Times New Roman"/>
                <w:b/>
                <w:bCs/>
                <w:color w:val="000000"/>
                <w:sz w:val="22"/>
                <w:szCs w:val="22"/>
                <w:lang w:eastAsia="ko-KR"/>
              </w:rPr>
            </w:pPr>
            <w:r w:rsidRPr="000A2A04">
              <w:rPr>
                <w:rFonts w:ascii="Times New Roman" w:eastAsia="Times New Roman" w:hAnsi="Times New Roman"/>
                <w:b/>
                <w:bCs/>
                <w:color w:val="000000"/>
                <w:sz w:val="22"/>
                <w:szCs w:val="22"/>
                <w:lang w:eastAsia="ko-KR"/>
              </w:rPr>
              <w:t>A few times a month</w:t>
            </w:r>
          </w:p>
        </w:tc>
        <w:tc>
          <w:tcPr>
            <w:tcW w:w="1080" w:type="dxa"/>
            <w:tcBorders>
              <w:top w:val="dashSmallGap" w:sz="4" w:space="0" w:color="auto"/>
              <w:left w:val="double" w:sz="4" w:space="0" w:color="auto"/>
              <w:bottom w:val="nil"/>
              <w:right w:val="dashSmallGap" w:sz="4" w:space="0" w:color="auto"/>
            </w:tcBorders>
            <w:noWrap/>
            <w:tcMar>
              <w:left w:w="58" w:type="dxa"/>
              <w:right w:w="58" w:type="dxa"/>
            </w:tcMar>
            <w:vAlign w:val="center"/>
          </w:tcPr>
          <w:p w14:paraId="7C7455AC"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48</w:t>
            </w:r>
          </w:p>
        </w:tc>
        <w:tc>
          <w:tcPr>
            <w:tcW w:w="1260" w:type="dxa"/>
            <w:tcBorders>
              <w:top w:val="dashSmallGap" w:sz="4" w:space="0" w:color="auto"/>
              <w:left w:val="dashSmallGap" w:sz="4" w:space="0" w:color="auto"/>
              <w:bottom w:val="nil"/>
              <w:right w:val="dashSmallGap" w:sz="4" w:space="0" w:color="auto"/>
            </w:tcBorders>
            <w:noWrap/>
            <w:tcMar>
              <w:left w:w="58" w:type="dxa"/>
              <w:right w:w="58" w:type="dxa"/>
            </w:tcMar>
            <w:vAlign w:val="center"/>
          </w:tcPr>
          <w:p w14:paraId="1607903D"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70</w:t>
            </w:r>
          </w:p>
        </w:tc>
        <w:tc>
          <w:tcPr>
            <w:tcW w:w="1312" w:type="dxa"/>
            <w:tcBorders>
              <w:top w:val="dashSmallGap" w:sz="4" w:space="0" w:color="auto"/>
              <w:left w:val="dashSmallGap" w:sz="4" w:space="0" w:color="auto"/>
              <w:bottom w:val="nil"/>
              <w:right w:val="dashSmallGap" w:sz="4" w:space="0" w:color="auto"/>
            </w:tcBorders>
            <w:noWrap/>
            <w:tcMar>
              <w:left w:w="58" w:type="dxa"/>
              <w:right w:w="58" w:type="dxa"/>
            </w:tcMar>
            <w:vAlign w:val="center"/>
          </w:tcPr>
          <w:p w14:paraId="3B35253D"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141</w:t>
            </w:r>
          </w:p>
        </w:tc>
        <w:tc>
          <w:tcPr>
            <w:tcW w:w="1298" w:type="dxa"/>
            <w:tcBorders>
              <w:top w:val="dashSmallGap" w:sz="4" w:space="0" w:color="auto"/>
              <w:left w:val="dashSmallGap" w:sz="4" w:space="0" w:color="auto"/>
              <w:bottom w:val="nil"/>
              <w:right w:val="dashSmallGap" w:sz="4" w:space="0" w:color="auto"/>
            </w:tcBorders>
            <w:noWrap/>
            <w:tcMar>
              <w:left w:w="58" w:type="dxa"/>
              <w:right w:w="58" w:type="dxa"/>
            </w:tcMar>
            <w:vAlign w:val="center"/>
          </w:tcPr>
          <w:p w14:paraId="00E26E07"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121</w:t>
            </w:r>
          </w:p>
        </w:tc>
        <w:tc>
          <w:tcPr>
            <w:tcW w:w="1137" w:type="dxa"/>
            <w:tcBorders>
              <w:top w:val="dashSmallGap" w:sz="4" w:space="0" w:color="auto"/>
              <w:left w:val="dashSmallGap" w:sz="4" w:space="0" w:color="auto"/>
              <w:bottom w:val="nil"/>
            </w:tcBorders>
            <w:noWrap/>
            <w:tcMar>
              <w:left w:w="58" w:type="dxa"/>
              <w:right w:w="58" w:type="dxa"/>
            </w:tcMar>
            <w:vAlign w:val="center"/>
          </w:tcPr>
          <w:p w14:paraId="09A3C65B"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32</w:t>
            </w:r>
          </w:p>
        </w:tc>
        <w:tc>
          <w:tcPr>
            <w:tcW w:w="1023" w:type="dxa"/>
            <w:tcBorders>
              <w:top w:val="dashSmallGap" w:sz="4" w:space="0" w:color="auto"/>
              <w:bottom w:val="dotted" w:sz="4" w:space="0" w:color="auto"/>
              <w:right w:val="double" w:sz="4" w:space="0" w:color="auto"/>
            </w:tcBorders>
            <w:noWrap/>
            <w:tcMar>
              <w:left w:w="58" w:type="dxa"/>
              <w:right w:w="58" w:type="dxa"/>
            </w:tcMar>
            <w:vAlign w:val="center"/>
          </w:tcPr>
          <w:p w14:paraId="6AFD534B"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412</w:t>
            </w:r>
          </w:p>
        </w:tc>
      </w:tr>
      <w:tr w:rsidR="008B58C4" w:rsidRPr="000A2A04" w14:paraId="1B595065" w14:textId="77777777" w:rsidTr="00EC669E">
        <w:trPr>
          <w:trHeight w:val="144"/>
        </w:trPr>
        <w:tc>
          <w:tcPr>
            <w:tcW w:w="2137" w:type="dxa"/>
            <w:vMerge/>
            <w:tcBorders>
              <w:top w:val="dashSmallGap" w:sz="4" w:space="0" w:color="auto"/>
              <w:left w:val="double" w:sz="4" w:space="0" w:color="auto"/>
              <w:bottom w:val="double" w:sz="4" w:space="0" w:color="auto"/>
              <w:right w:val="double" w:sz="4" w:space="0" w:color="auto"/>
            </w:tcBorders>
            <w:noWrap/>
            <w:tcMar>
              <w:left w:w="58" w:type="dxa"/>
              <w:right w:w="58" w:type="dxa"/>
            </w:tcMar>
            <w:vAlign w:val="center"/>
            <w:hideMark/>
          </w:tcPr>
          <w:p w14:paraId="7F683A28" w14:textId="77777777" w:rsidR="008B58C4" w:rsidRPr="000A2A04" w:rsidRDefault="008B58C4" w:rsidP="00EC669E">
            <w:pPr>
              <w:rPr>
                <w:rFonts w:ascii="Times New Roman" w:eastAsia="Times New Roman" w:hAnsi="Times New Roman"/>
                <w:b/>
                <w:bCs/>
                <w:color w:val="000000"/>
                <w:sz w:val="22"/>
                <w:szCs w:val="22"/>
                <w:lang w:eastAsia="ko-KR"/>
              </w:rPr>
            </w:pPr>
          </w:p>
        </w:tc>
        <w:tc>
          <w:tcPr>
            <w:tcW w:w="1080" w:type="dxa"/>
            <w:tcBorders>
              <w:top w:val="nil"/>
              <w:left w:val="double" w:sz="4" w:space="0" w:color="auto"/>
              <w:bottom w:val="dashSmallGap" w:sz="4" w:space="0" w:color="auto"/>
              <w:right w:val="dashSmallGap" w:sz="4" w:space="0" w:color="auto"/>
            </w:tcBorders>
            <w:noWrap/>
            <w:tcMar>
              <w:left w:w="58" w:type="dxa"/>
              <w:right w:w="58" w:type="dxa"/>
            </w:tcMar>
            <w:vAlign w:val="center"/>
          </w:tcPr>
          <w:p w14:paraId="5C8C203E"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1.8%</w:t>
            </w:r>
          </w:p>
        </w:tc>
        <w:tc>
          <w:tcPr>
            <w:tcW w:w="1260" w:type="dxa"/>
            <w:tcBorders>
              <w:top w:val="nil"/>
              <w:left w:val="dashSmallGap" w:sz="4" w:space="0" w:color="auto"/>
              <w:bottom w:val="dashSmallGap" w:sz="4" w:space="0" w:color="auto"/>
              <w:right w:val="dashSmallGap" w:sz="4" w:space="0" w:color="auto"/>
            </w:tcBorders>
            <w:noWrap/>
            <w:tcMar>
              <w:left w:w="58" w:type="dxa"/>
              <w:right w:w="58" w:type="dxa"/>
            </w:tcMar>
            <w:vAlign w:val="center"/>
          </w:tcPr>
          <w:p w14:paraId="06BDD35A"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2.7%</w:t>
            </w:r>
          </w:p>
        </w:tc>
        <w:tc>
          <w:tcPr>
            <w:tcW w:w="1312" w:type="dxa"/>
            <w:tcBorders>
              <w:top w:val="nil"/>
              <w:left w:val="dashSmallGap" w:sz="4" w:space="0" w:color="auto"/>
              <w:bottom w:val="dashSmallGap" w:sz="4" w:space="0" w:color="auto"/>
              <w:right w:val="dashSmallGap" w:sz="4" w:space="0" w:color="auto"/>
            </w:tcBorders>
            <w:noWrap/>
            <w:tcMar>
              <w:left w:w="58" w:type="dxa"/>
              <w:right w:w="58" w:type="dxa"/>
            </w:tcMar>
            <w:vAlign w:val="center"/>
          </w:tcPr>
          <w:p w14:paraId="3B61DB98"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5.4%</w:t>
            </w:r>
          </w:p>
        </w:tc>
        <w:tc>
          <w:tcPr>
            <w:tcW w:w="1298" w:type="dxa"/>
            <w:tcBorders>
              <w:top w:val="nil"/>
              <w:left w:val="dashSmallGap" w:sz="4" w:space="0" w:color="auto"/>
              <w:bottom w:val="dashSmallGap" w:sz="4" w:space="0" w:color="auto"/>
              <w:right w:val="dashSmallGap" w:sz="4" w:space="0" w:color="auto"/>
            </w:tcBorders>
            <w:noWrap/>
            <w:tcMar>
              <w:left w:w="58" w:type="dxa"/>
              <w:right w:w="58" w:type="dxa"/>
            </w:tcMar>
            <w:vAlign w:val="center"/>
          </w:tcPr>
          <w:p w14:paraId="34321D07"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4.6%</w:t>
            </w:r>
          </w:p>
        </w:tc>
        <w:tc>
          <w:tcPr>
            <w:tcW w:w="1137" w:type="dxa"/>
            <w:tcBorders>
              <w:top w:val="nil"/>
              <w:left w:val="dashSmallGap" w:sz="4" w:space="0" w:color="auto"/>
              <w:bottom w:val="dashSmallGap" w:sz="4" w:space="0" w:color="auto"/>
            </w:tcBorders>
            <w:noWrap/>
            <w:tcMar>
              <w:left w:w="58" w:type="dxa"/>
              <w:right w:w="58" w:type="dxa"/>
            </w:tcMar>
            <w:vAlign w:val="center"/>
          </w:tcPr>
          <w:p w14:paraId="019061F9"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1.2%</w:t>
            </w:r>
          </w:p>
        </w:tc>
        <w:tc>
          <w:tcPr>
            <w:tcW w:w="1023" w:type="dxa"/>
            <w:tcBorders>
              <w:top w:val="dotted" w:sz="4" w:space="0" w:color="auto"/>
              <w:bottom w:val="dashSmallGap" w:sz="4" w:space="0" w:color="auto"/>
              <w:right w:val="double" w:sz="4" w:space="0" w:color="auto"/>
            </w:tcBorders>
            <w:noWrap/>
            <w:tcMar>
              <w:left w:w="58" w:type="dxa"/>
              <w:right w:w="58" w:type="dxa"/>
            </w:tcMar>
            <w:vAlign w:val="center"/>
          </w:tcPr>
          <w:p w14:paraId="1B0B4B6D"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15.7%</w:t>
            </w:r>
          </w:p>
        </w:tc>
      </w:tr>
      <w:tr w:rsidR="008B58C4" w:rsidRPr="000A2A04" w14:paraId="02E32275" w14:textId="77777777" w:rsidTr="00EC669E">
        <w:trPr>
          <w:trHeight w:val="144"/>
        </w:trPr>
        <w:tc>
          <w:tcPr>
            <w:tcW w:w="2137" w:type="dxa"/>
            <w:vMerge w:val="restart"/>
            <w:tcBorders>
              <w:top w:val="dashSmallGap" w:sz="4" w:space="0" w:color="auto"/>
              <w:left w:val="double" w:sz="4" w:space="0" w:color="auto"/>
              <w:bottom w:val="double" w:sz="4" w:space="0" w:color="auto"/>
              <w:right w:val="double" w:sz="4" w:space="0" w:color="auto"/>
            </w:tcBorders>
            <w:noWrap/>
            <w:tcMar>
              <w:left w:w="58" w:type="dxa"/>
              <w:right w:w="58" w:type="dxa"/>
            </w:tcMar>
            <w:vAlign w:val="center"/>
            <w:hideMark/>
          </w:tcPr>
          <w:p w14:paraId="4C6DEFB8" w14:textId="77777777" w:rsidR="008B58C4" w:rsidRPr="000A2A04" w:rsidRDefault="008B58C4" w:rsidP="00EC669E">
            <w:pPr>
              <w:rPr>
                <w:rFonts w:ascii="Times New Roman" w:eastAsia="Times New Roman" w:hAnsi="Times New Roman"/>
                <w:b/>
                <w:bCs/>
                <w:color w:val="000000"/>
                <w:sz w:val="22"/>
                <w:szCs w:val="22"/>
                <w:lang w:eastAsia="ko-KR"/>
              </w:rPr>
            </w:pPr>
            <w:r w:rsidRPr="000A2A04">
              <w:rPr>
                <w:rFonts w:ascii="Times New Roman" w:eastAsia="Times New Roman" w:hAnsi="Times New Roman"/>
                <w:b/>
                <w:bCs/>
                <w:color w:val="000000"/>
                <w:sz w:val="22"/>
                <w:szCs w:val="22"/>
                <w:lang w:eastAsia="ko-KR"/>
              </w:rPr>
              <w:t>A few times a week</w:t>
            </w:r>
          </w:p>
        </w:tc>
        <w:tc>
          <w:tcPr>
            <w:tcW w:w="1080" w:type="dxa"/>
            <w:tcBorders>
              <w:top w:val="dashSmallGap" w:sz="4" w:space="0" w:color="auto"/>
              <w:left w:val="double" w:sz="4" w:space="0" w:color="auto"/>
              <w:bottom w:val="nil"/>
              <w:right w:val="dashSmallGap" w:sz="4" w:space="0" w:color="auto"/>
            </w:tcBorders>
            <w:noWrap/>
            <w:tcMar>
              <w:left w:w="58" w:type="dxa"/>
              <w:right w:w="58" w:type="dxa"/>
            </w:tcMar>
            <w:vAlign w:val="center"/>
          </w:tcPr>
          <w:p w14:paraId="309250CE"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84</w:t>
            </w:r>
          </w:p>
        </w:tc>
        <w:tc>
          <w:tcPr>
            <w:tcW w:w="1260" w:type="dxa"/>
            <w:tcBorders>
              <w:top w:val="dashSmallGap" w:sz="4" w:space="0" w:color="auto"/>
              <w:left w:val="dashSmallGap" w:sz="4" w:space="0" w:color="auto"/>
              <w:bottom w:val="nil"/>
              <w:right w:val="dashSmallGap" w:sz="4" w:space="0" w:color="auto"/>
            </w:tcBorders>
            <w:noWrap/>
            <w:tcMar>
              <w:left w:w="58" w:type="dxa"/>
              <w:right w:w="58" w:type="dxa"/>
            </w:tcMar>
            <w:vAlign w:val="center"/>
          </w:tcPr>
          <w:p w14:paraId="7832C0A8"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65</w:t>
            </w:r>
          </w:p>
        </w:tc>
        <w:tc>
          <w:tcPr>
            <w:tcW w:w="1312" w:type="dxa"/>
            <w:tcBorders>
              <w:top w:val="dashSmallGap" w:sz="4" w:space="0" w:color="auto"/>
              <w:left w:val="dashSmallGap" w:sz="4" w:space="0" w:color="auto"/>
              <w:bottom w:val="nil"/>
              <w:right w:val="dashSmallGap" w:sz="4" w:space="0" w:color="auto"/>
            </w:tcBorders>
            <w:noWrap/>
            <w:tcMar>
              <w:left w:w="58" w:type="dxa"/>
              <w:right w:w="58" w:type="dxa"/>
            </w:tcMar>
            <w:vAlign w:val="center"/>
          </w:tcPr>
          <w:p w14:paraId="4E15D45B"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159</w:t>
            </w:r>
          </w:p>
        </w:tc>
        <w:tc>
          <w:tcPr>
            <w:tcW w:w="1298" w:type="dxa"/>
            <w:tcBorders>
              <w:top w:val="dashSmallGap" w:sz="4" w:space="0" w:color="auto"/>
              <w:left w:val="dashSmallGap" w:sz="4" w:space="0" w:color="auto"/>
              <w:bottom w:val="nil"/>
              <w:right w:val="dashSmallGap" w:sz="4" w:space="0" w:color="auto"/>
            </w:tcBorders>
            <w:noWrap/>
            <w:tcMar>
              <w:left w:w="58" w:type="dxa"/>
              <w:right w:w="58" w:type="dxa"/>
            </w:tcMar>
            <w:vAlign w:val="center"/>
          </w:tcPr>
          <w:p w14:paraId="3680937B"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321</w:t>
            </w:r>
          </w:p>
        </w:tc>
        <w:tc>
          <w:tcPr>
            <w:tcW w:w="1137" w:type="dxa"/>
            <w:tcBorders>
              <w:top w:val="dashSmallGap" w:sz="4" w:space="0" w:color="auto"/>
              <w:left w:val="dashSmallGap" w:sz="4" w:space="0" w:color="auto"/>
              <w:bottom w:val="nil"/>
            </w:tcBorders>
            <w:noWrap/>
            <w:tcMar>
              <w:left w:w="58" w:type="dxa"/>
              <w:right w:w="58" w:type="dxa"/>
            </w:tcMar>
            <w:vAlign w:val="center"/>
          </w:tcPr>
          <w:p w14:paraId="7DA6A926"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186</w:t>
            </w:r>
          </w:p>
        </w:tc>
        <w:tc>
          <w:tcPr>
            <w:tcW w:w="1023" w:type="dxa"/>
            <w:tcBorders>
              <w:top w:val="dashSmallGap" w:sz="4" w:space="0" w:color="auto"/>
              <w:bottom w:val="dotted" w:sz="4" w:space="0" w:color="auto"/>
              <w:right w:val="double" w:sz="4" w:space="0" w:color="auto"/>
            </w:tcBorders>
            <w:noWrap/>
            <w:tcMar>
              <w:left w:w="58" w:type="dxa"/>
              <w:right w:w="58" w:type="dxa"/>
            </w:tcMar>
            <w:vAlign w:val="center"/>
          </w:tcPr>
          <w:p w14:paraId="7DB42457"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815</w:t>
            </w:r>
          </w:p>
        </w:tc>
      </w:tr>
      <w:tr w:rsidR="008B58C4" w:rsidRPr="000A2A04" w14:paraId="52329C38" w14:textId="77777777" w:rsidTr="00EC669E">
        <w:trPr>
          <w:trHeight w:val="144"/>
        </w:trPr>
        <w:tc>
          <w:tcPr>
            <w:tcW w:w="2137" w:type="dxa"/>
            <w:vMerge/>
            <w:tcBorders>
              <w:top w:val="dashSmallGap" w:sz="4" w:space="0" w:color="auto"/>
              <w:left w:val="double" w:sz="4" w:space="0" w:color="auto"/>
              <w:bottom w:val="double" w:sz="4" w:space="0" w:color="auto"/>
              <w:right w:val="double" w:sz="4" w:space="0" w:color="auto"/>
            </w:tcBorders>
            <w:noWrap/>
            <w:tcMar>
              <w:left w:w="58" w:type="dxa"/>
              <w:right w:w="58" w:type="dxa"/>
            </w:tcMar>
            <w:vAlign w:val="center"/>
            <w:hideMark/>
          </w:tcPr>
          <w:p w14:paraId="5EAD97ED" w14:textId="77777777" w:rsidR="008B58C4" w:rsidRPr="000A2A04" w:rsidRDefault="008B58C4" w:rsidP="00EC669E">
            <w:pPr>
              <w:rPr>
                <w:rFonts w:ascii="Times New Roman" w:eastAsia="Times New Roman" w:hAnsi="Times New Roman"/>
                <w:b/>
                <w:bCs/>
                <w:color w:val="000000"/>
                <w:sz w:val="22"/>
                <w:szCs w:val="22"/>
                <w:lang w:eastAsia="ko-KR"/>
              </w:rPr>
            </w:pPr>
          </w:p>
        </w:tc>
        <w:tc>
          <w:tcPr>
            <w:tcW w:w="1080" w:type="dxa"/>
            <w:tcBorders>
              <w:top w:val="nil"/>
              <w:left w:val="double" w:sz="4" w:space="0" w:color="auto"/>
              <w:bottom w:val="dashSmallGap" w:sz="4" w:space="0" w:color="auto"/>
              <w:right w:val="dashSmallGap" w:sz="4" w:space="0" w:color="auto"/>
            </w:tcBorders>
            <w:noWrap/>
            <w:tcMar>
              <w:left w:w="58" w:type="dxa"/>
              <w:right w:w="58" w:type="dxa"/>
            </w:tcMar>
            <w:vAlign w:val="center"/>
          </w:tcPr>
          <w:p w14:paraId="44AA4C7F"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3.2%</w:t>
            </w:r>
          </w:p>
        </w:tc>
        <w:tc>
          <w:tcPr>
            <w:tcW w:w="1260" w:type="dxa"/>
            <w:tcBorders>
              <w:top w:val="nil"/>
              <w:left w:val="dashSmallGap" w:sz="4" w:space="0" w:color="auto"/>
              <w:bottom w:val="dashSmallGap" w:sz="4" w:space="0" w:color="auto"/>
              <w:right w:val="dashSmallGap" w:sz="4" w:space="0" w:color="auto"/>
            </w:tcBorders>
            <w:noWrap/>
            <w:tcMar>
              <w:left w:w="58" w:type="dxa"/>
              <w:right w:w="58" w:type="dxa"/>
            </w:tcMar>
            <w:vAlign w:val="center"/>
          </w:tcPr>
          <w:p w14:paraId="5445761B"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2.5%</w:t>
            </w:r>
          </w:p>
        </w:tc>
        <w:tc>
          <w:tcPr>
            <w:tcW w:w="1312" w:type="dxa"/>
            <w:tcBorders>
              <w:top w:val="nil"/>
              <w:left w:val="dashSmallGap" w:sz="4" w:space="0" w:color="auto"/>
              <w:bottom w:val="dashSmallGap" w:sz="4" w:space="0" w:color="auto"/>
              <w:right w:val="dashSmallGap" w:sz="4" w:space="0" w:color="auto"/>
            </w:tcBorders>
            <w:noWrap/>
            <w:tcMar>
              <w:left w:w="58" w:type="dxa"/>
              <w:right w:w="58" w:type="dxa"/>
            </w:tcMar>
            <w:vAlign w:val="center"/>
          </w:tcPr>
          <w:p w14:paraId="07D0DF13"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6.0%</w:t>
            </w:r>
          </w:p>
        </w:tc>
        <w:tc>
          <w:tcPr>
            <w:tcW w:w="1298" w:type="dxa"/>
            <w:tcBorders>
              <w:top w:val="nil"/>
              <w:left w:val="dashSmallGap" w:sz="4" w:space="0" w:color="auto"/>
              <w:bottom w:val="dashSmallGap" w:sz="4" w:space="0" w:color="auto"/>
              <w:right w:val="dashSmallGap" w:sz="4" w:space="0" w:color="auto"/>
            </w:tcBorders>
            <w:noWrap/>
            <w:tcMar>
              <w:left w:w="58" w:type="dxa"/>
              <w:right w:w="58" w:type="dxa"/>
            </w:tcMar>
            <w:vAlign w:val="center"/>
          </w:tcPr>
          <w:p w14:paraId="730A99A4"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12.2%</w:t>
            </w:r>
          </w:p>
        </w:tc>
        <w:tc>
          <w:tcPr>
            <w:tcW w:w="1137" w:type="dxa"/>
            <w:tcBorders>
              <w:top w:val="nil"/>
              <w:left w:val="dashSmallGap" w:sz="4" w:space="0" w:color="auto"/>
              <w:bottom w:val="dashSmallGap" w:sz="4" w:space="0" w:color="auto"/>
            </w:tcBorders>
            <w:noWrap/>
            <w:tcMar>
              <w:left w:w="58" w:type="dxa"/>
              <w:right w:w="58" w:type="dxa"/>
            </w:tcMar>
            <w:vAlign w:val="center"/>
          </w:tcPr>
          <w:p w14:paraId="78B51C30"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7.1%</w:t>
            </w:r>
          </w:p>
        </w:tc>
        <w:tc>
          <w:tcPr>
            <w:tcW w:w="1023" w:type="dxa"/>
            <w:tcBorders>
              <w:top w:val="dotted" w:sz="4" w:space="0" w:color="auto"/>
              <w:bottom w:val="dashSmallGap" w:sz="4" w:space="0" w:color="auto"/>
              <w:right w:val="double" w:sz="4" w:space="0" w:color="auto"/>
            </w:tcBorders>
            <w:noWrap/>
            <w:tcMar>
              <w:left w:w="58" w:type="dxa"/>
              <w:right w:w="58" w:type="dxa"/>
            </w:tcMar>
            <w:vAlign w:val="center"/>
          </w:tcPr>
          <w:p w14:paraId="57076821"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31.0%</w:t>
            </w:r>
          </w:p>
        </w:tc>
      </w:tr>
      <w:tr w:rsidR="008B58C4" w:rsidRPr="000A2A04" w14:paraId="4E536904" w14:textId="77777777" w:rsidTr="00EC669E">
        <w:trPr>
          <w:trHeight w:val="144"/>
        </w:trPr>
        <w:tc>
          <w:tcPr>
            <w:tcW w:w="2137" w:type="dxa"/>
            <w:vMerge w:val="restart"/>
            <w:tcBorders>
              <w:top w:val="dashSmallGap" w:sz="4" w:space="0" w:color="auto"/>
              <w:left w:val="double" w:sz="4" w:space="0" w:color="auto"/>
              <w:bottom w:val="double" w:sz="4" w:space="0" w:color="auto"/>
              <w:right w:val="double" w:sz="4" w:space="0" w:color="auto"/>
            </w:tcBorders>
            <w:noWrap/>
            <w:tcMar>
              <w:left w:w="58" w:type="dxa"/>
              <w:right w:w="58" w:type="dxa"/>
            </w:tcMar>
            <w:vAlign w:val="center"/>
            <w:hideMark/>
          </w:tcPr>
          <w:p w14:paraId="7A9FEF33" w14:textId="77777777" w:rsidR="008B58C4" w:rsidRPr="000A2A04" w:rsidRDefault="008B58C4" w:rsidP="00EC669E">
            <w:pPr>
              <w:rPr>
                <w:rFonts w:ascii="Times New Roman" w:eastAsia="Times New Roman" w:hAnsi="Times New Roman"/>
                <w:b/>
                <w:bCs/>
                <w:color w:val="000000"/>
                <w:sz w:val="22"/>
                <w:szCs w:val="22"/>
                <w:lang w:eastAsia="ko-KR"/>
              </w:rPr>
            </w:pPr>
            <w:r w:rsidRPr="000A2A04">
              <w:rPr>
                <w:rFonts w:ascii="Times New Roman" w:eastAsia="Times New Roman" w:hAnsi="Times New Roman"/>
                <w:b/>
                <w:bCs/>
                <w:color w:val="000000"/>
                <w:sz w:val="22"/>
                <w:szCs w:val="22"/>
                <w:lang w:eastAsia="ko-KR"/>
              </w:rPr>
              <w:t>Everyday</w:t>
            </w:r>
          </w:p>
        </w:tc>
        <w:tc>
          <w:tcPr>
            <w:tcW w:w="1080" w:type="dxa"/>
            <w:tcBorders>
              <w:top w:val="dashSmallGap" w:sz="4" w:space="0" w:color="auto"/>
              <w:left w:val="double" w:sz="4" w:space="0" w:color="auto"/>
              <w:bottom w:val="nil"/>
              <w:right w:val="dashSmallGap" w:sz="4" w:space="0" w:color="auto"/>
            </w:tcBorders>
            <w:noWrap/>
            <w:tcMar>
              <w:left w:w="58" w:type="dxa"/>
              <w:right w:w="58" w:type="dxa"/>
            </w:tcMar>
            <w:vAlign w:val="center"/>
          </w:tcPr>
          <w:p w14:paraId="64A87614"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46</w:t>
            </w:r>
          </w:p>
        </w:tc>
        <w:tc>
          <w:tcPr>
            <w:tcW w:w="1260" w:type="dxa"/>
            <w:tcBorders>
              <w:top w:val="dashSmallGap" w:sz="4" w:space="0" w:color="auto"/>
              <w:left w:val="dashSmallGap" w:sz="4" w:space="0" w:color="auto"/>
              <w:bottom w:val="nil"/>
              <w:right w:val="dashSmallGap" w:sz="4" w:space="0" w:color="auto"/>
            </w:tcBorders>
            <w:noWrap/>
            <w:tcMar>
              <w:left w:w="58" w:type="dxa"/>
              <w:right w:w="58" w:type="dxa"/>
            </w:tcMar>
            <w:vAlign w:val="center"/>
          </w:tcPr>
          <w:p w14:paraId="2DC6D587"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15</w:t>
            </w:r>
          </w:p>
        </w:tc>
        <w:tc>
          <w:tcPr>
            <w:tcW w:w="1312" w:type="dxa"/>
            <w:tcBorders>
              <w:top w:val="dashSmallGap" w:sz="4" w:space="0" w:color="auto"/>
              <w:left w:val="dashSmallGap" w:sz="4" w:space="0" w:color="auto"/>
              <w:bottom w:val="nil"/>
              <w:right w:val="dashSmallGap" w:sz="4" w:space="0" w:color="auto"/>
            </w:tcBorders>
            <w:noWrap/>
            <w:tcMar>
              <w:left w:w="58" w:type="dxa"/>
              <w:right w:w="58" w:type="dxa"/>
            </w:tcMar>
            <w:vAlign w:val="center"/>
          </w:tcPr>
          <w:p w14:paraId="3FFA63F9"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63</w:t>
            </w:r>
          </w:p>
        </w:tc>
        <w:tc>
          <w:tcPr>
            <w:tcW w:w="1298" w:type="dxa"/>
            <w:tcBorders>
              <w:top w:val="dashSmallGap" w:sz="4" w:space="0" w:color="auto"/>
              <w:left w:val="dashSmallGap" w:sz="4" w:space="0" w:color="auto"/>
              <w:bottom w:val="nil"/>
              <w:right w:val="dashSmallGap" w:sz="4" w:space="0" w:color="auto"/>
            </w:tcBorders>
            <w:noWrap/>
            <w:tcMar>
              <w:left w:w="58" w:type="dxa"/>
              <w:right w:w="58" w:type="dxa"/>
            </w:tcMar>
            <w:vAlign w:val="center"/>
          </w:tcPr>
          <w:p w14:paraId="03DA2FB0"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140</w:t>
            </w:r>
          </w:p>
        </w:tc>
        <w:tc>
          <w:tcPr>
            <w:tcW w:w="1137" w:type="dxa"/>
            <w:tcBorders>
              <w:top w:val="dashSmallGap" w:sz="4" w:space="0" w:color="auto"/>
              <w:left w:val="dashSmallGap" w:sz="4" w:space="0" w:color="auto"/>
              <w:bottom w:val="nil"/>
            </w:tcBorders>
            <w:noWrap/>
            <w:tcMar>
              <w:left w:w="58" w:type="dxa"/>
              <w:right w:w="58" w:type="dxa"/>
            </w:tcMar>
            <w:vAlign w:val="center"/>
          </w:tcPr>
          <w:p w14:paraId="64641973"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369</w:t>
            </w:r>
          </w:p>
        </w:tc>
        <w:tc>
          <w:tcPr>
            <w:tcW w:w="1023" w:type="dxa"/>
            <w:tcBorders>
              <w:top w:val="dashSmallGap" w:sz="4" w:space="0" w:color="auto"/>
              <w:bottom w:val="dotted" w:sz="4" w:space="0" w:color="auto"/>
              <w:right w:val="double" w:sz="4" w:space="0" w:color="auto"/>
            </w:tcBorders>
            <w:noWrap/>
            <w:tcMar>
              <w:left w:w="58" w:type="dxa"/>
              <w:right w:w="58" w:type="dxa"/>
            </w:tcMar>
            <w:vAlign w:val="center"/>
          </w:tcPr>
          <w:p w14:paraId="6F31388D"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633</w:t>
            </w:r>
          </w:p>
        </w:tc>
      </w:tr>
      <w:tr w:rsidR="008B58C4" w:rsidRPr="000A2A04" w14:paraId="48CFAA78" w14:textId="77777777" w:rsidTr="00EC669E">
        <w:trPr>
          <w:trHeight w:val="144"/>
        </w:trPr>
        <w:tc>
          <w:tcPr>
            <w:tcW w:w="2137" w:type="dxa"/>
            <w:vMerge/>
            <w:tcBorders>
              <w:top w:val="dashSmallGap" w:sz="4" w:space="0" w:color="auto"/>
              <w:left w:val="double" w:sz="4" w:space="0" w:color="auto"/>
              <w:bottom w:val="double" w:sz="4" w:space="0" w:color="auto"/>
              <w:right w:val="double" w:sz="4" w:space="0" w:color="auto"/>
            </w:tcBorders>
            <w:noWrap/>
            <w:tcMar>
              <w:left w:w="58" w:type="dxa"/>
              <w:right w:w="58" w:type="dxa"/>
            </w:tcMar>
            <w:vAlign w:val="center"/>
            <w:hideMark/>
          </w:tcPr>
          <w:p w14:paraId="70F09897" w14:textId="77777777" w:rsidR="008B58C4" w:rsidRPr="000A2A04" w:rsidRDefault="008B58C4" w:rsidP="00EC669E">
            <w:pPr>
              <w:rPr>
                <w:rFonts w:ascii="Times New Roman" w:eastAsia="Times New Roman" w:hAnsi="Times New Roman"/>
                <w:b/>
                <w:bCs/>
                <w:color w:val="000000"/>
                <w:sz w:val="22"/>
                <w:szCs w:val="22"/>
                <w:lang w:eastAsia="ko-KR"/>
              </w:rPr>
            </w:pPr>
          </w:p>
        </w:tc>
        <w:tc>
          <w:tcPr>
            <w:tcW w:w="1080" w:type="dxa"/>
            <w:tcBorders>
              <w:top w:val="nil"/>
              <w:left w:val="double" w:sz="4" w:space="0" w:color="auto"/>
              <w:bottom w:val="double" w:sz="4" w:space="0" w:color="auto"/>
              <w:right w:val="dashSmallGap" w:sz="4" w:space="0" w:color="auto"/>
            </w:tcBorders>
            <w:noWrap/>
            <w:tcMar>
              <w:left w:w="58" w:type="dxa"/>
              <w:right w:w="58" w:type="dxa"/>
            </w:tcMar>
            <w:vAlign w:val="center"/>
          </w:tcPr>
          <w:p w14:paraId="591AC666"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1.7%</w:t>
            </w:r>
          </w:p>
        </w:tc>
        <w:tc>
          <w:tcPr>
            <w:tcW w:w="1260" w:type="dxa"/>
            <w:tcBorders>
              <w:top w:val="nil"/>
              <w:left w:val="dashSmallGap" w:sz="4" w:space="0" w:color="auto"/>
              <w:bottom w:val="double" w:sz="4" w:space="0" w:color="auto"/>
              <w:right w:val="dashSmallGap" w:sz="4" w:space="0" w:color="auto"/>
            </w:tcBorders>
            <w:noWrap/>
            <w:tcMar>
              <w:left w:w="58" w:type="dxa"/>
              <w:right w:w="58" w:type="dxa"/>
            </w:tcMar>
            <w:vAlign w:val="center"/>
          </w:tcPr>
          <w:p w14:paraId="733A2678"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0.6%</w:t>
            </w:r>
          </w:p>
        </w:tc>
        <w:tc>
          <w:tcPr>
            <w:tcW w:w="1312" w:type="dxa"/>
            <w:tcBorders>
              <w:top w:val="nil"/>
              <w:left w:val="dashSmallGap" w:sz="4" w:space="0" w:color="auto"/>
              <w:bottom w:val="double" w:sz="4" w:space="0" w:color="auto"/>
              <w:right w:val="dashSmallGap" w:sz="4" w:space="0" w:color="auto"/>
            </w:tcBorders>
            <w:noWrap/>
            <w:tcMar>
              <w:left w:w="58" w:type="dxa"/>
              <w:right w:w="58" w:type="dxa"/>
            </w:tcMar>
            <w:vAlign w:val="center"/>
          </w:tcPr>
          <w:p w14:paraId="18E2CD9F"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2.4%</w:t>
            </w:r>
          </w:p>
        </w:tc>
        <w:tc>
          <w:tcPr>
            <w:tcW w:w="1298" w:type="dxa"/>
            <w:tcBorders>
              <w:top w:val="nil"/>
              <w:left w:val="dashSmallGap" w:sz="4" w:space="0" w:color="auto"/>
              <w:bottom w:val="double" w:sz="4" w:space="0" w:color="auto"/>
              <w:right w:val="dashSmallGap" w:sz="4" w:space="0" w:color="auto"/>
            </w:tcBorders>
            <w:noWrap/>
            <w:tcMar>
              <w:left w:w="58" w:type="dxa"/>
              <w:right w:w="58" w:type="dxa"/>
            </w:tcMar>
            <w:vAlign w:val="center"/>
          </w:tcPr>
          <w:p w14:paraId="4FF70256"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5.3%</w:t>
            </w:r>
          </w:p>
        </w:tc>
        <w:tc>
          <w:tcPr>
            <w:tcW w:w="1137" w:type="dxa"/>
            <w:tcBorders>
              <w:top w:val="nil"/>
              <w:left w:val="dashSmallGap" w:sz="4" w:space="0" w:color="auto"/>
              <w:bottom w:val="double" w:sz="4" w:space="0" w:color="auto"/>
            </w:tcBorders>
            <w:noWrap/>
            <w:tcMar>
              <w:left w:w="58" w:type="dxa"/>
              <w:right w:w="58" w:type="dxa"/>
            </w:tcMar>
            <w:vAlign w:val="center"/>
          </w:tcPr>
          <w:p w14:paraId="52217236"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14.0%</w:t>
            </w:r>
          </w:p>
        </w:tc>
        <w:tc>
          <w:tcPr>
            <w:tcW w:w="1023" w:type="dxa"/>
            <w:tcBorders>
              <w:top w:val="dotted" w:sz="4" w:space="0" w:color="auto"/>
              <w:bottom w:val="double" w:sz="4" w:space="0" w:color="auto"/>
              <w:right w:val="double" w:sz="4" w:space="0" w:color="auto"/>
            </w:tcBorders>
            <w:noWrap/>
            <w:tcMar>
              <w:left w:w="58" w:type="dxa"/>
              <w:right w:w="58" w:type="dxa"/>
            </w:tcMar>
            <w:vAlign w:val="center"/>
          </w:tcPr>
          <w:p w14:paraId="68275AB4"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24.1%</w:t>
            </w:r>
          </w:p>
        </w:tc>
      </w:tr>
      <w:tr w:rsidR="008B58C4" w:rsidRPr="000A2A04" w14:paraId="13D4780E" w14:textId="77777777" w:rsidTr="00EC669E">
        <w:trPr>
          <w:trHeight w:val="144"/>
        </w:trPr>
        <w:tc>
          <w:tcPr>
            <w:tcW w:w="2137" w:type="dxa"/>
            <w:vMerge w:val="restart"/>
            <w:tcBorders>
              <w:top w:val="single" w:sz="4" w:space="0" w:color="auto"/>
              <w:left w:val="double" w:sz="4" w:space="0" w:color="auto"/>
              <w:bottom w:val="double" w:sz="4" w:space="0" w:color="auto"/>
              <w:right w:val="double" w:sz="4" w:space="0" w:color="auto"/>
            </w:tcBorders>
            <w:noWrap/>
            <w:tcMar>
              <w:left w:w="58" w:type="dxa"/>
              <w:right w:w="58" w:type="dxa"/>
            </w:tcMar>
            <w:vAlign w:val="center"/>
            <w:hideMark/>
          </w:tcPr>
          <w:p w14:paraId="61CB99D4" w14:textId="77777777" w:rsidR="008B58C4" w:rsidRPr="000A2A04" w:rsidRDefault="008B58C4" w:rsidP="00EC669E">
            <w:pPr>
              <w:rPr>
                <w:rFonts w:ascii="Times New Roman" w:eastAsia="Times New Roman" w:hAnsi="Times New Roman"/>
                <w:b/>
                <w:bCs/>
                <w:color w:val="000000"/>
                <w:sz w:val="22"/>
                <w:szCs w:val="22"/>
                <w:lang w:eastAsia="ko-KR"/>
              </w:rPr>
            </w:pPr>
            <w:r w:rsidRPr="000A2A04">
              <w:rPr>
                <w:rFonts w:ascii="Times New Roman" w:eastAsia="Times New Roman" w:hAnsi="Times New Roman"/>
                <w:b/>
                <w:bCs/>
                <w:color w:val="000000"/>
                <w:sz w:val="22"/>
                <w:szCs w:val="22"/>
                <w:lang w:eastAsia="ko-KR"/>
              </w:rPr>
              <w:t>Total</w:t>
            </w:r>
          </w:p>
        </w:tc>
        <w:tc>
          <w:tcPr>
            <w:tcW w:w="1080" w:type="dxa"/>
            <w:tcBorders>
              <w:top w:val="double" w:sz="4" w:space="0" w:color="auto"/>
              <w:left w:val="double" w:sz="4" w:space="0" w:color="auto"/>
              <w:bottom w:val="nil"/>
            </w:tcBorders>
            <w:noWrap/>
            <w:tcMar>
              <w:left w:w="58" w:type="dxa"/>
              <w:right w:w="58" w:type="dxa"/>
            </w:tcMar>
            <w:vAlign w:val="center"/>
          </w:tcPr>
          <w:p w14:paraId="5AD94ADB"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529</w:t>
            </w:r>
          </w:p>
        </w:tc>
        <w:tc>
          <w:tcPr>
            <w:tcW w:w="1260" w:type="dxa"/>
            <w:tcBorders>
              <w:top w:val="double" w:sz="4" w:space="0" w:color="auto"/>
              <w:bottom w:val="nil"/>
            </w:tcBorders>
            <w:noWrap/>
            <w:tcMar>
              <w:left w:w="58" w:type="dxa"/>
              <w:right w:w="58" w:type="dxa"/>
            </w:tcMar>
            <w:vAlign w:val="center"/>
          </w:tcPr>
          <w:p w14:paraId="5D19A287"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280</w:t>
            </w:r>
          </w:p>
        </w:tc>
        <w:tc>
          <w:tcPr>
            <w:tcW w:w="1312" w:type="dxa"/>
            <w:tcBorders>
              <w:top w:val="double" w:sz="4" w:space="0" w:color="auto"/>
              <w:bottom w:val="nil"/>
            </w:tcBorders>
            <w:noWrap/>
            <w:tcMar>
              <w:left w:w="58" w:type="dxa"/>
              <w:right w:w="58" w:type="dxa"/>
            </w:tcMar>
            <w:vAlign w:val="center"/>
          </w:tcPr>
          <w:p w14:paraId="3B7CEF42"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480</w:t>
            </w:r>
          </w:p>
        </w:tc>
        <w:tc>
          <w:tcPr>
            <w:tcW w:w="1298" w:type="dxa"/>
            <w:tcBorders>
              <w:top w:val="double" w:sz="4" w:space="0" w:color="auto"/>
              <w:bottom w:val="nil"/>
            </w:tcBorders>
            <w:noWrap/>
            <w:tcMar>
              <w:left w:w="58" w:type="dxa"/>
              <w:right w:w="58" w:type="dxa"/>
            </w:tcMar>
            <w:vAlign w:val="center"/>
          </w:tcPr>
          <w:p w14:paraId="42F38520"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709</w:t>
            </w:r>
          </w:p>
        </w:tc>
        <w:tc>
          <w:tcPr>
            <w:tcW w:w="1137" w:type="dxa"/>
            <w:tcBorders>
              <w:top w:val="double" w:sz="4" w:space="0" w:color="auto"/>
              <w:bottom w:val="nil"/>
            </w:tcBorders>
            <w:noWrap/>
            <w:tcMar>
              <w:left w:w="58" w:type="dxa"/>
              <w:right w:w="58" w:type="dxa"/>
            </w:tcMar>
            <w:vAlign w:val="center"/>
          </w:tcPr>
          <w:p w14:paraId="134707C7"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631</w:t>
            </w:r>
          </w:p>
        </w:tc>
        <w:tc>
          <w:tcPr>
            <w:tcW w:w="1023" w:type="dxa"/>
            <w:tcBorders>
              <w:top w:val="double" w:sz="4" w:space="0" w:color="auto"/>
              <w:bottom w:val="dotted" w:sz="4" w:space="0" w:color="auto"/>
              <w:right w:val="double" w:sz="4" w:space="0" w:color="auto"/>
            </w:tcBorders>
            <w:noWrap/>
            <w:tcMar>
              <w:left w:w="58" w:type="dxa"/>
              <w:right w:w="58" w:type="dxa"/>
            </w:tcMar>
            <w:vAlign w:val="center"/>
          </w:tcPr>
          <w:p w14:paraId="27020708"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2629</w:t>
            </w:r>
          </w:p>
        </w:tc>
      </w:tr>
      <w:tr w:rsidR="008B58C4" w:rsidRPr="000A2A04" w14:paraId="67AEA710" w14:textId="77777777" w:rsidTr="00EC669E">
        <w:trPr>
          <w:trHeight w:val="144"/>
        </w:trPr>
        <w:tc>
          <w:tcPr>
            <w:tcW w:w="2137" w:type="dxa"/>
            <w:vMerge/>
            <w:tcBorders>
              <w:top w:val="single" w:sz="4" w:space="0" w:color="auto"/>
              <w:left w:val="double" w:sz="4" w:space="0" w:color="auto"/>
              <w:bottom w:val="double" w:sz="4" w:space="0" w:color="auto"/>
              <w:right w:val="double" w:sz="4" w:space="0" w:color="auto"/>
            </w:tcBorders>
            <w:noWrap/>
            <w:tcMar>
              <w:left w:w="58" w:type="dxa"/>
              <w:right w:w="58" w:type="dxa"/>
            </w:tcMar>
            <w:hideMark/>
          </w:tcPr>
          <w:p w14:paraId="590E62C3" w14:textId="77777777" w:rsidR="008B58C4" w:rsidRPr="000A2A04" w:rsidRDefault="008B58C4" w:rsidP="00EC669E">
            <w:pPr>
              <w:jc w:val="both"/>
              <w:rPr>
                <w:rFonts w:ascii="Times New Roman" w:eastAsia="Times New Roman" w:hAnsi="Times New Roman"/>
                <w:color w:val="000000"/>
                <w:sz w:val="22"/>
                <w:szCs w:val="22"/>
                <w:lang w:eastAsia="ko-KR"/>
              </w:rPr>
            </w:pPr>
          </w:p>
        </w:tc>
        <w:tc>
          <w:tcPr>
            <w:tcW w:w="1080" w:type="dxa"/>
            <w:tcBorders>
              <w:top w:val="nil"/>
              <w:left w:val="double" w:sz="4" w:space="0" w:color="auto"/>
              <w:bottom w:val="double" w:sz="4" w:space="0" w:color="auto"/>
            </w:tcBorders>
            <w:noWrap/>
            <w:tcMar>
              <w:left w:w="58" w:type="dxa"/>
              <w:right w:w="58" w:type="dxa"/>
            </w:tcMar>
            <w:vAlign w:val="center"/>
          </w:tcPr>
          <w:p w14:paraId="17EFBD17" w14:textId="77777777" w:rsidR="008B58C4" w:rsidRPr="000A2A04" w:rsidRDefault="008B58C4" w:rsidP="00EC669E">
            <w:pPr>
              <w:ind w:right="22"/>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20.1%</w:t>
            </w:r>
          </w:p>
        </w:tc>
        <w:tc>
          <w:tcPr>
            <w:tcW w:w="1260" w:type="dxa"/>
            <w:tcBorders>
              <w:top w:val="nil"/>
              <w:bottom w:val="double" w:sz="4" w:space="0" w:color="auto"/>
            </w:tcBorders>
            <w:noWrap/>
            <w:tcMar>
              <w:left w:w="58" w:type="dxa"/>
              <w:right w:w="58" w:type="dxa"/>
            </w:tcMar>
            <w:vAlign w:val="center"/>
          </w:tcPr>
          <w:p w14:paraId="6335E48F" w14:textId="77777777" w:rsidR="008B58C4" w:rsidRPr="000A2A04" w:rsidRDefault="008B58C4" w:rsidP="00EC669E">
            <w:pPr>
              <w:ind w:right="22"/>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10.7%</w:t>
            </w:r>
          </w:p>
        </w:tc>
        <w:tc>
          <w:tcPr>
            <w:tcW w:w="1312" w:type="dxa"/>
            <w:tcBorders>
              <w:top w:val="nil"/>
              <w:bottom w:val="double" w:sz="4" w:space="0" w:color="auto"/>
            </w:tcBorders>
            <w:noWrap/>
            <w:tcMar>
              <w:left w:w="58" w:type="dxa"/>
              <w:right w:w="58" w:type="dxa"/>
            </w:tcMar>
            <w:vAlign w:val="center"/>
          </w:tcPr>
          <w:p w14:paraId="258E2D8C"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18.3%</w:t>
            </w:r>
          </w:p>
        </w:tc>
        <w:tc>
          <w:tcPr>
            <w:tcW w:w="1298" w:type="dxa"/>
            <w:tcBorders>
              <w:top w:val="nil"/>
              <w:bottom w:val="double" w:sz="4" w:space="0" w:color="auto"/>
            </w:tcBorders>
            <w:noWrap/>
            <w:tcMar>
              <w:left w:w="58" w:type="dxa"/>
              <w:right w:w="58" w:type="dxa"/>
            </w:tcMar>
            <w:vAlign w:val="center"/>
          </w:tcPr>
          <w:p w14:paraId="5A762767"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27.0%</w:t>
            </w:r>
          </w:p>
        </w:tc>
        <w:tc>
          <w:tcPr>
            <w:tcW w:w="1137" w:type="dxa"/>
            <w:tcBorders>
              <w:top w:val="nil"/>
              <w:bottom w:val="double" w:sz="4" w:space="0" w:color="auto"/>
            </w:tcBorders>
            <w:noWrap/>
            <w:tcMar>
              <w:left w:w="58" w:type="dxa"/>
              <w:right w:w="58" w:type="dxa"/>
            </w:tcMar>
            <w:vAlign w:val="center"/>
          </w:tcPr>
          <w:p w14:paraId="01D28891"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24.0%</w:t>
            </w:r>
          </w:p>
        </w:tc>
        <w:tc>
          <w:tcPr>
            <w:tcW w:w="1023" w:type="dxa"/>
            <w:tcBorders>
              <w:top w:val="dotted" w:sz="4" w:space="0" w:color="auto"/>
              <w:bottom w:val="double" w:sz="4" w:space="0" w:color="auto"/>
              <w:right w:val="double" w:sz="4" w:space="0" w:color="auto"/>
            </w:tcBorders>
            <w:noWrap/>
            <w:tcMar>
              <w:left w:w="58" w:type="dxa"/>
              <w:right w:w="58" w:type="dxa"/>
            </w:tcMar>
            <w:vAlign w:val="center"/>
          </w:tcPr>
          <w:p w14:paraId="04CDD69B" w14:textId="77777777" w:rsidR="008B58C4" w:rsidRPr="000A2A04" w:rsidRDefault="008B58C4" w:rsidP="00EC669E">
            <w:pPr>
              <w:jc w:val="right"/>
              <w:rPr>
                <w:rFonts w:ascii="Times New Roman" w:eastAsia="Times New Roman" w:hAnsi="Times New Roman"/>
                <w:color w:val="000000"/>
                <w:sz w:val="22"/>
                <w:szCs w:val="22"/>
                <w:lang w:eastAsia="ko-KR"/>
              </w:rPr>
            </w:pPr>
            <w:r w:rsidRPr="000A2A04">
              <w:rPr>
                <w:rFonts w:ascii="Times New Roman" w:eastAsia="Times New Roman" w:hAnsi="Times New Roman"/>
                <w:color w:val="000000"/>
                <w:sz w:val="22"/>
                <w:szCs w:val="22"/>
                <w:lang w:eastAsia="ko-KR"/>
              </w:rPr>
              <w:t>100%</w:t>
            </w:r>
          </w:p>
        </w:tc>
      </w:tr>
      <w:bookmarkEnd w:id="2"/>
    </w:tbl>
    <w:p w14:paraId="324C0ED5" w14:textId="77777777" w:rsidR="008B58C4" w:rsidRDefault="008B58C4" w:rsidP="008B58C4">
      <w:pPr>
        <w:jc w:val="both"/>
      </w:pPr>
    </w:p>
    <w:p w14:paraId="2AE1DFDD" w14:textId="77777777" w:rsidR="008B58C4" w:rsidRDefault="008B58C4" w:rsidP="008B58C4">
      <w:pPr>
        <w:keepNext/>
        <w:jc w:val="both"/>
      </w:pPr>
      <w:r>
        <w:rPr>
          <w:noProof/>
        </w:rPr>
        <w:drawing>
          <wp:inline distT="0" distB="0" distL="0" distR="0" wp14:anchorId="6D45F159" wp14:editId="2F48E6E8">
            <wp:extent cx="5943600" cy="2941320"/>
            <wp:effectExtent l="0" t="0" r="0" b="0"/>
            <wp:docPr id="2" name="Picture 2"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943600" cy="2941320"/>
                    </a:xfrm>
                    <a:prstGeom prst="rect">
                      <a:avLst/>
                    </a:prstGeom>
                    <a:noFill/>
                    <a:ln>
                      <a:noFill/>
                    </a:ln>
                  </pic:spPr>
                </pic:pic>
              </a:graphicData>
            </a:graphic>
          </wp:inline>
        </w:drawing>
      </w:r>
    </w:p>
    <w:p w14:paraId="3655FD00" w14:textId="77777777" w:rsidR="008B58C4" w:rsidRPr="004044E2" w:rsidRDefault="008B58C4" w:rsidP="008B58C4">
      <w:pPr>
        <w:jc w:val="center"/>
        <w:rPr>
          <w:rFonts w:ascii="Times New Roman" w:hAnsi="Times New Roman"/>
          <w:b/>
          <w:bCs/>
          <w:szCs w:val="24"/>
        </w:rPr>
      </w:pPr>
      <w:r w:rsidRPr="004044E2">
        <w:rPr>
          <w:rFonts w:ascii="Times New Roman" w:hAnsi="Times New Roman"/>
          <w:b/>
          <w:bCs/>
          <w:szCs w:val="24"/>
        </w:rPr>
        <w:t>Figure 1. Percent of Respondents Selecting Reasons for Increased Pandemic-Era Walking</w:t>
      </w:r>
    </w:p>
    <w:p w14:paraId="1BD7A911" w14:textId="77777777" w:rsidR="008B58C4" w:rsidRPr="004044E2" w:rsidRDefault="008B58C4" w:rsidP="008B58C4">
      <w:pPr>
        <w:jc w:val="both"/>
        <w:rPr>
          <w:rFonts w:ascii="Times New Roman" w:hAnsi="Times New Roman"/>
          <w:b/>
          <w:bCs/>
          <w:szCs w:val="24"/>
        </w:rPr>
      </w:pPr>
    </w:p>
    <w:p w14:paraId="3B7DB044" w14:textId="77777777" w:rsidR="008B58C4" w:rsidRPr="0038441B" w:rsidRDefault="008B58C4" w:rsidP="008B58C4">
      <w:pPr>
        <w:pStyle w:val="Heading1"/>
        <w:spacing w:line="240" w:lineRule="auto"/>
        <w:jc w:val="both"/>
        <w:rPr>
          <w:caps/>
          <w:szCs w:val="24"/>
          <w:lang w:eastAsia="ko-KR"/>
        </w:rPr>
      </w:pPr>
      <w:r w:rsidRPr="0038441B">
        <w:rPr>
          <w:caps/>
          <w:szCs w:val="24"/>
        </w:rPr>
        <w:lastRenderedPageBreak/>
        <w:t>Model Structure and Framework</w:t>
      </w:r>
    </w:p>
    <w:p w14:paraId="5FDFF84B" w14:textId="77777777" w:rsidR="008B58C4" w:rsidRDefault="008B58C4" w:rsidP="008B58C4">
      <w:pPr>
        <w:jc w:val="both"/>
        <w:rPr>
          <w:rFonts w:ascii="Times New Roman" w:hAnsi="Times New Roman"/>
          <w:szCs w:val="24"/>
        </w:rPr>
      </w:pPr>
      <w:r w:rsidRPr="004044E2">
        <w:rPr>
          <w:rFonts w:ascii="Times New Roman" w:hAnsi="Times New Roman"/>
          <w:szCs w:val="24"/>
        </w:rPr>
        <w:t>The structure of the model is shown in Figure 2. The model aims to estimate walking frequency before and after the pandemic, as well as the possible reasons for an increase in walking frequency. The exogenous variables, representing sociodemographic and built environment attributes that influence the outcome variables, are depicted on the left-hand side of Figure 2. The three outcome variables, including the frequency of walking before the COVID-19 pandemic, the frequency of walking after the COVID-19 pandemic, and the reasons for increasing walking after the COVID-19 pandemic, are shown on the right-hand side of Figure 2.</w:t>
      </w:r>
    </w:p>
    <w:p w14:paraId="2E453C0D" w14:textId="77777777" w:rsidR="008B58C4" w:rsidRPr="004044E2" w:rsidRDefault="008B58C4" w:rsidP="008B58C4">
      <w:pPr>
        <w:jc w:val="both"/>
        <w:rPr>
          <w:rFonts w:ascii="Times New Roman" w:hAnsi="Times New Roman"/>
          <w:szCs w:val="24"/>
        </w:rPr>
      </w:pPr>
    </w:p>
    <w:p w14:paraId="311D7A4B" w14:textId="77777777" w:rsidR="008B58C4" w:rsidRPr="004044E2" w:rsidRDefault="008B58C4" w:rsidP="008B58C4">
      <w:pPr>
        <w:jc w:val="both"/>
        <w:rPr>
          <w:rFonts w:ascii="Times New Roman" w:hAnsi="Times New Roman"/>
          <w:szCs w:val="24"/>
        </w:rPr>
      </w:pPr>
      <w:r w:rsidRPr="004044E2">
        <w:rPr>
          <w:rFonts w:ascii="Times New Roman" w:hAnsi="Times New Roman"/>
          <w:b/>
          <w:noProof/>
          <w:szCs w:val="24"/>
        </w:rPr>
        <w:drawing>
          <wp:inline distT="0" distB="0" distL="0" distR="0" wp14:anchorId="1ACF2AA0" wp14:editId="18A2F586">
            <wp:extent cx="5980176" cy="2295144"/>
            <wp:effectExtent l="0" t="0" r="1905" b="0"/>
            <wp:docPr id="1168909497" name="Picture 1168909497"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09497" name="Picture 2" descr="A screenshot of a computer scree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980176" cy="2295144"/>
                    </a:xfrm>
                    <a:prstGeom prst="rect">
                      <a:avLst/>
                    </a:prstGeom>
                  </pic:spPr>
                </pic:pic>
              </a:graphicData>
            </a:graphic>
          </wp:inline>
        </w:drawing>
      </w:r>
    </w:p>
    <w:p w14:paraId="52E9523B" w14:textId="77777777" w:rsidR="008B58C4" w:rsidRPr="004044E2" w:rsidRDefault="008B58C4" w:rsidP="008B58C4">
      <w:pPr>
        <w:spacing w:before="60"/>
        <w:jc w:val="center"/>
        <w:rPr>
          <w:rFonts w:ascii="Times New Roman" w:hAnsi="Times New Roman"/>
          <w:b/>
          <w:bCs/>
          <w:szCs w:val="24"/>
        </w:rPr>
      </w:pPr>
      <w:r w:rsidRPr="004044E2">
        <w:rPr>
          <w:rFonts w:ascii="Times New Roman" w:hAnsi="Times New Roman"/>
          <w:b/>
          <w:bCs/>
          <w:szCs w:val="24"/>
        </w:rPr>
        <w:t>Figure 2. Relationship between Exogenous and Outcome Variables</w:t>
      </w:r>
    </w:p>
    <w:p w14:paraId="5C048A1B" w14:textId="77777777" w:rsidR="008B58C4" w:rsidRPr="004044E2" w:rsidRDefault="008B58C4" w:rsidP="008B58C4">
      <w:pPr>
        <w:jc w:val="both"/>
        <w:rPr>
          <w:rFonts w:ascii="Times New Roman" w:hAnsi="Times New Roman"/>
          <w:szCs w:val="24"/>
        </w:rPr>
      </w:pPr>
    </w:p>
    <w:p w14:paraId="3533247F" w14:textId="6038D2B4" w:rsidR="008B58C4" w:rsidRPr="004044E2" w:rsidRDefault="008B58C4" w:rsidP="008B58C4">
      <w:pPr>
        <w:ind w:firstLine="720"/>
        <w:jc w:val="both"/>
        <w:rPr>
          <w:rFonts w:ascii="Times New Roman" w:eastAsia="Malgun Gothic" w:hAnsi="Times New Roman"/>
          <w:bCs/>
          <w:szCs w:val="24"/>
          <w:lang w:eastAsia="ko-KR"/>
        </w:rPr>
      </w:pPr>
      <w:r w:rsidRPr="004044E2">
        <w:rPr>
          <w:rFonts w:ascii="Times New Roman" w:hAnsi="Times New Roman"/>
          <w:szCs w:val="24"/>
        </w:rPr>
        <w:t>Given that walking frequency was assessed using ordinal variables, as mentioned in the previous section, and considering the expected</w:t>
      </w:r>
      <w:r w:rsidRPr="00341E8E">
        <w:rPr>
          <w:rFonts w:ascii="Times New Roman" w:hAnsi="Times New Roman"/>
        </w:rPr>
        <w:t xml:space="preserve"> correlation between pre-pandemic and post-pandemic walking frequency, we utilize a bivariate ordered response model to estimate this relationship. </w:t>
      </w:r>
      <w:r w:rsidRPr="00341E8E">
        <w:rPr>
          <w:rFonts w:ascii="Times New Roman" w:eastAsia="Malgun Gothic" w:hAnsi="Times New Roman"/>
          <w:bCs/>
          <w:szCs w:val="24"/>
          <w:lang w:eastAsia="ko-KR"/>
        </w:rPr>
        <w:t>Specifically, the underlying latent variables representing walking frequency in the before and after-COVID periods (</w:t>
      </w:r>
      <w:r w:rsidRPr="00341E8E">
        <w:rPr>
          <w:rFonts w:ascii="Times New Roman" w:hAnsi="Times New Roman"/>
        </w:rPr>
        <w:t>the top block in the outcome portion of Figure 2</w:t>
      </w:r>
      <w:r w:rsidRPr="00341E8E">
        <w:rPr>
          <w:rFonts w:ascii="Times New Roman" w:eastAsia="Malgun Gothic" w:hAnsi="Times New Roman"/>
          <w:bCs/>
          <w:szCs w:val="24"/>
          <w:lang w:eastAsia="ko-KR"/>
        </w:rPr>
        <w:t>), and the mapping of these two latent variables to the observed ordinal walking frequency levels, are specified in terms of three effect components: fixed effects, switching effects, and consonance/dissonance effects.</w:t>
      </w:r>
      <w:r w:rsidRPr="00341E8E">
        <w:rPr>
          <w:rFonts w:ascii="Times New Roman" w:hAnsi="Times New Roman"/>
        </w:rPr>
        <w:t xml:space="preserve"> The fixed effect part captures the influence of exogenous variables on the latent propensity of walking frequency, regardless of pandemic effects. In other words, the coefficients associated with the exogenous variables remain the same in both the pre-pandemic and post-pandemic walking frequency models. When only considering the fixed portion of the model, changes in the outcome (i.e., latent propensity) are solely attributed to changes in individual factors (e.g., income) rather than </w:t>
      </w:r>
      <w:r w:rsidRPr="00341E8E">
        <w:rPr>
          <w:rFonts w:ascii="Times New Roman" w:hAnsi="Times New Roman"/>
          <w:i/>
          <w:iCs/>
        </w:rPr>
        <w:t>changes in the effect</w:t>
      </w:r>
      <w:r w:rsidRPr="00341E8E">
        <w:rPr>
          <w:rFonts w:ascii="Times New Roman" w:hAnsi="Times New Roman"/>
        </w:rPr>
        <w:t xml:space="preserve"> of the factors on walking frequency. The second part of the walking frequency model represents the switching effects, which represent the influence of the exogenous variables on the frequency of walking after the pandemic – </w:t>
      </w:r>
      <w:r w:rsidRPr="00341E8E">
        <w:rPr>
          <w:rFonts w:ascii="Times New Roman" w:hAnsi="Times New Roman"/>
          <w:i/>
          <w:iCs/>
        </w:rPr>
        <w:t xml:space="preserve">above and beyond </w:t>
      </w:r>
      <w:r w:rsidRPr="00341E8E">
        <w:rPr>
          <w:rFonts w:ascii="Times New Roman" w:hAnsi="Times New Roman"/>
        </w:rPr>
        <w:t xml:space="preserve">the fixed effects. </w:t>
      </w:r>
      <w:r w:rsidRPr="00341E8E">
        <w:rPr>
          <w:rFonts w:ascii="Times New Roman" w:eastAsia="Malgun Gothic" w:hAnsi="Times New Roman"/>
          <w:bCs/>
          <w:szCs w:val="24"/>
          <w:lang w:eastAsia="ko-KR"/>
        </w:rPr>
        <w:t xml:space="preserve">For a variable for which only the second effect exists, the implication is that the variable does not affect the underlying latent variable characterizing pre-pandemic walking frequency, but does affect the after-COVID walking frequency latent variable. For a variable for which both effects exist, the first component provides the variable effect in the before-COVID period, while the second component provides the variable effect in the after-COVID period. </w:t>
      </w:r>
    </w:p>
    <w:p w14:paraId="060BEB31" w14:textId="77777777" w:rsidR="008B58C4" w:rsidRPr="00341E8E" w:rsidRDefault="008B58C4" w:rsidP="008B58C4">
      <w:pPr>
        <w:ind w:firstLine="720"/>
        <w:jc w:val="both"/>
        <w:rPr>
          <w:rFonts w:ascii="Times New Roman" w:hAnsi="Times New Roman"/>
        </w:rPr>
      </w:pPr>
      <w:r w:rsidRPr="00341E8E">
        <w:rPr>
          <w:rFonts w:ascii="Times New Roman" w:hAnsi="Times New Roman"/>
        </w:rPr>
        <w:t>However, the set of fixed and switching effects</w:t>
      </w:r>
      <w:r w:rsidRPr="00341E8E">
        <w:rPr>
          <w:rFonts w:ascii="Times New Roman" w:eastAsia="Malgun Gothic" w:hAnsi="Times New Roman"/>
          <w:bCs/>
          <w:szCs w:val="24"/>
          <w:lang w:eastAsia="ko-KR"/>
        </w:rPr>
        <w:t>, by themselves,</w:t>
      </w:r>
      <w:r w:rsidRPr="00341E8E">
        <w:rPr>
          <w:rFonts w:ascii="Times New Roman" w:hAnsi="Times New Roman"/>
        </w:rPr>
        <w:t xml:space="preserve"> </w:t>
      </w:r>
      <w:r w:rsidRPr="00341E8E">
        <w:rPr>
          <w:rFonts w:ascii="Times New Roman" w:eastAsia="Malgun Gothic" w:hAnsi="Times New Roman"/>
          <w:bCs/>
          <w:szCs w:val="24"/>
          <w:lang w:eastAsia="ko-KR"/>
        </w:rPr>
        <w:t xml:space="preserve">do not capture the inevitable intrinsic bivariate clustering due to state dependence (or consonance) in walking </w:t>
      </w:r>
      <w:r w:rsidRPr="00341E8E">
        <w:rPr>
          <w:rFonts w:ascii="Times New Roman" w:eastAsia="Malgun Gothic" w:hAnsi="Times New Roman"/>
          <w:bCs/>
          <w:szCs w:val="24"/>
          <w:lang w:eastAsia="ko-KR"/>
        </w:rPr>
        <w:lastRenderedPageBreak/>
        <w:t xml:space="preserve">frequency. </w:t>
      </w:r>
      <w:r w:rsidRPr="00341E8E">
        <w:rPr>
          <w:rFonts w:ascii="Times New Roman" w:hAnsi="Times New Roman"/>
        </w:rPr>
        <w:t xml:space="preserve">That is, the switching effects component can reflect the number of observations walking at each frequency level after COVID (column totals in Table 2) well, but is not able to reflect the bivariate clustering representing consonance (even after allowing for unobserved correlation between walking frequency before and after COVID). </w:t>
      </w:r>
      <w:r w:rsidRPr="00341E8E">
        <w:rPr>
          <w:rFonts w:ascii="Times New Roman" w:eastAsia="Malgun Gothic" w:hAnsi="Times New Roman"/>
          <w:bCs/>
          <w:szCs w:val="24"/>
          <w:lang w:eastAsia="ko-KR"/>
        </w:rPr>
        <w:t>For example, those who never walked in the before-COVID period may “stick” to that behavior in the after-COVID period, and similar effects may exist for the other ordinal walking categories; these are the respondents in the diagonal cells of Table 2. Similarly, intrinsically, it is not very likely that someone who “never” walked in the before-COVID period would start walking “everyday” in the after-COVID period. Such clustering/rare walking frequency combinations would not be adequately recognized by the correlation in the underlying latent variables representing walking frequencies before and after COVID. Therefore, consonance/dissonance effects, the third component of the model, are introduced through the use of threshold shifters to account for specific cross-before and cross-after COVID combinations that are very rare or very likely to occur.</w:t>
      </w:r>
    </w:p>
    <w:p w14:paraId="124A5C1E" w14:textId="7EEEB6FA" w:rsidR="008B58C4" w:rsidRPr="00341E8E" w:rsidRDefault="008B58C4" w:rsidP="008B58C4">
      <w:pPr>
        <w:ind w:firstLine="720"/>
        <w:jc w:val="both"/>
        <w:rPr>
          <w:rFonts w:ascii="Times New Roman" w:hAnsi="Times New Roman"/>
        </w:rPr>
      </w:pPr>
      <w:r w:rsidRPr="00341E8E">
        <w:rPr>
          <w:rFonts w:ascii="Times New Roman" w:hAnsi="Times New Roman"/>
        </w:rPr>
        <w:t xml:space="preserve">The third outcome variable corresponds to the reasons for increased walking after the COVID-19 pandemic (bottom block in the outcome portion of Figure 2). Six reasons were considered in this study (as shown in Figure 1), and individuals are able to select all that apply. Consequently, a multivariate </w:t>
      </w:r>
      <w:proofErr w:type="spellStart"/>
      <w:r w:rsidRPr="00341E8E">
        <w:rPr>
          <w:rFonts w:ascii="Times New Roman" w:hAnsi="Times New Roman"/>
        </w:rPr>
        <w:t>probit</w:t>
      </w:r>
      <w:proofErr w:type="spellEnd"/>
      <w:r w:rsidRPr="00341E8E">
        <w:rPr>
          <w:rFonts w:ascii="Times New Roman" w:hAnsi="Times New Roman"/>
        </w:rPr>
        <w:t xml:space="preserve"> model with six binary dependent variables is formulated for this portion of the study</w:t>
      </w:r>
      <w:r w:rsidRPr="003A0667">
        <w:rPr>
          <w:rFonts w:ascii="Times New Roman" w:hAnsi="Times New Roman"/>
        </w:rPr>
        <w:t xml:space="preserve">. The detailed formulations and estimation process is based on </w:t>
      </w:r>
      <w:bookmarkStart w:id="3" w:name="_Hlk150348076"/>
      <w:r w:rsidRPr="003A0667">
        <w:rPr>
          <w:rFonts w:ascii="Times New Roman" w:hAnsi="Times New Roman"/>
        </w:rPr>
        <w:fldChar w:fldCharType="begin"/>
      </w:r>
      <w:r w:rsidR="00E66090">
        <w:rPr>
          <w:rFonts w:ascii="Times New Roman" w:hAnsi="Times New Roman"/>
        </w:rPr>
        <w:instrText xml:space="preserve"> ADDIN ZOTERO_ITEM CSL_CITATION {"citationID":"9nvfy061","properties":{"formattedCitation":"(Anderson et al., 2023)","plainCitation":"(Anderson et al., 2023)","dontUpdate":true,"noteIndex":0},"citationItems":[{"id":"Fxqj00vV/a9h7sQe4","uris":["http://zotero.org/users/10132210/items/QZLJZGG5"],"itemData":{"id":509,"type":"article-journal","container-title":"Department of Civil, Architectural and Environmental Engineering, The University of Texas at Austin","title":"An Investigation of Dissonance in Telework Frequency","author":[{"family":"Anderson","given":"Samantha M."},{"family":"Asmussen","given":"Katherine E."},{"family":"Saxena","given":"Shobhit"},{"family":"Batur","given":"Irfan"},{"family":"Pendyala","given":"Ram M."},{"family":"Bhat","given":"Chandra R."}],"issued":{"date-parts":[["2023"]]}}}],"schema":"https://github.com/citation-style-language/schema/raw/master/csl-citation.json"} </w:instrText>
      </w:r>
      <w:r w:rsidRPr="003A0667">
        <w:rPr>
          <w:rFonts w:ascii="Times New Roman" w:hAnsi="Times New Roman"/>
        </w:rPr>
        <w:fldChar w:fldCharType="separate"/>
      </w:r>
      <w:r w:rsidRPr="003A0667">
        <w:rPr>
          <w:rFonts w:ascii="Times New Roman" w:hAnsi="Times New Roman"/>
        </w:rPr>
        <w:t>Anderson et al. (2023)</w:t>
      </w:r>
      <w:r w:rsidRPr="003A0667">
        <w:rPr>
          <w:rFonts w:ascii="Times New Roman" w:hAnsi="Times New Roman"/>
        </w:rPr>
        <w:fldChar w:fldCharType="end"/>
      </w:r>
      <w:r w:rsidRPr="003A0667">
        <w:rPr>
          <w:rFonts w:ascii="Times New Roman" w:hAnsi="Times New Roman"/>
        </w:rPr>
        <w:t>.</w:t>
      </w:r>
    </w:p>
    <w:bookmarkEnd w:id="3"/>
    <w:p w14:paraId="49BCAFE8" w14:textId="77777777" w:rsidR="008B58C4" w:rsidRPr="00341E8E" w:rsidRDefault="008B58C4" w:rsidP="008B58C4">
      <w:pPr>
        <w:ind w:firstLine="720"/>
        <w:jc w:val="both"/>
        <w:rPr>
          <w:rFonts w:ascii="Times New Roman" w:hAnsi="Times New Roman"/>
        </w:rPr>
      </w:pPr>
      <w:r w:rsidRPr="00341E8E">
        <w:rPr>
          <w:rFonts w:ascii="Times New Roman" w:hAnsi="Times New Roman"/>
        </w:rPr>
        <w:t xml:space="preserve">In the empirical estimation process, we tested different functional forms and combinations of bracketed and continuous explanatory variables. </w:t>
      </w:r>
      <w:r>
        <w:rPr>
          <w:rFonts w:ascii="Times New Roman" w:hAnsi="Times New Roman"/>
        </w:rPr>
        <w:t xml:space="preserve">The results discussed in the subsequent sections reflect </w:t>
      </w:r>
      <w:r w:rsidRPr="00341E8E">
        <w:rPr>
          <w:rFonts w:ascii="Times New Roman" w:hAnsi="Times New Roman"/>
        </w:rPr>
        <w:t xml:space="preserve">the most effective and efficient </w:t>
      </w:r>
      <w:r>
        <w:rPr>
          <w:rFonts w:ascii="Times New Roman" w:hAnsi="Times New Roman"/>
        </w:rPr>
        <w:t>forms for each variable</w:t>
      </w:r>
      <w:r w:rsidRPr="00341E8E">
        <w:rPr>
          <w:rFonts w:ascii="Times New Roman" w:hAnsi="Times New Roman"/>
        </w:rPr>
        <w:t>. In addition, we tested interaction effects among variables</w:t>
      </w:r>
      <w:r>
        <w:rPr>
          <w:rFonts w:ascii="Times New Roman" w:hAnsi="Times New Roman"/>
        </w:rPr>
        <w:t>, h</w:t>
      </w:r>
      <w:r w:rsidRPr="00341E8E">
        <w:rPr>
          <w:rFonts w:ascii="Times New Roman" w:hAnsi="Times New Roman"/>
        </w:rPr>
        <w:t>owever, none of these were statistically significant</w:t>
      </w:r>
      <w:r>
        <w:rPr>
          <w:rFonts w:ascii="Times New Roman" w:hAnsi="Times New Roman"/>
        </w:rPr>
        <w:t>.</w:t>
      </w:r>
    </w:p>
    <w:p w14:paraId="66B53C48" w14:textId="77777777" w:rsidR="008B58C4" w:rsidRPr="00341E8E" w:rsidRDefault="008B58C4" w:rsidP="008B58C4">
      <w:pPr>
        <w:jc w:val="both"/>
        <w:rPr>
          <w:rFonts w:ascii="Times New Roman" w:hAnsi="Times New Roman"/>
        </w:rPr>
      </w:pPr>
    </w:p>
    <w:p w14:paraId="51D690AA" w14:textId="77777777" w:rsidR="008B58C4" w:rsidRPr="0038441B" w:rsidRDefault="008B58C4" w:rsidP="008B58C4">
      <w:pPr>
        <w:pStyle w:val="Heading1"/>
        <w:spacing w:line="240" w:lineRule="auto"/>
        <w:jc w:val="both"/>
        <w:rPr>
          <w:caps/>
        </w:rPr>
      </w:pPr>
      <w:r w:rsidRPr="0038441B">
        <w:rPr>
          <w:caps/>
        </w:rPr>
        <w:t>Estimation Results for Model of Walking Frequency</w:t>
      </w:r>
    </w:p>
    <w:p w14:paraId="2F78A2EC" w14:textId="4C980744" w:rsidR="008B58C4" w:rsidRPr="00555160" w:rsidRDefault="008B58C4" w:rsidP="008B58C4">
      <w:pPr>
        <w:jc w:val="both"/>
        <w:rPr>
          <w:rFonts w:ascii="Times New Roman" w:eastAsiaTheme="minorEastAsia" w:hAnsi="Times New Roman"/>
          <w:lang w:eastAsia="ko-KR"/>
        </w:rPr>
      </w:pPr>
      <w:r w:rsidRPr="00341E8E">
        <w:rPr>
          <w:rFonts w:ascii="Times New Roman" w:hAnsi="Times New Roman"/>
        </w:rPr>
        <w:t>This section presents model estimation results. The model component corresponding to walking frequency estimation are presented first, while the model component corresponding to reasons for increased walking in the post-pandemic period are presented second.</w:t>
      </w:r>
    </w:p>
    <w:p w14:paraId="420F176B" w14:textId="77777777" w:rsidR="008B58C4" w:rsidRPr="00341E8E" w:rsidRDefault="008B58C4" w:rsidP="008B58C4">
      <w:pPr>
        <w:jc w:val="both"/>
        <w:rPr>
          <w:rFonts w:ascii="Times New Roman" w:hAnsi="Times New Roman"/>
        </w:rPr>
      </w:pPr>
    </w:p>
    <w:p w14:paraId="58023BFC" w14:textId="77777777" w:rsidR="008B58C4" w:rsidRPr="0038441B" w:rsidRDefault="008B58C4" w:rsidP="008B58C4">
      <w:pPr>
        <w:pStyle w:val="Heading2"/>
        <w:spacing w:line="240" w:lineRule="auto"/>
      </w:pPr>
      <w:r w:rsidRPr="0038441B">
        <w:t>Influence of Variables on Walking Frequency</w:t>
      </w:r>
    </w:p>
    <w:p w14:paraId="68C423C3" w14:textId="01C3644B" w:rsidR="008B58C4" w:rsidRDefault="008B58C4" w:rsidP="008B58C4">
      <w:pPr>
        <w:jc w:val="both"/>
        <w:rPr>
          <w:rFonts w:ascii="Times New Roman" w:hAnsi="Times New Roman"/>
        </w:rPr>
      </w:pPr>
      <w:r w:rsidRPr="00341E8E">
        <w:rPr>
          <w:rFonts w:ascii="Times New Roman" w:hAnsi="Times New Roman"/>
        </w:rPr>
        <w:t xml:space="preserve">Table 3 presents the estimation results for the bivariate ordered </w:t>
      </w:r>
      <w:proofErr w:type="spellStart"/>
      <w:r w:rsidRPr="00341E8E">
        <w:rPr>
          <w:rFonts w:ascii="Times New Roman" w:hAnsi="Times New Roman"/>
        </w:rPr>
        <w:t>probit</w:t>
      </w:r>
      <w:proofErr w:type="spellEnd"/>
      <w:r w:rsidRPr="00341E8E">
        <w:rPr>
          <w:rFonts w:ascii="Times New Roman" w:hAnsi="Times New Roman"/>
        </w:rPr>
        <w:t xml:space="preserve"> model representing the fixed and switching effects of exogenous variables on the frequency of walking before and after the COVID-19 pandemic. The column labeled “fixed effect” reflects the effects of the variables on the frequency of walking in general (at any time)</w:t>
      </w:r>
      <w:r w:rsidR="00555160" w:rsidRPr="00341E8E">
        <w:rPr>
          <w:rFonts w:ascii="Times New Roman" w:hAnsi="Times New Roman"/>
        </w:rPr>
        <w:t xml:space="preserve">. </w:t>
      </w:r>
      <w:r w:rsidRPr="00341E8E">
        <w:rPr>
          <w:rFonts w:ascii="Times New Roman" w:hAnsi="Times New Roman"/>
        </w:rPr>
        <w:t>The column labeled “switching effect” corresponds to the change in the effects of exogenous variables following the pandemic</w:t>
      </w:r>
      <w:r w:rsidR="00555160" w:rsidRPr="00341E8E">
        <w:rPr>
          <w:rFonts w:ascii="Times New Roman" w:hAnsi="Times New Roman"/>
        </w:rPr>
        <w:t xml:space="preserve">. </w:t>
      </w:r>
      <w:r w:rsidRPr="00341E8E">
        <w:rPr>
          <w:rFonts w:ascii="Times New Roman" w:hAnsi="Times New Roman"/>
        </w:rPr>
        <w:t xml:space="preserve">Thus, any variable in the table that depicts a fixed </w:t>
      </w:r>
      <w:r w:rsidR="00555160" w:rsidRPr="00341E8E">
        <w:rPr>
          <w:rFonts w:ascii="Times New Roman" w:hAnsi="Times New Roman"/>
        </w:rPr>
        <w:t>effect,</w:t>
      </w:r>
      <w:r w:rsidRPr="00341E8E">
        <w:rPr>
          <w:rFonts w:ascii="Times New Roman" w:hAnsi="Times New Roman"/>
        </w:rPr>
        <w:t xml:space="preserve"> but no additional switching effect has the same effect on walking frequency before and after the pandemic. If a variable depicts a switching effect, it means that the influence of the variable has changed following the pandemic. As discussed previously, various functional forms of explanatory variables were investigated and the final model specification was chosen based on both statistical considerations and behavioral intuitiveness. As such, some variables that are not significant at a 0.05 significance level were retained in the model.</w:t>
      </w:r>
    </w:p>
    <w:p w14:paraId="479CDB49" w14:textId="77777777" w:rsidR="008B58C4" w:rsidRDefault="008B58C4" w:rsidP="008B58C4">
      <w:pPr>
        <w:jc w:val="both"/>
        <w:rPr>
          <w:rFonts w:ascii="Times New Roman" w:hAnsi="Times New Roman"/>
        </w:rPr>
      </w:pPr>
      <w:r w:rsidRPr="00341E8E">
        <w:rPr>
          <w:rFonts w:ascii="Times New Roman" w:hAnsi="Times New Roman"/>
        </w:rPr>
        <w:t xml:space="preserve"> </w:t>
      </w:r>
      <w:r w:rsidRPr="00341E8E">
        <w:rPr>
          <w:rFonts w:ascii="Times New Roman" w:hAnsi="Times New Roman"/>
        </w:rPr>
        <w:tab/>
      </w:r>
    </w:p>
    <w:p w14:paraId="67956B7D" w14:textId="77777777" w:rsidR="008B58C4" w:rsidRDefault="008B58C4" w:rsidP="008B58C4">
      <w:pPr>
        <w:jc w:val="both"/>
        <w:rPr>
          <w:rFonts w:ascii="Times New Roman" w:eastAsiaTheme="minorHAnsi" w:hAnsi="Times New Roman"/>
          <w:b/>
          <w:bCs/>
          <w:noProof/>
          <w:szCs w:val="24"/>
        </w:rPr>
      </w:pPr>
      <w:r>
        <w:rPr>
          <w:rFonts w:ascii="Times New Roman" w:eastAsiaTheme="minorHAnsi" w:hAnsi="Times New Roman"/>
          <w:b/>
          <w:bCs/>
          <w:noProof/>
          <w:szCs w:val="24"/>
        </w:rPr>
        <w:br w:type="page"/>
      </w:r>
    </w:p>
    <w:p w14:paraId="6A4990CB" w14:textId="77777777" w:rsidR="008B58C4" w:rsidRDefault="008B58C4" w:rsidP="008B58C4">
      <w:pPr>
        <w:jc w:val="both"/>
        <w:rPr>
          <w:rFonts w:ascii="Times New Roman" w:eastAsiaTheme="minorHAnsi" w:hAnsi="Times New Roman"/>
          <w:b/>
          <w:bCs/>
          <w:noProof/>
          <w:szCs w:val="24"/>
        </w:rPr>
      </w:pPr>
      <w:r w:rsidRPr="00256ED0">
        <w:rPr>
          <w:rFonts w:ascii="Times New Roman" w:eastAsiaTheme="minorHAnsi" w:hAnsi="Times New Roman"/>
          <w:b/>
          <w:bCs/>
          <w:noProof/>
          <w:szCs w:val="24"/>
        </w:rPr>
        <w:lastRenderedPageBreak/>
        <w:t xml:space="preserve">Table </w:t>
      </w:r>
      <w:r>
        <w:rPr>
          <w:rFonts w:ascii="Times New Roman" w:eastAsiaTheme="minorHAnsi" w:hAnsi="Times New Roman"/>
          <w:b/>
          <w:bCs/>
          <w:noProof/>
          <w:szCs w:val="24"/>
        </w:rPr>
        <w:t xml:space="preserve">3. </w:t>
      </w:r>
      <w:r w:rsidRPr="00BC47E7">
        <w:rPr>
          <w:rFonts w:ascii="Times New Roman" w:eastAsiaTheme="minorHAnsi" w:hAnsi="Times New Roman"/>
          <w:b/>
          <w:bCs/>
          <w:noProof/>
          <w:szCs w:val="24"/>
        </w:rPr>
        <w:t xml:space="preserve">Estimates of Exogeneous Variables on </w:t>
      </w:r>
      <w:r>
        <w:rPr>
          <w:rFonts w:ascii="Times New Roman" w:eastAsiaTheme="minorHAnsi" w:hAnsi="Times New Roman"/>
          <w:b/>
          <w:bCs/>
          <w:noProof/>
          <w:szCs w:val="24"/>
        </w:rPr>
        <w:t>Walking Frequency (N=2,629)</w:t>
      </w:r>
    </w:p>
    <w:tbl>
      <w:tblPr>
        <w:tblW w:w="5000" w:type="pct"/>
        <w:tblCellMar>
          <w:left w:w="0" w:type="dxa"/>
          <w:right w:w="0" w:type="dxa"/>
        </w:tblCellMar>
        <w:tblLook w:val="04A0" w:firstRow="1" w:lastRow="0" w:firstColumn="1" w:lastColumn="0" w:noHBand="0" w:noVBand="1"/>
      </w:tblPr>
      <w:tblGrid>
        <w:gridCol w:w="5016"/>
        <w:gridCol w:w="1075"/>
        <w:gridCol w:w="1075"/>
        <w:gridCol w:w="1075"/>
        <w:gridCol w:w="1073"/>
      </w:tblGrid>
      <w:tr w:rsidR="008B58C4" w:rsidRPr="009148F8" w14:paraId="79727E88" w14:textId="77777777" w:rsidTr="00EC669E">
        <w:trPr>
          <w:trHeight w:val="144"/>
        </w:trPr>
        <w:tc>
          <w:tcPr>
            <w:tcW w:w="2693" w:type="pct"/>
            <w:vMerge w:val="restart"/>
            <w:tcBorders>
              <w:top w:val="single" w:sz="18" w:space="0" w:color="auto"/>
              <w:left w:val="single" w:sz="18" w:space="0" w:color="auto"/>
              <w:right w:val="single" w:sz="12" w:space="0" w:color="auto"/>
            </w:tcBorders>
            <w:tcMar>
              <w:top w:w="30" w:type="dxa"/>
              <w:left w:w="45" w:type="dxa"/>
              <w:bottom w:w="30" w:type="dxa"/>
              <w:right w:w="45" w:type="dxa"/>
            </w:tcMar>
            <w:vAlign w:val="center"/>
            <w:hideMark/>
          </w:tcPr>
          <w:p w14:paraId="2344BBA7" w14:textId="77777777" w:rsidR="008B58C4" w:rsidRPr="009148F8" w:rsidRDefault="008B58C4" w:rsidP="00EC669E">
            <w:pPr>
              <w:jc w:val="both"/>
              <w:rPr>
                <w:rFonts w:ascii="Times New Roman" w:eastAsia="Times New Roman" w:hAnsi="Times New Roman"/>
                <w:b/>
                <w:bCs/>
                <w:sz w:val="20"/>
              </w:rPr>
            </w:pPr>
            <w:r w:rsidRPr="009148F8">
              <w:rPr>
                <w:rFonts w:ascii="Times New Roman" w:eastAsia="Times New Roman" w:hAnsi="Times New Roman"/>
                <w:b/>
                <w:bCs/>
                <w:sz w:val="20"/>
              </w:rPr>
              <w:t xml:space="preserve">Exogenous </w:t>
            </w:r>
            <w:r>
              <w:rPr>
                <w:rFonts w:ascii="Times New Roman" w:eastAsia="Times New Roman" w:hAnsi="Times New Roman"/>
                <w:b/>
                <w:bCs/>
                <w:sz w:val="20"/>
              </w:rPr>
              <w:t>v</w:t>
            </w:r>
            <w:r w:rsidRPr="009148F8">
              <w:rPr>
                <w:rFonts w:ascii="Times New Roman" w:eastAsia="Times New Roman" w:hAnsi="Times New Roman"/>
                <w:b/>
                <w:bCs/>
                <w:sz w:val="20"/>
              </w:rPr>
              <w:t>ariables (</w:t>
            </w:r>
            <w:r>
              <w:rPr>
                <w:rFonts w:ascii="Times New Roman" w:eastAsia="Times New Roman" w:hAnsi="Times New Roman"/>
                <w:b/>
                <w:bCs/>
                <w:sz w:val="20"/>
              </w:rPr>
              <w:t>b</w:t>
            </w:r>
            <w:r w:rsidRPr="009148F8">
              <w:rPr>
                <w:rFonts w:ascii="Times New Roman" w:eastAsia="Times New Roman" w:hAnsi="Times New Roman"/>
                <w:b/>
                <w:bCs/>
                <w:sz w:val="20"/>
              </w:rPr>
              <w:t>ase)</w:t>
            </w:r>
          </w:p>
        </w:tc>
        <w:tc>
          <w:tcPr>
            <w:tcW w:w="1154" w:type="pct"/>
            <w:gridSpan w:val="2"/>
            <w:tcBorders>
              <w:top w:val="single" w:sz="18" w:space="0" w:color="auto"/>
              <w:left w:val="single" w:sz="12" w:space="0" w:color="auto"/>
              <w:bottom w:val="single" w:sz="6" w:space="0" w:color="auto"/>
              <w:right w:val="single" w:sz="12" w:space="0" w:color="auto"/>
            </w:tcBorders>
            <w:tcMar>
              <w:top w:w="30" w:type="dxa"/>
              <w:left w:w="45" w:type="dxa"/>
              <w:bottom w:w="30" w:type="dxa"/>
              <w:right w:w="45" w:type="dxa"/>
            </w:tcMar>
            <w:hideMark/>
          </w:tcPr>
          <w:p w14:paraId="1EDFAB78" w14:textId="77777777" w:rsidR="008B58C4" w:rsidRPr="009148F8" w:rsidRDefault="008B58C4" w:rsidP="00EC669E">
            <w:pPr>
              <w:jc w:val="center"/>
              <w:rPr>
                <w:rFonts w:ascii="Times New Roman" w:eastAsia="Times New Roman" w:hAnsi="Times New Roman"/>
                <w:b/>
                <w:bCs/>
                <w:sz w:val="20"/>
              </w:rPr>
            </w:pPr>
            <w:r w:rsidRPr="009148F8">
              <w:rPr>
                <w:rFonts w:ascii="Times New Roman" w:eastAsia="Times New Roman" w:hAnsi="Times New Roman"/>
                <w:b/>
                <w:bCs/>
                <w:sz w:val="20"/>
              </w:rPr>
              <w:t>Fixed effect</w:t>
            </w:r>
          </w:p>
        </w:tc>
        <w:tc>
          <w:tcPr>
            <w:tcW w:w="1153" w:type="pct"/>
            <w:gridSpan w:val="2"/>
            <w:tcBorders>
              <w:top w:val="single" w:sz="18" w:space="0" w:color="auto"/>
              <w:left w:val="single" w:sz="12" w:space="0" w:color="auto"/>
              <w:bottom w:val="single" w:sz="6" w:space="0" w:color="auto"/>
              <w:right w:val="single" w:sz="18" w:space="0" w:color="auto"/>
            </w:tcBorders>
            <w:tcMar>
              <w:top w:w="30" w:type="dxa"/>
              <w:left w:w="45" w:type="dxa"/>
              <w:bottom w:w="30" w:type="dxa"/>
              <w:right w:w="45" w:type="dxa"/>
            </w:tcMar>
            <w:hideMark/>
          </w:tcPr>
          <w:p w14:paraId="05C1DE1C" w14:textId="77777777" w:rsidR="008B58C4" w:rsidRPr="009148F8" w:rsidRDefault="008B58C4" w:rsidP="00EC669E">
            <w:pPr>
              <w:jc w:val="center"/>
              <w:rPr>
                <w:rFonts w:ascii="Times New Roman" w:eastAsia="Times New Roman" w:hAnsi="Times New Roman"/>
                <w:b/>
                <w:bCs/>
                <w:sz w:val="20"/>
              </w:rPr>
            </w:pPr>
            <w:r w:rsidRPr="009148F8">
              <w:rPr>
                <w:rFonts w:ascii="Times New Roman" w:eastAsia="Times New Roman" w:hAnsi="Times New Roman"/>
                <w:b/>
                <w:bCs/>
                <w:sz w:val="20"/>
              </w:rPr>
              <w:t>Switching effect</w:t>
            </w:r>
          </w:p>
        </w:tc>
      </w:tr>
      <w:tr w:rsidR="008B58C4" w:rsidRPr="009148F8" w14:paraId="522907CB" w14:textId="77777777" w:rsidTr="00EC669E">
        <w:trPr>
          <w:trHeight w:val="144"/>
        </w:trPr>
        <w:tc>
          <w:tcPr>
            <w:tcW w:w="2693" w:type="pct"/>
            <w:vMerge/>
            <w:tcBorders>
              <w:left w:val="single" w:sz="18" w:space="0" w:color="auto"/>
              <w:bottom w:val="single" w:sz="12" w:space="0" w:color="auto"/>
              <w:right w:val="single" w:sz="12" w:space="0" w:color="auto"/>
            </w:tcBorders>
            <w:vAlign w:val="center"/>
            <w:hideMark/>
          </w:tcPr>
          <w:p w14:paraId="386D279C" w14:textId="77777777" w:rsidR="008B58C4" w:rsidRPr="009148F8" w:rsidRDefault="008B58C4" w:rsidP="00EC669E">
            <w:pPr>
              <w:jc w:val="both"/>
              <w:rPr>
                <w:rFonts w:ascii="Times New Roman" w:eastAsia="Times New Roman" w:hAnsi="Times New Roman"/>
                <w:b/>
                <w:bCs/>
                <w:sz w:val="20"/>
              </w:rPr>
            </w:pPr>
          </w:p>
        </w:tc>
        <w:tc>
          <w:tcPr>
            <w:tcW w:w="577" w:type="pct"/>
            <w:tcBorders>
              <w:top w:val="single" w:sz="6" w:space="0" w:color="auto"/>
              <w:left w:val="single" w:sz="12" w:space="0" w:color="auto"/>
              <w:bottom w:val="single" w:sz="12" w:space="0" w:color="auto"/>
              <w:right w:val="single" w:sz="6" w:space="0" w:color="auto"/>
            </w:tcBorders>
            <w:tcMar>
              <w:top w:w="30" w:type="dxa"/>
              <w:left w:w="45" w:type="dxa"/>
              <w:bottom w:w="30" w:type="dxa"/>
              <w:right w:w="45" w:type="dxa"/>
            </w:tcMar>
            <w:hideMark/>
          </w:tcPr>
          <w:p w14:paraId="4E955D6B" w14:textId="77777777" w:rsidR="008B58C4" w:rsidRPr="009148F8" w:rsidRDefault="008B58C4" w:rsidP="00EC669E">
            <w:pPr>
              <w:jc w:val="center"/>
              <w:rPr>
                <w:rFonts w:ascii="Times New Roman" w:eastAsia="Times New Roman" w:hAnsi="Times New Roman"/>
                <w:sz w:val="20"/>
              </w:rPr>
            </w:pPr>
            <w:r w:rsidRPr="009148F8">
              <w:rPr>
                <w:rFonts w:ascii="Times New Roman" w:eastAsia="Times New Roman" w:hAnsi="Times New Roman"/>
                <w:sz w:val="20"/>
              </w:rPr>
              <w:t>Coef.</w:t>
            </w:r>
          </w:p>
        </w:tc>
        <w:tc>
          <w:tcPr>
            <w:tcW w:w="577" w:type="pct"/>
            <w:tcBorders>
              <w:top w:val="single" w:sz="6" w:space="0" w:color="auto"/>
              <w:left w:val="single" w:sz="6" w:space="0" w:color="auto"/>
              <w:bottom w:val="single" w:sz="12" w:space="0" w:color="auto"/>
              <w:right w:val="single" w:sz="12" w:space="0" w:color="auto"/>
            </w:tcBorders>
            <w:tcMar>
              <w:top w:w="30" w:type="dxa"/>
              <w:left w:w="45" w:type="dxa"/>
              <w:bottom w:w="30" w:type="dxa"/>
              <w:right w:w="45" w:type="dxa"/>
            </w:tcMar>
            <w:hideMark/>
          </w:tcPr>
          <w:p w14:paraId="532DB23A" w14:textId="77777777" w:rsidR="008B58C4" w:rsidRPr="009148F8" w:rsidRDefault="008B58C4" w:rsidP="00EC669E">
            <w:pPr>
              <w:jc w:val="center"/>
              <w:rPr>
                <w:rFonts w:ascii="Times New Roman" w:eastAsia="Times New Roman" w:hAnsi="Times New Roman"/>
                <w:sz w:val="20"/>
              </w:rPr>
            </w:pPr>
            <w:r w:rsidRPr="009148F8">
              <w:rPr>
                <w:rFonts w:ascii="Times New Roman" w:eastAsia="Times New Roman" w:hAnsi="Times New Roman"/>
                <w:sz w:val="20"/>
              </w:rPr>
              <w:t>t-stat</w:t>
            </w:r>
          </w:p>
        </w:tc>
        <w:tc>
          <w:tcPr>
            <w:tcW w:w="577" w:type="pct"/>
            <w:tcBorders>
              <w:top w:val="single" w:sz="6" w:space="0" w:color="auto"/>
              <w:left w:val="single" w:sz="12" w:space="0" w:color="auto"/>
              <w:bottom w:val="single" w:sz="12" w:space="0" w:color="auto"/>
              <w:right w:val="single" w:sz="6" w:space="0" w:color="auto"/>
            </w:tcBorders>
            <w:tcMar>
              <w:top w:w="30" w:type="dxa"/>
              <w:left w:w="45" w:type="dxa"/>
              <w:bottom w:w="30" w:type="dxa"/>
              <w:right w:w="45" w:type="dxa"/>
            </w:tcMar>
            <w:hideMark/>
          </w:tcPr>
          <w:p w14:paraId="1B1B4B8A" w14:textId="77777777" w:rsidR="008B58C4" w:rsidRPr="009148F8" w:rsidRDefault="008B58C4" w:rsidP="00EC669E">
            <w:pPr>
              <w:jc w:val="center"/>
              <w:rPr>
                <w:rFonts w:ascii="Times New Roman" w:eastAsia="Times New Roman" w:hAnsi="Times New Roman"/>
                <w:sz w:val="20"/>
              </w:rPr>
            </w:pPr>
            <w:r w:rsidRPr="009148F8">
              <w:rPr>
                <w:rFonts w:ascii="Times New Roman" w:eastAsia="Times New Roman" w:hAnsi="Times New Roman"/>
                <w:sz w:val="20"/>
              </w:rPr>
              <w:t>Coef.</w:t>
            </w:r>
          </w:p>
        </w:tc>
        <w:tc>
          <w:tcPr>
            <w:tcW w:w="576" w:type="pct"/>
            <w:tcBorders>
              <w:top w:val="single" w:sz="6" w:space="0" w:color="auto"/>
              <w:left w:val="single" w:sz="6" w:space="0" w:color="auto"/>
              <w:right w:val="single" w:sz="18" w:space="0" w:color="auto"/>
            </w:tcBorders>
            <w:tcMar>
              <w:top w:w="30" w:type="dxa"/>
              <w:left w:w="45" w:type="dxa"/>
              <w:bottom w:w="30" w:type="dxa"/>
              <w:right w:w="45" w:type="dxa"/>
            </w:tcMar>
            <w:hideMark/>
          </w:tcPr>
          <w:p w14:paraId="012DB944" w14:textId="77777777" w:rsidR="008B58C4" w:rsidRPr="009148F8" w:rsidRDefault="008B58C4" w:rsidP="00EC669E">
            <w:pPr>
              <w:jc w:val="center"/>
              <w:rPr>
                <w:rFonts w:ascii="Times New Roman" w:eastAsia="Times New Roman" w:hAnsi="Times New Roman"/>
                <w:sz w:val="20"/>
              </w:rPr>
            </w:pPr>
            <w:r w:rsidRPr="009148F8">
              <w:rPr>
                <w:rFonts w:ascii="Times New Roman" w:eastAsia="Times New Roman" w:hAnsi="Times New Roman"/>
                <w:sz w:val="20"/>
              </w:rPr>
              <w:t>t-stat</w:t>
            </w:r>
          </w:p>
        </w:tc>
      </w:tr>
      <w:tr w:rsidR="008B58C4" w:rsidRPr="009148F8" w14:paraId="6F325CD2" w14:textId="77777777" w:rsidTr="00EC669E">
        <w:trPr>
          <w:trHeight w:val="144"/>
        </w:trPr>
        <w:tc>
          <w:tcPr>
            <w:tcW w:w="5000" w:type="pct"/>
            <w:gridSpan w:val="5"/>
            <w:tcBorders>
              <w:top w:val="single" w:sz="12" w:space="0" w:color="auto"/>
              <w:left w:val="single" w:sz="18" w:space="0" w:color="auto"/>
              <w:bottom w:val="single" w:sz="12" w:space="0" w:color="auto"/>
              <w:right w:val="single" w:sz="18" w:space="0" w:color="auto"/>
            </w:tcBorders>
            <w:tcMar>
              <w:top w:w="30" w:type="dxa"/>
              <w:left w:w="45" w:type="dxa"/>
              <w:bottom w:w="30" w:type="dxa"/>
              <w:right w:w="45" w:type="dxa"/>
            </w:tcMar>
            <w:vAlign w:val="center"/>
            <w:hideMark/>
          </w:tcPr>
          <w:p w14:paraId="0B1CE964" w14:textId="77777777" w:rsidR="008B58C4" w:rsidRPr="009148F8" w:rsidRDefault="008B58C4" w:rsidP="00EC669E">
            <w:pPr>
              <w:jc w:val="both"/>
              <w:rPr>
                <w:rFonts w:ascii="Times New Roman" w:eastAsia="Times New Roman" w:hAnsi="Times New Roman"/>
                <w:b/>
                <w:bCs/>
                <w:sz w:val="20"/>
              </w:rPr>
            </w:pPr>
            <w:r w:rsidRPr="009148F8">
              <w:rPr>
                <w:rFonts w:ascii="Times New Roman" w:eastAsia="Times New Roman" w:hAnsi="Times New Roman"/>
                <w:b/>
                <w:bCs/>
                <w:sz w:val="20"/>
              </w:rPr>
              <w:t xml:space="preserve">Individual </w:t>
            </w:r>
            <w:r>
              <w:rPr>
                <w:rFonts w:ascii="Times New Roman" w:eastAsia="Times New Roman" w:hAnsi="Times New Roman"/>
                <w:b/>
                <w:bCs/>
                <w:sz w:val="20"/>
              </w:rPr>
              <w:t>c</w:t>
            </w:r>
            <w:r w:rsidRPr="009148F8">
              <w:rPr>
                <w:rFonts w:ascii="Times New Roman" w:eastAsia="Times New Roman" w:hAnsi="Times New Roman"/>
                <w:b/>
                <w:bCs/>
                <w:sz w:val="20"/>
              </w:rPr>
              <w:t>haracteristics</w:t>
            </w:r>
          </w:p>
        </w:tc>
      </w:tr>
      <w:tr w:rsidR="008B58C4" w:rsidRPr="009148F8" w14:paraId="30157AFE" w14:textId="77777777" w:rsidTr="00EC669E">
        <w:trPr>
          <w:trHeight w:val="144"/>
        </w:trPr>
        <w:tc>
          <w:tcPr>
            <w:tcW w:w="5000" w:type="pct"/>
            <w:gridSpan w:val="5"/>
            <w:tcBorders>
              <w:top w:val="single" w:sz="12" w:space="0" w:color="auto"/>
              <w:left w:val="single" w:sz="18" w:space="0" w:color="auto"/>
              <w:right w:val="single" w:sz="18" w:space="0" w:color="auto"/>
            </w:tcBorders>
            <w:tcMar>
              <w:top w:w="30" w:type="dxa"/>
              <w:left w:w="45" w:type="dxa"/>
              <w:bottom w:w="30" w:type="dxa"/>
              <w:right w:w="45" w:type="dxa"/>
            </w:tcMar>
            <w:vAlign w:val="center"/>
            <w:hideMark/>
          </w:tcPr>
          <w:p w14:paraId="7A1FC6AB" w14:textId="77777777" w:rsidR="008B58C4" w:rsidRPr="007044BF" w:rsidRDefault="008B58C4" w:rsidP="00EC669E">
            <w:pPr>
              <w:jc w:val="both"/>
              <w:rPr>
                <w:rFonts w:ascii="Times New Roman" w:eastAsia="Times New Roman" w:hAnsi="Times New Roman"/>
                <w:i/>
                <w:iCs/>
                <w:sz w:val="20"/>
              </w:rPr>
            </w:pPr>
            <w:r w:rsidRPr="007044BF">
              <w:rPr>
                <w:rFonts w:ascii="Times New Roman" w:eastAsia="Times New Roman" w:hAnsi="Times New Roman"/>
                <w:i/>
                <w:iCs/>
                <w:sz w:val="20"/>
              </w:rPr>
              <w:t>Age (under 29 years old)</w:t>
            </w:r>
          </w:p>
        </w:tc>
      </w:tr>
      <w:tr w:rsidR="008B58C4" w:rsidRPr="009148F8" w14:paraId="3432B926" w14:textId="77777777" w:rsidTr="00EC669E">
        <w:trPr>
          <w:trHeight w:val="144"/>
        </w:trPr>
        <w:tc>
          <w:tcPr>
            <w:tcW w:w="2693" w:type="pct"/>
            <w:tcBorders>
              <w:top w:val="single" w:sz="6" w:space="0" w:color="auto"/>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hideMark/>
          </w:tcPr>
          <w:p w14:paraId="431C3944"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30</w:t>
            </w:r>
            <w:r>
              <w:rPr>
                <w:rFonts w:ascii="Times New Roman" w:eastAsia="Times New Roman" w:hAnsi="Times New Roman"/>
                <w:sz w:val="20"/>
              </w:rPr>
              <w:t xml:space="preserve"> to </w:t>
            </w:r>
            <w:r w:rsidRPr="009148F8">
              <w:rPr>
                <w:rFonts w:ascii="Times New Roman" w:eastAsia="Times New Roman" w:hAnsi="Times New Roman"/>
                <w:sz w:val="20"/>
              </w:rPr>
              <w:t>49</w:t>
            </w:r>
            <w:r>
              <w:rPr>
                <w:rFonts w:ascii="Times New Roman" w:eastAsia="Times New Roman" w:hAnsi="Times New Roman"/>
                <w:sz w:val="20"/>
              </w:rPr>
              <w:t xml:space="preserve"> years</w:t>
            </w:r>
          </w:p>
        </w:tc>
        <w:tc>
          <w:tcPr>
            <w:tcW w:w="577" w:type="pct"/>
            <w:tcBorders>
              <w:top w:val="single" w:sz="6" w:space="0" w:color="auto"/>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2CCDBB1F"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-0.245</w:t>
            </w:r>
          </w:p>
        </w:tc>
        <w:tc>
          <w:tcPr>
            <w:tcW w:w="577" w:type="pct"/>
            <w:tcBorders>
              <w:top w:val="single" w:sz="6" w:space="0" w:color="auto"/>
              <w:left w:val="single" w:sz="6" w:space="0" w:color="auto"/>
              <w:bottom w:val="dashSmallGap" w:sz="4" w:space="0" w:color="595959" w:themeColor="text1" w:themeTint="A6"/>
              <w:right w:val="single" w:sz="12" w:space="0" w:color="auto"/>
            </w:tcBorders>
            <w:tcMar>
              <w:top w:w="30" w:type="dxa"/>
              <w:left w:w="45" w:type="dxa"/>
              <w:bottom w:w="30" w:type="dxa"/>
              <w:right w:w="45" w:type="dxa"/>
            </w:tcMar>
            <w:hideMark/>
          </w:tcPr>
          <w:p w14:paraId="6B9070CC"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-2.77</w:t>
            </w:r>
          </w:p>
        </w:tc>
        <w:tc>
          <w:tcPr>
            <w:tcW w:w="577" w:type="pct"/>
            <w:tcBorders>
              <w:top w:val="single" w:sz="6" w:space="0" w:color="auto"/>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1F442877"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6" w:type="pct"/>
            <w:tcBorders>
              <w:top w:val="single" w:sz="6" w:space="0" w:color="auto"/>
              <w:left w:val="single" w:sz="6" w:space="0" w:color="auto"/>
              <w:bottom w:val="dashSmallGap" w:sz="4" w:space="0" w:color="595959" w:themeColor="text1" w:themeTint="A6"/>
              <w:right w:val="single" w:sz="18" w:space="0" w:color="auto"/>
            </w:tcBorders>
            <w:tcMar>
              <w:top w:w="30" w:type="dxa"/>
              <w:left w:w="45" w:type="dxa"/>
              <w:bottom w:w="30" w:type="dxa"/>
              <w:right w:w="45" w:type="dxa"/>
            </w:tcMar>
            <w:hideMark/>
          </w:tcPr>
          <w:p w14:paraId="14D11581"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r>
      <w:tr w:rsidR="008B58C4" w:rsidRPr="009148F8" w14:paraId="2EA9A255" w14:textId="77777777" w:rsidTr="00EC669E">
        <w:trPr>
          <w:trHeight w:val="144"/>
        </w:trPr>
        <w:tc>
          <w:tcPr>
            <w:tcW w:w="2693" w:type="pct"/>
            <w:tcBorders>
              <w:top w:val="dashSmallGap" w:sz="4" w:space="0" w:color="595959" w:themeColor="text1" w:themeTint="A6"/>
              <w:left w:val="single" w:sz="18" w:space="0" w:color="auto"/>
              <w:bottom w:val="single" w:sz="6" w:space="0" w:color="auto"/>
              <w:right w:val="single" w:sz="12" w:space="0" w:color="auto"/>
            </w:tcBorders>
            <w:tcMar>
              <w:top w:w="30" w:type="dxa"/>
              <w:left w:w="45" w:type="dxa"/>
              <w:bottom w:w="30" w:type="dxa"/>
              <w:right w:w="45" w:type="dxa"/>
            </w:tcMar>
            <w:vAlign w:val="center"/>
            <w:hideMark/>
          </w:tcPr>
          <w:p w14:paraId="18F5C4FE"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50</w:t>
            </w:r>
            <w:r>
              <w:rPr>
                <w:rFonts w:ascii="Times New Roman" w:eastAsia="Times New Roman" w:hAnsi="Times New Roman"/>
                <w:sz w:val="20"/>
              </w:rPr>
              <w:t xml:space="preserve"> years</w:t>
            </w:r>
            <w:r w:rsidRPr="009148F8">
              <w:rPr>
                <w:rFonts w:ascii="Times New Roman" w:eastAsia="Times New Roman" w:hAnsi="Times New Roman"/>
                <w:sz w:val="20"/>
              </w:rPr>
              <w:t xml:space="preserve"> or older</w:t>
            </w:r>
          </w:p>
        </w:tc>
        <w:tc>
          <w:tcPr>
            <w:tcW w:w="577" w:type="pct"/>
            <w:tcBorders>
              <w:top w:val="dashSmallGap" w:sz="4" w:space="0" w:color="595959" w:themeColor="text1" w:themeTint="A6"/>
              <w:left w:val="single" w:sz="12" w:space="0" w:color="auto"/>
              <w:bottom w:val="single" w:sz="6" w:space="0" w:color="auto"/>
              <w:right w:val="single" w:sz="6" w:space="0" w:color="auto"/>
            </w:tcBorders>
            <w:tcMar>
              <w:top w:w="30" w:type="dxa"/>
              <w:left w:w="45" w:type="dxa"/>
              <w:bottom w:w="30" w:type="dxa"/>
              <w:right w:w="45" w:type="dxa"/>
            </w:tcMar>
            <w:hideMark/>
          </w:tcPr>
          <w:p w14:paraId="2793041D"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-0.106</w:t>
            </w:r>
          </w:p>
        </w:tc>
        <w:tc>
          <w:tcPr>
            <w:tcW w:w="577" w:type="pct"/>
            <w:tcBorders>
              <w:top w:val="dashSmallGap" w:sz="4" w:space="0" w:color="595959" w:themeColor="text1" w:themeTint="A6"/>
              <w:left w:val="single" w:sz="6" w:space="0" w:color="auto"/>
              <w:bottom w:val="single" w:sz="6" w:space="0" w:color="auto"/>
              <w:right w:val="single" w:sz="12" w:space="0" w:color="auto"/>
            </w:tcBorders>
            <w:tcMar>
              <w:top w:w="30" w:type="dxa"/>
              <w:left w:w="45" w:type="dxa"/>
              <w:bottom w:w="30" w:type="dxa"/>
              <w:right w:w="45" w:type="dxa"/>
            </w:tcMar>
            <w:hideMark/>
          </w:tcPr>
          <w:p w14:paraId="4E119D15"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-1.26</w:t>
            </w:r>
          </w:p>
        </w:tc>
        <w:tc>
          <w:tcPr>
            <w:tcW w:w="577" w:type="pct"/>
            <w:tcBorders>
              <w:top w:val="dashSmallGap" w:sz="4" w:space="0" w:color="595959" w:themeColor="text1" w:themeTint="A6"/>
              <w:left w:val="single" w:sz="12" w:space="0" w:color="auto"/>
              <w:bottom w:val="single" w:sz="6" w:space="0" w:color="auto"/>
              <w:right w:val="single" w:sz="6" w:space="0" w:color="auto"/>
            </w:tcBorders>
            <w:tcMar>
              <w:top w:w="30" w:type="dxa"/>
              <w:left w:w="45" w:type="dxa"/>
              <w:bottom w:w="30" w:type="dxa"/>
              <w:right w:w="45" w:type="dxa"/>
            </w:tcMar>
            <w:hideMark/>
          </w:tcPr>
          <w:p w14:paraId="14C41296"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-0.0</w:t>
            </w:r>
            <w:r>
              <w:rPr>
                <w:rFonts w:ascii="Times New Roman" w:eastAsia="Times New Roman" w:hAnsi="Times New Roman"/>
                <w:sz w:val="20"/>
              </w:rPr>
              <w:t>6</w:t>
            </w:r>
          </w:p>
        </w:tc>
        <w:tc>
          <w:tcPr>
            <w:tcW w:w="576" w:type="pct"/>
            <w:tcBorders>
              <w:top w:val="dashSmallGap" w:sz="4" w:space="0" w:color="595959" w:themeColor="text1" w:themeTint="A6"/>
              <w:left w:val="single" w:sz="6" w:space="0" w:color="auto"/>
              <w:right w:val="single" w:sz="18" w:space="0" w:color="auto"/>
            </w:tcBorders>
            <w:tcMar>
              <w:top w:w="30" w:type="dxa"/>
              <w:left w:w="45" w:type="dxa"/>
              <w:bottom w:w="30" w:type="dxa"/>
              <w:right w:w="45" w:type="dxa"/>
            </w:tcMar>
            <w:hideMark/>
          </w:tcPr>
          <w:p w14:paraId="4109C3CF"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-1.17</w:t>
            </w:r>
          </w:p>
        </w:tc>
      </w:tr>
      <w:tr w:rsidR="008B58C4" w:rsidRPr="009148F8" w14:paraId="7D99137A" w14:textId="77777777" w:rsidTr="00EC669E">
        <w:trPr>
          <w:trHeight w:val="144"/>
        </w:trPr>
        <w:tc>
          <w:tcPr>
            <w:tcW w:w="5000" w:type="pct"/>
            <w:gridSpan w:val="5"/>
            <w:tcBorders>
              <w:top w:val="single" w:sz="6" w:space="0" w:color="auto"/>
              <w:left w:val="single" w:sz="18" w:space="0" w:color="auto"/>
              <w:bottom w:val="single" w:sz="6" w:space="0" w:color="auto"/>
              <w:right w:val="single" w:sz="18" w:space="0" w:color="auto"/>
            </w:tcBorders>
            <w:tcMar>
              <w:top w:w="30" w:type="dxa"/>
              <w:left w:w="45" w:type="dxa"/>
              <w:bottom w:w="30" w:type="dxa"/>
              <w:right w:w="45" w:type="dxa"/>
            </w:tcMar>
            <w:vAlign w:val="center"/>
            <w:hideMark/>
          </w:tcPr>
          <w:p w14:paraId="3CC57151" w14:textId="77777777" w:rsidR="008B58C4" w:rsidRPr="007044BF" w:rsidRDefault="008B58C4" w:rsidP="00EC669E">
            <w:pPr>
              <w:jc w:val="both"/>
              <w:rPr>
                <w:rFonts w:ascii="Times New Roman" w:eastAsia="Times New Roman" w:hAnsi="Times New Roman"/>
                <w:i/>
                <w:iCs/>
                <w:sz w:val="20"/>
              </w:rPr>
            </w:pPr>
            <w:r w:rsidRPr="007044BF">
              <w:rPr>
                <w:rFonts w:ascii="Times New Roman" w:eastAsia="Times New Roman" w:hAnsi="Times New Roman"/>
                <w:i/>
                <w:iCs/>
                <w:sz w:val="20"/>
              </w:rPr>
              <w:t>Gender (male)</w:t>
            </w:r>
          </w:p>
        </w:tc>
      </w:tr>
      <w:tr w:rsidR="008B58C4" w:rsidRPr="009148F8" w14:paraId="7A55C374" w14:textId="77777777" w:rsidTr="00EC669E">
        <w:trPr>
          <w:trHeight w:val="144"/>
        </w:trPr>
        <w:tc>
          <w:tcPr>
            <w:tcW w:w="2693" w:type="pct"/>
            <w:tcBorders>
              <w:top w:val="single" w:sz="6" w:space="0" w:color="auto"/>
              <w:left w:val="single" w:sz="18" w:space="0" w:color="auto"/>
              <w:bottom w:val="single" w:sz="6" w:space="0" w:color="auto"/>
              <w:right w:val="single" w:sz="12" w:space="0" w:color="auto"/>
            </w:tcBorders>
            <w:tcMar>
              <w:top w:w="30" w:type="dxa"/>
              <w:left w:w="45" w:type="dxa"/>
              <w:bottom w:w="30" w:type="dxa"/>
              <w:right w:w="45" w:type="dxa"/>
            </w:tcMar>
            <w:vAlign w:val="center"/>
            <w:hideMark/>
          </w:tcPr>
          <w:p w14:paraId="748D3477"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Female</w:t>
            </w:r>
          </w:p>
        </w:tc>
        <w:tc>
          <w:tcPr>
            <w:tcW w:w="577" w:type="pct"/>
            <w:tcBorders>
              <w:top w:val="single" w:sz="6" w:space="0" w:color="auto"/>
              <w:left w:val="single" w:sz="12" w:space="0" w:color="auto"/>
              <w:bottom w:val="single" w:sz="6" w:space="0" w:color="auto"/>
              <w:right w:val="single" w:sz="6" w:space="0" w:color="auto"/>
            </w:tcBorders>
            <w:tcMar>
              <w:top w:w="30" w:type="dxa"/>
              <w:left w:w="45" w:type="dxa"/>
              <w:bottom w:w="30" w:type="dxa"/>
              <w:right w:w="45" w:type="dxa"/>
            </w:tcMar>
            <w:hideMark/>
          </w:tcPr>
          <w:p w14:paraId="6822B0E4"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-0.164</w:t>
            </w:r>
          </w:p>
        </w:tc>
        <w:tc>
          <w:tcPr>
            <w:tcW w:w="577" w:type="pct"/>
            <w:tcBorders>
              <w:top w:val="single" w:sz="6" w:space="0" w:color="auto"/>
              <w:left w:val="single" w:sz="6" w:space="0" w:color="auto"/>
              <w:bottom w:val="single" w:sz="6" w:space="0" w:color="auto"/>
              <w:right w:val="single" w:sz="12" w:space="0" w:color="auto"/>
            </w:tcBorders>
            <w:tcMar>
              <w:top w:w="30" w:type="dxa"/>
              <w:left w:w="45" w:type="dxa"/>
              <w:bottom w:w="30" w:type="dxa"/>
              <w:right w:w="45" w:type="dxa"/>
            </w:tcMar>
            <w:hideMark/>
          </w:tcPr>
          <w:p w14:paraId="15E8F7D1"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-4.33</w:t>
            </w:r>
          </w:p>
        </w:tc>
        <w:tc>
          <w:tcPr>
            <w:tcW w:w="577" w:type="pct"/>
            <w:tcBorders>
              <w:top w:val="single" w:sz="6" w:space="0" w:color="auto"/>
              <w:left w:val="single" w:sz="12" w:space="0" w:color="auto"/>
              <w:bottom w:val="single" w:sz="6" w:space="0" w:color="auto"/>
              <w:right w:val="single" w:sz="6" w:space="0" w:color="auto"/>
            </w:tcBorders>
            <w:tcMar>
              <w:top w:w="30" w:type="dxa"/>
              <w:left w:w="45" w:type="dxa"/>
              <w:bottom w:w="30" w:type="dxa"/>
              <w:right w:w="45" w:type="dxa"/>
            </w:tcMar>
            <w:hideMark/>
          </w:tcPr>
          <w:p w14:paraId="2577D05D"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6" w:type="pct"/>
            <w:tcBorders>
              <w:top w:val="single" w:sz="6" w:space="0" w:color="auto"/>
              <w:left w:val="single" w:sz="6" w:space="0" w:color="auto"/>
              <w:right w:val="single" w:sz="18" w:space="0" w:color="auto"/>
            </w:tcBorders>
            <w:tcMar>
              <w:top w:w="30" w:type="dxa"/>
              <w:left w:w="45" w:type="dxa"/>
              <w:bottom w:w="30" w:type="dxa"/>
              <w:right w:w="45" w:type="dxa"/>
            </w:tcMar>
            <w:hideMark/>
          </w:tcPr>
          <w:p w14:paraId="0081458C"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r>
      <w:tr w:rsidR="008B58C4" w:rsidRPr="009148F8" w14:paraId="51B510FF" w14:textId="77777777" w:rsidTr="00EC669E">
        <w:trPr>
          <w:trHeight w:val="144"/>
        </w:trPr>
        <w:tc>
          <w:tcPr>
            <w:tcW w:w="5000" w:type="pct"/>
            <w:gridSpan w:val="5"/>
            <w:tcBorders>
              <w:top w:val="single" w:sz="6" w:space="0" w:color="auto"/>
              <w:left w:val="single" w:sz="18" w:space="0" w:color="auto"/>
              <w:bottom w:val="single" w:sz="6" w:space="0" w:color="auto"/>
              <w:right w:val="single" w:sz="18" w:space="0" w:color="auto"/>
            </w:tcBorders>
            <w:tcMar>
              <w:top w:w="30" w:type="dxa"/>
              <w:left w:w="45" w:type="dxa"/>
              <w:bottom w:w="30" w:type="dxa"/>
              <w:right w:w="45" w:type="dxa"/>
            </w:tcMar>
            <w:vAlign w:val="center"/>
            <w:hideMark/>
          </w:tcPr>
          <w:p w14:paraId="473830CD" w14:textId="77777777" w:rsidR="008B58C4" w:rsidRPr="007044BF" w:rsidRDefault="008B58C4" w:rsidP="00EC669E">
            <w:pPr>
              <w:jc w:val="both"/>
              <w:rPr>
                <w:rFonts w:ascii="Times New Roman" w:eastAsia="Times New Roman" w:hAnsi="Times New Roman"/>
                <w:i/>
                <w:iCs/>
                <w:sz w:val="20"/>
              </w:rPr>
            </w:pPr>
            <w:r w:rsidRPr="007044BF">
              <w:rPr>
                <w:rFonts w:ascii="Times New Roman" w:eastAsia="Times New Roman" w:hAnsi="Times New Roman"/>
                <w:i/>
                <w:iCs/>
                <w:sz w:val="20"/>
              </w:rPr>
              <w:t>Education level (high school or lower)</w:t>
            </w:r>
          </w:p>
        </w:tc>
      </w:tr>
      <w:tr w:rsidR="008B58C4" w:rsidRPr="009148F8" w14:paraId="67D46054" w14:textId="77777777" w:rsidTr="00EC669E">
        <w:trPr>
          <w:trHeight w:val="144"/>
        </w:trPr>
        <w:tc>
          <w:tcPr>
            <w:tcW w:w="2693" w:type="pct"/>
            <w:tcBorders>
              <w:top w:val="single" w:sz="6" w:space="0" w:color="auto"/>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hideMark/>
          </w:tcPr>
          <w:p w14:paraId="2A59EF63"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Bachelor</w:t>
            </w:r>
            <w:r>
              <w:rPr>
                <w:rFonts w:ascii="Times New Roman" w:eastAsia="Times New Roman" w:hAnsi="Times New Roman"/>
                <w:sz w:val="20"/>
              </w:rPr>
              <w:t>’s</w:t>
            </w:r>
            <w:r w:rsidRPr="009148F8">
              <w:rPr>
                <w:rFonts w:ascii="Times New Roman" w:eastAsia="Times New Roman" w:hAnsi="Times New Roman"/>
                <w:sz w:val="20"/>
              </w:rPr>
              <w:t xml:space="preserve"> or some college</w:t>
            </w:r>
          </w:p>
        </w:tc>
        <w:tc>
          <w:tcPr>
            <w:tcW w:w="577" w:type="pct"/>
            <w:tcBorders>
              <w:top w:val="single" w:sz="6" w:space="0" w:color="auto"/>
              <w:left w:val="single" w:sz="12" w:space="0" w:color="auto"/>
              <w:bottom w:val="dashSmallGap" w:sz="4" w:space="0" w:color="595959" w:themeColor="text1" w:themeTint="A6"/>
              <w:right w:val="dashSmallGap" w:sz="4" w:space="0" w:color="595959" w:themeColor="text1" w:themeTint="A6"/>
            </w:tcBorders>
            <w:tcMar>
              <w:top w:w="30" w:type="dxa"/>
              <w:left w:w="45" w:type="dxa"/>
              <w:bottom w:w="30" w:type="dxa"/>
              <w:right w:w="45" w:type="dxa"/>
            </w:tcMar>
            <w:hideMark/>
          </w:tcPr>
          <w:p w14:paraId="57418041"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0.267</w:t>
            </w:r>
          </w:p>
        </w:tc>
        <w:tc>
          <w:tcPr>
            <w:tcW w:w="577" w:type="pct"/>
            <w:tcBorders>
              <w:top w:val="single" w:sz="6" w:space="0" w:color="auto"/>
              <w:left w:val="dashSmallGap" w:sz="4" w:space="0" w:color="595959" w:themeColor="text1" w:themeTint="A6"/>
              <w:bottom w:val="dashSmallGap" w:sz="4" w:space="0" w:color="595959" w:themeColor="text1" w:themeTint="A6"/>
              <w:right w:val="single" w:sz="12" w:space="0" w:color="auto"/>
            </w:tcBorders>
            <w:tcMar>
              <w:top w:w="30" w:type="dxa"/>
              <w:left w:w="45" w:type="dxa"/>
              <w:bottom w:w="30" w:type="dxa"/>
              <w:right w:w="45" w:type="dxa"/>
            </w:tcMar>
            <w:hideMark/>
          </w:tcPr>
          <w:p w14:paraId="06E22EE9"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4.69</w:t>
            </w:r>
          </w:p>
        </w:tc>
        <w:tc>
          <w:tcPr>
            <w:tcW w:w="577" w:type="pct"/>
            <w:tcBorders>
              <w:top w:val="single" w:sz="6" w:space="0" w:color="auto"/>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2E2E4656"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6" w:type="pct"/>
            <w:tcBorders>
              <w:top w:val="single" w:sz="6" w:space="0" w:color="auto"/>
              <w:left w:val="single" w:sz="6" w:space="0" w:color="auto"/>
              <w:bottom w:val="dashSmallGap" w:sz="4" w:space="0" w:color="595959" w:themeColor="text1" w:themeTint="A6"/>
              <w:right w:val="single" w:sz="18" w:space="0" w:color="auto"/>
            </w:tcBorders>
            <w:tcMar>
              <w:top w:w="30" w:type="dxa"/>
              <w:left w:w="45" w:type="dxa"/>
              <w:bottom w:w="30" w:type="dxa"/>
              <w:right w:w="45" w:type="dxa"/>
            </w:tcMar>
            <w:hideMark/>
          </w:tcPr>
          <w:p w14:paraId="404D12BB"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r>
      <w:tr w:rsidR="008B58C4" w:rsidRPr="009148F8" w14:paraId="0D29A920" w14:textId="77777777" w:rsidTr="00EC669E">
        <w:trPr>
          <w:trHeight w:val="144"/>
        </w:trPr>
        <w:tc>
          <w:tcPr>
            <w:tcW w:w="2693" w:type="pct"/>
            <w:tcBorders>
              <w:top w:val="dashSmallGap" w:sz="4" w:space="0" w:color="595959" w:themeColor="text1" w:themeTint="A6"/>
              <w:left w:val="single" w:sz="18" w:space="0" w:color="auto"/>
              <w:bottom w:val="single" w:sz="12" w:space="0" w:color="auto"/>
              <w:right w:val="single" w:sz="12" w:space="0" w:color="auto"/>
            </w:tcBorders>
            <w:tcMar>
              <w:top w:w="30" w:type="dxa"/>
              <w:left w:w="45" w:type="dxa"/>
              <w:bottom w:w="30" w:type="dxa"/>
              <w:right w:w="45" w:type="dxa"/>
            </w:tcMar>
            <w:vAlign w:val="center"/>
            <w:hideMark/>
          </w:tcPr>
          <w:p w14:paraId="598072E5" w14:textId="77777777" w:rsidR="008B58C4" w:rsidRPr="009148F8" w:rsidRDefault="008B58C4" w:rsidP="00EC669E">
            <w:pPr>
              <w:ind w:left="144"/>
              <w:jc w:val="both"/>
              <w:rPr>
                <w:rFonts w:ascii="Times New Roman" w:eastAsia="Times New Roman" w:hAnsi="Times New Roman"/>
                <w:sz w:val="20"/>
              </w:rPr>
            </w:pPr>
            <w:r>
              <w:rPr>
                <w:rFonts w:ascii="Times New Roman" w:eastAsia="Times New Roman" w:hAnsi="Times New Roman"/>
                <w:sz w:val="20"/>
              </w:rPr>
              <w:t>Graduate degree(s)</w:t>
            </w:r>
          </w:p>
        </w:tc>
        <w:tc>
          <w:tcPr>
            <w:tcW w:w="577" w:type="pct"/>
            <w:tcBorders>
              <w:top w:val="dashSmallGap" w:sz="4" w:space="0" w:color="595959" w:themeColor="text1" w:themeTint="A6"/>
              <w:left w:val="single" w:sz="12" w:space="0" w:color="auto"/>
              <w:bottom w:val="single" w:sz="12" w:space="0" w:color="auto"/>
              <w:right w:val="single" w:sz="6" w:space="0" w:color="auto"/>
            </w:tcBorders>
            <w:tcMar>
              <w:top w:w="30" w:type="dxa"/>
              <w:left w:w="45" w:type="dxa"/>
              <w:bottom w:w="30" w:type="dxa"/>
              <w:right w:w="45" w:type="dxa"/>
            </w:tcMar>
            <w:hideMark/>
          </w:tcPr>
          <w:p w14:paraId="2FC4A91D"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0.354</w:t>
            </w:r>
          </w:p>
        </w:tc>
        <w:tc>
          <w:tcPr>
            <w:tcW w:w="577" w:type="pct"/>
            <w:tcBorders>
              <w:top w:val="dashSmallGap" w:sz="4" w:space="0" w:color="595959" w:themeColor="text1" w:themeTint="A6"/>
              <w:left w:val="single" w:sz="6" w:space="0" w:color="auto"/>
              <w:bottom w:val="single" w:sz="12" w:space="0" w:color="auto"/>
              <w:right w:val="single" w:sz="12" w:space="0" w:color="auto"/>
            </w:tcBorders>
            <w:tcMar>
              <w:top w:w="30" w:type="dxa"/>
              <w:left w:w="45" w:type="dxa"/>
              <w:bottom w:w="30" w:type="dxa"/>
              <w:right w:w="45" w:type="dxa"/>
            </w:tcMar>
            <w:hideMark/>
          </w:tcPr>
          <w:p w14:paraId="269882EC"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4.99</w:t>
            </w:r>
          </w:p>
        </w:tc>
        <w:tc>
          <w:tcPr>
            <w:tcW w:w="577" w:type="pct"/>
            <w:tcBorders>
              <w:top w:val="dashSmallGap" w:sz="4" w:space="0" w:color="595959" w:themeColor="text1" w:themeTint="A6"/>
              <w:left w:val="single" w:sz="12" w:space="0" w:color="auto"/>
              <w:bottom w:val="single" w:sz="12" w:space="0" w:color="auto"/>
              <w:right w:val="single" w:sz="6" w:space="0" w:color="auto"/>
            </w:tcBorders>
            <w:tcMar>
              <w:top w:w="30" w:type="dxa"/>
              <w:left w:w="45" w:type="dxa"/>
              <w:bottom w:w="30" w:type="dxa"/>
              <w:right w:w="45" w:type="dxa"/>
            </w:tcMar>
            <w:hideMark/>
          </w:tcPr>
          <w:p w14:paraId="43E352DA"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0.2</w:t>
            </w:r>
            <w:r>
              <w:rPr>
                <w:rFonts w:ascii="Times New Roman" w:eastAsia="Times New Roman" w:hAnsi="Times New Roman"/>
                <w:sz w:val="20"/>
              </w:rPr>
              <w:t>5</w:t>
            </w:r>
          </w:p>
        </w:tc>
        <w:tc>
          <w:tcPr>
            <w:tcW w:w="576" w:type="pct"/>
            <w:tcBorders>
              <w:top w:val="dashSmallGap" w:sz="4" w:space="0" w:color="595959" w:themeColor="text1" w:themeTint="A6"/>
              <w:left w:val="single" w:sz="6" w:space="0" w:color="auto"/>
              <w:bottom w:val="single" w:sz="12" w:space="0" w:color="auto"/>
              <w:right w:val="single" w:sz="18" w:space="0" w:color="auto"/>
            </w:tcBorders>
            <w:tcMar>
              <w:top w:w="30" w:type="dxa"/>
              <w:left w:w="45" w:type="dxa"/>
              <w:bottom w:w="30" w:type="dxa"/>
              <w:right w:w="45" w:type="dxa"/>
            </w:tcMar>
            <w:hideMark/>
          </w:tcPr>
          <w:p w14:paraId="02EE5B1A"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4.18</w:t>
            </w:r>
          </w:p>
        </w:tc>
      </w:tr>
      <w:tr w:rsidR="008B58C4" w:rsidRPr="009148F8" w14:paraId="35FD566A" w14:textId="77777777" w:rsidTr="00EC669E">
        <w:trPr>
          <w:trHeight w:val="144"/>
        </w:trPr>
        <w:tc>
          <w:tcPr>
            <w:tcW w:w="5000" w:type="pct"/>
            <w:gridSpan w:val="5"/>
            <w:tcBorders>
              <w:top w:val="single" w:sz="12" w:space="0" w:color="auto"/>
              <w:left w:val="single" w:sz="18" w:space="0" w:color="auto"/>
              <w:bottom w:val="single" w:sz="12" w:space="0" w:color="auto"/>
              <w:right w:val="single" w:sz="18" w:space="0" w:color="auto"/>
            </w:tcBorders>
            <w:tcMar>
              <w:top w:w="30" w:type="dxa"/>
              <w:left w:w="45" w:type="dxa"/>
              <w:bottom w:w="30" w:type="dxa"/>
              <w:right w:w="45" w:type="dxa"/>
            </w:tcMar>
            <w:vAlign w:val="center"/>
            <w:hideMark/>
          </w:tcPr>
          <w:p w14:paraId="1249D858" w14:textId="77777777" w:rsidR="008B58C4" w:rsidRPr="009148F8" w:rsidRDefault="008B58C4" w:rsidP="00EC669E">
            <w:pPr>
              <w:jc w:val="both"/>
              <w:rPr>
                <w:rFonts w:ascii="Times New Roman" w:eastAsia="Times New Roman" w:hAnsi="Times New Roman"/>
                <w:b/>
                <w:bCs/>
                <w:sz w:val="20"/>
              </w:rPr>
            </w:pPr>
            <w:r w:rsidRPr="009148F8">
              <w:rPr>
                <w:rFonts w:ascii="Times New Roman" w:eastAsia="Times New Roman" w:hAnsi="Times New Roman"/>
                <w:b/>
                <w:bCs/>
                <w:sz w:val="20"/>
              </w:rPr>
              <w:t xml:space="preserve">Household </w:t>
            </w:r>
            <w:r>
              <w:rPr>
                <w:rFonts w:ascii="Times New Roman" w:eastAsia="Times New Roman" w:hAnsi="Times New Roman"/>
                <w:b/>
                <w:bCs/>
                <w:sz w:val="20"/>
              </w:rPr>
              <w:t>c</w:t>
            </w:r>
            <w:r w:rsidRPr="009148F8">
              <w:rPr>
                <w:rFonts w:ascii="Times New Roman" w:eastAsia="Times New Roman" w:hAnsi="Times New Roman"/>
                <w:b/>
                <w:bCs/>
                <w:sz w:val="20"/>
              </w:rPr>
              <w:t>haracteristics</w:t>
            </w:r>
          </w:p>
        </w:tc>
      </w:tr>
      <w:tr w:rsidR="008B58C4" w:rsidRPr="009148F8" w14:paraId="501C5B6B" w14:textId="77777777" w:rsidTr="00EC669E">
        <w:trPr>
          <w:trHeight w:val="144"/>
        </w:trPr>
        <w:tc>
          <w:tcPr>
            <w:tcW w:w="5000" w:type="pct"/>
            <w:gridSpan w:val="5"/>
            <w:tcBorders>
              <w:top w:val="single" w:sz="12" w:space="0" w:color="auto"/>
              <w:left w:val="single" w:sz="18" w:space="0" w:color="auto"/>
              <w:bottom w:val="single" w:sz="4" w:space="0" w:color="595959" w:themeColor="text1" w:themeTint="A6"/>
              <w:right w:val="single" w:sz="18" w:space="0" w:color="auto"/>
            </w:tcBorders>
            <w:tcMar>
              <w:top w:w="30" w:type="dxa"/>
              <w:left w:w="45" w:type="dxa"/>
              <w:bottom w:w="30" w:type="dxa"/>
              <w:right w:w="45" w:type="dxa"/>
            </w:tcMar>
            <w:vAlign w:val="center"/>
            <w:hideMark/>
          </w:tcPr>
          <w:p w14:paraId="52E902C7" w14:textId="77777777" w:rsidR="008B58C4" w:rsidRPr="007044BF" w:rsidRDefault="008B58C4" w:rsidP="00EC669E">
            <w:pPr>
              <w:jc w:val="both"/>
              <w:rPr>
                <w:rFonts w:ascii="Times New Roman" w:eastAsia="Times New Roman" w:hAnsi="Times New Roman"/>
                <w:i/>
                <w:iCs/>
                <w:sz w:val="20"/>
              </w:rPr>
            </w:pPr>
            <w:r w:rsidRPr="007044BF">
              <w:rPr>
                <w:rFonts w:ascii="Times New Roman" w:eastAsia="Times New Roman" w:hAnsi="Times New Roman"/>
                <w:i/>
                <w:iCs/>
                <w:sz w:val="20"/>
              </w:rPr>
              <w:t>Household composition (</w:t>
            </w:r>
            <w:r>
              <w:rPr>
                <w:rFonts w:ascii="Times New Roman" w:eastAsia="Times New Roman" w:hAnsi="Times New Roman"/>
                <w:i/>
                <w:iCs/>
                <w:sz w:val="20"/>
              </w:rPr>
              <w:t>one</w:t>
            </w:r>
            <w:r w:rsidRPr="007044BF">
              <w:rPr>
                <w:rFonts w:ascii="Times New Roman" w:eastAsia="Times New Roman" w:hAnsi="Times New Roman"/>
                <w:i/>
                <w:iCs/>
                <w:sz w:val="20"/>
              </w:rPr>
              <w:t>-adult household without children)</w:t>
            </w:r>
          </w:p>
        </w:tc>
      </w:tr>
      <w:tr w:rsidR="008B58C4" w:rsidRPr="009148F8" w14:paraId="6D8655C6" w14:textId="77777777" w:rsidTr="00EC669E">
        <w:trPr>
          <w:trHeight w:val="144"/>
        </w:trPr>
        <w:tc>
          <w:tcPr>
            <w:tcW w:w="2693" w:type="pct"/>
            <w:tcBorders>
              <w:top w:val="single" w:sz="4" w:space="0" w:color="595959" w:themeColor="text1" w:themeTint="A6"/>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hideMark/>
          </w:tcPr>
          <w:p w14:paraId="6AEBEA84"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Live with significant other</w:t>
            </w:r>
          </w:p>
        </w:tc>
        <w:tc>
          <w:tcPr>
            <w:tcW w:w="577" w:type="pct"/>
            <w:tcBorders>
              <w:top w:val="single"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7790B134"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0.16</w:t>
            </w:r>
          </w:p>
        </w:tc>
        <w:tc>
          <w:tcPr>
            <w:tcW w:w="577" w:type="pct"/>
            <w:tcBorders>
              <w:top w:val="single" w:sz="4" w:space="0" w:color="595959" w:themeColor="text1" w:themeTint="A6"/>
              <w:left w:val="single" w:sz="6" w:space="0" w:color="auto"/>
              <w:bottom w:val="dashSmallGap" w:sz="4" w:space="0" w:color="595959" w:themeColor="text1" w:themeTint="A6"/>
              <w:right w:val="single" w:sz="12" w:space="0" w:color="auto"/>
            </w:tcBorders>
            <w:tcMar>
              <w:top w:w="30" w:type="dxa"/>
              <w:left w:w="45" w:type="dxa"/>
              <w:bottom w:w="30" w:type="dxa"/>
              <w:right w:w="45" w:type="dxa"/>
            </w:tcMar>
            <w:hideMark/>
          </w:tcPr>
          <w:p w14:paraId="04EAFD6C"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3.45</w:t>
            </w:r>
          </w:p>
        </w:tc>
        <w:tc>
          <w:tcPr>
            <w:tcW w:w="577" w:type="pct"/>
            <w:tcBorders>
              <w:top w:val="single"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4608D081"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-0.14</w:t>
            </w:r>
          </w:p>
        </w:tc>
        <w:tc>
          <w:tcPr>
            <w:tcW w:w="576" w:type="pct"/>
            <w:tcBorders>
              <w:top w:val="single"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hideMark/>
          </w:tcPr>
          <w:p w14:paraId="5B33CE83"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-2.79</w:t>
            </w:r>
          </w:p>
        </w:tc>
      </w:tr>
      <w:tr w:rsidR="008B58C4" w:rsidRPr="009148F8" w14:paraId="58F6C4D1" w14:textId="77777777" w:rsidTr="00EC669E">
        <w:trPr>
          <w:trHeight w:val="144"/>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hideMark/>
          </w:tcPr>
          <w:p w14:paraId="55957322"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Live with child</w:t>
            </w:r>
          </w:p>
        </w:tc>
        <w:tc>
          <w:tcPr>
            <w:tcW w:w="577" w:type="pct"/>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616EAFE6"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w:t>
            </w:r>
            <w:r>
              <w:rPr>
                <w:rFonts w:ascii="Times New Roman" w:eastAsia="Times New Roman" w:hAnsi="Times New Roman"/>
                <w:sz w:val="20"/>
              </w:rPr>
              <w:t>5</w:t>
            </w:r>
          </w:p>
        </w:tc>
        <w:tc>
          <w:tcPr>
            <w:tcW w:w="577" w:type="pct"/>
            <w:tcBorders>
              <w:top w:val="dashSmallGap" w:sz="4" w:space="0" w:color="595959" w:themeColor="text1" w:themeTint="A6"/>
              <w:left w:val="single" w:sz="6" w:space="0" w:color="auto"/>
              <w:bottom w:val="dashSmallGap" w:sz="4" w:space="0" w:color="595959" w:themeColor="text1" w:themeTint="A6"/>
              <w:right w:val="single" w:sz="12" w:space="0" w:color="auto"/>
            </w:tcBorders>
            <w:tcMar>
              <w:top w:w="30" w:type="dxa"/>
              <w:left w:w="45" w:type="dxa"/>
              <w:bottom w:w="30" w:type="dxa"/>
              <w:right w:w="45" w:type="dxa"/>
            </w:tcMar>
            <w:hideMark/>
          </w:tcPr>
          <w:p w14:paraId="6E5EEE82"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-3.16</w:t>
            </w:r>
          </w:p>
        </w:tc>
        <w:tc>
          <w:tcPr>
            <w:tcW w:w="577" w:type="pct"/>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4AF0D6E7"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6" w:type="pct"/>
            <w:tcBorders>
              <w:top w:val="dashSmallGap"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hideMark/>
          </w:tcPr>
          <w:p w14:paraId="1471487E"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r>
      <w:tr w:rsidR="008B58C4" w:rsidRPr="009148F8" w14:paraId="371F532C" w14:textId="77777777" w:rsidTr="00EC669E">
        <w:trPr>
          <w:trHeight w:val="144"/>
        </w:trPr>
        <w:tc>
          <w:tcPr>
            <w:tcW w:w="2693" w:type="pct"/>
            <w:tcBorders>
              <w:top w:val="dashSmallGap" w:sz="4" w:space="0" w:color="595959" w:themeColor="text1" w:themeTint="A6"/>
              <w:left w:val="single" w:sz="18" w:space="0" w:color="auto"/>
              <w:bottom w:val="single" w:sz="6" w:space="0" w:color="auto"/>
              <w:right w:val="single" w:sz="12" w:space="0" w:color="auto"/>
            </w:tcBorders>
            <w:tcMar>
              <w:top w:w="30" w:type="dxa"/>
              <w:left w:w="45" w:type="dxa"/>
              <w:bottom w:w="30" w:type="dxa"/>
              <w:right w:w="45" w:type="dxa"/>
            </w:tcMar>
            <w:vAlign w:val="center"/>
            <w:hideMark/>
          </w:tcPr>
          <w:p w14:paraId="0DE964DD"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 xml:space="preserve">Live with </w:t>
            </w:r>
            <w:r>
              <w:rPr>
                <w:rFonts w:ascii="Times New Roman" w:eastAsia="Times New Roman" w:hAnsi="Times New Roman"/>
                <w:sz w:val="20"/>
              </w:rPr>
              <w:t xml:space="preserve">three </w:t>
            </w:r>
            <w:r w:rsidRPr="009148F8">
              <w:rPr>
                <w:rFonts w:ascii="Times New Roman" w:eastAsia="Times New Roman" w:hAnsi="Times New Roman"/>
                <w:sz w:val="20"/>
              </w:rPr>
              <w:t>or more related adults</w:t>
            </w:r>
          </w:p>
        </w:tc>
        <w:tc>
          <w:tcPr>
            <w:tcW w:w="577" w:type="pct"/>
            <w:tcBorders>
              <w:top w:val="dashSmallGap" w:sz="4" w:space="0" w:color="595959" w:themeColor="text1" w:themeTint="A6"/>
              <w:left w:val="single" w:sz="12" w:space="0" w:color="auto"/>
              <w:bottom w:val="single" w:sz="6" w:space="0" w:color="auto"/>
              <w:right w:val="single" w:sz="6" w:space="0" w:color="auto"/>
            </w:tcBorders>
            <w:tcMar>
              <w:top w:w="30" w:type="dxa"/>
              <w:left w:w="45" w:type="dxa"/>
              <w:bottom w:w="30" w:type="dxa"/>
              <w:right w:w="45" w:type="dxa"/>
            </w:tcMar>
            <w:hideMark/>
          </w:tcPr>
          <w:p w14:paraId="4DCF2B15"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7" w:type="pct"/>
            <w:tcBorders>
              <w:top w:val="dashSmallGap" w:sz="4" w:space="0" w:color="595959" w:themeColor="text1" w:themeTint="A6"/>
              <w:left w:val="single" w:sz="6" w:space="0" w:color="auto"/>
              <w:bottom w:val="single" w:sz="6" w:space="0" w:color="auto"/>
              <w:right w:val="single" w:sz="12" w:space="0" w:color="auto"/>
            </w:tcBorders>
            <w:tcMar>
              <w:top w:w="30" w:type="dxa"/>
              <w:left w:w="45" w:type="dxa"/>
              <w:bottom w:w="30" w:type="dxa"/>
              <w:right w:w="45" w:type="dxa"/>
            </w:tcMar>
            <w:hideMark/>
          </w:tcPr>
          <w:p w14:paraId="1FB49255"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7" w:type="pct"/>
            <w:tcBorders>
              <w:top w:val="dashSmallGap" w:sz="4" w:space="0" w:color="595959" w:themeColor="text1" w:themeTint="A6"/>
              <w:left w:val="single" w:sz="12" w:space="0" w:color="auto"/>
              <w:bottom w:val="single" w:sz="6" w:space="0" w:color="auto"/>
              <w:right w:val="single" w:sz="6" w:space="0" w:color="auto"/>
            </w:tcBorders>
            <w:tcMar>
              <w:top w:w="30" w:type="dxa"/>
              <w:left w:w="45" w:type="dxa"/>
              <w:bottom w:w="30" w:type="dxa"/>
              <w:right w:w="45" w:type="dxa"/>
            </w:tcMar>
            <w:hideMark/>
          </w:tcPr>
          <w:p w14:paraId="6D5E8837"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0.25</w:t>
            </w:r>
          </w:p>
        </w:tc>
        <w:tc>
          <w:tcPr>
            <w:tcW w:w="576" w:type="pct"/>
            <w:tcBorders>
              <w:top w:val="dashSmallGap" w:sz="4" w:space="0" w:color="595959" w:themeColor="text1" w:themeTint="A6"/>
              <w:left w:val="single" w:sz="6" w:space="0" w:color="auto"/>
              <w:bottom w:val="single" w:sz="6" w:space="0" w:color="auto"/>
              <w:right w:val="single" w:sz="18" w:space="0" w:color="auto"/>
            </w:tcBorders>
            <w:tcMar>
              <w:top w:w="30" w:type="dxa"/>
              <w:left w:w="45" w:type="dxa"/>
              <w:bottom w:w="30" w:type="dxa"/>
              <w:right w:w="45" w:type="dxa"/>
            </w:tcMar>
            <w:hideMark/>
          </w:tcPr>
          <w:p w14:paraId="5E9C8ECE"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1.73</w:t>
            </w:r>
          </w:p>
        </w:tc>
      </w:tr>
      <w:tr w:rsidR="008B58C4" w:rsidRPr="009148F8" w14:paraId="2712DD26" w14:textId="77777777" w:rsidTr="00EC669E">
        <w:trPr>
          <w:trHeight w:val="144"/>
        </w:trPr>
        <w:tc>
          <w:tcPr>
            <w:tcW w:w="5000" w:type="pct"/>
            <w:gridSpan w:val="5"/>
            <w:tcBorders>
              <w:top w:val="single" w:sz="6" w:space="0" w:color="auto"/>
              <w:left w:val="single" w:sz="18" w:space="0" w:color="auto"/>
              <w:bottom w:val="single" w:sz="6" w:space="0" w:color="auto"/>
              <w:right w:val="single" w:sz="18" w:space="0" w:color="auto"/>
            </w:tcBorders>
            <w:tcMar>
              <w:top w:w="30" w:type="dxa"/>
              <w:left w:w="45" w:type="dxa"/>
              <w:bottom w:w="30" w:type="dxa"/>
              <w:right w:w="45" w:type="dxa"/>
            </w:tcMar>
            <w:vAlign w:val="center"/>
            <w:hideMark/>
          </w:tcPr>
          <w:p w14:paraId="47C68CC3" w14:textId="77777777" w:rsidR="008B58C4" w:rsidRPr="007044BF" w:rsidRDefault="008B58C4" w:rsidP="00EC669E">
            <w:pPr>
              <w:jc w:val="both"/>
              <w:rPr>
                <w:rFonts w:ascii="Times New Roman" w:eastAsia="Times New Roman" w:hAnsi="Times New Roman"/>
                <w:i/>
                <w:iCs/>
                <w:sz w:val="20"/>
              </w:rPr>
            </w:pPr>
            <w:r w:rsidRPr="007044BF">
              <w:rPr>
                <w:rFonts w:ascii="Times New Roman" w:eastAsia="Times New Roman" w:hAnsi="Times New Roman"/>
                <w:i/>
                <w:iCs/>
                <w:sz w:val="20"/>
              </w:rPr>
              <w:t>Household vehicles (</w:t>
            </w:r>
            <w:r>
              <w:rPr>
                <w:rFonts w:ascii="Times New Roman" w:eastAsia="Times New Roman" w:hAnsi="Times New Roman"/>
                <w:i/>
                <w:iCs/>
                <w:sz w:val="20"/>
              </w:rPr>
              <w:t>z</w:t>
            </w:r>
            <w:r w:rsidRPr="007044BF">
              <w:rPr>
                <w:rFonts w:ascii="Times New Roman" w:eastAsia="Times New Roman" w:hAnsi="Times New Roman"/>
                <w:i/>
                <w:iCs/>
                <w:sz w:val="20"/>
              </w:rPr>
              <w:t>ero)</w:t>
            </w:r>
          </w:p>
        </w:tc>
      </w:tr>
      <w:tr w:rsidR="008B58C4" w:rsidRPr="009148F8" w14:paraId="06081319" w14:textId="77777777" w:rsidTr="00EC669E">
        <w:trPr>
          <w:trHeight w:val="144"/>
        </w:trPr>
        <w:tc>
          <w:tcPr>
            <w:tcW w:w="2693" w:type="pct"/>
            <w:tcBorders>
              <w:top w:val="single" w:sz="6" w:space="0" w:color="auto"/>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hideMark/>
          </w:tcPr>
          <w:p w14:paraId="19BAB926"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One</w:t>
            </w:r>
          </w:p>
        </w:tc>
        <w:tc>
          <w:tcPr>
            <w:tcW w:w="577" w:type="pct"/>
            <w:tcBorders>
              <w:top w:val="single" w:sz="6" w:space="0" w:color="auto"/>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2B5D9F14"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-0.37</w:t>
            </w:r>
          </w:p>
        </w:tc>
        <w:tc>
          <w:tcPr>
            <w:tcW w:w="577" w:type="pct"/>
            <w:tcBorders>
              <w:top w:val="single" w:sz="6" w:space="0" w:color="auto"/>
              <w:left w:val="single" w:sz="6" w:space="0" w:color="auto"/>
              <w:bottom w:val="dashSmallGap" w:sz="4" w:space="0" w:color="595959" w:themeColor="text1" w:themeTint="A6"/>
              <w:right w:val="single" w:sz="12" w:space="0" w:color="auto"/>
            </w:tcBorders>
            <w:tcMar>
              <w:top w:w="30" w:type="dxa"/>
              <w:left w:w="45" w:type="dxa"/>
              <w:bottom w:w="30" w:type="dxa"/>
              <w:right w:w="45" w:type="dxa"/>
            </w:tcMar>
            <w:hideMark/>
          </w:tcPr>
          <w:p w14:paraId="41AC858D"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-4.39</w:t>
            </w:r>
          </w:p>
        </w:tc>
        <w:tc>
          <w:tcPr>
            <w:tcW w:w="577" w:type="pct"/>
            <w:tcBorders>
              <w:top w:val="single" w:sz="6" w:space="0" w:color="auto"/>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128C5069"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6" w:type="pct"/>
            <w:tcBorders>
              <w:top w:val="single" w:sz="6" w:space="0" w:color="auto"/>
              <w:left w:val="single" w:sz="6" w:space="0" w:color="auto"/>
              <w:bottom w:val="dashSmallGap" w:sz="4" w:space="0" w:color="595959" w:themeColor="text1" w:themeTint="A6"/>
              <w:right w:val="single" w:sz="18" w:space="0" w:color="auto"/>
            </w:tcBorders>
            <w:tcMar>
              <w:top w:w="30" w:type="dxa"/>
              <w:left w:w="45" w:type="dxa"/>
              <w:bottom w:w="30" w:type="dxa"/>
              <w:right w:w="45" w:type="dxa"/>
            </w:tcMar>
            <w:hideMark/>
          </w:tcPr>
          <w:p w14:paraId="2BF58BFC"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r>
      <w:tr w:rsidR="008B58C4" w:rsidRPr="009148F8" w14:paraId="625C7AF6" w14:textId="77777777" w:rsidTr="00EC669E">
        <w:trPr>
          <w:trHeight w:val="144"/>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hideMark/>
          </w:tcPr>
          <w:p w14:paraId="7ED163AB"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Two</w:t>
            </w:r>
          </w:p>
        </w:tc>
        <w:tc>
          <w:tcPr>
            <w:tcW w:w="577" w:type="pct"/>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41E9A32A"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-0.5</w:t>
            </w:r>
            <w:r>
              <w:rPr>
                <w:rFonts w:ascii="Times New Roman" w:eastAsia="Times New Roman" w:hAnsi="Times New Roman"/>
                <w:sz w:val="20"/>
              </w:rPr>
              <w:t>3</w:t>
            </w:r>
          </w:p>
        </w:tc>
        <w:tc>
          <w:tcPr>
            <w:tcW w:w="577" w:type="pct"/>
            <w:tcBorders>
              <w:top w:val="dashSmallGap" w:sz="4" w:space="0" w:color="595959" w:themeColor="text1" w:themeTint="A6"/>
              <w:left w:val="single" w:sz="6" w:space="0" w:color="auto"/>
              <w:bottom w:val="dashSmallGap" w:sz="4" w:space="0" w:color="595959" w:themeColor="text1" w:themeTint="A6"/>
              <w:right w:val="single" w:sz="12" w:space="0" w:color="auto"/>
            </w:tcBorders>
            <w:tcMar>
              <w:top w:w="30" w:type="dxa"/>
              <w:left w:w="45" w:type="dxa"/>
              <w:bottom w:w="30" w:type="dxa"/>
              <w:right w:w="45" w:type="dxa"/>
            </w:tcMar>
            <w:hideMark/>
          </w:tcPr>
          <w:p w14:paraId="3B254877"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-5.71</w:t>
            </w:r>
          </w:p>
        </w:tc>
        <w:tc>
          <w:tcPr>
            <w:tcW w:w="577" w:type="pct"/>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2059DEA4"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w:t>
            </w:r>
            <w:r>
              <w:rPr>
                <w:rFonts w:ascii="Times New Roman" w:eastAsia="Times New Roman" w:hAnsi="Times New Roman"/>
                <w:sz w:val="20"/>
              </w:rPr>
              <w:t>2</w:t>
            </w:r>
          </w:p>
        </w:tc>
        <w:tc>
          <w:tcPr>
            <w:tcW w:w="576" w:type="pct"/>
            <w:tcBorders>
              <w:top w:val="dashSmallGap"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hideMark/>
          </w:tcPr>
          <w:p w14:paraId="32BEF226"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2.14</w:t>
            </w:r>
          </w:p>
        </w:tc>
      </w:tr>
      <w:tr w:rsidR="008B58C4" w:rsidRPr="009148F8" w14:paraId="23EAE067" w14:textId="77777777" w:rsidTr="00EC669E">
        <w:trPr>
          <w:trHeight w:val="144"/>
        </w:trPr>
        <w:tc>
          <w:tcPr>
            <w:tcW w:w="2693" w:type="pct"/>
            <w:tcBorders>
              <w:top w:val="dashSmallGap" w:sz="4" w:space="0" w:color="595959" w:themeColor="text1" w:themeTint="A6"/>
              <w:left w:val="single" w:sz="18" w:space="0" w:color="auto"/>
              <w:bottom w:val="single" w:sz="6" w:space="0" w:color="auto"/>
              <w:right w:val="single" w:sz="12" w:space="0" w:color="auto"/>
            </w:tcBorders>
            <w:tcMar>
              <w:top w:w="30" w:type="dxa"/>
              <w:left w:w="45" w:type="dxa"/>
              <w:bottom w:w="30" w:type="dxa"/>
              <w:right w:w="45" w:type="dxa"/>
            </w:tcMar>
            <w:vAlign w:val="center"/>
            <w:hideMark/>
          </w:tcPr>
          <w:p w14:paraId="10E6236F"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Three or more</w:t>
            </w:r>
          </w:p>
        </w:tc>
        <w:tc>
          <w:tcPr>
            <w:tcW w:w="577" w:type="pct"/>
            <w:tcBorders>
              <w:top w:val="dashSmallGap" w:sz="4" w:space="0" w:color="595959" w:themeColor="text1" w:themeTint="A6"/>
              <w:left w:val="single" w:sz="12" w:space="0" w:color="auto"/>
              <w:bottom w:val="single" w:sz="6" w:space="0" w:color="auto"/>
              <w:right w:val="single" w:sz="6" w:space="0" w:color="auto"/>
            </w:tcBorders>
            <w:tcMar>
              <w:top w:w="30" w:type="dxa"/>
              <w:left w:w="45" w:type="dxa"/>
              <w:bottom w:w="30" w:type="dxa"/>
              <w:right w:w="45" w:type="dxa"/>
            </w:tcMar>
            <w:hideMark/>
          </w:tcPr>
          <w:p w14:paraId="67EA1AA9"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-0.60</w:t>
            </w:r>
          </w:p>
        </w:tc>
        <w:tc>
          <w:tcPr>
            <w:tcW w:w="577" w:type="pct"/>
            <w:tcBorders>
              <w:top w:val="dashSmallGap" w:sz="4" w:space="0" w:color="595959" w:themeColor="text1" w:themeTint="A6"/>
              <w:left w:val="single" w:sz="6" w:space="0" w:color="auto"/>
              <w:bottom w:val="single" w:sz="6" w:space="0" w:color="auto"/>
              <w:right w:val="single" w:sz="12" w:space="0" w:color="auto"/>
            </w:tcBorders>
            <w:tcMar>
              <w:top w:w="30" w:type="dxa"/>
              <w:left w:w="45" w:type="dxa"/>
              <w:bottom w:w="30" w:type="dxa"/>
              <w:right w:w="45" w:type="dxa"/>
            </w:tcMar>
            <w:hideMark/>
          </w:tcPr>
          <w:p w14:paraId="1B0DAE39"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-5.96</w:t>
            </w:r>
          </w:p>
        </w:tc>
        <w:tc>
          <w:tcPr>
            <w:tcW w:w="577" w:type="pct"/>
            <w:tcBorders>
              <w:top w:val="dashSmallGap" w:sz="4" w:space="0" w:color="595959" w:themeColor="text1" w:themeTint="A6"/>
              <w:left w:val="single" w:sz="12" w:space="0" w:color="auto"/>
              <w:bottom w:val="single" w:sz="6" w:space="0" w:color="auto"/>
              <w:right w:val="single" w:sz="6" w:space="0" w:color="auto"/>
            </w:tcBorders>
            <w:tcMar>
              <w:top w:w="30" w:type="dxa"/>
              <w:left w:w="45" w:type="dxa"/>
              <w:bottom w:w="30" w:type="dxa"/>
              <w:right w:w="45" w:type="dxa"/>
            </w:tcMar>
            <w:hideMark/>
          </w:tcPr>
          <w:p w14:paraId="76E1789A"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0.2</w:t>
            </w:r>
            <w:r>
              <w:rPr>
                <w:rFonts w:ascii="Times New Roman" w:eastAsia="Times New Roman" w:hAnsi="Times New Roman"/>
                <w:sz w:val="20"/>
              </w:rPr>
              <w:t>1</w:t>
            </w:r>
          </w:p>
        </w:tc>
        <w:tc>
          <w:tcPr>
            <w:tcW w:w="576" w:type="pct"/>
            <w:tcBorders>
              <w:top w:val="dashSmallGap" w:sz="4" w:space="0" w:color="595959" w:themeColor="text1" w:themeTint="A6"/>
              <w:left w:val="single" w:sz="6" w:space="0" w:color="auto"/>
              <w:right w:val="single" w:sz="18" w:space="0" w:color="auto"/>
            </w:tcBorders>
            <w:tcMar>
              <w:top w:w="30" w:type="dxa"/>
              <w:left w:w="45" w:type="dxa"/>
              <w:bottom w:w="30" w:type="dxa"/>
              <w:right w:w="45" w:type="dxa"/>
            </w:tcMar>
            <w:hideMark/>
          </w:tcPr>
          <w:p w14:paraId="42DC991E"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2.94</w:t>
            </w:r>
          </w:p>
        </w:tc>
      </w:tr>
      <w:tr w:rsidR="008B58C4" w:rsidRPr="009148F8" w14:paraId="5EDB1EBB" w14:textId="77777777" w:rsidTr="00EC669E">
        <w:trPr>
          <w:trHeight w:val="144"/>
        </w:trPr>
        <w:tc>
          <w:tcPr>
            <w:tcW w:w="5000" w:type="pct"/>
            <w:gridSpan w:val="5"/>
            <w:tcBorders>
              <w:top w:val="single" w:sz="6" w:space="0" w:color="auto"/>
              <w:left w:val="single" w:sz="18" w:space="0" w:color="auto"/>
              <w:bottom w:val="single" w:sz="6" w:space="0" w:color="auto"/>
              <w:right w:val="single" w:sz="18" w:space="0" w:color="auto"/>
            </w:tcBorders>
            <w:tcMar>
              <w:top w:w="30" w:type="dxa"/>
              <w:left w:w="45" w:type="dxa"/>
              <w:bottom w:w="30" w:type="dxa"/>
              <w:right w:w="45" w:type="dxa"/>
            </w:tcMar>
            <w:vAlign w:val="center"/>
            <w:hideMark/>
          </w:tcPr>
          <w:p w14:paraId="04AF945B" w14:textId="77777777" w:rsidR="008B58C4" w:rsidRPr="007044BF" w:rsidRDefault="008B58C4" w:rsidP="00EC669E">
            <w:pPr>
              <w:jc w:val="both"/>
              <w:rPr>
                <w:rFonts w:ascii="Times New Roman" w:eastAsia="Times New Roman" w:hAnsi="Times New Roman"/>
                <w:i/>
                <w:iCs/>
                <w:sz w:val="20"/>
              </w:rPr>
            </w:pPr>
            <w:r w:rsidRPr="007044BF">
              <w:rPr>
                <w:rFonts w:ascii="Times New Roman" w:eastAsia="Times New Roman" w:hAnsi="Times New Roman"/>
                <w:i/>
                <w:iCs/>
                <w:sz w:val="20"/>
              </w:rPr>
              <w:t>Household income (&lt; $100,000)</w:t>
            </w:r>
          </w:p>
        </w:tc>
      </w:tr>
      <w:tr w:rsidR="008B58C4" w:rsidRPr="009148F8" w14:paraId="567EF846" w14:textId="77777777" w:rsidTr="00EC669E">
        <w:trPr>
          <w:trHeight w:val="144"/>
        </w:trPr>
        <w:tc>
          <w:tcPr>
            <w:tcW w:w="2693" w:type="pct"/>
            <w:tcBorders>
              <w:top w:val="single" w:sz="6" w:space="0" w:color="auto"/>
              <w:left w:val="single" w:sz="18" w:space="0" w:color="auto"/>
              <w:bottom w:val="single" w:sz="6" w:space="0" w:color="auto"/>
              <w:right w:val="single" w:sz="12" w:space="0" w:color="auto"/>
            </w:tcBorders>
            <w:tcMar>
              <w:top w:w="30" w:type="dxa"/>
              <w:left w:w="45" w:type="dxa"/>
              <w:bottom w:w="30" w:type="dxa"/>
              <w:right w:w="45" w:type="dxa"/>
            </w:tcMar>
            <w:vAlign w:val="center"/>
            <w:hideMark/>
          </w:tcPr>
          <w:p w14:paraId="1736C434"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$100,000</w:t>
            </w:r>
            <w:r>
              <w:rPr>
                <w:rFonts w:ascii="Times New Roman" w:eastAsia="Times New Roman" w:hAnsi="Times New Roman"/>
                <w:sz w:val="20"/>
              </w:rPr>
              <w:t xml:space="preserve"> or higher</w:t>
            </w:r>
          </w:p>
        </w:tc>
        <w:tc>
          <w:tcPr>
            <w:tcW w:w="577" w:type="pct"/>
            <w:tcBorders>
              <w:top w:val="single" w:sz="6" w:space="0" w:color="auto"/>
              <w:left w:val="single" w:sz="12" w:space="0" w:color="auto"/>
              <w:bottom w:val="single" w:sz="6" w:space="0" w:color="auto"/>
              <w:right w:val="single" w:sz="6" w:space="0" w:color="auto"/>
            </w:tcBorders>
            <w:tcMar>
              <w:top w:w="30" w:type="dxa"/>
              <w:left w:w="45" w:type="dxa"/>
              <w:bottom w:w="30" w:type="dxa"/>
              <w:right w:w="45" w:type="dxa"/>
            </w:tcMar>
            <w:hideMark/>
          </w:tcPr>
          <w:p w14:paraId="2B11B152"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w:t>
            </w:r>
            <w:r>
              <w:rPr>
                <w:rFonts w:ascii="Times New Roman" w:eastAsia="Times New Roman" w:hAnsi="Times New Roman"/>
                <w:sz w:val="20"/>
              </w:rPr>
              <w:t>9</w:t>
            </w:r>
          </w:p>
        </w:tc>
        <w:tc>
          <w:tcPr>
            <w:tcW w:w="577" w:type="pct"/>
            <w:tcBorders>
              <w:top w:val="single" w:sz="6" w:space="0" w:color="auto"/>
              <w:left w:val="single" w:sz="6" w:space="0" w:color="auto"/>
              <w:bottom w:val="single" w:sz="6" w:space="0" w:color="auto"/>
              <w:right w:val="single" w:sz="12" w:space="0" w:color="auto"/>
            </w:tcBorders>
            <w:tcMar>
              <w:top w:w="30" w:type="dxa"/>
              <w:left w:w="45" w:type="dxa"/>
              <w:bottom w:w="30" w:type="dxa"/>
              <w:right w:w="45" w:type="dxa"/>
            </w:tcMar>
            <w:hideMark/>
          </w:tcPr>
          <w:p w14:paraId="60CC53A1"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4.21</w:t>
            </w:r>
          </w:p>
        </w:tc>
        <w:tc>
          <w:tcPr>
            <w:tcW w:w="577" w:type="pct"/>
            <w:tcBorders>
              <w:top w:val="single" w:sz="6" w:space="0" w:color="auto"/>
              <w:left w:val="single" w:sz="12" w:space="0" w:color="auto"/>
              <w:bottom w:val="single" w:sz="6" w:space="0" w:color="auto"/>
              <w:right w:val="single" w:sz="6" w:space="0" w:color="auto"/>
            </w:tcBorders>
            <w:tcMar>
              <w:top w:w="30" w:type="dxa"/>
              <w:left w:w="45" w:type="dxa"/>
              <w:bottom w:w="30" w:type="dxa"/>
              <w:right w:w="45" w:type="dxa"/>
            </w:tcMar>
            <w:hideMark/>
          </w:tcPr>
          <w:p w14:paraId="19B13436"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6" w:type="pct"/>
            <w:tcBorders>
              <w:top w:val="single" w:sz="6" w:space="0" w:color="auto"/>
              <w:left w:val="single" w:sz="6" w:space="0" w:color="auto"/>
              <w:right w:val="single" w:sz="18" w:space="0" w:color="auto"/>
            </w:tcBorders>
            <w:tcMar>
              <w:top w:w="30" w:type="dxa"/>
              <w:left w:w="45" w:type="dxa"/>
              <w:bottom w:w="30" w:type="dxa"/>
              <w:right w:w="45" w:type="dxa"/>
            </w:tcMar>
            <w:hideMark/>
          </w:tcPr>
          <w:p w14:paraId="3E2CC499"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r>
      <w:tr w:rsidR="008B58C4" w:rsidRPr="009148F8" w14:paraId="192D5144" w14:textId="77777777" w:rsidTr="00EC669E">
        <w:trPr>
          <w:trHeight w:val="144"/>
        </w:trPr>
        <w:tc>
          <w:tcPr>
            <w:tcW w:w="5000" w:type="pct"/>
            <w:gridSpan w:val="5"/>
            <w:tcBorders>
              <w:top w:val="single" w:sz="6" w:space="0" w:color="auto"/>
              <w:left w:val="single" w:sz="18" w:space="0" w:color="auto"/>
              <w:bottom w:val="single" w:sz="6" w:space="0" w:color="auto"/>
              <w:right w:val="single" w:sz="18" w:space="0" w:color="auto"/>
            </w:tcBorders>
            <w:tcMar>
              <w:top w:w="30" w:type="dxa"/>
              <w:left w:w="45" w:type="dxa"/>
              <w:bottom w:w="30" w:type="dxa"/>
              <w:right w:w="45" w:type="dxa"/>
            </w:tcMar>
            <w:vAlign w:val="center"/>
            <w:hideMark/>
          </w:tcPr>
          <w:p w14:paraId="60077556" w14:textId="77777777" w:rsidR="008B58C4" w:rsidRPr="007044BF" w:rsidRDefault="008B58C4" w:rsidP="00EC669E">
            <w:pPr>
              <w:jc w:val="both"/>
              <w:rPr>
                <w:rFonts w:ascii="Times New Roman" w:eastAsia="Times New Roman" w:hAnsi="Times New Roman"/>
                <w:i/>
                <w:iCs/>
                <w:sz w:val="20"/>
              </w:rPr>
            </w:pPr>
            <w:r w:rsidRPr="007044BF">
              <w:rPr>
                <w:rFonts w:ascii="Times New Roman" w:eastAsia="Times New Roman" w:hAnsi="Times New Roman"/>
                <w:i/>
                <w:iCs/>
                <w:sz w:val="20"/>
              </w:rPr>
              <w:t>Change in household income during the pandemic</w:t>
            </w:r>
            <w:r>
              <w:rPr>
                <w:rFonts w:ascii="Times New Roman" w:eastAsia="Times New Roman" w:hAnsi="Times New Roman"/>
                <w:i/>
                <w:iCs/>
                <w:sz w:val="20"/>
              </w:rPr>
              <w:t xml:space="preserve"> </w:t>
            </w:r>
            <w:r w:rsidRPr="007044BF">
              <w:rPr>
                <w:rFonts w:ascii="Times New Roman" w:eastAsia="Times New Roman" w:hAnsi="Times New Roman"/>
                <w:i/>
                <w:iCs/>
                <w:sz w:val="20"/>
              </w:rPr>
              <w:t>(</w:t>
            </w:r>
            <w:r>
              <w:rPr>
                <w:rFonts w:ascii="Times New Roman" w:eastAsia="Times New Roman" w:hAnsi="Times New Roman"/>
                <w:i/>
                <w:iCs/>
                <w:sz w:val="20"/>
              </w:rPr>
              <w:t>no change</w:t>
            </w:r>
            <w:r w:rsidRPr="007044BF">
              <w:rPr>
                <w:rFonts w:ascii="Times New Roman" w:eastAsia="Times New Roman" w:hAnsi="Times New Roman"/>
                <w:i/>
                <w:iCs/>
                <w:sz w:val="20"/>
              </w:rPr>
              <w:t xml:space="preserve"> or decreased from </w:t>
            </w:r>
            <w:r>
              <w:rPr>
                <w:rFonts w:ascii="Times New Roman" w:eastAsia="Times New Roman" w:hAnsi="Times New Roman"/>
                <w:i/>
                <w:iCs/>
                <w:sz w:val="20"/>
              </w:rPr>
              <w:t>&lt;</w:t>
            </w:r>
            <w:r w:rsidRPr="007044BF">
              <w:rPr>
                <w:rFonts w:ascii="Times New Roman" w:eastAsia="Times New Roman" w:hAnsi="Times New Roman"/>
                <w:i/>
                <w:iCs/>
                <w:sz w:val="20"/>
              </w:rPr>
              <w:t>$100</w:t>
            </w:r>
            <w:r>
              <w:rPr>
                <w:rFonts w:ascii="Times New Roman" w:eastAsia="Times New Roman" w:hAnsi="Times New Roman"/>
                <w:i/>
                <w:iCs/>
                <w:sz w:val="20"/>
              </w:rPr>
              <w:t>,000</w:t>
            </w:r>
            <w:r w:rsidRPr="007044BF">
              <w:rPr>
                <w:rFonts w:ascii="Times New Roman" w:eastAsia="Times New Roman" w:hAnsi="Times New Roman"/>
                <w:i/>
                <w:iCs/>
                <w:sz w:val="20"/>
              </w:rPr>
              <w:t>)</w:t>
            </w:r>
          </w:p>
        </w:tc>
      </w:tr>
      <w:tr w:rsidR="008B58C4" w:rsidRPr="009148F8" w14:paraId="7C171855" w14:textId="77777777" w:rsidTr="00EC669E">
        <w:trPr>
          <w:trHeight w:val="144"/>
        </w:trPr>
        <w:tc>
          <w:tcPr>
            <w:tcW w:w="2693" w:type="pct"/>
            <w:tcBorders>
              <w:top w:val="single" w:sz="6" w:space="0" w:color="auto"/>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hideMark/>
          </w:tcPr>
          <w:p w14:paraId="7A935C31" w14:textId="77777777" w:rsidR="008B58C4" w:rsidRPr="009148F8" w:rsidRDefault="008B58C4" w:rsidP="00EC669E">
            <w:pPr>
              <w:ind w:left="144"/>
              <w:jc w:val="both"/>
              <w:rPr>
                <w:rFonts w:ascii="Times New Roman" w:eastAsia="Times New Roman" w:hAnsi="Times New Roman"/>
                <w:sz w:val="20"/>
              </w:rPr>
            </w:pPr>
            <w:r>
              <w:rPr>
                <w:rFonts w:ascii="Times New Roman" w:eastAsia="Times New Roman" w:hAnsi="Times New Roman"/>
                <w:sz w:val="20"/>
              </w:rPr>
              <w:t>I</w:t>
            </w:r>
            <w:r w:rsidRPr="009148F8">
              <w:rPr>
                <w:rFonts w:ascii="Times New Roman" w:eastAsia="Times New Roman" w:hAnsi="Times New Roman"/>
                <w:sz w:val="20"/>
              </w:rPr>
              <w:t>ncreased</w:t>
            </w:r>
            <w:r>
              <w:rPr>
                <w:rFonts w:ascii="Times New Roman" w:eastAsia="Times New Roman" w:hAnsi="Times New Roman"/>
                <w:sz w:val="20"/>
              </w:rPr>
              <w:t xml:space="preserve"> income</w:t>
            </w:r>
          </w:p>
        </w:tc>
        <w:tc>
          <w:tcPr>
            <w:tcW w:w="577" w:type="pct"/>
            <w:tcBorders>
              <w:top w:val="single" w:sz="6" w:space="0" w:color="auto"/>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0244B060"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7" w:type="pct"/>
            <w:tcBorders>
              <w:top w:val="single" w:sz="6" w:space="0" w:color="auto"/>
              <w:left w:val="single" w:sz="6" w:space="0" w:color="auto"/>
              <w:bottom w:val="dashSmallGap" w:sz="4" w:space="0" w:color="595959" w:themeColor="text1" w:themeTint="A6"/>
              <w:right w:val="single" w:sz="12" w:space="0" w:color="auto"/>
            </w:tcBorders>
            <w:tcMar>
              <w:top w:w="30" w:type="dxa"/>
              <w:left w:w="45" w:type="dxa"/>
              <w:bottom w:w="30" w:type="dxa"/>
              <w:right w:w="45" w:type="dxa"/>
            </w:tcMar>
            <w:hideMark/>
          </w:tcPr>
          <w:p w14:paraId="202F0DFF"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7" w:type="pct"/>
            <w:tcBorders>
              <w:top w:val="single" w:sz="6" w:space="0" w:color="auto"/>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4838AF2E"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w:t>
            </w:r>
            <w:r>
              <w:rPr>
                <w:rFonts w:ascii="Times New Roman" w:eastAsia="Times New Roman" w:hAnsi="Times New Roman"/>
                <w:sz w:val="20"/>
              </w:rPr>
              <w:t>5</w:t>
            </w:r>
          </w:p>
        </w:tc>
        <w:tc>
          <w:tcPr>
            <w:tcW w:w="576" w:type="pct"/>
            <w:tcBorders>
              <w:top w:val="single" w:sz="6" w:space="0" w:color="auto"/>
              <w:left w:val="single" w:sz="6" w:space="0" w:color="auto"/>
              <w:bottom w:val="dashSmallGap" w:sz="4" w:space="0" w:color="595959" w:themeColor="text1" w:themeTint="A6"/>
              <w:right w:val="single" w:sz="18" w:space="0" w:color="auto"/>
            </w:tcBorders>
            <w:tcMar>
              <w:top w:w="30" w:type="dxa"/>
              <w:left w:w="45" w:type="dxa"/>
              <w:bottom w:w="30" w:type="dxa"/>
              <w:right w:w="45" w:type="dxa"/>
            </w:tcMar>
            <w:hideMark/>
          </w:tcPr>
          <w:p w14:paraId="41A54364"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2.09</w:t>
            </w:r>
          </w:p>
        </w:tc>
      </w:tr>
      <w:tr w:rsidR="008B58C4" w:rsidRPr="009148F8" w14:paraId="3197B682" w14:textId="77777777" w:rsidTr="00EC669E">
        <w:trPr>
          <w:trHeight w:val="144"/>
        </w:trPr>
        <w:tc>
          <w:tcPr>
            <w:tcW w:w="2693" w:type="pct"/>
            <w:tcBorders>
              <w:top w:val="dashSmallGap" w:sz="4" w:space="0" w:color="595959" w:themeColor="text1" w:themeTint="A6"/>
              <w:left w:val="single" w:sz="18" w:space="0" w:color="auto"/>
              <w:bottom w:val="single" w:sz="12" w:space="0" w:color="auto"/>
              <w:right w:val="single" w:sz="12" w:space="0" w:color="auto"/>
            </w:tcBorders>
            <w:tcMar>
              <w:top w:w="30" w:type="dxa"/>
              <w:left w:w="45" w:type="dxa"/>
              <w:bottom w:w="30" w:type="dxa"/>
              <w:right w:w="45" w:type="dxa"/>
            </w:tcMar>
            <w:vAlign w:val="center"/>
            <w:hideMark/>
          </w:tcPr>
          <w:p w14:paraId="1D0D803F" w14:textId="77777777" w:rsidR="008B58C4" w:rsidRPr="009148F8" w:rsidRDefault="008B58C4" w:rsidP="00EC669E">
            <w:pPr>
              <w:ind w:left="144"/>
              <w:jc w:val="both"/>
              <w:rPr>
                <w:rFonts w:ascii="Times New Roman" w:eastAsia="Times New Roman" w:hAnsi="Times New Roman"/>
                <w:sz w:val="20"/>
              </w:rPr>
            </w:pPr>
            <w:r>
              <w:rPr>
                <w:rFonts w:ascii="Times New Roman" w:eastAsia="Times New Roman" w:hAnsi="Times New Roman"/>
                <w:sz w:val="20"/>
              </w:rPr>
              <w:t>D</w:t>
            </w:r>
            <w:r w:rsidRPr="009148F8">
              <w:rPr>
                <w:rFonts w:ascii="Times New Roman" w:eastAsia="Times New Roman" w:hAnsi="Times New Roman"/>
                <w:sz w:val="20"/>
              </w:rPr>
              <w:t>ecreased</w:t>
            </w:r>
            <w:r>
              <w:rPr>
                <w:rFonts w:ascii="Times New Roman" w:eastAsia="Times New Roman" w:hAnsi="Times New Roman"/>
                <w:sz w:val="20"/>
              </w:rPr>
              <w:t xml:space="preserve"> </w:t>
            </w:r>
            <w:r w:rsidRPr="009148F8">
              <w:rPr>
                <w:rFonts w:ascii="Times New Roman" w:eastAsia="Times New Roman" w:hAnsi="Times New Roman"/>
                <w:sz w:val="20"/>
              </w:rPr>
              <w:t>to other levels from $100</w:t>
            </w:r>
            <w:r>
              <w:rPr>
                <w:rFonts w:ascii="Times New Roman" w:eastAsia="Times New Roman" w:hAnsi="Times New Roman"/>
                <w:sz w:val="20"/>
              </w:rPr>
              <w:t>,000 or higher</w:t>
            </w:r>
            <w:r w:rsidRPr="009148F8">
              <w:rPr>
                <w:rFonts w:ascii="Times New Roman" w:eastAsia="Times New Roman" w:hAnsi="Times New Roman"/>
                <w:sz w:val="20"/>
              </w:rPr>
              <w:t xml:space="preserve"> </w:t>
            </w:r>
          </w:p>
        </w:tc>
        <w:tc>
          <w:tcPr>
            <w:tcW w:w="577" w:type="pct"/>
            <w:tcBorders>
              <w:top w:val="dashSmallGap" w:sz="4" w:space="0" w:color="595959" w:themeColor="text1" w:themeTint="A6"/>
              <w:left w:val="single" w:sz="12" w:space="0" w:color="auto"/>
              <w:bottom w:val="single" w:sz="12" w:space="0" w:color="auto"/>
              <w:right w:val="single" w:sz="6" w:space="0" w:color="auto"/>
            </w:tcBorders>
            <w:tcMar>
              <w:top w:w="30" w:type="dxa"/>
              <w:left w:w="45" w:type="dxa"/>
              <w:bottom w:w="30" w:type="dxa"/>
              <w:right w:w="45" w:type="dxa"/>
            </w:tcMar>
            <w:hideMark/>
          </w:tcPr>
          <w:p w14:paraId="29FDC508"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7" w:type="pct"/>
            <w:tcBorders>
              <w:top w:val="dashSmallGap" w:sz="4" w:space="0" w:color="595959" w:themeColor="text1" w:themeTint="A6"/>
              <w:left w:val="single" w:sz="6" w:space="0" w:color="auto"/>
              <w:bottom w:val="single" w:sz="12" w:space="0" w:color="auto"/>
              <w:right w:val="single" w:sz="12" w:space="0" w:color="auto"/>
            </w:tcBorders>
            <w:tcMar>
              <w:top w:w="30" w:type="dxa"/>
              <w:left w:w="45" w:type="dxa"/>
              <w:bottom w:w="30" w:type="dxa"/>
              <w:right w:w="45" w:type="dxa"/>
            </w:tcMar>
            <w:hideMark/>
          </w:tcPr>
          <w:p w14:paraId="077C9D13"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7" w:type="pct"/>
            <w:tcBorders>
              <w:top w:val="dashSmallGap" w:sz="4" w:space="0" w:color="595959" w:themeColor="text1" w:themeTint="A6"/>
              <w:left w:val="single" w:sz="12" w:space="0" w:color="auto"/>
              <w:bottom w:val="single" w:sz="12" w:space="0" w:color="auto"/>
              <w:right w:val="single" w:sz="6" w:space="0" w:color="auto"/>
            </w:tcBorders>
            <w:tcMar>
              <w:top w:w="30" w:type="dxa"/>
              <w:left w:w="45" w:type="dxa"/>
              <w:bottom w:w="30" w:type="dxa"/>
              <w:right w:w="45" w:type="dxa"/>
            </w:tcMar>
            <w:hideMark/>
          </w:tcPr>
          <w:p w14:paraId="52A29B39"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w:t>
            </w:r>
            <w:r>
              <w:rPr>
                <w:rFonts w:ascii="Times New Roman" w:eastAsia="Times New Roman" w:hAnsi="Times New Roman"/>
                <w:sz w:val="20"/>
              </w:rPr>
              <w:t>9</w:t>
            </w:r>
          </w:p>
        </w:tc>
        <w:tc>
          <w:tcPr>
            <w:tcW w:w="576" w:type="pct"/>
            <w:tcBorders>
              <w:top w:val="dashSmallGap" w:sz="4" w:space="0" w:color="595959" w:themeColor="text1" w:themeTint="A6"/>
              <w:left w:val="single" w:sz="6" w:space="0" w:color="auto"/>
              <w:bottom w:val="single" w:sz="12" w:space="0" w:color="auto"/>
              <w:right w:val="single" w:sz="18" w:space="0" w:color="auto"/>
            </w:tcBorders>
            <w:tcMar>
              <w:top w:w="30" w:type="dxa"/>
              <w:left w:w="45" w:type="dxa"/>
              <w:bottom w:w="30" w:type="dxa"/>
              <w:right w:w="45" w:type="dxa"/>
            </w:tcMar>
            <w:hideMark/>
          </w:tcPr>
          <w:p w14:paraId="4329B1D3"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4.21</w:t>
            </w:r>
          </w:p>
        </w:tc>
      </w:tr>
      <w:tr w:rsidR="008B58C4" w:rsidRPr="009148F8" w14:paraId="7ACBE8AB" w14:textId="77777777" w:rsidTr="00EC669E">
        <w:trPr>
          <w:trHeight w:val="144"/>
        </w:trPr>
        <w:tc>
          <w:tcPr>
            <w:tcW w:w="5000" w:type="pct"/>
            <w:gridSpan w:val="5"/>
            <w:tcBorders>
              <w:top w:val="single" w:sz="12" w:space="0" w:color="auto"/>
              <w:left w:val="single" w:sz="18" w:space="0" w:color="auto"/>
              <w:bottom w:val="single" w:sz="12" w:space="0" w:color="auto"/>
              <w:right w:val="single" w:sz="18" w:space="0" w:color="auto"/>
            </w:tcBorders>
            <w:tcMar>
              <w:top w:w="30" w:type="dxa"/>
              <w:left w:w="45" w:type="dxa"/>
              <w:bottom w:w="30" w:type="dxa"/>
              <w:right w:w="45" w:type="dxa"/>
            </w:tcMar>
            <w:vAlign w:val="center"/>
            <w:hideMark/>
          </w:tcPr>
          <w:p w14:paraId="24415E50" w14:textId="77777777" w:rsidR="008B58C4" w:rsidRPr="009148F8" w:rsidRDefault="008B58C4" w:rsidP="00EC669E">
            <w:pPr>
              <w:jc w:val="both"/>
              <w:rPr>
                <w:rFonts w:ascii="Times New Roman" w:eastAsia="Times New Roman" w:hAnsi="Times New Roman"/>
                <w:b/>
                <w:bCs/>
                <w:sz w:val="20"/>
              </w:rPr>
            </w:pPr>
            <w:r w:rsidRPr="009148F8">
              <w:rPr>
                <w:rFonts w:ascii="Times New Roman" w:eastAsia="Times New Roman" w:hAnsi="Times New Roman"/>
                <w:b/>
                <w:bCs/>
                <w:sz w:val="20"/>
              </w:rPr>
              <w:t xml:space="preserve">Employment </w:t>
            </w:r>
            <w:r>
              <w:rPr>
                <w:rFonts w:ascii="Times New Roman" w:eastAsia="Times New Roman" w:hAnsi="Times New Roman"/>
                <w:b/>
                <w:bCs/>
                <w:sz w:val="20"/>
              </w:rPr>
              <w:t>s</w:t>
            </w:r>
            <w:r w:rsidRPr="009148F8">
              <w:rPr>
                <w:rFonts w:ascii="Times New Roman" w:eastAsia="Times New Roman" w:hAnsi="Times New Roman"/>
                <w:b/>
                <w:bCs/>
                <w:sz w:val="20"/>
              </w:rPr>
              <w:t xml:space="preserve">tatus/Job </w:t>
            </w:r>
            <w:r>
              <w:rPr>
                <w:rFonts w:ascii="Times New Roman" w:eastAsia="Times New Roman" w:hAnsi="Times New Roman"/>
                <w:b/>
                <w:bCs/>
                <w:sz w:val="20"/>
              </w:rPr>
              <w:t>c</w:t>
            </w:r>
            <w:r w:rsidRPr="009148F8">
              <w:rPr>
                <w:rFonts w:ascii="Times New Roman" w:eastAsia="Times New Roman" w:hAnsi="Times New Roman"/>
                <w:b/>
                <w:bCs/>
                <w:sz w:val="20"/>
              </w:rPr>
              <w:t>haracteristics</w:t>
            </w:r>
          </w:p>
        </w:tc>
      </w:tr>
      <w:tr w:rsidR="008B58C4" w:rsidRPr="009148F8" w14:paraId="3EC9FAC4" w14:textId="77777777" w:rsidTr="00EC669E">
        <w:trPr>
          <w:trHeight w:val="144"/>
        </w:trPr>
        <w:tc>
          <w:tcPr>
            <w:tcW w:w="5000" w:type="pct"/>
            <w:gridSpan w:val="5"/>
            <w:tcBorders>
              <w:top w:val="single" w:sz="12" w:space="0" w:color="auto"/>
              <w:left w:val="single" w:sz="18" w:space="0" w:color="auto"/>
              <w:right w:val="single" w:sz="18" w:space="0" w:color="auto"/>
            </w:tcBorders>
            <w:tcMar>
              <w:top w:w="30" w:type="dxa"/>
              <w:left w:w="45" w:type="dxa"/>
              <w:bottom w:w="30" w:type="dxa"/>
              <w:right w:w="45" w:type="dxa"/>
            </w:tcMar>
            <w:vAlign w:val="center"/>
            <w:hideMark/>
          </w:tcPr>
          <w:p w14:paraId="7BA9DE81" w14:textId="77777777" w:rsidR="008B58C4" w:rsidRPr="007044BF" w:rsidRDefault="008B58C4" w:rsidP="00EC669E">
            <w:pPr>
              <w:jc w:val="both"/>
              <w:rPr>
                <w:rFonts w:ascii="Times New Roman" w:eastAsia="Times New Roman" w:hAnsi="Times New Roman"/>
                <w:i/>
                <w:iCs/>
                <w:sz w:val="20"/>
              </w:rPr>
            </w:pPr>
            <w:r w:rsidRPr="007044BF">
              <w:rPr>
                <w:rFonts w:ascii="Times New Roman" w:eastAsia="Times New Roman" w:hAnsi="Times New Roman"/>
                <w:i/>
                <w:iCs/>
                <w:sz w:val="20"/>
              </w:rPr>
              <w:t>Employment status (</w:t>
            </w:r>
            <w:r>
              <w:rPr>
                <w:rFonts w:ascii="Times New Roman" w:eastAsia="Times New Roman" w:hAnsi="Times New Roman"/>
                <w:i/>
                <w:iCs/>
                <w:sz w:val="20"/>
              </w:rPr>
              <w:t>non-</w:t>
            </w:r>
            <w:r w:rsidRPr="007044BF">
              <w:rPr>
                <w:rFonts w:ascii="Times New Roman" w:eastAsia="Times New Roman" w:hAnsi="Times New Roman"/>
                <w:i/>
                <w:iCs/>
                <w:sz w:val="20"/>
              </w:rPr>
              <w:t>employed)</w:t>
            </w:r>
          </w:p>
        </w:tc>
      </w:tr>
      <w:tr w:rsidR="008B58C4" w:rsidRPr="009148F8" w14:paraId="41729F32" w14:textId="77777777" w:rsidTr="00EC669E">
        <w:trPr>
          <w:trHeight w:val="144"/>
        </w:trPr>
        <w:tc>
          <w:tcPr>
            <w:tcW w:w="2693" w:type="pct"/>
            <w:tcBorders>
              <w:top w:val="single" w:sz="6" w:space="0" w:color="auto"/>
              <w:left w:val="single" w:sz="18" w:space="0" w:color="auto"/>
              <w:bottom w:val="single" w:sz="6" w:space="0" w:color="auto"/>
              <w:right w:val="single" w:sz="12" w:space="0" w:color="auto"/>
            </w:tcBorders>
            <w:tcMar>
              <w:top w:w="30" w:type="dxa"/>
              <w:left w:w="45" w:type="dxa"/>
              <w:bottom w:w="30" w:type="dxa"/>
              <w:right w:w="45" w:type="dxa"/>
            </w:tcMar>
            <w:vAlign w:val="center"/>
            <w:hideMark/>
          </w:tcPr>
          <w:p w14:paraId="65A60D70"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Employed</w:t>
            </w:r>
          </w:p>
        </w:tc>
        <w:tc>
          <w:tcPr>
            <w:tcW w:w="577" w:type="pct"/>
            <w:tcBorders>
              <w:top w:val="single" w:sz="6" w:space="0" w:color="auto"/>
              <w:left w:val="single" w:sz="12" w:space="0" w:color="auto"/>
              <w:bottom w:val="single" w:sz="6" w:space="0" w:color="auto"/>
              <w:right w:val="single" w:sz="6" w:space="0" w:color="auto"/>
            </w:tcBorders>
            <w:tcMar>
              <w:top w:w="30" w:type="dxa"/>
              <w:left w:w="45" w:type="dxa"/>
              <w:bottom w:w="30" w:type="dxa"/>
              <w:right w:w="45" w:type="dxa"/>
            </w:tcMar>
            <w:hideMark/>
          </w:tcPr>
          <w:p w14:paraId="2E5E7288"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-0.10</w:t>
            </w:r>
          </w:p>
        </w:tc>
        <w:tc>
          <w:tcPr>
            <w:tcW w:w="577" w:type="pct"/>
            <w:tcBorders>
              <w:top w:val="single" w:sz="6" w:space="0" w:color="auto"/>
              <w:left w:val="single" w:sz="6" w:space="0" w:color="auto"/>
              <w:bottom w:val="single" w:sz="6" w:space="0" w:color="auto"/>
              <w:right w:val="single" w:sz="12" w:space="0" w:color="auto"/>
            </w:tcBorders>
            <w:tcMar>
              <w:top w:w="30" w:type="dxa"/>
              <w:left w:w="45" w:type="dxa"/>
              <w:bottom w:w="30" w:type="dxa"/>
              <w:right w:w="45" w:type="dxa"/>
            </w:tcMar>
            <w:hideMark/>
          </w:tcPr>
          <w:p w14:paraId="785C9402"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-2.63</w:t>
            </w:r>
          </w:p>
        </w:tc>
        <w:tc>
          <w:tcPr>
            <w:tcW w:w="577" w:type="pct"/>
            <w:tcBorders>
              <w:top w:val="single" w:sz="6" w:space="0" w:color="auto"/>
              <w:left w:val="single" w:sz="12" w:space="0" w:color="auto"/>
              <w:bottom w:val="single" w:sz="6" w:space="0" w:color="auto"/>
              <w:right w:val="single" w:sz="6" w:space="0" w:color="auto"/>
            </w:tcBorders>
            <w:tcMar>
              <w:top w:w="30" w:type="dxa"/>
              <w:left w:w="45" w:type="dxa"/>
              <w:bottom w:w="30" w:type="dxa"/>
              <w:right w:w="45" w:type="dxa"/>
            </w:tcMar>
            <w:hideMark/>
          </w:tcPr>
          <w:p w14:paraId="12A7114E"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6" w:type="pct"/>
            <w:tcBorders>
              <w:top w:val="single" w:sz="6" w:space="0" w:color="auto"/>
              <w:left w:val="single" w:sz="6" w:space="0" w:color="auto"/>
              <w:bottom w:val="single" w:sz="6" w:space="0" w:color="auto"/>
              <w:right w:val="single" w:sz="18" w:space="0" w:color="auto"/>
            </w:tcBorders>
            <w:tcMar>
              <w:top w:w="30" w:type="dxa"/>
              <w:left w:w="45" w:type="dxa"/>
              <w:bottom w:w="30" w:type="dxa"/>
              <w:right w:w="45" w:type="dxa"/>
            </w:tcMar>
            <w:hideMark/>
          </w:tcPr>
          <w:p w14:paraId="2E4FAB7D"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r>
      <w:tr w:rsidR="008B58C4" w:rsidRPr="009148F8" w14:paraId="186D17DA" w14:textId="77777777" w:rsidTr="00EC669E">
        <w:trPr>
          <w:trHeight w:val="144"/>
        </w:trPr>
        <w:tc>
          <w:tcPr>
            <w:tcW w:w="5000" w:type="pct"/>
            <w:gridSpan w:val="5"/>
            <w:tcBorders>
              <w:top w:val="single" w:sz="6" w:space="0" w:color="auto"/>
              <w:left w:val="single" w:sz="18" w:space="0" w:color="auto"/>
              <w:bottom w:val="single" w:sz="6" w:space="0" w:color="auto"/>
              <w:right w:val="single" w:sz="18" w:space="0" w:color="auto"/>
            </w:tcBorders>
            <w:tcMar>
              <w:top w:w="30" w:type="dxa"/>
              <w:left w:w="45" w:type="dxa"/>
              <w:bottom w:w="30" w:type="dxa"/>
              <w:right w:w="45" w:type="dxa"/>
            </w:tcMar>
            <w:vAlign w:val="center"/>
            <w:hideMark/>
          </w:tcPr>
          <w:p w14:paraId="65521143" w14:textId="77777777" w:rsidR="008B58C4" w:rsidRPr="007044BF" w:rsidRDefault="008B58C4" w:rsidP="00EC669E">
            <w:pPr>
              <w:jc w:val="both"/>
              <w:rPr>
                <w:rFonts w:ascii="Times New Roman" w:eastAsia="Times New Roman" w:hAnsi="Times New Roman"/>
                <w:i/>
                <w:iCs/>
                <w:sz w:val="20"/>
              </w:rPr>
            </w:pPr>
            <w:r w:rsidRPr="007044BF">
              <w:rPr>
                <w:rFonts w:ascii="Times New Roman" w:eastAsia="Times New Roman" w:hAnsi="Times New Roman"/>
                <w:i/>
                <w:iCs/>
                <w:sz w:val="20"/>
              </w:rPr>
              <w:t>Commute time (&lt; 50min)</w:t>
            </w:r>
          </w:p>
        </w:tc>
      </w:tr>
      <w:tr w:rsidR="008B58C4" w:rsidRPr="009148F8" w14:paraId="0B8BE37D" w14:textId="77777777" w:rsidTr="00EC669E">
        <w:trPr>
          <w:trHeight w:val="144"/>
        </w:trPr>
        <w:tc>
          <w:tcPr>
            <w:tcW w:w="2693" w:type="pct"/>
            <w:tcBorders>
              <w:top w:val="single" w:sz="6" w:space="0" w:color="auto"/>
              <w:left w:val="single" w:sz="18" w:space="0" w:color="auto"/>
              <w:bottom w:val="single" w:sz="4" w:space="0" w:color="595959" w:themeColor="text1" w:themeTint="A6"/>
              <w:right w:val="single" w:sz="12" w:space="0" w:color="auto"/>
            </w:tcBorders>
            <w:tcMar>
              <w:top w:w="30" w:type="dxa"/>
              <w:left w:w="45" w:type="dxa"/>
              <w:bottom w:w="30" w:type="dxa"/>
              <w:right w:w="45" w:type="dxa"/>
            </w:tcMar>
            <w:vAlign w:val="center"/>
            <w:hideMark/>
          </w:tcPr>
          <w:p w14:paraId="2C38B7E0" w14:textId="77777777" w:rsidR="008B58C4" w:rsidRPr="009148F8" w:rsidRDefault="008B58C4" w:rsidP="00EC669E">
            <w:pPr>
              <w:ind w:left="144"/>
              <w:jc w:val="both"/>
              <w:rPr>
                <w:rFonts w:ascii="Times New Roman" w:eastAsia="Times New Roman" w:hAnsi="Times New Roman"/>
                <w:sz w:val="20"/>
              </w:rPr>
            </w:pPr>
            <w:r>
              <w:rPr>
                <w:rFonts w:ascii="Times New Roman" w:eastAsia="Times New Roman" w:hAnsi="Times New Roman"/>
                <w:sz w:val="20"/>
              </w:rPr>
              <w:t>≥</w:t>
            </w:r>
            <w:r w:rsidRPr="009148F8">
              <w:rPr>
                <w:rFonts w:ascii="Times New Roman" w:eastAsia="Times New Roman" w:hAnsi="Times New Roman"/>
                <w:sz w:val="20"/>
              </w:rPr>
              <w:t>50min</w:t>
            </w:r>
          </w:p>
        </w:tc>
        <w:tc>
          <w:tcPr>
            <w:tcW w:w="577" w:type="pct"/>
            <w:tcBorders>
              <w:top w:val="single" w:sz="6" w:space="0" w:color="auto"/>
              <w:left w:val="single" w:sz="12" w:space="0" w:color="auto"/>
              <w:bottom w:val="single" w:sz="4" w:space="0" w:color="595959" w:themeColor="text1" w:themeTint="A6"/>
              <w:right w:val="single" w:sz="6" w:space="0" w:color="auto"/>
            </w:tcBorders>
            <w:tcMar>
              <w:top w:w="30" w:type="dxa"/>
              <w:left w:w="45" w:type="dxa"/>
              <w:bottom w:w="30" w:type="dxa"/>
              <w:right w:w="45" w:type="dxa"/>
            </w:tcMar>
            <w:hideMark/>
          </w:tcPr>
          <w:p w14:paraId="16F2D043"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0.4</w:t>
            </w:r>
            <w:r>
              <w:rPr>
                <w:rFonts w:ascii="Times New Roman" w:eastAsia="Times New Roman" w:hAnsi="Times New Roman"/>
                <w:sz w:val="20"/>
              </w:rPr>
              <w:t>6</w:t>
            </w:r>
          </w:p>
        </w:tc>
        <w:tc>
          <w:tcPr>
            <w:tcW w:w="577" w:type="pct"/>
            <w:tcBorders>
              <w:top w:val="single" w:sz="6" w:space="0" w:color="auto"/>
              <w:left w:val="single" w:sz="6" w:space="0" w:color="auto"/>
              <w:bottom w:val="single" w:sz="4" w:space="0" w:color="595959" w:themeColor="text1" w:themeTint="A6"/>
              <w:right w:val="single" w:sz="12" w:space="0" w:color="auto"/>
            </w:tcBorders>
            <w:tcMar>
              <w:top w:w="30" w:type="dxa"/>
              <w:left w:w="45" w:type="dxa"/>
              <w:bottom w:w="30" w:type="dxa"/>
              <w:right w:w="45" w:type="dxa"/>
            </w:tcMar>
            <w:hideMark/>
          </w:tcPr>
          <w:p w14:paraId="7C2C638B"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4.76</w:t>
            </w:r>
          </w:p>
        </w:tc>
        <w:tc>
          <w:tcPr>
            <w:tcW w:w="577" w:type="pct"/>
            <w:tcBorders>
              <w:top w:val="single" w:sz="6" w:space="0" w:color="auto"/>
              <w:left w:val="single" w:sz="12" w:space="0" w:color="auto"/>
              <w:bottom w:val="single" w:sz="4" w:space="0" w:color="595959" w:themeColor="text1" w:themeTint="A6"/>
              <w:right w:val="single" w:sz="6" w:space="0" w:color="auto"/>
            </w:tcBorders>
            <w:tcMar>
              <w:top w:w="30" w:type="dxa"/>
              <w:left w:w="45" w:type="dxa"/>
              <w:bottom w:w="30" w:type="dxa"/>
              <w:right w:w="45" w:type="dxa"/>
            </w:tcMar>
            <w:hideMark/>
          </w:tcPr>
          <w:p w14:paraId="4DF3B718"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-0.4</w:t>
            </w:r>
            <w:r>
              <w:rPr>
                <w:rFonts w:ascii="Times New Roman" w:eastAsia="Times New Roman" w:hAnsi="Times New Roman"/>
                <w:sz w:val="20"/>
              </w:rPr>
              <w:t>1</w:t>
            </w:r>
          </w:p>
        </w:tc>
        <w:tc>
          <w:tcPr>
            <w:tcW w:w="576" w:type="pct"/>
            <w:tcBorders>
              <w:top w:val="single" w:sz="6" w:space="0" w:color="auto"/>
              <w:left w:val="single" w:sz="6" w:space="0" w:color="auto"/>
              <w:bottom w:val="single" w:sz="4" w:space="0" w:color="595959" w:themeColor="text1" w:themeTint="A6"/>
              <w:right w:val="single" w:sz="18" w:space="0" w:color="auto"/>
            </w:tcBorders>
            <w:tcMar>
              <w:top w:w="30" w:type="dxa"/>
              <w:left w:w="45" w:type="dxa"/>
              <w:bottom w:w="30" w:type="dxa"/>
              <w:right w:w="45" w:type="dxa"/>
            </w:tcMar>
            <w:hideMark/>
          </w:tcPr>
          <w:p w14:paraId="19C3E744"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-3.28</w:t>
            </w:r>
          </w:p>
        </w:tc>
      </w:tr>
      <w:tr w:rsidR="008B58C4" w:rsidRPr="009148F8" w14:paraId="546B465C" w14:textId="77777777" w:rsidTr="00EC669E">
        <w:trPr>
          <w:trHeight w:val="144"/>
        </w:trPr>
        <w:tc>
          <w:tcPr>
            <w:tcW w:w="5000" w:type="pct"/>
            <w:gridSpan w:val="5"/>
            <w:tcBorders>
              <w:top w:val="single" w:sz="4" w:space="0" w:color="595959" w:themeColor="text1" w:themeTint="A6"/>
              <w:left w:val="single" w:sz="18" w:space="0" w:color="auto"/>
              <w:bottom w:val="single" w:sz="4" w:space="0" w:color="595959" w:themeColor="text1" w:themeTint="A6"/>
              <w:right w:val="single" w:sz="18" w:space="0" w:color="auto"/>
            </w:tcBorders>
            <w:tcMar>
              <w:top w:w="30" w:type="dxa"/>
              <w:left w:w="45" w:type="dxa"/>
              <w:bottom w:w="30" w:type="dxa"/>
              <w:right w:w="45" w:type="dxa"/>
            </w:tcMar>
            <w:vAlign w:val="center"/>
          </w:tcPr>
          <w:p w14:paraId="10A2E657" w14:textId="77777777" w:rsidR="008B58C4" w:rsidRPr="009148F8" w:rsidRDefault="008B58C4" w:rsidP="00EC669E">
            <w:pPr>
              <w:jc w:val="both"/>
              <w:rPr>
                <w:rFonts w:ascii="Times New Roman" w:eastAsia="Times New Roman" w:hAnsi="Times New Roman"/>
                <w:sz w:val="20"/>
              </w:rPr>
            </w:pPr>
            <w:r>
              <w:rPr>
                <w:rFonts w:ascii="Times New Roman" w:eastAsia="Times New Roman" w:hAnsi="Times New Roman"/>
                <w:i/>
                <w:iCs/>
                <w:sz w:val="20"/>
              </w:rPr>
              <w:t xml:space="preserve">Work from home frequency post-Covid </w:t>
            </w:r>
          </w:p>
        </w:tc>
      </w:tr>
      <w:tr w:rsidR="008B58C4" w:rsidRPr="009148F8" w14:paraId="0B1C23A5" w14:textId="77777777" w:rsidTr="00EC669E">
        <w:trPr>
          <w:trHeight w:val="144"/>
        </w:trPr>
        <w:tc>
          <w:tcPr>
            <w:tcW w:w="2693" w:type="pct"/>
            <w:tcBorders>
              <w:top w:val="single" w:sz="4" w:space="0" w:color="595959" w:themeColor="text1" w:themeTint="A6"/>
              <w:left w:val="single" w:sz="18" w:space="0" w:color="auto"/>
              <w:bottom w:val="single" w:sz="12" w:space="0" w:color="auto"/>
              <w:right w:val="single" w:sz="12" w:space="0" w:color="auto"/>
            </w:tcBorders>
            <w:tcMar>
              <w:top w:w="30" w:type="dxa"/>
              <w:left w:w="45" w:type="dxa"/>
              <w:bottom w:w="30" w:type="dxa"/>
              <w:right w:w="45" w:type="dxa"/>
            </w:tcMar>
            <w:vAlign w:val="center"/>
            <w:hideMark/>
          </w:tcPr>
          <w:p w14:paraId="32771E73" w14:textId="77777777" w:rsidR="008B58C4" w:rsidRPr="009148F8" w:rsidRDefault="008B58C4" w:rsidP="00EC669E">
            <w:pPr>
              <w:ind w:left="144"/>
              <w:jc w:val="both"/>
              <w:rPr>
                <w:rFonts w:ascii="Times New Roman" w:eastAsia="Times New Roman" w:hAnsi="Times New Roman"/>
                <w:sz w:val="20"/>
              </w:rPr>
            </w:pPr>
            <w:r>
              <w:rPr>
                <w:rFonts w:ascii="Times New Roman" w:eastAsia="Times New Roman" w:hAnsi="Times New Roman"/>
                <w:sz w:val="20"/>
              </w:rPr>
              <w:t>Number of days per week</w:t>
            </w:r>
          </w:p>
        </w:tc>
        <w:tc>
          <w:tcPr>
            <w:tcW w:w="577" w:type="pct"/>
            <w:tcBorders>
              <w:top w:val="single" w:sz="4" w:space="0" w:color="595959" w:themeColor="text1" w:themeTint="A6"/>
              <w:left w:val="single" w:sz="12" w:space="0" w:color="auto"/>
              <w:bottom w:val="single" w:sz="12" w:space="0" w:color="auto"/>
              <w:right w:val="single" w:sz="6" w:space="0" w:color="auto"/>
            </w:tcBorders>
            <w:tcMar>
              <w:top w:w="30" w:type="dxa"/>
              <w:left w:w="45" w:type="dxa"/>
              <w:bottom w:w="30" w:type="dxa"/>
              <w:right w:w="45" w:type="dxa"/>
            </w:tcMar>
            <w:hideMark/>
          </w:tcPr>
          <w:p w14:paraId="1ED7F241"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7" w:type="pct"/>
            <w:tcBorders>
              <w:top w:val="single" w:sz="4" w:space="0" w:color="595959" w:themeColor="text1" w:themeTint="A6"/>
              <w:left w:val="single" w:sz="6" w:space="0" w:color="auto"/>
              <w:bottom w:val="single" w:sz="12" w:space="0" w:color="auto"/>
              <w:right w:val="single" w:sz="12" w:space="0" w:color="auto"/>
            </w:tcBorders>
            <w:tcMar>
              <w:top w:w="30" w:type="dxa"/>
              <w:left w:w="45" w:type="dxa"/>
              <w:bottom w:w="30" w:type="dxa"/>
              <w:right w:w="45" w:type="dxa"/>
            </w:tcMar>
            <w:hideMark/>
          </w:tcPr>
          <w:p w14:paraId="5D755E3C"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7" w:type="pct"/>
            <w:tcBorders>
              <w:top w:val="single" w:sz="4" w:space="0" w:color="595959" w:themeColor="text1" w:themeTint="A6"/>
              <w:left w:val="single" w:sz="12" w:space="0" w:color="auto"/>
              <w:bottom w:val="single" w:sz="12" w:space="0" w:color="auto"/>
              <w:right w:val="single" w:sz="6" w:space="0" w:color="auto"/>
            </w:tcBorders>
            <w:tcMar>
              <w:top w:w="30" w:type="dxa"/>
              <w:left w:w="45" w:type="dxa"/>
              <w:bottom w:w="30" w:type="dxa"/>
              <w:right w:w="45" w:type="dxa"/>
            </w:tcMar>
            <w:hideMark/>
          </w:tcPr>
          <w:p w14:paraId="7AAD0D98"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0.0</w:t>
            </w:r>
            <w:r>
              <w:rPr>
                <w:rFonts w:ascii="Times New Roman" w:eastAsia="Times New Roman" w:hAnsi="Times New Roman"/>
                <w:sz w:val="20"/>
              </w:rPr>
              <w:t>6</w:t>
            </w:r>
          </w:p>
        </w:tc>
        <w:tc>
          <w:tcPr>
            <w:tcW w:w="576" w:type="pct"/>
            <w:tcBorders>
              <w:top w:val="single" w:sz="4" w:space="0" w:color="595959" w:themeColor="text1" w:themeTint="A6"/>
              <w:left w:val="single" w:sz="6" w:space="0" w:color="auto"/>
              <w:right w:val="single" w:sz="18" w:space="0" w:color="auto"/>
            </w:tcBorders>
            <w:tcMar>
              <w:top w:w="30" w:type="dxa"/>
              <w:left w:w="45" w:type="dxa"/>
              <w:bottom w:w="30" w:type="dxa"/>
              <w:right w:w="45" w:type="dxa"/>
            </w:tcMar>
            <w:hideMark/>
          </w:tcPr>
          <w:p w14:paraId="5BEF6C57"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4.59</w:t>
            </w:r>
          </w:p>
        </w:tc>
      </w:tr>
      <w:tr w:rsidR="008B58C4" w:rsidRPr="009148F8" w14:paraId="21959143" w14:textId="77777777" w:rsidTr="00EC669E">
        <w:trPr>
          <w:trHeight w:val="144"/>
        </w:trPr>
        <w:tc>
          <w:tcPr>
            <w:tcW w:w="5000" w:type="pct"/>
            <w:gridSpan w:val="5"/>
            <w:tcBorders>
              <w:top w:val="single" w:sz="12" w:space="0" w:color="auto"/>
              <w:left w:val="single" w:sz="18" w:space="0" w:color="auto"/>
              <w:right w:val="single" w:sz="18" w:space="0" w:color="auto"/>
            </w:tcBorders>
            <w:tcMar>
              <w:top w:w="30" w:type="dxa"/>
              <w:left w:w="45" w:type="dxa"/>
              <w:bottom w:w="30" w:type="dxa"/>
              <w:right w:w="45" w:type="dxa"/>
            </w:tcMar>
            <w:vAlign w:val="center"/>
            <w:hideMark/>
          </w:tcPr>
          <w:p w14:paraId="519022D8" w14:textId="77777777" w:rsidR="008B58C4" w:rsidRPr="009148F8" w:rsidRDefault="008B58C4" w:rsidP="00EC669E">
            <w:pPr>
              <w:jc w:val="both"/>
              <w:rPr>
                <w:rFonts w:ascii="Times New Roman" w:eastAsia="Times New Roman" w:hAnsi="Times New Roman"/>
                <w:b/>
                <w:bCs/>
                <w:sz w:val="20"/>
              </w:rPr>
            </w:pPr>
            <w:r w:rsidRPr="009148F8">
              <w:rPr>
                <w:rFonts w:ascii="Times New Roman" w:eastAsia="Times New Roman" w:hAnsi="Times New Roman"/>
                <w:b/>
                <w:bCs/>
                <w:sz w:val="20"/>
              </w:rPr>
              <w:t xml:space="preserve">Built-environment </w:t>
            </w:r>
            <w:r>
              <w:rPr>
                <w:rFonts w:ascii="Times New Roman" w:eastAsia="Times New Roman" w:hAnsi="Times New Roman"/>
                <w:b/>
                <w:bCs/>
                <w:sz w:val="20"/>
              </w:rPr>
              <w:t>a</w:t>
            </w:r>
            <w:r w:rsidRPr="009148F8">
              <w:rPr>
                <w:rFonts w:ascii="Times New Roman" w:eastAsia="Times New Roman" w:hAnsi="Times New Roman"/>
                <w:b/>
                <w:bCs/>
                <w:sz w:val="20"/>
              </w:rPr>
              <w:t>ttributes</w:t>
            </w:r>
          </w:p>
        </w:tc>
      </w:tr>
      <w:tr w:rsidR="008B58C4" w:rsidRPr="009148F8" w14:paraId="74A7FC3B" w14:textId="77777777" w:rsidTr="00EC669E">
        <w:trPr>
          <w:trHeight w:val="144"/>
        </w:trPr>
        <w:tc>
          <w:tcPr>
            <w:tcW w:w="2693" w:type="pct"/>
            <w:tcBorders>
              <w:top w:val="single" w:sz="12" w:space="0" w:color="auto"/>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hideMark/>
          </w:tcPr>
          <w:p w14:paraId="01F27430" w14:textId="77777777" w:rsidR="008B58C4" w:rsidRPr="009148F8" w:rsidRDefault="008B58C4" w:rsidP="00EC669E">
            <w:pPr>
              <w:jc w:val="both"/>
              <w:rPr>
                <w:rFonts w:ascii="Times New Roman" w:eastAsia="Times New Roman" w:hAnsi="Times New Roman"/>
                <w:sz w:val="20"/>
              </w:rPr>
            </w:pPr>
            <w:r w:rsidRPr="009148F8">
              <w:rPr>
                <w:rFonts w:ascii="Times New Roman" w:eastAsia="Times New Roman" w:hAnsi="Times New Roman"/>
                <w:sz w:val="20"/>
              </w:rPr>
              <w:t>Population density (person</w:t>
            </w:r>
            <w:r>
              <w:rPr>
                <w:rFonts w:ascii="Times New Roman" w:eastAsia="Times New Roman" w:hAnsi="Times New Roman"/>
                <w:sz w:val="20"/>
              </w:rPr>
              <w:t>s</w:t>
            </w:r>
            <w:r w:rsidRPr="009148F8">
              <w:rPr>
                <w:rFonts w:ascii="Times New Roman" w:eastAsia="Times New Roman" w:hAnsi="Times New Roman"/>
                <w:sz w:val="20"/>
              </w:rPr>
              <w:t>/sq mile)</w:t>
            </w:r>
          </w:p>
        </w:tc>
        <w:tc>
          <w:tcPr>
            <w:tcW w:w="577" w:type="pct"/>
            <w:tcBorders>
              <w:top w:val="single" w:sz="12" w:space="0" w:color="auto"/>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4D5FF56E"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0.0</w:t>
            </w:r>
            <w:r>
              <w:rPr>
                <w:rFonts w:ascii="Times New Roman" w:eastAsia="Times New Roman" w:hAnsi="Times New Roman"/>
                <w:sz w:val="20"/>
              </w:rPr>
              <w:t>1</w:t>
            </w:r>
          </w:p>
        </w:tc>
        <w:tc>
          <w:tcPr>
            <w:tcW w:w="577" w:type="pct"/>
            <w:tcBorders>
              <w:top w:val="single" w:sz="12" w:space="0" w:color="auto"/>
              <w:left w:val="single" w:sz="6" w:space="0" w:color="auto"/>
              <w:bottom w:val="dashSmallGap" w:sz="4" w:space="0" w:color="595959" w:themeColor="text1" w:themeTint="A6"/>
              <w:right w:val="single" w:sz="12" w:space="0" w:color="auto"/>
            </w:tcBorders>
            <w:tcMar>
              <w:top w:w="30" w:type="dxa"/>
              <w:left w:w="45" w:type="dxa"/>
              <w:bottom w:w="30" w:type="dxa"/>
              <w:right w:w="45" w:type="dxa"/>
            </w:tcMar>
            <w:hideMark/>
          </w:tcPr>
          <w:p w14:paraId="75576C4E"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3.39</w:t>
            </w:r>
          </w:p>
        </w:tc>
        <w:tc>
          <w:tcPr>
            <w:tcW w:w="577" w:type="pct"/>
            <w:tcBorders>
              <w:top w:val="single" w:sz="12" w:space="0" w:color="auto"/>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35E2DA08"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6" w:type="pct"/>
            <w:tcBorders>
              <w:top w:val="single" w:sz="12" w:space="0" w:color="auto"/>
              <w:left w:val="single" w:sz="6" w:space="0" w:color="auto"/>
              <w:bottom w:val="dashSmallGap" w:sz="4" w:space="0" w:color="595959" w:themeColor="text1" w:themeTint="A6"/>
              <w:right w:val="single" w:sz="18" w:space="0" w:color="auto"/>
            </w:tcBorders>
            <w:tcMar>
              <w:top w:w="30" w:type="dxa"/>
              <w:left w:w="45" w:type="dxa"/>
              <w:bottom w:w="30" w:type="dxa"/>
              <w:right w:w="45" w:type="dxa"/>
            </w:tcMar>
            <w:hideMark/>
          </w:tcPr>
          <w:p w14:paraId="5AD33BBF"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r>
      <w:tr w:rsidR="008B58C4" w:rsidRPr="009148F8" w14:paraId="439B66B9" w14:textId="77777777" w:rsidTr="00EC669E">
        <w:trPr>
          <w:trHeight w:val="144"/>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tcPr>
          <w:p w14:paraId="6B844836" w14:textId="77777777" w:rsidR="008B58C4" w:rsidRPr="00C921FC" w:rsidRDefault="008B58C4" w:rsidP="00EC669E">
            <w:pPr>
              <w:jc w:val="both"/>
              <w:rPr>
                <w:rFonts w:ascii="Times New Roman" w:eastAsia="Times New Roman" w:hAnsi="Times New Roman"/>
                <w:iCs/>
                <w:sz w:val="20"/>
              </w:rPr>
            </w:pPr>
            <w:r w:rsidRPr="00C921FC">
              <w:rPr>
                <w:rFonts w:ascii="Times New Roman" w:eastAsia="Times New Roman" w:hAnsi="Times New Roman"/>
                <w:iCs/>
                <w:sz w:val="20"/>
              </w:rPr>
              <w:t xml:space="preserve">Walkability index/100 </w:t>
            </w:r>
          </w:p>
        </w:tc>
        <w:tc>
          <w:tcPr>
            <w:tcW w:w="577" w:type="pct"/>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tcPr>
          <w:p w14:paraId="4CD3254B"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5.7</w:t>
            </w:r>
            <w:r>
              <w:rPr>
                <w:rFonts w:ascii="Times New Roman" w:eastAsia="Times New Roman" w:hAnsi="Times New Roman"/>
                <w:sz w:val="20"/>
              </w:rPr>
              <w:t>0</w:t>
            </w:r>
          </w:p>
        </w:tc>
        <w:tc>
          <w:tcPr>
            <w:tcW w:w="577" w:type="pct"/>
            <w:tcBorders>
              <w:top w:val="dashSmallGap" w:sz="4" w:space="0" w:color="595959" w:themeColor="text1" w:themeTint="A6"/>
              <w:left w:val="single" w:sz="6" w:space="0" w:color="auto"/>
              <w:bottom w:val="dashSmallGap" w:sz="4" w:space="0" w:color="595959" w:themeColor="text1" w:themeTint="A6"/>
              <w:right w:val="single" w:sz="12" w:space="0" w:color="auto"/>
            </w:tcBorders>
            <w:tcMar>
              <w:top w:w="30" w:type="dxa"/>
              <w:left w:w="45" w:type="dxa"/>
              <w:bottom w:w="30" w:type="dxa"/>
              <w:right w:w="45" w:type="dxa"/>
            </w:tcMar>
          </w:tcPr>
          <w:p w14:paraId="5B4A9AD1"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5.67</w:t>
            </w:r>
          </w:p>
        </w:tc>
        <w:tc>
          <w:tcPr>
            <w:tcW w:w="577" w:type="pct"/>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tcPr>
          <w:p w14:paraId="58222555"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6" w:type="pct"/>
            <w:tcBorders>
              <w:top w:val="dashSmallGap"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tcPr>
          <w:p w14:paraId="30FF0CD0"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r>
      <w:tr w:rsidR="008B58C4" w:rsidRPr="009148F8" w14:paraId="56678645" w14:textId="77777777" w:rsidTr="00EC669E">
        <w:trPr>
          <w:trHeight w:val="144"/>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tcPr>
          <w:p w14:paraId="3BC094E9" w14:textId="77777777" w:rsidR="008B58C4" w:rsidRPr="008361CB" w:rsidRDefault="008B58C4" w:rsidP="00EC669E">
            <w:pPr>
              <w:jc w:val="both"/>
              <w:rPr>
                <w:rFonts w:ascii="Times New Roman" w:eastAsia="Times New Roman" w:hAnsi="Times New Roman"/>
                <w:i/>
                <w:iCs/>
                <w:sz w:val="20"/>
              </w:rPr>
            </w:pPr>
            <w:r w:rsidRPr="008361CB">
              <w:rPr>
                <w:rFonts w:ascii="Times New Roman" w:eastAsia="Times New Roman" w:hAnsi="Times New Roman"/>
                <w:i/>
                <w:iCs/>
                <w:sz w:val="20"/>
              </w:rPr>
              <w:t>Bike accessibility (no)</w:t>
            </w:r>
          </w:p>
        </w:tc>
        <w:tc>
          <w:tcPr>
            <w:tcW w:w="577" w:type="pct"/>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tcPr>
          <w:p w14:paraId="661D6FFB" w14:textId="77777777" w:rsidR="008B58C4" w:rsidRPr="009148F8" w:rsidRDefault="008B58C4" w:rsidP="00EC669E">
            <w:pPr>
              <w:jc w:val="right"/>
              <w:rPr>
                <w:rFonts w:ascii="Times New Roman" w:eastAsia="Times New Roman" w:hAnsi="Times New Roman"/>
                <w:sz w:val="20"/>
              </w:rPr>
            </w:pPr>
          </w:p>
        </w:tc>
        <w:tc>
          <w:tcPr>
            <w:tcW w:w="577" w:type="pct"/>
            <w:tcBorders>
              <w:top w:val="dashSmallGap" w:sz="4" w:space="0" w:color="595959" w:themeColor="text1" w:themeTint="A6"/>
              <w:left w:val="single" w:sz="6" w:space="0" w:color="auto"/>
              <w:bottom w:val="dashSmallGap" w:sz="4" w:space="0" w:color="595959" w:themeColor="text1" w:themeTint="A6"/>
              <w:right w:val="single" w:sz="12" w:space="0" w:color="auto"/>
            </w:tcBorders>
            <w:tcMar>
              <w:top w:w="30" w:type="dxa"/>
              <w:left w:w="45" w:type="dxa"/>
              <w:bottom w:w="30" w:type="dxa"/>
              <w:right w:w="45" w:type="dxa"/>
            </w:tcMar>
          </w:tcPr>
          <w:p w14:paraId="125DD903" w14:textId="77777777" w:rsidR="008B58C4" w:rsidRPr="009148F8" w:rsidRDefault="008B58C4" w:rsidP="00EC669E">
            <w:pPr>
              <w:jc w:val="right"/>
              <w:rPr>
                <w:rFonts w:ascii="Times New Roman" w:eastAsia="Times New Roman" w:hAnsi="Times New Roman"/>
                <w:sz w:val="20"/>
              </w:rPr>
            </w:pPr>
          </w:p>
        </w:tc>
        <w:tc>
          <w:tcPr>
            <w:tcW w:w="577" w:type="pct"/>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tcPr>
          <w:p w14:paraId="355AFFFD" w14:textId="77777777" w:rsidR="008B58C4" w:rsidRPr="009148F8" w:rsidRDefault="008B58C4" w:rsidP="00EC669E">
            <w:pPr>
              <w:jc w:val="right"/>
              <w:rPr>
                <w:rFonts w:ascii="Times New Roman" w:eastAsia="Times New Roman" w:hAnsi="Times New Roman"/>
                <w:sz w:val="20"/>
              </w:rPr>
            </w:pPr>
          </w:p>
        </w:tc>
        <w:tc>
          <w:tcPr>
            <w:tcW w:w="576" w:type="pct"/>
            <w:tcBorders>
              <w:top w:val="dashSmallGap"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tcPr>
          <w:p w14:paraId="7F1B53B7" w14:textId="77777777" w:rsidR="008B58C4" w:rsidRPr="009148F8" w:rsidRDefault="008B58C4" w:rsidP="00EC669E">
            <w:pPr>
              <w:jc w:val="right"/>
              <w:rPr>
                <w:rFonts w:ascii="Times New Roman" w:eastAsia="Times New Roman" w:hAnsi="Times New Roman"/>
                <w:sz w:val="20"/>
              </w:rPr>
            </w:pPr>
          </w:p>
        </w:tc>
      </w:tr>
      <w:tr w:rsidR="008B58C4" w:rsidRPr="009148F8" w14:paraId="625748B0" w14:textId="77777777" w:rsidTr="00EC669E">
        <w:trPr>
          <w:trHeight w:val="144"/>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hideMark/>
          </w:tcPr>
          <w:p w14:paraId="5C96E965" w14:textId="77777777" w:rsidR="008B58C4" w:rsidRPr="009148F8" w:rsidRDefault="008B58C4" w:rsidP="00EC669E">
            <w:pPr>
              <w:ind w:left="144"/>
              <w:jc w:val="both"/>
              <w:rPr>
                <w:rFonts w:ascii="Times New Roman" w:eastAsia="Times New Roman" w:hAnsi="Times New Roman"/>
                <w:sz w:val="20"/>
              </w:rPr>
            </w:pPr>
            <w:r>
              <w:rPr>
                <w:rFonts w:ascii="Times New Roman" w:eastAsia="Times New Roman" w:hAnsi="Times New Roman"/>
                <w:sz w:val="20"/>
              </w:rPr>
              <w:t>Yes</w:t>
            </w:r>
          </w:p>
        </w:tc>
        <w:tc>
          <w:tcPr>
            <w:tcW w:w="577" w:type="pct"/>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2484A9D9"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w:t>
            </w:r>
            <w:r>
              <w:rPr>
                <w:rFonts w:ascii="Times New Roman" w:eastAsia="Times New Roman" w:hAnsi="Times New Roman"/>
                <w:sz w:val="20"/>
              </w:rPr>
              <w:t>40</w:t>
            </w:r>
          </w:p>
        </w:tc>
        <w:tc>
          <w:tcPr>
            <w:tcW w:w="577" w:type="pct"/>
            <w:tcBorders>
              <w:top w:val="dashSmallGap" w:sz="4" w:space="0" w:color="595959" w:themeColor="text1" w:themeTint="A6"/>
              <w:left w:val="single" w:sz="6" w:space="0" w:color="auto"/>
              <w:bottom w:val="dashSmallGap" w:sz="4" w:space="0" w:color="595959" w:themeColor="text1" w:themeTint="A6"/>
              <w:right w:val="single" w:sz="12" w:space="0" w:color="auto"/>
            </w:tcBorders>
            <w:tcMar>
              <w:top w:w="30" w:type="dxa"/>
              <w:left w:w="45" w:type="dxa"/>
              <w:bottom w:w="30" w:type="dxa"/>
              <w:right w:w="45" w:type="dxa"/>
            </w:tcMar>
            <w:hideMark/>
          </w:tcPr>
          <w:p w14:paraId="1074C1BA"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10.04</w:t>
            </w:r>
          </w:p>
        </w:tc>
        <w:tc>
          <w:tcPr>
            <w:tcW w:w="577" w:type="pct"/>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hideMark/>
          </w:tcPr>
          <w:p w14:paraId="6A38B284"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6" w:type="pct"/>
            <w:tcBorders>
              <w:top w:val="dashSmallGap"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hideMark/>
          </w:tcPr>
          <w:p w14:paraId="1C2569C4"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r>
      <w:tr w:rsidR="008B58C4" w:rsidRPr="009148F8" w14:paraId="5C613B5F" w14:textId="77777777" w:rsidTr="00EC669E">
        <w:trPr>
          <w:trHeight w:val="144"/>
        </w:trPr>
        <w:tc>
          <w:tcPr>
            <w:tcW w:w="2693" w:type="pct"/>
            <w:tcBorders>
              <w:top w:val="dashSmallGap" w:sz="4" w:space="0" w:color="595959" w:themeColor="text1" w:themeTint="A6"/>
              <w:left w:val="single" w:sz="18" w:space="0" w:color="auto"/>
              <w:bottom w:val="single" w:sz="12" w:space="0" w:color="auto"/>
              <w:right w:val="single" w:sz="12" w:space="0" w:color="auto"/>
            </w:tcBorders>
            <w:tcMar>
              <w:top w:w="30" w:type="dxa"/>
              <w:left w:w="45" w:type="dxa"/>
              <w:bottom w:w="30" w:type="dxa"/>
              <w:right w:w="45" w:type="dxa"/>
            </w:tcMar>
            <w:vAlign w:val="center"/>
            <w:hideMark/>
          </w:tcPr>
          <w:p w14:paraId="498C6287" w14:textId="77777777" w:rsidR="008B58C4" w:rsidRPr="009148F8" w:rsidRDefault="008B58C4" w:rsidP="00EC669E">
            <w:pPr>
              <w:jc w:val="both"/>
              <w:rPr>
                <w:rFonts w:ascii="Times New Roman" w:eastAsia="Times New Roman" w:hAnsi="Times New Roman"/>
                <w:sz w:val="20"/>
              </w:rPr>
            </w:pPr>
            <w:r w:rsidRPr="009148F8">
              <w:rPr>
                <w:rFonts w:ascii="Times New Roman" w:eastAsia="Times New Roman" w:hAnsi="Times New Roman"/>
                <w:sz w:val="20"/>
              </w:rPr>
              <w:t>Distance to nearest transit</w:t>
            </w:r>
            <w:r>
              <w:rPr>
                <w:rFonts w:ascii="Times New Roman" w:eastAsia="Times New Roman" w:hAnsi="Times New Roman"/>
                <w:sz w:val="20"/>
              </w:rPr>
              <w:t xml:space="preserve"> stop</w:t>
            </w:r>
            <w:r w:rsidRPr="009148F8">
              <w:rPr>
                <w:rFonts w:ascii="Times New Roman" w:eastAsia="Times New Roman" w:hAnsi="Times New Roman"/>
                <w:sz w:val="20"/>
              </w:rPr>
              <w:t>/100 (meter)</w:t>
            </w:r>
          </w:p>
        </w:tc>
        <w:tc>
          <w:tcPr>
            <w:tcW w:w="577" w:type="pct"/>
            <w:tcBorders>
              <w:top w:val="dashSmallGap" w:sz="4" w:space="0" w:color="595959" w:themeColor="text1" w:themeTint="A6"/>
              <w:left w:val="single" w:sz="12" w:space="0" w:color="auto"/>
              <w:bottom w:val="single" w:sz="12" w:space="0" w:color="auto"/>
              <w:right w:val="single" w:sz="6" w:space="0" w:color="auto"/>
            </w:tcBorders>
            <w:tcMar>
              <w:top w:w="30" w:type="dxa"/>
              <w:left w:w="45" w:type="dxa"/>
              <w:bottom w:w="30" w:type="dxa"/>
              <w:right w:w="45" w:type="dxa"/>
            </w:tcMar>
            <w:hideMark/>
          </w:tcPr>
          <w:p w14:paraId="29AC9FAC"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-0.06</w:t>
            </w:r>
          </w:p>
        </w:tc>
        <w:tc>
          <w:tcPr>
            <w:tcW w:w="577" w:type="pct"/>
            <w:tcBorders>
              <w:top w:val="dashSmallGap" w:sz="4" w:space="0" w:color="595959" w:themeColor="text1" w:themeTint="A6"/>
              <w:left w:val="single" w:sz="6" w:space="0" w:color="auto"/>
              <w:bottom w:val="single" w:sz="12" w:space="0" w:color="auto"/>
              <w:right w:val="single" w:sz="12" w:space="0" w:color="auto"/>
            </w:tcBorders>
            <w:tcMar>
              <w:top w:w="30" w:type="dxa"/>
              <w:left w:w="45" w:type="dxa"/>
              <w:bottom w:w="30" w:type="dxa"/>
              <w:right w:w="45" w:type="dxa"/>
            </w:tcMar>
            <w:hideMark/>
          </w:tcPr>
          <w:p w14:paraId="5E766006"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4.28</w:t>
            </w:r>
          </w:p>
        </w:tc>
        <w:tc>
          <w:tcPr>
            <w:tcW w:w="577" w:type="pct"/>
            <w:tcBorders>
              <w:top w:val="dashSmallGap" w:sz="4" w:space="0" w:color="595959" w:themeColor="text1" w:themeTint="A6"/>
              <w:left w:val="single" w:sz="12" w:space="0" w:color="auto"/>
              <w:bottom w:val="single" w:sz="12" w:space="0" w:color="auto"/>
              <w:right w:val="single" w:sz="6" w:space="0" w:color="auto"/>
            </w:tcBorders>
            <w:tcMar>
              <w:top w:w="30" w:type="dxa"/>
              <w:left w:w="45" w:type="dxa"/>
              <w:bottom w:w="30" w:type="dxa"/>
              <w:right w:w="45" w:type="dxa"/>
            </w:tcMar>
            <w:hideMark/>
          </w:tcPr>
          <w:p w14:paraId="7E4EBE83"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c>
          <w:tcPr>
            <w:tcW w:w="576" w:type="pct"/>
            <w:tcBorders>
              <w:top w:val="dashSmallGap" w:sz="4" w:space="0" w:color="595959" w:themeColor="text1" w:themeTint="A6"/>
              <w:left w:val="single" w:sz="6" w:space="0" w:color="auto"/>
              <w:bottom w:val="single" w:sz="12" w:space="0" w:color="auto"/>
              <w:right w:val="single" w:sz="18" w:space="0" w:color="auto"/>
            </w:tcBorders>
            <w:tcMar>
              <w:top w:w="30" w:type="dxa"/>
              <w:left w:w="45" w:type="dxa"/>
              <w:bottom w:w="30" w:type="dxa"/>
              <w:right w:w="45" w:type="dxa"/>
            </w:tcMar>
            <w:hideMark/>
          </w:tcPr>
          <w:p w14:paraId="2DEF9CDB"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w:t>
            </w:r>
          </w:p>
        </w:tc>
      </w:tr>
    </w:tbl>
    <w:p w14:paraId="192FA619" w14:textId="77777777" w:rsidR="008B58C4" w:rsidRDefault="008B58C4" w:rsidP="008B58C4">
      <w:pPr>
        <w:jc w:val="both"/>
        <w:rPr>
          <w:rFonts w:eastAsiaTheme="minorHAnsi"/>
          <w:b/>
          <w:bCs/>
          <w:noProof/>
          <w:szCs w:val="24"/>
        </w:rPr>
      </w:pPr>
    </w:p>
    <w:p w14:paraId="5403C6DA" w14:textId="77777777" w:rsidR="008B58C4" w:rsidRDefault="008B58C4" w:rsidP="008B58C4">
      <w:pPr>
        <w:jc w:val="both"/>
        <w:rPr>
          <w:rFonts w:eastAsiaTheme="minorHAnsi"/>
          <w:b/>
          <w:bCs/>
          <w:noProof/>
          <w:szCs w:val="24"/>
        </w:rPr>
      </w:pPr>
      <w:r>
        <w:rPr>
          <w:rFonts w:eastAsiaTheme="minorHAnsi"/>
          <w:b/>
          <w:bCs/>
          <w:noProof/>
          <w:szCs w:val="24"/>
        </w:rPr>
        <w:br w:type="page"/>
      </w:r>
    </w:p>
    <w:p w14:paraId="2FF074C2" w14:textId="77777777" w:rsidR="008B58C4" w:rsidRDefault="008B58C4" w:rsidP="008B58C4">
      <w:pPr>
        <w:jc w:val="both"/>
        <w:rPr>
          <w:rFonts w:eastAsiaTheme="minorHAnsi"/>
          <w:b/>
          <w:bCs/>
          <w:noProof/>
          <w:szCs w:val="24"/>
        </w:rPr>
      </w:pPr>
      <w:r>
        <w:rPr>
          <w:rFonts w:eastAsiaTheme="minorHAnsi"/>
          <w:b/>
          <w:bCs/>
          <w:noProof/>
          <w:szCs w:val="24"/>
        </w:rPr>
        <w:lastRenderedPageBreak/>
        <w:t xml:space="preserve">Table 3. </w:t>
      </w:r>
      <w:r w:rsidRPr="00BC47E7">
        <w:rPr>
          <w:rFonts w:ascii="Times New Roman" w:eastAsiaTheme="minorHAnsi" w:hAnsi="Times New Roman"/>
          <w:b/>
          <w:bCs/>
          <w:noProof/>
          <w:szCs w:val="24"/>
        </w:rPr>
        <w:t xml:space="preserve">Estimates of Exogeneous Variables on </w:t>
      </w:r>
      <w:r>
        <w:rPr>
          <w:rFonts w:ascii="Times New Roman" w:eastAsiaTheme="minorHAnsi" w:hAnsi="Times New Roman"/>
          <w:b/>
          <w:bCs/>
          <w:noProof/>
          <w:szCs w:val="24"/>
        </w:rPr>
        <w:t>Walking Frequency (N=2,629)</w:t>
      </w:r>
      <w:r>
        <w:rPr>
          <w:rFonts w:eastAsiaTheme="minorHAnsi"/>
          <w:b/>
          <w:bCs/>
          <w:noProof/>
          <w:szCs w:val="24"/>
        </w:rPr>
        <w:t xml:space="preserve"> (Continued)</w:t>
      </w:r>
    </w:p>
    <w:tbl>
      <w:tblPr>
        <w:tblW w:w="4956" w:type="pct"/>
        <w:tblCellMar>
          <w:left w:w="0" w:type="dxa"/>
          <w:right w:w="0" w:type="dxa"/>
        </w:tblCellMar>
        <w:tblLook w:val="04A0" w:firstRow="1" w:lastRow="0" w:firstColumn="1" w:lastColumn="0" w:noHBand="0" w:noVBand="1"/>
      </w:tblPr>
      <w:tblGrid>
        <w:gridCol w:w="4972"/>
        <w:gridCol w:w="1064"/>
        <w:gridCol w:w="1065"/>
        <w:gridCol w:w="1064"/>
        <w:gridCol w:w="1067"/>
      </w:tblGrid>
      <w:tr w:rsidR="008B58C4" w:rsidRPr="009148F8" w14:paraId="57FE3188" w14:textId="77777777" w:rsidTr="00EC669E">
        <w:trPr>
          <w:trHeight w:val="17"/>
        </w:trPr>
        <w:tc>
          <w:tcPr>
            <w:tcW w:w="2693" w:type="pct"/>
            <w:vMerge w:val="restart"/>
            <w:tcBorders>
              <w:top w:val="single" w:sz="18" w:space="0" w:color="auto"/>
              <w:left w:val="single" w:sz="18" w:space="0" w:color="auto"/>
              <w:right w:val="single" w:sz="12" w:space="0" w:color="auto"/>
            </w:tcBorders>
            <w:tcMar>
              <w:top w:w="30" w:type="dxa"/>
              <w:left w:w="45" w:type="dxa"/>
              <w:bottom w:w="30" w:type="dxa"/>
              <w:right w:w="45" w:type="dxa"/>
            </w:tcMar>
            <w:vAlign w:val="center"/>
            <w:hideMark/>
          </w:tcPr>
          <w:p w14:paraId="36BC0EF8" w14:textId="77777777" w:rsidR="008B58C4" w:rsidRPr="009148F8" w:rsidRDefault="008B58C4" w:rsidP="00EC669E">
            <w:pPr>
              <w:jc w:val="both"/>
              <w:rPr>
                <w:rFonts w:ascii="Times New Roman" w:eastAsia="Times New Roman" w:hAnsi="Times New Roman"/>
                <w:b/>
                <w:bCs/>
                <w:sz w:val="20"/>
              </w:rPr>
            </w:pPr>
            <w:r w:rsidRPr="009148F8">
              <w:rPr>
                <w:rFonts w:ascii="Times New Roman" w:eastAsia="Times New Roman" w:hAnsi="Times New Roman"/>
                <w:b/>
                <w:bCs/>
                <w:sz w:val="20"/>
              </w:rPr>
              <w:t xml:space="preserve">Exogenous </w:t>
            </w:r>
            <w:r>
              <w:rPr>
                <w:rFonts w:ascii="Times New Roman" w:eastAsia="Times New Roman" w:hAnsi="Times New Roman"/>
                <w:b/>
                <w:bCs/>
                <w:sz w:val="20"/>
              </w:rPr>
              <w:t>v</w:t>
            </w:r>
            <w:r w:rsidRPr="009148F8">
              <w:rPr>
                <w:rFonts w:ascii="Times New Roman" w:eastAsia="Times New Roman" w:hAnsi="Times New Roman"/>
                <w:b/>
                <w:bCs/>
                <w:sz w:val="20"/>
              </w:rPr>
              <w:t>ariables (</w:t>
            </w:r>
            <w:r>
              <w:rPr>
                <w:rFonts w:ascii="Times New Roman" w:eastAsia="Times New Roman" w:hAnsi="Times New Roman"/>
                <w:b/>
                <w:bCs/>
                <w:sz w:val="20"/>
              </w:rPr>
              <w:t>b</w:t>
            </w:r>
            <w:r w:rsidRPr="009148F8">
              <w:rPr>
                <w:rFonts w:ascii="Times New Roman" w:eastAsia="Times New Roman" w:hAnsi="Times New Roman"/>
                <w:b/>
                <w:bCs/>
                <w:sz w:val="20"/>
              </w:rPr>
              <w:t>ase)</w:t>
            </w:r>
          </w:p>
        </w:tc>
        <w:tc>
          <w:tcPr>
            <w:tcW w:w="1153" w:type="pct"/>
            <w:gridSpan w:val="2"/>
            <w:tcBorders>
              <w:top w:val="single" w:sz="18" w:space="0" w:color="auto"/>
              <w:left w:val="single" w:sz="12" w:space="0" w:color="auto"/>
              <w:bottom w:val="single" w:sz="8" w:space="0" w:color="auto"/>
              <w:right w:val="single" w:sz="12" w:space="0" w:color="auto"/>
            </w:tcBorders>
            <w:tcMar>
              <w:top w:w="30" w:type="dxa"/>
              <w:left w:w="45" w:type="dxa"/>
              <w:bottom w:w="30" w:type="dxa"/>
              <w:right w:w="45" w:type="dxa"/>
            </w:tcMar>
          </w:tcPr>
          <w:p w14:paraId="6797076C" w14:textId="77777777" w:rsidR="008B58C4" w:rsidRPr="007044BF" w:rsidRDefault="008B58C4" w:rsidP="00EC669E">
            <w:pPr>
              <w:jc w:val="center"/>
              <w:rPr>
                <w:rFonts w:ascii="Times New Roman" w:eastAsia="Times New Roman" w:hAnsi="Times New Roman"/>
                <w:sz w:val="20"/>
              </w:rPr>
            </w:pPr>
            <w:r w:rsidRPr="009148F8">
              <w:rPr>
                <w:rFonts w:ascii="Times New Roman" w:eastAsia="Times New Roman" w:hAnsi="Times New Roman"/>
                <w:b/>
                <w:bCs/>
                <w:sz w:val="20"/>
              </w:rPr>
              <w:t>Fixed effect</w:t>
            </w:r>
          </w:p>
        </w:tc>
        <w:tc>
          <w:tcPr>
            <w:tcW w:w="1154" w:type="pct"/>
            <w:gridSpan w:val="2"/>
            <w:tcBorders>
              <w:top w:val="single" w:sz="18" w:space="0" w:color="auto"/>
              <w:left w:val="single" w:sz="12" w:space="0" w:color="auto"/>
              <w:bottom w:val="single" w:sz="8" w:space="0" w:color="auto"/>
              <w:right w:val="single" w:sz="18" w:space="0" w:color="auto"/>
            </w:tcBorders>
          </w:tcPr>
          <w:p w14:paraId="2804B771" w14:textId="77777777" w:rsidR="008B58C4" w:rsidRPr="007044BF" w:rsidRDefault="008B58C4" w:rsidP="00EC669E">
            <w:pPr>
              <w:jc w:val="center"/>
              <w:rPr>
                <w:rFonts w:ascii="Times New Roman" w:eastAsia="Times New Roman" w:hAnsi="Times New Roman"/>
                <w:sz w:val="20"/>
              </w:rPr>
            </w:pPr>
            <w:r w:rsidRPr="009148F8">
              <w:rPr>
                <w:rFonts w:ascii="Times New Roman" w:eastAsia="Times New Roman" w:hAnsi="Times New Roman"/>
                <w:b/>
                <w:bCs/>
                <w:sz w:val="20"/>
              </w:rPr>
              <w:t>Switching effect</w:t>
            </w:r>
          </w:p>
        </w:tc>
      </w:tr>
      <w:tr w:rsidR="008B58C4" w:rsidRPr="009148F8" w14:paraId="056903AC" w14:textId="77777777" w:rsidTr="00EC669E">
        <w:trPr>
          <w:trHeight w:val="17"/>
        </w:trPr>
        <w:tc>
          <w:tcPr>
            <w:tcW w:w="2693" w:type="pct"/>
            <w:vMerge/>
            <w:tcBorders>
              <w:left w:val="single" w:sz="18" w:space="0" w:color="auto"/>
              <w:bottom w:val="single" w:sz="12" w:space="0" w:color="auto"/>
              <w:right w:val="single" w:sz="12" w:space="0" w:color="auto"/>
            </w:tcBorders>
            <w:tcMar>
              <w:top w:w="30" w:type="dxa"/>
              <w:left w:w="45" w:type="dxa"/>
              <w:bottom w:w="30" w:type="dxa"/>
              <w:right w:w="45" w:type="dxa"/>
            </w:tcMar>
            <w:vAlign w:val="center"/>
          </w:tcPr>
          <w:p w14:paraId="4DBF132F" w14:textId="77777777" w:rsidR="008B58C4" w:rsidRPr="009148F8" w:rsidRDefault="008B58C4" w:rsidP="00EC669E">
            <w:pPr>
              <w:jc w:val="both"/>
              <w:rPr>
                <w:rFonts w:ascii="Times New Roman" w:eastAsia="Times New Roman" w:hAnsi="Times New Roman"/>
                <w:b/>
                <w:bCs/>
                <w:sz w:val="20"/>
              </w:rPr>
            </w:pPr>
          </w:p>
        </w:tc>
        <w:tc>
          <w:tcPr>
            <w:tcW w:w="576" w:type="pct"/>
            <w:tcBorders>
              <w:top w:val="single" w:sz="8" w:space="0" w:color="auto"/>
              <w:left w:val="single" w:sz="12" w:space="0" w:color="auto"/>
              <w:bottom w:val="single" w:sz="12" w:space="0" w:color="auto"/>
              <w:right w:val="single" w:sz="8" w:space="0" w:color="auto"/>
            </w:tcBorders>
            <w:tcMar>
              <w:top w:w="30" w:type="dxa"/>
              <w:left w:w="45" w:type="dxa"/>
              <w:bottom w:w="30" w:type="dxa"/>
              <w:right w:w="45" w:type="dxa"/>
            </w:tcMar>
          </w:tcPr>
          <w:p w14:paraId="364FD7AE" w14:textId="77777777" w:rsidR="008B58C4" w:rsidRPr="007044BF" w:rsidRDefault="008B58C4" w:rsidP="00EC669E">
            <w:pPr>
              <w:jc w:val="center"/>
              <w:rPr>
                <w:rFonts w:ascii="Times New Roman" w:eastAsia="Times New Roman" w:hAnsi="Times New Roman"/>
                <w:sz w:val="20"/>
              </w:rPr>
            </w:pPr>
            <w:r w:rsidRPr="009148F8">
              <w:rPr>
                <w:rFonts w:ascii="Times New Roman" w:eastAsia="Times New Roman" w:hAnsi="Times New Roman"/>
                <w:sz w:val="20"/>
              </w:rPr>
              <w:t>Coef.</w:t>
            </w:r>
          </w:p>
        </w:tc>
        <w:tc>
          <w:tcPr>
            <w:tcW w:w="577" w:type="pct"/>
            <w:tcBorders>
              <w:top w:val="single" w:sz="8" w:space="0" w:color="auto"/>
              <w:left w:val="single" w:sz="8" w:space="0" w:color="auto"/>
              <w:bottom w:val="single" w:sz="12" w:space="0" w:color="auto"/>
              <w:right w:val="single" w:sz="12" w:space="0" w:color="auto"/>
            </w:tcBorders>
          </w:tcPr>
          <w:p w14:paraId="3011ED60" w14:textId="77777777" w:rsidR="008B58C4" w:rsidRPr="007044BF" w:rsidRDefault="008B58C4" w:rsidP="00EC669E">
            <w:pPr>
              <w:jc w:val="center"/>
              <w:rPr>
                <w:rFonts w:ascii="Times New Roman" w:eastAsia="Times New Roman" w:hAnsi="Times New Roman"/>
                <w:sz w:val="20"/>
              </w:rPr>
            </w:pPr>
            <w:r>
              <w:rPr>
                <w:rFonts w:ascii="Times New Roman" w:eastAsia="Times New Roman" w:hAnsi="Times New Roman"/>
                <w:sz w:val="20"/>
              </w:rPr>
              <w:t>t-stat</w:t>
            </w:r>
          </w:p>
        </w:tc>
        <w:tc>
          <w:tcPr>
            <w:tcW w:w="576" w:type="pct"/>
            <w:tcBorders>
              <w:top w:val="single" w:sz="8" w:space="0" w:color="auto"/>
              <w:left w:val="single" w:sz="12" w:space="0" w:color="auto"/>
              <w:bottom w:val="single" w:sz="12" w:space="0" w:color="auto"/>
              <w:right w:val="single" w:sz="8" w:space="0" w:color="auto"/>
            </w:tcBorders>
          </w:tcPr>
          <w:p w14:paraId="3ACC5A6F" w14:textId="77777777" w:rsidR="008B58C4" w:rsidRPr="007044BF" w:rsidRDefault="008B58C4" w:rsidP="00EC669E">
            <w:pPr>
              <w:jc w:val="center"/>
              <w:rPr>
                <w:rFonts w:ascii="Times New Roman" w:eastAsia="Times New Roman" w:hAnsi="Times New Roman"/>
                <w:sz w:val="20"/>
              </w:rPr>
            </w:pPr>
            <w:r>
              <w:rPr>
                <w:rFonts w:ascii="Times New Roman" w:eastAsia="Times New Roman" w:hAnsi="Times New Roman"/>
                <w:sz w:val="20"/>
              </w:rPr>
              <w:t>Coef.</w:t>
            </w:r>
          </w:p>
        </w:tc>
        <w:tc>
          <w:tcPr>
            <w:tcW w:w="578" w:type="pct"/>
            <w:tcBorders>
              <w:top w:val="single" w:sz="8" w:space="0" w:color="auto"/>
              <w:left w:val="single" w:sz="8" w:space="0" w:color="auto"/>
              <w:bottom w:val="single" w:sz="12" w:space="0" w:color="auto"/>
              <w:right w:val="single" w:sz="18" w:space="0" w:color="auto"/>
            </w:tcBorders>
          </w:tcPr>
          <w:p w14:paraId="4CB63701" w14:textId="77777777" w:rsidR="008B58C4" w:rsidRPr="007044BF" w:rsidRDefault="008B58C4" w:rsidP="00EC669E">
            <w:pPr>
              <w:jc w:val="center"/>
              <w:rPr>
                <w:rFonts w:ascii="Times New Roman" w:eastAsia="Times New Roman" w:hAnsi="Times New Roman"/>
                <w:sz w:val="20"/>
              </w:rPr>
            </w:pPr>
            <w:r>
              <w:rPr>
                <w:rFonts w:ascii="Times New Roman" w:eastAsia="Times New Roman" w:hAnsi="Times New Roman"/>
                <w:sz w:val="20"/>
              </w:rPr>
              <w:t>t-stat</w:t>
            </w:r>
          </w:p>
        </w:tc>
      </w:tr>
      <w:tr w:rsidR="008B58C4" w:rsidRPr="009148F8" w14:paraId="159A60DA" w14:textId="77777777" w:rsidTr="00EC669E">
        <w:trPr>
          <w:trHeight w:val="17"/>
        </w:trPr>
        <w:tc>
          <w:tcPr>
            <w:tcW w:w="2693" w:type="pct"/>
            <w:tcBorders>
              <w:top w:val="single" w:sz="18" w:space="0" w:color="auto"/>
              <w:left w:val="single" w:sz="18" w:space="0" w:color="auto"/>
              <w:bottom w:val="single" w:sz="12" w:space="0" w:color="auto"/>
              <w:right w:val="single" w:sz="12" w:space="0" w:color="auto"/>
            </w:tcBorders>
            <w:tcMar>
              <w:top w:w="30" w:type="dxa"/>
              <w:left w:w="45" w:type="dxa"/>
              <w:bottom w:w="30" w:type="dxa"/>
              <w:right w:w="45" w:type="dxa"/>
            </w:tcMar>
            <w:vAlign w:val="center"/>
          </w:tcPr>
          <w:p w14:paraId="28BE9CF3" w14:textId="77777777" w:rsidR="008B58C4" w:rsidRPr="009148F8" w:rsidRDefault="008B58C4" w:rsidP="00EC669E">
            <w:pPr>
              <w:jc w:val="both"/>
              <w:rPr>
                <w:rFonts w:ascii="Times New Roman" w:eastAsia="Times New Roman" w:hAnsi="Times New Roman"/>
                <w:b/>
                <w:bCs/>
                <w:sz w:val="20"/>
              </w:rPr>
            </w:pPr>
            <w:r w:rsidRPr="009148F8">
              <w:rPr>
                <w:rFonts w:ascii="Times New Roman" w:eastAsia="Times New Roman" w:hAnsi="Times New Roman"/>
                <w:b/>
                <w:bCs/>
                <w:sz w:val="20"/>
              </w:rPr>
              <w:t>Correlations</w:t>
            </w:r>
          </w:p>
        </w:tc>
        <w:tc>
          <w:tcPr>
            <w:tcW w:w="1153" w:type="pct"/>
            <w:gridSpan w:val="2"/>
            <w:tcBorders>
              <w:top w:val="single" w:sz="18"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14:paraId="3397EA59" w14:textId="77777777" w:rsidR="008B58C4" w:rsidRPr="007044BF" w:rsidRDefault="008B58C4" w:rsidP="00EC669E">
            <w:pPr>
              <w:jc w:val="center"/>
              <w:rPr>
                <w:rFonts w:ascii="Times New Roman" w:eastAsia="Times New Roman" w:hAnsi="Times New Roman"/>
                <w:sz w:val="20"/>
              </w:rPr>
            </w:pPr>
            <w:r>
              <w:rPr>
                <w:rFonts w:ascii="Times New Roman" w:eastAsia="Times New Roman" w:hAnsi="Times New Roman"/>
                <w:sz w:val="20"/>
              </w:rPr>
              <w:t>Pre-COVID</w:t>
            </w:r>
            <w:r w:rsidRPr="007044BF">
              <w:rPr>
                <w:rFonts w:ascii="Times New Roman" w:eastAsia="Times New Roman" w:hAnsi="Times New Roman"/>
                <w:sz w:val="20"/>
              </w:rPr>
              <w:t xml:space="preserve"> walk freq</w:t>
            </w:r>
            <w:r>
              <w:rPr>
                <w:rFonts w:ascii="Times New Roman" w:eastAsia="Times New Roman" w:hAnsi="Times New Roman"/>
                <w:sz w:val="20"/>
              </w:rPr>
              <w:t>.</w:t>
            </w:r>
          </w:p>
        </w:tc>
        <w:tc>
          <w:tcPr>
            <w:tcW w:w="1154" w:type="pct"/>
            <w:gridSpan w:val="2"/>
            <w:tcBorders>
              <w:top w:val="single" w:sz="18" w:space="0" w:color="auto"/>
              <w:left w:val="single" w:sz="12" w:space="0" w:color="auto"/>
              <w:bottom w:val="single" w:sz="12" w:space="0" w:color="auto"/>
              <w:right w:val="single" w:sz="18" w:space="0" w:color="auto"/>
            </w:tcBorders>
            <w:tcMar>
              <w:top w:w="30" w:type="dxa"/>
              <w:left w:w="45" w:type="dxa"/>
              <w:bottom w:w="30" w:type="dxa"/>
              <w:right w:w="45" w:type="dxa"/>
            </w:tcMar>
            <w:vAlign w:val="center"/>
          </w:tcPr>
          <w:p w14:paraId="66062A87" w14:textId="77777777" w:rsidR="008B58C4" w:rsidRPr="007044BF" w:rsidRDefault="008B58C4" w:rsidP="00EC669E">
            <w:pPr>
              <w:jc w:val="center"/>
              <w:rPr>
                <w:rFonts w:ascii="Times New Roman" w:eastAsia="Times New Roman" w:hAnsi="Times New Roman"/>
                <w:sz w:val="20"/>
              </w:rPr>
            </w:pPr>
            <w:r>
              <w:rPr>
                <w:rFonts w:ascii="Times New Roman" w:eastAsia="Times New Roman" w:hAnsi="Times New Roman"/>
                <w:sz w:val="20"/>
              </w:rPr>
              <w:t>Post-COVID</w:t>
            </w:r>
            <w:r w:rsidRPr="007044BF">
              <w:rPr>
                <w:rFonts w:ascii="Times New Roman" w:eastAsia="Times New Roman" w:hAnsi="Times New Roman"/>
                <w:sz w:val="20"/>
              </w:rPr>
              <w:t xml:space="preserve"> walk</w:t>
            </w:r>
            <w:r>
              <w:rPr>
                <w:rFonts w:ascii="Times New Roman" w:eastAsia="Times New Roman" w:hAnsi="Times New Roman"/>
                <w:sz w:val="20"/>
              </w:rPr>
              <w:t xml:space="preserve"> </w:t>
            </w:r>
            <w:r w:rsidRPr="007044BF">
              <w:rPr>
                <w:rFonts w:ascii="Times New Roman" w:eastAsia="Times New Roman" w:hAnsi="Times New Roman"/>
                <w:sz w:val="20"/>
              </w:rPr>
              <w:t>freq</w:t>
            </w:r>
            <w:r>
              <w:rPr>
                <w:rFonts w:ascii="Times New Roman" w:eastAsia="Times New Roman" w:hAnsi="Times New Roman"/>
                <w:sz w:val="20"/>
              </w:rPr>
              <w:t>.</w:t>
            </w:r>
          </w:p>
        </w:tc>
      </w:tr>
      <w:tr w:rsidR="008B58C4" w:rsidRPr="009148F8" w14:paraId="5BAEF8DB" w14:textId="77777777" w:rsidTr="00EC669E">
        <w:trPr>
          <w:trHeight w:val="17"/>
        </w:trPr>
        <w:tc>
          <w:tcPr>
            <w:tcW w:w="2693" w:type="pct"/>
            <w:tcBorders>
              <w:top w:val="single" w:sz="12" w:space="0" w:color="auto"/>
              <w:left w:val="single" w:sz="18" w:space="0" w:color="auto"/>
              <w:bottom w:val="dashSmallGap" w:sz="4" w:space="0" w:color="595959" w:themeColor="text1" w:themeTint="A6"/>
              <w:right w:val="single" w:sz="12" w:space="0" w:color="auto"/>
            </w:tcBorders>
            <w:tcMar>
              <w:top w:w="30" w:type="dxa"/>
              <w:left w:w="45" w:type="dxa"/>
              <w:bottom w:w="30" w:type="dxa"/>
              <w:right w:w="45" w:type="dxa"/>
            </w:tcMar>
            <w:vAlign w:val="center"/>
          </w:tcPr>
          <w:p w14:paraId="5E823C92" w14:textId="77777777" w:rsidR="008B58C4" w:rsidRPr="009148F8" w:rsidRDefault="008B58C4" w:rsidP="00EC669E">
            <w:pPr>
              <w:jc w:val="both"/>
              <w:rPr>
                <w:rFonts w:ascii="Times New Roman" w:eastAsia="Times New Roman" w:hAnsi="Times New Roman"/>
                <w:b/>
                <w:bCs/>
                <w:sz w:val="20"/>
              </w:rPr>
            </w:pPr>
            <w:r>
              <w:rPr>
                <w:rFonts w:ascii="Times New Roman" w:eastAsia="Times New Roman" w:hAnsi="Times New Roman"/>
                <w:sz w:val="20"/>
              </w:rPr>
              <w:t>Pre-COVID</w:t>
            </w:r>
            <w:r w:rsidRPr="007044BF">
              <w:rPr>
                <w:rFonts w:ascii="Times New Roman" w:eastAsia="Times New Roman" w:hAnsi="Times New Roman"/>
                <w:sz w:val="20"/>
              </w:rPr>
              <w:t xml:space="preserve"> walking frequency</w:t>
            </w:r>
          </w:p>
        </w:tc>
        <w:tc>
          <w:tcPr>
            <w:tcW w:w="576" w:type="pct"/>
            <w:tcBorders>
              <w:top w:val="single" w:sz="12" w:space="0" w:color="auto"/>
              <w:left w:val="single" w:sz="12" w:space="0" w:color="auto"/>
              <w:bottom w:val="dashSmallGap" w:sz="4" w:space="0" w:color="auto"/>
              <w:right w:val="single" w:sz="8" w:space="0" w:color="auto"/>
            </w:tcBorders>
            <w:tcMar>
              <w:top w:w="30" w:type="dxa"/>
              <w:left w:w="45" w:type="dxa"/>
              <w:bottom w:w="30" w:type="dxa"/>
              <w:right w:w="45" w:type="dxa"/>
            </w:tcMar>
            <w:vAlign w:val="center"/>
          </w:tcPr>
          <w:p w14:paraId="455AA1C7" w14:textId="77777777" w:rsidR="008B58C4" w:rsidRPr="008361CB" w:rsidRDefault="008B58C4" w:rsidP="00EC669E">
            <w:pPr>
              <w:jc w:val="right"/>
              <w:rPr>
                <w:rFonts w:ascii="Times New Roman" w:eastAsia="Times New Roman" w:hAnsi="Times New Roman"/>
                <w:sz w:val="20"/>
              </w:rPr>
            </w:pPr>
            <w:r w:rsidRPr="008361CB">
              <w:rPr>
                <w:rFonts w:ascii="Times New Roman" w:hAnsi="Times New Roman"/>
                <w:sz w:val="20"/>
              </w:rPr>
              <w:t>1.00</w:t>
            </w:r>
          </w:p>
        </w:tc>
        <w:tc>
          <w:tcPr>
            <w:tcW w:w="577" w:type="pct"/>
            <w:tcBorders>
              <w:top w:val="single" w:sz="12" w:space="0" w:color="auto"/>
              <w:left w:val="single" w:sz="8" w:space="0" w:color="auto"/>
              <w:bottom w:val="dashSmallGap" w:sz="4" w:space="0" w:color="auto"/>
              <w:right w:val="single" w:sz="12" w:space="0" w:color="auto"/>
            </w:tcBorders>
            <w:vAlign w:val="center"/>
          </w:tcPr>
          <w:p w14:paraId="40FD28FB" w14:textId="77777777" w:rsidR="008B58C4" w:rsidRPr="008361CB" w:rsidRDefault="008B58C4" w:rsidP="00EC669E">
            <w:pPr>
              <w:jc w:val="right"/>
              <w:rPr>
                <w:rFonts w:ascii="Times New Roman" w:eastAsia="Times New Roman" w:hAnsi="Times New Roman"/>
                <w:sz w:val="20"/>
              </w:rPr>
            </w:pPr>
            <w:r w:rsidRPr="008361CB">
              <w:rPr>
                <w:rFonts w:ascii="Times New Roman" w:hAnsi="Times New Roman"/>
                <w:sz w:val="20"/>
              </w:rPr>
              <w:t>--</w:t>
            </w:r>
          </w:p>
        </w:tc>
        <w:tc>
          <w:tcPr>
            <w:tcW w:w="576" w:type="pct"/>
            <w:tcBorders>
              <w:top w:val="single" w:sz="12" w:space="0" w:color="auto"/>
              <w:left w:val="single" w:sz="12" w:space="0" w:color="auto"/>
              <w:bottom w:val="dashSmallGap" w:sz="4" w:space="0" w:color="auto"/>
              <w:right w:val="single" w:sz="8" w:space="0" w:color="auto"/>
            </w:tcBorders>
            <w:vAlign w:val="center"/>
          </w:tcPr>
          <w:p w14:paraId="4B1A0F48" w14:textId="77777777" w:rsidR="008B58C4" w:rsidRPr="008361CB" w:rsidRDefault="008B58C4" w:rsidP="00EC669E">
            <w:pPr>
              <w:jc w:val="right"/>
              <w:rPr>
                <w:rFonts w:ascii="Times New Roman" w:eastAsia="Times New Roman" w:hAnsi="Times New Roman"/>
                <w:sz w:val="20"/>
              </w:rPr>
            </w:pPr>
            <w:r w:rsidRPr="008361CB">
              <w:rPr>
                <w:rFonts w:ascii="Times New Roman" w:hAnsi="Times New Roman"/>
                <w:sz w:val="20"/>
              </w:rPr>
              <w:t>0.49</w:t>
            </w:r>
          </w:p>
        </w:tc>
        <w:tc>
          <w:tcPr>
            <w:tcW w:w="578" w:type="pct"/>
            <w:tcBorders>
              <w:top w:val="single" w:sz="12" w:space="0" w:color="auto"/>
              <w:left w:val="single" w:sz="8" w:space="0" w:color="auto"/>
              <w:bottom w:val="dashSmallGap" w:sz="4" w:space="0" w:color="auto"/>
              <w:right w:val="single" w:sz="18" w:space="0" w:color="auto"/>
            </w:tcBorders>
            <w:vAlign w:val="center"/>
          </w:tcPr>
          <w:p w14:paraId="41C91ECA" w14:textId="77777777" w:rsidR="008B58C4" w:rsidRPr="008361CB" w:rsidRDefault="008B58C4" w:rsidP="00EC669E">
            <w:pPr>
              <w:jc w:val="right"/>
              <w:rPr>
                <w:rFonts w:ascii="Times New Roman" w:eastAsia="Times New Roman" w:hAnsi="Times New Roman"/>
                <w:sz w:val="20"/>
              </w:rPr>
            </w:pPr>
            <w:r w:rsidRPr="008361CB">
              <w:rPr>
                <w:rFonts w:ascii="Times New Roman" w:hAnsi="Times New Roman"/>
                <w:sz w:val="20"/>
              </w:rPr>
              <w:t>16.51</w:t>
            </w:r>
          </w:p>
        </w:tc>
      </w:tr>
      <w:tr w:rsidR="008B58C4" w:rsidRPr="009148F8" w14:paraId="10AC6B38" w14:textId="77777777" w:rsidTr="00EC669E">
        <w:trPr>
          <w:trHeight w:val="17"/>
        </w:trPr>
        <w:tc>
          <w:tcPr>
            <w:tcW w:w="2693" w:type="pct"/>
            <w:tcBorders>
              <w:top w:val="dashSmallGap" w:sz="4" w:space="0" w:color="595959" w:themeColor="text1" w:themeTint="A6"/>
              <w:left w:val="single" w:sz="18" w:space="0" w:color="auto"/>
              <w:bottom w:val="single" w:sz="12" w:space="0" w:color="auto"/>
              <w:right w:val="single" w:sz="12" w:space="0" w:color="auto"/>
            </w:tcBorders>
            <w:tcMar>
              <w:top w:w="30" w:type="dxa"/>
              <w:left w:w="45" w:type="dxa"/>
              <w:bottom w:w="30" w:type="dxa"/>
              <w:right w:w="45" w:type="dxa"/>
            </w:tcMar>
            <w:vAlign w:val="center"/>
          </w:tcPr>
          <w:p w14:paraId="628DE2B7" w14:textId="77777777" w:rsidR="008B58C4" w:rsidRPr="009148F8" w:rsidRDefault="008B58C4" w:rsidP="00EC669E">
            <w:pPr>
              <w:jc w:val="both"/>
              <w:rPr>
                <w:rFonts w:ascii="Times New Roman" w:eastAsia="Times New Roman" w:hAnsi="Times New Roman"/>
                <w:b/>
                <w:bCs/>
                <w:sz w:val="20"/>
              </w:rPr>
            </w:pPr>
            <w:r>
              <w:rPr>
                <w:rFonts w:ascii="Times New Roman" w:eastAsia="Times New Roman" w:hAnsi="Times New Roman"/>
                <w:sz w:val="20"/>
              </w:rPr>
              <w:t xml:space="preserve">Post-COVID </w:t>
            </w:r>
            <w:r w:rsidRPr="007044BF">
              <w:rPr>
                <w:rFonts w:ascii="Times New Roman" w:eastAsia="Times New Roman" w:hAnsi="Times New Roman"/>
                <w:sz w:val="20"/>
              </w:rPr>
              <w:t>walking frequency</w:t>
            </w:r>
          </w:p>
        </w:tc>
        <w:tc>
          <w:tcPr>
            <w:tcW w:w="576" w:type="pct"/>
            <w:tcBorders>
              <w:top w:val="dashSmallGap" w:sz="4" w:space="0" w:color="auto"/>
              <w:left w:val="single" w:sz="12" w:space="0" w:color="auto"/>
              <w:bottom w:val="single" w:sz="12" w:space="0" w:color="auto"/>
              <w:right w:val="single" w:sz="8" w:space="0" w:color="auto"/>
            </w:tcBorders>
            <w:shd w:val="clear" w:color="auto" w:fill="auto"/>
            <w:tcMar>
              <w:top w:w="30" w:type="dxa"/>
              <w:left w:w="45" w:type="dxa"/>
              <w:bottom w:w="30" w:type="dxa"/>
              <w:right w:w="45" w:type="dxa"/>
            </w:tcMar>
            <w:vAlign w:val="center"/>
          </w:tcPr>
          <w:p w14:paraId="783F7BAA" w14:textId="77777777" w:rsidR="008B58C4" w:rsidRPr="008361CB" w:rsidRDefault="008B58C4" w:rsidP="00EC669E">
            <w:pPr>
              <w:jc w:val="right"/>
              <w:rPr>
                <w:rFonts w:ascii="Times New Roman" w:eastAsia="Times New Roman" w:hAnsi="Times New Roman"/>
                <w:sz w:val="20"/>
              </w:rPr>
            </w:pPr>
            <w:r>
              <w:rPr>
                <w:rFonts w:ascii="Times New Roman" w:eastAsia="Times New Roman" w:hAnsi="Times New Roman"/>
                <w:sz w:val="20"/>
              </w:rPr>
              <w:t>--</w:t>
            </w:r>
          </w:p>
        </w:tc>
        <w:tc>
          <w:tcPr>
            <w:tcW w:w="577" w:type="pct"/>
            <w:tcBorders>
              <w:top w:val="dashSmallGap" w:sz="4" w:space="0" w:color="auto"/>
              <w:left w:val="single" w:sz="8" w:space="0" w:color="auto"/>
              <w:bottom w:val="single" w:sz="12" w:space="0" w:color="auto"/>
              <w:right w:val="single" w:sz="12" w:space="0" w:color="auto"/>
            </w:tcBorders>
            <w:shd w:val="clear" w:color="auto" w:fill="auto"/>
            <w:vAlign w:val="center"/>
          </w:tcPr>
          <w:p w14:paraId="36782C42" w14:textId="77777777" w:rsidR="008B58C4" w:rsidRPr="008361CB" w:rsidRDefault="008B58C4" w:rsidP="00EC669E">
            <w:pPr>
              <w:jc w:val="right"/>
              <w:rPr>
                <w:rFonts w:ascii="Times New Roman" w:eastAsia="Times New Roman" w:hAnsi="Times New Roman"/>
                <w:sz w:val="20"/>
              </w:rPr>
            </w:pPr>
            <w:r>
              <w:rPr>
                <w:rFonts w:ascii="Times New Roman" w:eastAsia="Times New Roman" w:hAnsi="Times New Roman"/>
                <w:sz w:val="20"/>
              </w:rPr>
              <w:t>--</w:t>
            </w:r>
          </w:p>
        </w:tc>
        <w:tc>
          <w:tcPr>
            <w:tcW w:w="576" w:type="pct"/>
            <w:tcBorders>
              <w:top w:val="dashSmallGap" w:sz="4" w:space="0" w:color="auto"/>
              <w:left w:val="single" w:sz="12" w:space="0" w:color="auto"/>
              <w:bottom w:val="single" w:sz="12" w:space="0" w:color="auto"/>
              <w:right w:val="single" w:sz="8" w:space="0" w:color="auto"/>
            </w:tcBorders>
            <w:vAlign w:val="center"/>
          </w:tcPr>
          <w:p w14:paraId="3B46B16D" w14:textId="77777777" w:rsidR="008B58C4" w:rsidRPr="008361CB" w:rsidRDefault="008B58C4" w:rsidP="00EC669E">
            <w:pPr>
              <w:jc w:val="right"/>
              <w:rPr>
                <w:rFonts w:ascii="Times New Roman" w:eastAsia="Times New Roman" w:hAnsi="Times New Roman"/>
                <w:sz w:val="20"/>
              </w:rPr>
            </w:pPr>
            <w:r w:rsidRPr="008361CB">
              <w:rPr>
                <w:rFonts w:ascii="Times New Roman" w:hAnsi="Times New Roman"/>
                <w:sz w:val="20"/>
              </w:rPr>
              <w:t>1.00</w:t>
            </w:r>
          </w:p>
        </w:tc>
        <w:tc>
          <w:tcPr>
            <w:tcW w:w="578" w:type="pct"/>
            <w:tcBorders>
              <w:top w:val="dashSmallGap" w:sz="4" w:space="0" w:color="auto"/>
              <w:left w:val="single" w:sz="8" w:space="0" w:color="auto"/>
              <w:bottom w:val="single" w:sz="12" w:space="0" w:color="auto"/>
              <w:right w:val="single" w:sz="18" w:space="0" w:color="auto"/>
            </w:tcBorders>
            <w:vAlign w:val="center"/>
          </w:tcPr>
          <w:p w14:paraId="22116716" w14:textId="77777777" w:rsidR="008B58C4" w:rsidRPr="008361CB" w:rsidRDefault="008B58C4" w:rsidP="00EC669E">
            <w:pPr>
              <w:jc w:val="right"/>
              <w:rPr>
                <w:rFonts w:ascii="Times New Roman" w:eastAsia="Times New Roman" w:hAnsi="Times New Roman"/>
                <w:sz w:val="20"/>
              </w:rPr>
            </w:pPr>
            <w:r w:rsidRPr="008361CB">
              <w:rPr>
                <w:rFonts w:ascii="Times New Roman" w:hAnsi="Times New Roman"/>
                <w:sz w:val="20"/>
              </w:rPr>
              <w:t>--</w:t>
            </w:r>
          </w:p>
        </w:tc>
      </w:tr>
      <w:tr w:rsidR="008B58C4" w:rsidRPr="009148F8" w14:paraId="4E16E000" w14:textId="77777777" w:rsidTr="00EC669E">
        <w:trPr>
          <w:trHeight w:val="17"/>
        </w:trPr>
        <w:tc>
          <w:tcPr>
            <w:tcW w:w="5000" w:type="pct"/>
            <w:gridSpan w:val="5"/>
            <w:tcBorders>
              <w:top w:val="single" w:sz="12" w:space="0" w:color="auto"/>
              <w:left w:val="single" w:sz="18" w:space="0" w:color="auto"/>
              <w:bottom w:val="single" w:sz="12" w:space="0" w:color="auto"/>
              <w:right w:val="single" w:sz="18" w:space="0" w:color="auto"/>
            </w:tcBorders>
            <w:tcMar>
              <w:top w:w="30" w:type="dxa"/>
              <w:left w:w="0" w:type="dxa"/>
              <w:bottom w:w="30" w:type="dxa"/>
              <w:right w:w="0" w:type="dxa"/>
            </w:tcMar>
            <w:vAlign w:val="center"/>
            <w:hideMark/>
          </w:tcPr>
          <w:p w14:paraId="419A0DF9" w14:textId="77777777" w:rsidR="008B58C4" w:rsidRPr="009148F8" w:rsidRDefault="008B58C4" w:rsidP="00EC669E">
            <w:pPr>
              <w:jc w:val="both"/>
              <w:rPr>
                <w:rFonts w:ascii="Times New Roman" w:eastAsia="Times New Roman" w:hAnsi="Times New Roman"/>
                <w:sz w:val="20"/>
              </w:rPr>
            </w:pPr>
            <w:r w:rsidRPr="009148F8">
              <w:rPr>
                <w:rFonts w:ascii="Times New Roman" w:eastAsia="Times New Roman" w:hAnsi="Times New Roman"/>
                <w:b/>
                <w:bCs/>
                <w:sz w:val="20"/>
              </w:rPr>
              <w:t xml:space="preserve">Thresholds and </w:t>
            </w:r>
            <w:r>
              <w:rPr>
                <w:rFonts w:ascii="Times New Roman" w:eastAsia="Times New Roman" w:hAnsi="Times New Roman"/>
                <w:b/>
                <w:bCs/>
                <w:sz w:val="20"/>
              </w:rPr>
              <w:t>c</w:t>
            </w:r>
            <w:r w:rsidRPr="009148F8">
              <w:rPr>
                <w:rFonts w:ascii="Times New Roman" w:eastAsia="Times New Roman" w:hAnsi="Times New Roman"/>
                <w:b/>
                <w:bCs/>
                <w:sz w:val="20"/>
              </w:rPr>
              <w:t>onsonance</w:t>
            </w:r>
          </w:p>
        </w:tc>
      </w:tr>
      <w:tr w:rsidR="008B58C4" w:rsidRPr="009148F8" w14:paraId="22526F83" w14:textId="77777777" w:rsidTr="00EC669E">
        <w:trPr>
          <w:trHeight w:val="17"/>
        </w:trPr>
        <w:tc>
          <w:tcPr>
            <w:tcW w:w="2693" w:type="pct"/>
            <w:tcBorders>
              <w:top w:val="single" w:sz="12" w:space="0" w:color="auto"/>
              <w:left w:val="single" w:sz="18" w:space="0" w:color="auto"/>
              <w:bottom w:val="single" w:sz="12" w:space="0" w:color="auto"/>
              <w:right w:val="single" w:sz="12" w:space="0" w:color="auto"/>
            </w:tcBorders>
            <w:tcMar>
              <w:top w:w="30" w:type="dxa"/>
              <w:left w:w="0" w:type="dxa"/>
              <w:bottom w:w="30" w:type="dxa"/>
              <w:right w:w="0" w:type="dxa"/>
            </w:tcMar>
            <w:vAlign w:val="center"/>
          </w:tcPr>
          <w:p w14:paraId="5E9C31F8" w14:textId="77777777" w:rsidR="008B58C4" w:rsidRPr="009148F8" w:rsidRDefault="008B58C4" w:rsidP="00EC669E">
            <w:pPr>
              <w:jc w:val="both"/>
              <w:rPr>
                <w:rFonts w:ascii="Times New Roman" w:eastAsia="Times New Roman" w:hAnsi="Times New Roman"/>
                <w:b/>
                <w:bCs/>
                <w:sz w:val="20"/>
              </w:rPr>
            </w:pPr>
            <w:r w:rsidRPr="009148F8">
              <w:rPr>
                <w:rFonts w:ascii="Times New Roman" w:eastAsia="Times New Roman" w:hAnsi="Times New Roman"/>
                <w:b/>
                <w:bCs/>
                <w:sz w:val="20"/>
              </w:rPr>
              <w:t xml:space="preserve">Unadjusted </w:t>
            </w:r>
            <w:r>
              <w:rPr>
                <w:rFonts w:ascii="Times New Roman" w:eastAsia="Times New Roman" w:hAnsi="Times New Roman"/>
                <w:b/>
                <w:bCs/>
                <w:sz w:val="20"/>
              </w:rPr>
              <w:t>t</w:t>
            </w:r>
            <w:r w:rsidRPr="009148F8">
              <w:rPr>
                <w:rFonts w:ascii="Times New Roman" w:eastAsia="Times New Roman" w:hAnsi="Times New Roman"/>
                <w:b/>
                <w:bCs/>
                <w:sz w:val="20"/>
              </w:rPr>
              <w:t xml:space="preserve">hresholds </w:t>
            </w:r>
            <w:r>
              <w:rPr>
                <w:rFonts w:ascii="Times New Roman" w:eastAsia="Times New Roman" w:hAnsi="Times New Roman"/>
                <w:b/>
                <w:bCs/>
                <w:sz w:val="20"/>
              </w:rPr>
              <w:t>for</w:t>
            </w:r>
            <w:r w:rsidRPr="009148F8">
              <w:rPr>
                <w:rFonts w:ascii="Times New Roman" w:eastAsia="Times New Roman" w:hAnsi="Times New Roman"/>
                <w:b/>
                <w:bCs/>
                <w:sz w:val="20"/>
              </w:rPr>
              <w:t xml:space="preserve"> </w:t>
            </w:r>
            <w:r>
              <w:rPr>
                <w:rFonts w:ascii="Times New Roman" w:eastAsia="Times New Roman" w:hAnsi="Times New Roman"/>
                <w:b/>
                <w:bCs/>
                <w:sz w:val="20"/>
              </w:rPr>
              <w:t>pre-p</w:t>
            </w:r>
            <w:r w:rsidRPr="009148F8">
              <w:rPr>
                <w:rFonts w:ascii="Times New Roman" w:eastAsia="Times New Roman" w:hAnsi="Times New Roman"/>
                <w:b/>
                <w:bCs/>
                <w:sz w:val="20"/>
              </w:rPr>
              <w:t>andemic</w:t>
            </w:r>
          </w:p>
        </w:tc>
        <w:tc>
          <w:tcPr>
            <w:tcW w:w="1153" w:type="pct"/>
            <w:gridSpan w:val="2"/>
            <w:tcBorders>
              <w:top w:val="single" w:sz="12" w:space="0" w:color="auto"/>
              <w:left w:val="single" w:sz="12" w:space="0" w:color="auto"/>
              <w:bottom w:val="single" w:sz="12" w:space="0" w:color="auto"/>
              <w:right w:val="single" w:sz="6" w:space="0" w:color="auto"/>
            </w:tcBorders>
            <w:tcMar>
              <w:top w:w="30" w:type="dxa"/>
              <w:left w:w="45" w:type="dxa"/>
              <w:bottom w:w="30" w:type="dxa"/>
              <w:right w:w="45" w:type="dxa"/>
            </w:tcMar>
            <w:vAlign w:val="center"/>
          </w:tcPr>
          <w:p w14:paraId="2935EC5C" w14:textId="77777777" w:rsidR="008B58C4" w:rsidRPr="00B26C47" w:rsidRDefault="008B58C4" w:rsidP="00EC669E">
            <w:pPr>
              <w:jc w:val="center"/>
              <w:rPr>
                <w:rFonts w:ascii="Times New Roman" w:eastAsia="Times New Roman" w:hAnsi="Times New Roman"/>
                <w:b/>
                <w:bCs/>
                <w:sz w:val="20"/>
              </w:rPr>
            </w:pPr>
            <w:r w:rsidRPr="00B26C47">
              <w:rPr>
                <w:rFonts w:ascii="Times New Roman" w:eastAsia="Times New Roman" w:hAnsi="Times New Roman"/>
                <w:b/>
                <w:bCs/>
                <w:sz w:val="20"/>
              </w:rPr>
              <w:t>Coef.</w:t>
            </w:r>
          </w:p>
        </w:tc>
        <w:tc>
          <w:tcPr>
            <w:tcW w:w="1154" w:type="pct"/>
            <w:gridSpan w:val="2"/>
            <w:tcBorders>
              <w:top w:val="single" w:sz="12" w:space="0" w:color="auto"/>
              <w:left w:val="single" w:sz="6" w:space="0" w:color="auto"/>
              <w:bottom w:val="single" w:sz="12" w:space="0" w:color="auto"/>
              <w:right w:val="single" w:sz="18" w:space="0" w:color="auto"/>
            </w:tcBorders>
            <w:tcMar>
              <w:top w:w="30" w:type="dxa"/>
              <w:left w:w="45" w:type="dxa"/>
              <w:bottom w:w="30" w:type="dxa"/>
              <w:right w:w="45" w:type="dxa"/>
            </w:tcMar>
            <w:vAlign w:val="center"/>
          </w:tcPr>
          <w:p w14:paraId="14B9432A" w14:textId="77777777" w:rsidR="008B58C4" w:rsidRPr="00B26C47" w:rsidRDefault="008B58C4" w:rsidP="00EC669E">
            <w:pPr>
              <w:jc w:val="center"/>
              <w:rPr>
                <w:rFonts w:ascii="Times New Roman" w:eastAsia="Times New Roman" w:hAnsi="Times New Roman"/>
                <w:b/>
                <w:bCs/>
                <w:sz w:val="20"/>
              </w:rPr>
            </w:pPr>
            <w:r w:rsidRPr="00B26C47">
              <w:rPr>
                <w:rFonts w:ascii="Times New Roman" w:eastAsia="Times New Roman" w:hAnsi="Times New Roman"/>
                <w:b/>
                <w:bCs/>
                <w:sz w:val="20"/>
              </w:rPr>
              <w:t>t-stat</w:t>
            </w:r>
          </w:p>
        </w:tc>
      </w:tr>
      <w:tr w:rsidR="008B58C4" w:rsidRPr="009148F8" w14:paraId="63AC581D" w14:textId="77777777" w:rsidTr="00EC669E">
        <w:trPr>
          <w:trHeight w:val="17"/>
        </w:trPr>
        <w:tc>
          <w:tcPr>
            <w:tcW w:w="2693" w:type="pct"/>
            <w:tcBorders>
              <w:top w:val="single" w:sz="12" w:space="0" w:color="auto"/>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4F8CB27B" w14:textId="77777777" w:rsidR="008B58C4" w:rsidRPr="00205B06"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1|2</w:t>
            </w:r>
          </w:p>
        </w:tc>
        <w:tc>
          <w:tcPr>
            <w:tcW w:w="1153" w:type="pct"/>
            <w:gridSpan w:val="2"/>
            <w:tcBorders>
              <w:top w:val="single" w:sz="12" w:space="0" w:color="auto"/>
              <w:left w:val="single" w:sz="12" w:space="0" w:color="auto"/>
              <w:bottom w:val="dashSmallGap" w:sz="4" w:space="0" w:color="595959" w:themeColor="text1" w:themeTint="A6"/>
              <w:right w:val="single" w:sz="6" w:space="0" w:color="auto"/>
            </w:tcBorders>
            <w:tcMar>
              <w:top w:w="30" w:type="dxa"/>
              <w:left w:w="45" w:type="dxa"/>
              <w:bottom w:w="30" w:type="dxa"/>
              <w:right w:w="45" w:type="dxa"/>
            </w:tcMar>
            <w:vAlign w:val="center"/>
          </w:tcPr>
          <w:p w14:paraId="63A7F3DF"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-0.5</w:t>
            </w:r>
            <w:r>
              <w:rPr>
                <w:rFonts w:ascii="Times New Roman" w:eastAsia="Times New Roman" w:hAnsi="Times New Roman"/>
                <w:sz w:val="20"/>
              </w:rPr>
              <w:t>7</w:t>
            </w:r>
          </w:p>
        </w:tc>
        <w:tc>
          <w:tcPr>
            <w:tcW w:w="1154" w:type="pct"/>
            <w:gridSpan w:val="2"/>
            <w:tcBorders>
              <w:top w:val="single" w:sz="12" w:space="0" w:color="auto"/>
              <w:left w:val="single" w:sz="6" w:space="0" w:color="auto"/>
              <w:bottom w:val="dashSmallGap" w:sz="4" w:space="0" w:color="595959" w:themeColor="text1" w:themeTint="A6"/>
              <w:right w:val="single" w:sz="18" w:space="0" w:color="auto"/>
            </w:tcBorders>
            <w:tcMar>
              <w:top w:w="30" w:type="dxa"/>
              <w:left w:w="45" w:type="dxa"/>
              <w:bottom w:w="30" w:type="dxa"/>
              <w:right w:w="45" w:type="dxa"/>
            </w:tcMar>
            <w:vAlign w:val="center"/>
          </w:tcPr>
          <w:p w14:paraId="3D438E06"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-3.91</w:t>
            </w:r>
          </w:p>
        </w:tc>
      </w:tr>
      <w:tr w:rsidR="008B58C4" w:rsidRPr="009148F8" w14:paraId="4B5A1A1D" w14:textId="77777777" w:rsidTr="00EC669E">
        <w:trPr>
          <w:trHeight w:val="17"/>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65BD4BDD" w14:textId="77777777" w:rsidR="008B58C4" w:rsidRPr="00205B06"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2|3</w:t>
            </w:r>
          </w:p>
        </w:tc>
        <w:tc>
          <w:tcPr>
            <w:tcW w:w="1153" w:type="pct"/>
            <w:gridSpan w:val="2"/>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vAlign w:val="center"/>
          </w:tcPr>
          <w:p w14:paraId="2A145CBD"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-0.20</w:t>
            </w:r>
          </w:p>
        </w:tc>
        <w:tc>
          <w:tcPr>
            <w:tcW w:w="1154" w:type="pct"/>
            <w:gridSpan w:val="2"/>
            <w:tcBorders>
              <w:top w:val="dashSmallGap"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vAlign w:val="center"/>
          </w:tcPr>
          <w:p w14:paraId="6A36975F"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-1.41</w:t>
            </w:r>
          </w:p>
        </w:tc>
      </w:tr>
      <w:tr w:rsidR="008B58C4" w:rsidRPr="009148F8" w14:paraId="32E737E9" w14:textId="77777777" w:rsidTr="00EC669E">
        <w:trPr>
          <w:trHeight w:val="17"/>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5AA89503" w14:textId="77777777" w:rsidR="008B58C4" w:rsidRPr="00205B06"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3|4</w:t>
            </w:r>
          </w:p>
        </w:tc>
        <w:tc>
          <w:tcPr>
            <w:tcW w:w="1153" w:type="pct"/>
            <w:gridSpan w:val="2"/>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vAlign w:val="center"/>
          </w:tcPr>
          <w:p w14:paraId="10698310"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0.31</w:t>
            </w:r>
          </w:p>
        </w:tc>
        <w:tc>
          <w:tcPr>
            <w:tcW w:w="1154" w:type="pct"/>
            <w:gridSpan w:val="2"/>
            <w:tcBorders>
              <w:top w:val="dashSmallGap"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vAlign w:val="center"/>
          </w:tcPr>
          <w:p w14:paraId="3AD5B0AA"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2.13</w:t>
            </w:r>
          </w:p>
        </w:tc>
      </w:tr>
      <w:tr w:rsidR="008B58C4" w:rsidRPr="009148F8" w14:paraId="48F4AFEA" w14:textId="77777777" w:rsidTr="00EC669E">
        <w:trPr>
          <w:trHeight w:val="17"/>
        </w:trPr>
        <w:tc>
          <w:tcPr>
            <w:tcW w:w="2693" w:type="pct"/>
            <w:tcBorders>
              <w:top w:val="dashSmallGap" w:sz="4" w:space="0" w:color="595959" w:themeColor="text1" w:themeTint="A6"/>
              <w:left w:val="single" w:sz="18" w:space="0" w:color="auto"/>
              <w:bottom w:val="single" w:sz="12" w:space="0" w:color="auto"/>
              <w:right w:val="single" w:sz="12" w:space="0" w:color="auto"/>
            </w:tcBorders>
            <w:tcMar>
              <w:top w:w="30" w:type="dxa"/>
              <w:left w:w="0" w:type="dxa"/>
              <w:bottom w:w="30" w:type="dxa"/>
              <w:right w:w="0" w:type="dxa"/>
            </w:tcMar>
            <w:vAlign w:val="center"/>
          </w:tcPr>
          <w:p w14:paraId="6B58AA6D" w14:textId="77777777" w:rsidR="008B58C4" w:rsidRPr="00205B06"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4|5</w:t>
            </w:r>
          </w:p>
        </w:tc>
        <w:tc>
          <w:tcPr>
            <w:tcW w:w="1153" w:type="pct"/>
            <w:gridSpan w:val="2"/>
            <w:tcBorders>
              <w:top w:val="dashSmallGap" w:sz="4" w:space="0" w:color="595959" w:themeColor="text1" w:themeTint="A6"/>
              <w:left w:val="single" w:sz="12" w:space="0" w:color="auto"/>
              <w:bottom w:val="single" w:sz="12" w:space="0" w:color="auto"/>
              <w:right w:val="single" w:sz="6" w:space="0" w:color="auto"/>
            </w:tcBorders>
            <w:tcMar>
              <w:top w:w="30" w:type="dxa"/>
              <w:left w:w="45" w:type="dxa"/>
              <w:bottom w:w="30" w:type="dxa"/>
              <w:right w:w="45" w:type="dxa"/>
            </w:tcMar>
            <w:vAlign w:val="center"/>
          </w:tcPr>
          <w:p w14:paraId="438F0E0F"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1.1</w:t>
            </w:r>
            <w:r>
              <w:rPr>
                <w:rFonts w:ascii="Times New Roman" w:eastAsia="Times New Roman" w:hAnsi="Times New Roman"/>
                <w:sz w:val="20"/>
              </w:rPr>
              <w:t>0</w:t>
            </w:r>
          </w:p>
        </w:tc>
        <w:tc>
          <w:tcPr>
            <w:tcW w:w="1154" w:type="pct"/>
            <w:gridSpan w:val="2"/>
            <w:tcBorders>
              <w:top w:val="dashSmallGap" w:sz="4" w:space="0" w:color="595959" w:themeColor="text1" w:themeTint="A6"/>
              <w:left w:val="single" w:sz="6" w:space="0" w:color="auto"/>
              <w:bottom w:val="single" w:sz="12" w:space="0" w:color="auto"/>
              <w:right w:val="single" w:sz="18" w:space="0" w:color="auto"/>
            </w:tcBorders>
            <w:tcMar>
              <w:top w:w="30" w:type="dxa"/>
              <w:left w:w="45" w:type="dxa"/>
              <w:bottom w:w="30" w:type="dxa"/>
              <w:right w:w="45" w:type="dxa"/>
            </w:tcMar>
            <w:vAlign w:val="center"/>
          </w:tcPr>
          <w:p w14:paraId="621B3608"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7.55</w:t>
            </w:r>
          </w:p>
        </w:tc>
      </w:tr>
      <w:tr w:rsidR="008B58C4" w:rsidRPr="009148F8" w14:paraId="098659D6" w14:textId="77777777" w:rsidTr="00EC669E">
        <w:trPr>
          <w:trHeight w:val="17"/>
        </w:trPr>
        <w:tc>
          <w:tcPr>
            <w:tcW w:w="2693" w:type="pct"/>
            <w:tcBorders>
              <w:top w:val="single" w:sz="12" w:space="0" w:color="auto"/>
              <w:left w:val="single" w:sz="18" w:space="0" w:color="auto"/>
              <w:bottom w:val="single" w:sz="12" w:space="0" w:color="auto"/>
              <w:right w:val="single" w:sz="12" w:space="0" w:color="auto"/>
            </w:tcBorders>
            <w:tcMar>
              <w:top w:w="30" w:type="dxa"/>
              <w:left w:w="0" w:type="dxa"/>
              <w:bottom w:w="30" w:type="dxa"/>
              <w:right w:w="0" w:type="dxa"/>
            </w:tcMar>
            <w:vAlign w:val="center"/>
          </w:tcPr>
          <w:p w14:paraId="6E0D8A22" w14:textId="77777777" w:rsidR="008B58C4" w:rsidRPr="009148F8" w:rsidRDefault="008B58C4" w:rsidP="00EC669E">
            <w:pPr>
              <w:jc w:val="both"/>
              <w:rPr>
                <w:rFonts w:ascii="Times New Roman" w:eastAsia="Times New Roman" w:hAnsi="Times New Roman"/>
                <w:b/>
                <w:bCs/>
                <w:sz w:val="20"/>
              </w:rPr>
            </w:pPr>
            <w:r w:rsidRPr="009148F8">
              <w:rPr>
                <w:rFonts w:ascii="Times New Roman" w:eastAsia="Times New Roman" w:hAnsi="Times New Roman"/>
                <w:b/>
                <w:bCs/>
                <w:sz w:val="20"/>
              </w:rPr>
              <w:t xml:space="preserve">Unadjusted </w:t>
            </w:r>
            <w:r>
              <w:rPr>
                <w:rFonts w:ascii="Times New Roman" w:eastAsia="Times New Roman" w:hAnsi="Times New Roman"/>
                <w:b/>
                <w:bCs/>
                <w:sz w:val="20"/>
              </w:rPr>
              <w:t>t</w:t>
            </w:r>
            <w:r w:rsidRPr="009148F8">
              <w:rPr>
                <w:rFonts w:ascii="Times New Roman" w:eastAsia="Times New Roman" w:hAnsi="Times New Roman"/>
                <w:b/>
                <w:bCs/>
                <w:sz w:val="20"/>
              </w:rPr>
              <w:t xml:space="preserve">hresholds </w:t>
            </w:r>
            <w:r>
              <w:rPr>
                <w:rFonts w:ascii="Times New Roman" w:eastAsia="Times New Roman" w:hAnsi="Times New Roman"/>
                <w:b/>
                <w:bCs/>
                <w:sz w:val="20"/>
              </w:rPr>
              <w:t>for post-p</w:t>
            </w:r>
            <w:r w:rsidRPr="009148F8">
              <w:rPr>
                <w:rFonts w:ascii="Times New Roman" w:eastAsia="Times New Roman" w:hAnsi="Times New Roman"/>
                <w:b/>
                <w:bCs/>
                <w:sz w:val="20"/>
              </w:rPr>
              <w:t>andemic</w:t>
            </w:r>
          </w:p>
        </w:tc>
        <w:tc>
          <w:tcPr>
            <w:tcW w:w="1153" w:type="pct"/>
            <w:gridSpan w:val="2"/>
            <w:tcBorders>
              <w:top w:val="single" w:sz="12" w:space="0" w:color="auto"/>
              <w:left w:val="single" w:sz="12" w:space="0" w:color="auto"/>
              <w:bottom w:val="single" w:sz="12" w:space="0" w:color="auto"/>
              <w:right w:val="single" w:sz="6" w:space="0" w:color="auto"/>
            </w:tcBorders>
            <w:tcMar>
              <w:top w:w="30" w:type="dxa"/>
              <w:left w:w="45" w:type="dxa"/>
              <w:bottom w:w="30" w:type="dxa"/>
              <w:right w:w="45" w:type="dxa"/>
            </w:tcMar>
            <w:vAlign w:val="center"/>
          </w:tcPr>
          <w:p w14:paraId="18792A4C" w14:textId="77777777" w:rsidR="008B58C4" w:rsidRPr="009148F8" w:rsidRDefault="008B58C4" w:rsidP="00EC669E">
            <w:pPr>
              <w:jc w:val="right"/>
              <w:rPr>
                <w:rFonts w:ascii="Times New Roman" w:eastAsia="Times New Roman" w:hAnsi="Times New Roman"/>
                <w:sz w:val="20"/>
              </w:rPr>
            </w:pPr>
          </w:p>
        </w:tc>
        <w:tc>
          <w:tcPr>
            <w:tcW w:w="1154" w:type="pct"/>
            <w:gridSpan w:val="2"/>
            <w:tcBorders>
              <w:top w:val="single" w:sz="12" w:space="0" w:color="auto"/>
              <w:left w:val="single" w:sz="6" w:space="0" w:color="auto"/>
              <w:bottom w:val="single" w:sz="12" w:space="0" w:color="auto"/>
              <w:right w:val="single" w:sz="18" w:space="0" w:color="auto"/>
            </w:tcBorders>
            <w:tcMar>
              <w:top w:w="30" w:type="dxa"/>
              <w:left w:w="45" w:type="dxa"/>
              <w:bottom w:w="30" w:type="dxa"/>
              <w:right w:w="45" w:type="dxa"/>
            </w:tcMar>
            <w:vAlign w:val="center"/>
          </w:tcPr>
          <w:p w14:paraId="7B586778" w14:textId="77777777" w:rsidR="008B58C4" w:rsidRPr="009148F8" w:rsidRDefault="008B58C4" w:rsidP="00EC669E">
            <w:pPr>
              <w:jc w:val="right"/>
              <w:rPr>
                <w:rFonts w:ascii="Times New Roman" w:eastAsia="Times New Roman" w:hAnsi="Times New Roman"/>
                <w:sz w:val="20"/>
              </w:rPr>
            </w:pPr>
          </w:p>
        </w:tc>
      </w:tr>
      <w:tr w:rsidR="008B58C4" w:rsidRPr="009148F8" w14:paraId="65D17BD1" w14:textId="77777777" w:rsidTr="00EC669E">
        <w:trPr>
          <w:trHeight w:val="17"/>
        </w:trPr>
        <w:tc>
          <w:tcPr>
            <w:tcW w:w="2693" w:type="pct"/>
            <w:tcBorders>
              <w:top w:val="single" w:sz="12" w:space="0" w:color="auto"/>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0231284F" w14:textId="77777777" w:rsidR="008B58C4" w:rsidRPr="00205B06"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1|2</w:t>
            </w:r>
          </w:p>
        </w:tc>
        <w:tc>
          <w:tcPr>
            <w:tcW w:w="1153" w:type="pct"/>
            <w:gridSpan w:val="2"/>
            <w:tcBorders>
              <w:top w:val="single" w:sz="12" w:space="0" w:color="auto"/>
              <w:left w:val="single" w:sz="12" w:space="0" w:color="auto"/>
              <w:bottom w:val="dashSmallGap" w:sz="4" w:space="0" w:color="595959" w:themeColor="text1" w:themeTint="A6"/>
              <w:right w:val="single" w:sz="6" w:space="0" w:color="auto"/>
            </w:tcBorders>
            <w:tcMar>
              <w:top w:w="30" w:type="dxa"/>
              <w:left w:w="45" w:type="dxa"/>
              <w:bottom w:w="30" w:type="dxa"/>
              <w:right w:w="45" w:type="dxa"/>
            </w:tcMar>
            <w:vAlign w:val="center"/>
          </w:tcPr>
          <w:p w14:paraId="32E40FB4"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-0.4</w:t>
            </w:r>
            <w:r>
              <w:rPr>
                <w:rFonts w:ascii="Times New Roman" w:eastAsia="Times New Roman" w:hAnsi="Times New Roman"/>
                <w:sz w:val="20"/>
              </w:rPr>
              <w:t>9</w:t>
            </w:r>
          </w:p>
        </w:tc>
        <w:tc>
          <w:tcPr>
            <w:tcW w:w="1154" w:type="pct"/>
            <w:gridSpan w:val="2"/>
            <w:tcBorders>
              <w:top w:val="single" w:sz="12" w:space="0" w:color="auto"/>
              <w:left w:val="single" w:sz="6" w:space="0" w:color="auto"/>
              <w:bottom w:val="dashSmallGap" w:sz="4" w:space="0" w:color="595959" w:themeColor="text1" w:themeTint="A6"/>
              <w:right w:val="single" w:sz="18" w:space="0" w:color="auto"/>
            </w:tcBorders>
            <w:tcMar>
              <w:top w:w="30" w:type="dxa"/>
              <w:left w:w="45" w:type="dxa"/>
              <w:bottom w:w="30" w:type="dxa"/>
              <w:right w:w="45" w:type="dxa"/>
            </w:tcMar>
            <w:vAlign w:val="center"/>
          </w:tcPr>
          <w:p w14:paraId="723B3E49"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-3.22</w:t>
            </w:r>
          </w:p>
        </w:tc>
      </w:tr>
      <w:tr w:rsidR="008B58C4" w:rsidRPr="009148F8" w14:paraId="58C03007" w14:textId="77777777" w:rsidTr="00EC669E">
        <w:trPr>
          <w:trHeight w:val="17"/>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3087E029" w14:textId="77777777" w:rsidR="008B58C4" w:rsidRPr="00205B06"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2|3</w:t>
            </w:r>
          </w:p>
        </w:tc>
        <w:tc>
          <w:tcPr>
            <w:tcW w:w="1153" w:type="pct"/>
            <w:gridSpan w:val="2"/>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vAlign w:val="center"/>
          </w:tcPr>
          <w:p w14:paraId="67AF5990"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-0.27</w:t>
            </w:r>
          </w:p>
        </w:tc>
        <w:tc>
          <w:tcPr>
            <w:tcW w:w="1154" w:type="pct"/>
            <w:gridSpan w:val="2"/>
            <w:tcBorders>
              <w:top w:val="dashSmallGap"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vAlign w:val="center"/>
          </w:tcPr>
          <w:p w14:paraId="4D0BCCE4"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-1.82</w:t>
            </w:r>
          </w:p>
        </w:tc>
      </w:tr>
      <w:tr w:rsidR="008B58C4" w:rsidRPr="009148F8" w14:paraId="24003DF3" w14:textId="77777777" w:rsidTr="00EC669E">
        <w:trPr>
          <w:trHeight w:val="17"/>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5FFF5748" w14:textId="77777777" w:rsidR="008B58C4" w:rsidRPr="00205B06"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3|4</w:t>
            </w:r>
          </w:p>
        </w:tc>
        <w:tc>
          <w:tcPr>
            <w:tcW w:w="1153" w:type="pct"/>
            <w:gridSpan w:val="2"/>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vAlign w:val="center"/>
          </w:tcPr>
          <w:p w14:paraId="61C43DB8"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0.18</w:t>
            </w:r>
          </w:p>
        </w:tc>
        <w:tc>
          <w:tcPr>
            <w:tcW w:w="1154" w:type="pct"/>
            <w:gridSpan w:val="2"/>
            <w:tcBorders>
              <w:top w:val="dashSmallGap"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vAlign w:val="center"/>
          </w:tcPr>
          <w:p w14:paraId="4080B082"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1.22</w:t>
            </w:r>
          </w:p>
        </w:tc>
      </w:tr>
      <w:tr w:rsidR="008B58C4" w:rsidRPr="009148F8" w14:paraId="6D469C85" w14:textId="77777777" w:rsidTr="00EC669E">
        <w:trPr>
          <w:trHeight w:val="17"/>
        </w:trPr>
        <w:tc>
          <w:tcPr>
            <w:tcW w:w="2693" w:type="pct"/>
            <w:tcBorders>
              <w:top w:val="dashSmallGap" w:sz="4" w:space="0" w:color="595959" w:themeColor="text1" w:themeTint="A6"/>
              <w:left w:val="single" w:sz="18" w:space="0" w:color="auto"/>
              <w:bottom w:val="single" w:sz="12" w:space="0" w:color="auto"/>
              <w:right w:val="single" w:sz="12" w:space="0" w:color="auto"/>
            </w:tcBorders>
            <w:tcMar>
              <w:top w:w="30" w:type="dxa"/>
              <w:left w:w="0" w:type="dxa"/>
              <w:bottom w:w="30" w:type="dxa"/>
              <w:right w:w="0" w:type="dxa"/>
            </w:tcMar>
            <w:vAlign w:val="center"/>
          </w:tcPr>
          <w:p w14:paraId="38555B22" w14:textId="77777777" w:rsidR="008B58C4" w:rsidRPr="00205B06"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4|5</w:t>
            </w:r>
          </w:p>
        </w:tc>
        <w:tc>
          <w:tcPr>
            <w:tcW w:w="1153" w:type="pct"/>
            <w:gridSpan w:val="2"/>
            <w:tcBorders>
              <w:top w:val="dashSmallGap" w:sz="4" w:space="0" w:color="595959" w:themeColor="text1" w:themeTint="A6"/>
              <w:left w:val="single" w:sz="12" w:space="0" w:color="auto"/>
              <w:bottom w:val="single" w:sz="12" w:space="0" w:color="auto"/>
              <w:right w:val="single" w:sz="6" w:space="0" w:color="auto"/>
            </w:tcBorders>
            <w:tcMar>
              <w:top w:w="30" w:type="dxa"/>
              <w:left w:w="45" w:type="dxa"/>
              <w:bottom w:w="30" w:type="dxa"/>
              <w:right w:w="45" w:type="dxa"/>
            </w:tcMar>
            <w:vAlign w:val="center"/>
          </w:tcPr>
          <w:p w14:paraId="3D96089C"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1.0</w:t>
            </w:r>
            <w:r>
              <w:rPr>
                <w:rFonts w:ascii="Times New Roman" w:eastAsia="Times New Roman" w:hAnsi="Times New Roman"/>
                <w:sz w:val="20"/>
              </w:rPr>
              <w:t>9</w:t>
            </w:r>
          </w:p>
        </w:tc>
        <w:tc>
          <w:tcPr>
            <w:tcW w:w="1154" w:type="pct"/>
            <w:gridSpan w:val="2"/>
            <w:tcBorders>
              <w:top w:val="dashSmallGap" w:sz="4" w:space="0" w:color="595959" w:themeColor="text1" w:themeTint="A6"/>
              <w:left w:val="single" w:sz="6" w:space="0" w:color="auto"/>
              <w:bottom w:val="single" w:sz="12" w:space="0" w:color="auto"/>
              <w:right w:val="single" w:sz="18" w:space="0" w:color="auto"/>
            </w:tcBorders>
            <w:tcMar>
              <w:top w:w="30" w:type="dxa"/>
              <w:left w:w="45" w:type="dxa"/>
              <w:bottom w:w="30" w:type="dxa"/>
              <w:right w:w="45" w:type="dxa"/>
            </w:tcMar>
            <w:vAlign w:val="center"/>
          </w:tcPr>
          <w:p w14:paraId="3FD519AB"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7.09</w:t>
            </w:r>
          </w:p>
        </w:tc>
      </w:tr>
      <w:tr w:rsidR="008B58C4" w:rsidRPr="009148F8" w14:paraId="4232AF36" w14:textId="77777777" w:rsidTr="00EC669E">
        <w:trPr>
          <w:trHeight w:val="17"/>
        </w:trPr>
        <w:tc>
          <w:tcPr>
            <w:tcW w:w="2693" w:type="pct"/>
            <w:tcBorders>
              <w:top w:val="single" w:sz="12" w:space="0" w:color="auto"/>
              <w:left w:val="single" w:sz="18" w:space="0" w:color="auto"/>
              <w:bottom w:val="single" w:sz="12" w:space="0" w:color="auto"/>
              <w:right w:val="single" w:sz="12" w:space="0" w:color="auto"/>
            </w:tcBorders>
            <w:tcMar>
              <w:top w:w="30" w:type="dxa"/>
              <w:left w:w="0" w:type="dxa"/>
              <w:bottom w:w="30" w:type="dxa"/>
              <w:right w:w="0" w:type="dxa"/>
            </w:tcMar>
            <w:vAlign w:val="center"/>
          </w:tcPr>
          <w:p w14:paraId="48EF8DA1" w14:textId="77777777" w:rsidR="008B58C4" w:rsidRPr="009148F8" w:rsidRDefault="008B58C4" w:rsidP="00EC669E">
            <w:pPr>
              <w:jc w:val="both"/>
              <w:rPr>
                <w:rFonts w:ascii="Times New Roman" w:eastAsia="Times New Roman" w:hAnsi="Times New Roman"/>
                <w:sz w:val="20"/>
              </w:rPr>
            </w:pPr>
            <w:r w:rsidRPr="009148F8">
              <w:rPr>
                <w:rFonts w:ascii="Times New Roman" w:eastAsia="Times New Roman" w:hAnsi="Times New Roman"/>
                <w:b/>
                <w:bCs/>
                <w:sz w:val="20"/>
              </w:rPr>
              <w:t xml:space="preserve">Constant </w:t>
            </w:r>
            <w:r>
              <w:rPr>
                <w:rFonts w:ascii="Times New Roman" w:eastAsia="Times New Roman" w:hAnsi="Times New Roman"/>
                <w:b/>
                <w:bCs/>
                <w:sz w:val="20"/>
              </w:rPr>
              <w:t>c</w:t>
            </w:r>
            <w:r w:rsidRPr="009148F8">
              <w:rPr>
                <w:rFonts w:ascii="Times New Roman" w:eastAsia="Times New Roman" w:hAnsi="Times New Roman"/>
                <w:b/>
                <w:bCs/>
                <w:sz w:val="20"/>
              </w:rPr>
              <w:t xml:space="preserve">onsonance </w:t>
            </w:r>
            <w:r>
              <w:rPr>
                <w:rFonts w:ascii="Times New Roman" w:eastAsia="Times New Roman" w:hAnsi="Times New Roman"/>
                <w:b/>
                <w:bCs/>
                <w:sz w:val="20"/>
              </w:rPr>
              <w:t>s</w:t>
            </w:r>
            <w:r w:rsidRPr="009148F8">
              <w:rPr>
                <w:rFonts w:ascii="Times New Roman" w:eastAsia="Times New Roman" w:hAnsi="Times New Roman"/>
                <w:b/>
                <w:bCs/>
                <w:sz w:val="20"/>
              </w:rPr>
              <w:t>hifts</w:t>
            </w:r>
            <w:r>
              <w:rPr>
                <w:rFonts w:ascii="Times New Roman" w:eastAsia="Times New Roman" w:hAnsi="Times New Roman"/>
                <w:b/>
                <w:bCs/>
                <w:sz w:val="20"/>
              </w:rPr>
              <w:t xml:space="preserve"> for</w:t>
            </w:r>
            <w:r w:rsidRPr="009148F8">
              <w:rPr>
                <w:rFonts w:ascii="Times New Roman" w:eastAsia="Times New Roman" w:hAnsi="Times New Roman"/>
                <w:b/>
                <w:bCs/>
                <w:sz w:val="20"/>
              </w:rPr>
              <w:t xml:space="preserve"> </w:t>
            </w:r>
            <w:r>
              <w:rPr>
                <w:rFonts w:ascii="Times New Roman" w:eastAsia="Times New Roman" w:hAnsi="Times New Roman"/>
                <w:b/>
                <w:bCs/>
                <w:sz w:val="20"/>
              </w:rPr>
              <w:t>post-p</w:t>
            </w:r>
            <w:r w:rsidRPr="009148F8">
              <w:rPr>
                <w:rFonts w:ascii="Times New Roman" w:eastAsia="Times New Roman" w:hAnsi="Times New Roman"/>
                <w:b/>
                <w:bCs/>
                <w:sz w:val="20"/>
              </w:rPr>
              <w:t>andemic</w:t>
            </w:r>
          </w:p>
        </w:tc>
        <w:tc>
          <w:tcPr>
            <w:tcW w:w="1153" w:type="pct"/>
            <w:gridSpan w:val="2"/>
            <w:tcBorders>
              <w:top w:val="single" w:sz="12" w:space="0" w:color="auto"/>
              <w:left w:val="single" w:sz="12" w:space="0" w:color="auto"/>
              <w:bottom w:val="single" w:sz="12" w:space="0" w:color="auto"/>
              <w:right w:val="single" w:sz="6" w:space="0" w:color="auto"/>
            </w:tcBorders>
            <w:tcMar>
              <w:top w:w="30" w:type="dxa"/>
              <w:left w:w="45" w:type="dxa"/>
              <w:bottom w:w="30" w:type="dxa"/>
              <w:right w:w="45" w:type="dxa"/>
            </w:tcMar>
            <w:vAlign w:val="center"/>
          </w:tcPr>
          <w:p w14:paraId="2919484F" w14:textId="77777777" w:rsidR="008B58C4" w:rsidRPr="009148F8" w:rsidRDefault="008B58C4" w:rsidP="00EC669E">
            <w:pPr>
              <w:jc w:val="right"/>
              <w:rPr>
                <w:rFonts w:ascii="Times New Roman" w:eastAsia="Times New Roman" w:hAnsi="Times New Roman"/>
                <w:sz w:val="20"/>
              </w:rPr>
            </w:pPr>
          </w:p>
        </w:tc>
        <w:tc>
          <w:tcPr>
            <w:tcW w:w="1154" w:type="pct"/>
            <w:gridSpan w:val="2"/>
            <w:tcBorders>
              <w:top w:val="single" w:sz="12" w:space="0" w:color="auto"/>
              <w:left w:val="single" w:sz="6" w:space="0" w:color="auto"/>
              <w:bottom w:val="single" w:sz="12" w:space="0" w:color="auto"/>
              <w:right w:val="single" w:sz="18" w:space="0" w:color="auto"/>
            </w:tcBorders>
            <w:tcMar>
              <w:top w:w="30" w:type="dxa"/>
              <w:left w:w="45" w:type="dxa"/>
              <w:bottom w:w="30" w:type="dxa"/>
              <w:right w:w="45" w:type="dxa"/>
            </w:tcMar>
            <w:vAlign w:val="center"/>
          </w:tcPr>
          <w:p w14:paraId="49F7CAFA" w14:textId="77777777" w:rsidR="008B58C4" w:rsidRPr="009148F8" w:rsidRDefault="008B58C4" w:rsidP="00EC669E">
            <w:pPr>
              <w:jc w:val="right"/>
              <w:rPr>
                <w:rFonts w:ascii="Times New Roman" w:eastAsia="Times New Roman" w:hAnsi="Times New Roman"/>
                <w:sz w:val="20"/>
              </w:rPr>
            </w:pPr>
          </w:p>
        </w:tc>
      </w:tr>
      <w:tr w:rsidR="008B58C4" w:rsidRPr="009148F8" w14:paraId="625376B2" w14:textId="77777777" w:rsidTr="00EC669E">
        <w:trPr>
          <w:trHeight w:val="17"/>
        </w:trPr>
        <w:tc>
          <w:tcPr>
            <w:tcW w:w="2693" w:type="pct"/>
            <w:tcBorders>
              <w:top w:val="single" w:sz="12" w:space="0" w:color="auto"/>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2D789504"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1|2 Consonance Shift</w:t>
            </w:r>
          </w:p>
        </w:tc>
        <w:tc>
          <w:tcPr>
            <w:tcW w:w="1153" w:type="pct"/>
            <w:gridSpan w:val="2"/>
            <w:tcBorders>
              <w:top w:val="single" w:sz="12" w:space="0" w:color="auto"/>
              <w:left w:val="single" w:sz="12" w:space="0" w:color="auto"/>
              <w:bottom w:val="dashSmallGap" w:sz="4" w:space="0" w:color="595959" w:themeColor="text1" w:themeTint="A6"/>
              <w:right w:val="single" w:sz="6" w:space="0" w:color="auto"/>
            </w:tcBorders>
            <w:tcMar>
              <w:top w:w="30" w:type="dxa"/>
              <w:left w:w="45" w:type="dxa"/>
              <w:bottom w:w="30" w:type="dxa"/>
              <w:right w:w="45" w:type="dxa"/>
            </w:tcMar>
            <w:vAlign w:val="center"/>
          </w:tcPr>
          <w:p w14:paraId="05F99199"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0.3</w:t>
            </w:r>
            <w:r>
              <w:rPr>
                <w:rFonts w:ascii="Times New Roman" w:eastAsia="Times New Roman" w:hAnsi="Times New Roman"/>
                <w:sz w:val="20"/>
              </w:rPr>
              <w:t>2</w:t>
            </w:r>
          </w:p>
        </w:tc>
        <w:tc>
          <w:tcPr>
            <w:tcW w:w="1154" w:type="pct"/>
            <w:gridSpan w:val="2"/>
            <w:tcBorders>
              <w:top w:val="single" w:sz="12" w:space="0" w:color="auto"/>
              <w:left w:val="single" w:sz="6" w:space="0" w:color="auto"/>
              <w:bottom w:val="dashSmallGap" w:sz="4" w:space="0" w:color="595959" w:themeColor="text1" w:themeTint="A6"/>
              <w:right w:val="single" w:sz="18" w:space="0" w:color="auto"/>
            </w:tcBorders>
            <w:tcMar>
              <w:top w:w="30" w:type="dxa"/>
              <w:left w:w="45" w:type="dxa"/>
              <w:bottom w:w="30" w:type="dxa"/>
              <w:right w:w="45" w:type="dxa"/>
            </w:tcMar>
            <w:vAlign w:val="center"/>
          </w:tcPr>
          <w:p w14:paraId="52535793"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3.33</w:t>
            </w:r>
          </w:p>
        </w:tc>
      </w:tr>
      <w:tr w:rsidR="008B58C4" w:rsidRPr="009148F8" w14:paraId="09BB6E03" w14:textId="77777777" w:rsidTr="00EC669E">
        <w:trPr>
          <w:trHeight w:val="17"/>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36FD71C4"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2|3 Consonance Shift</w:t>
            </w:r>
          </w:p>
        </w:tc>
        <w:tc>
          <w:tcPr>
            <w:tcW w:w="1153" w:type="pct"/>
            <w:gridSpan w:val="2"/>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vAlign w:val="center"/>
          </w:tcPr>
          <w:p w14:paraId="340243A5"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0.3</w:t>
            </w:r>
            <w:r>
              <w:rPr>
                <w:rFonts w:ascii="Times New Roman" w:eastAsia="Times New Roman" w:hAnsi="Times New Roman"/>
                <w:sz w:val="20"/>
              </w:rPr>
              <w:t>1</w:t>
            </w:r>
          </w:p>
        </w:tc>
        <w:tc>
          <w:tcPr>
            <w:tcW w:w="1154" w:type="pct"/>
            <w:gridSpan w:val="2"/>
            <w:tcBorders>
              <w:top w:val="dashSmallGap"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vAlign w:val="center"/>
          </w:tcPr>
          <w:p w14:paraId="55E9E9CE"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5.16</w:t>
            </w:r>
          </w:p>
        </w:tc>
      </w:tr>
      <w:tr w:rsidR="008B58C4" w:rsidRPr="009148F8" w14:paraId="5E16AA52" w14:textId="77777777" w:rsidTr="00EC669E">
        <w:trPr>
          <w:trHeight w:val="17"/>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76782B53"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3|4 Consonance Shift</w:t>
            </w:r>
          </w:p>
        </w:tc>
        <w:tc>
          <w:tcPr>
            <w:tcW w:w="1153" w:type="pct"/>
            <w:gridSpan w:val="2"/>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vAlign w:val="center"/>
          </w:tcPr>
          <w:p w14:paraId="7B22FEDE"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0.2</w:t>
            </w:r>
            <w:r>
              <w:rPr>
                <w:rFonts w:ascii="Times New Roman" w:eastAsia="Times New Roman" w:hAnsi="Times New Roman"/>
                <w:sz w:val="20"/>
              </w:rPr>
              <w:t>4</w:t>
            </w:r>
          </w:p>
        </w:tc>
        <w:tc>
          <w:tcPr>
            <w:tcW w:w="1154" w:type="pct"/>
            <w:gridSpan w:val="2"/>
            <w:tcBorders>
              <w:top w:val="dashSmallGap"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vAlign w:val="center"/>
          </w:tcPr>
          <w:p w14:paraId="08988443"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4.35</w:t>
            </w:r>
          </w:p>
        </w:tc>
      </w:tr>
      <w:tr w:rsidR="008B58C4" w:rsidRPr="009148F8" w14:paraId="3632706E" w14:textId="77777777" w:rsidTr="00EC669E">
        <w:trPr>
          <w:trHeight w:val="17"/>
        </w:trPr>
        <w:tc>
          <w:tcPr>
            <w:tcW w:w="2693" w:type="pct"/>
            <w:tcBorders>
              <w:top w:val="dashSmallGap" w:sz="4" w:space="0" w:color="595959" w:themeColor="text1" w:themeTint="A6"/>
              <w:left w:val="single" w:sz="18" w:space="0" w:color="auto"/>
              <w:bottom w:val="single" w:sz="12" w:space="0" w:color="auto"/>
              <w:right w:val="single" w:sz="12" w:space="0" w:color="auto"/>
            </w:tcBorders>
            <w:tcMar>
              <w:top w:w="30" w:type="dxa"/>
              <w:left w:w="0" w:type="dxa"/>
              <w:bottom w:w="30" w:type="dxa"/>
              <w:right w:w="0" w:type="dxa"/>
            </w:tcMar>
            <w:vAlign w:val="center"/>
          </w:tcPr>
          <w:p w14:paraId="2690FD88"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4|5 Consonance Shift</w:t>
            </w:r>
          </w:p>
        </w:tc>
        <w:tc>
          <w:tcPr>
            <w:tcW w:w="1153" w:type="pct"/>
            <w:gridSpan w:val="2"/>
            <w:tcBorders>
              <w:top w:val="dashSmallGap" w:sz="4" w:space="0" w:color="595959" w:themeColor="text1" w:themeTint="A6"/>
              <w:left w:val="single" w:sz="12" w:space="0" w:color="auto"/>
              <w:bottom w:val="single" w:sz="12" w:space="0" w:color="auto"/>
              <w:right w:val="single" w:sz="6" w:space="0" w:color="auto"/>
            </w:tcBorders>
            <w:tcMar>
              <w:top w:w="30" w:type="dxa"/>
              <w:left w:w="45" w:type="dxa"/>
              <w:bottom w:w="30" w:type="dxa"/>
              <w:right w:w="45" w:type="dxa"/>
            </w:tcMar>
            <w:vAlign w:val="center"/>
          </w:tcPr>
          <w:p w14:paraId="235B19E8"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0.3</w:t>
            </w:r>
            <w:r>
              <w:rPr>
                <w:rFonts w:ascii="Times New Roman" w:eastAsia="Times New Roman" w:hAnsi="Times New Roman"/>
                <w:sz w:val="20"/>
              </w:rPr>
              <w:t>1</w:t>
            </w:r>
          </w:p>
        </w:tc>
        <w:tc>
          <w:tcPr>
            <w:tcW w:w="1154" w:type="pct"/>
            <w:gridSpan w:val="2"/>
            <w:tcBorders>
              <w:top w:val="dashSmallGap" w:sz="4" w:space="0" w:color="595959" w:themeColor="text1" w:themeTint="A6"/>
              <w:left w:val="single" w:sz="6" w:space="0" w:color="auto"/>
              <w:bottom w:val="single" w:sz="12" w:space="0" w:color="auto"/>
              <w:right w:val="single" w:sz="18" w:space="0" w:color="auto"/>
            </w:tcBorders>
            <w:tcMar>
              <w:top w:w="30" w:type="dxa"/>
              <w:left w:w="45" w:type="dxa"/>
              <w:bottom w:w="30" w:type="dxa"/>
              <w:right w:w="45" w:type="dxa"/>
            </w:tcMar>
            <w:vAlign w:val="center"/>
          </w:tcPr>
          <w:p w14:paraId="78FDA867"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4.98</w:t>
            </w:r>
          </w:p>
        </w:tc>
      </w:tr>
      <w:tr w:rsidR="008B58C4" w:rsidRPr="009148F8" w14:paraId="60047D49" w14:textId="77777777" w:rsidTr="00EC669E">
        <w:trPr>
          <w:trHeight w:val="17"/>
        </w:trPr>
        <w:tc>
          <w:tcPr>
            <w:tcW w:w="2693" w:type="pct"/>
            <w:tcBorders>
              <w:top w:val="single" w:sz="12" w:space="0" w:color="auto"/>
              <w:left w:val="single" w:sz="18" w:space="0" w:color="auto"/>
              <w:bottom w:val="single" w:sz="12" w:space="0" w:color="auto"/>
              <w:right w:val="single" w:sz="12" w:space="0" w:color="auto"/>
            </w:tcBorders>
            <w:tcMar>
              <w:top w:w="30" w:type="dxa"/>
              <w:left w:w="0" w:type="dxa"/>
              <w:bottom w:w="30" w:type="dxa"/>
              <w:right w:w="0" w:type="dxa"/>
            </w:tcMar>
            <w:vAlign w:val="center"/>
          </w:tcPr>
          <w:p w14:paraId="480FECEC" w14:textId="77777777" w:rsidR="008B58C4" w:rsidRPr="009148F8" w:rsidRDefault="008B58C4" w:rsidP="00EC669E">
            <w:pPr>
              <w:jc w:val="both"/>
              <w:rPr>
                <w:rFonts w:ascii="Times New Roman" w:eastAsia="Times New Roman" w:hAnsi="Times New Roman"/>
                <w:sz w:val="20"/>
              </w:rPr>
            </w:pPr>
            <w:r w:rsidRPr="009148F8">
              <w:rPr>
                <w:rFonts w:ascii="Times New Roman" w:eastAsia="Times New Roman" w:hAnsi="Times New Roman"/>
                <w:b/>
                <w:bCs/>
                <w:sz w:val="20"/>
              </w:rPr>
              <w:t xml:space="preserve">Cross </w:t>
            </w:r>
            <w:r>
              <w:rPr>
                <w:rFonts w:ascii="Times New Roman" w:eastAsia="Times New Roman" w:hAnsi="Times New Roman"/>
                <w:b/>
                <w:bCs/>
                <w:sz w:val="20"/>
              </w:rPr>
              <w:t>before-after</w:t>
            </w:r>
            <w:r w:rsidRPr="009148F8">
              <w:rPr>
                <w:rFonts w:ascii="Times New Roman" w:eastAsia="Times New Roman" w:hAnsi="Times New Roman"/>
                <w:b/>
                <w:bCs/>
                <w:sz w:val="20"/>
              </w:rPr>
              <w:t xml:space="preserve"> </w:t>
            </w:r>
            <w:r>
              <w:rPr>
                <w:rFonts w:ascii="Times New Roman" w:eastAsia="Times New Roman" w:hAnsi="Times New Roman"/>
                <w:b/>
                <w:bCs/>
                <w:sz w:val="20"/>
              </w:rPr>
              <w:t>t</w:t>
            </w:r>
            <w:r w:rsidRPr="009148F8">
              <w:rPr>
                <w:rFonts w:ascii="Times New Roman" w:eastAsia="Times New Roman" w:hAnsi="Times New Roman"/>
                <w:b/>
                <w:bCs/>
                <w:sz w:val="20"/>
              </w:rPr>
              <w:t xml:space="preserve">hreshold </w:t>
            </w:r>
            <w:r>
              <w:rPr>
                <w:rFonts w:ascii="Times New Roman" w:eastAsia="Times New Roman" w:hAnsi="Times New Roman"/>
                <w:b/>
                <w:bCs/>
                <w:sz w:val="20"/>
              </w:rPr>
              <w:t>a</w:t>
            </w:r>
            <w:r w:rsidRPr="009148F8">
              <w:rPr>
                <w:rFonts w:ascii="Times New Roman" w:eastAsia="Times New Roman" w:hAnsi="Times New Roman"/>
                <w:b/>
                <w:bCs/>
                <w:sz w:val="20"/>
              </w:rPr>
              <w:t>djustments</w:t>
            </w:r>
          </w:p>
        </w:tc>
        <w:tc>
          <w:tcPr>
            <w:tcW w:w="1153" w:type="pct"/>
            <w:gridSpan w:val="2"/>
            <w:tcBorders>
              <w:top w:val="single" w:sz="12" w:space="0" w:color="auto"/>
              <w:left w:val="single" w:sz="12" w:space="0" w:color="auto"/>
              <w:bottom w:val="single" w:sz="12" w:space="0" w:color="auto"/>
              <w:right w:val="single" w:sz="6" w:space="0" w:color="auto"/>
            </w:tcBorders>
            <w:tcMar>
              <w:top w:w="30" w:type="dxa"/>
              <w:left w:w="45" w:type="dxa"/>
              <w:bottom w:w="30" w:type="dxa"/>
              <w:right w:w="45" w:type="dxa"/>
            </w:tcMar>
            <w:vAlign w:val="center"/>
          </w:tcPr>
          <w:p w14:paraId="26010615" w14:textId="77777777" w:rsidR="008B58C4" w:rsidRPr="009148F8" w:rsidRDefault="008B58C4" w:rsidP="00EC669E">
            <w:pPr>
              <w:jc w:val="right"/>
              <w:rPr>
                <w:rFonts w:ascii="Times New Roman" w:eastAsia="Times New Roman" w:hAnsi="Times New Roman"/>
                <w:sz w:val="20"/>
              </w:rPr>
            </w:pPr>
          </w:p>
        </w:tc>
        <w:tc>
          <w:tcPr>
            <w:tcW w:w="1154" w:type="pct"/>
            <w:gridSpan w:val="2"/>
            <w:tcBorders>
              <w:top w:val="single" w:sz="12" w:space="0" w:color="auto"/>
              <w:left w:val="single" w:sz="6" w:space="0" w:color="auto"/>
              <w:bottom w:val="single" w:sz="12" w:space="0" w:color="auto"/>
              <w:right w:val="single" w:sz="18" w:space="0" w:color="auto"/>
            </w:tcBorders>
            <w:tcMar>
              <w:top w:w="30" w:type="dxa"/>
              <w:left w:w="45" w:type="dxa"/>
              <w:bottom w:w="30" w:type="dxa"/>
              <w:right w:w="45" w:type="dxa"/>
            </w:tcMar>
            <w:vAlign w:val="center"/>
          </w:tcPr>
          <w:p w14:paraId="10532022" w14:textId="77777777" w:rsidR="008B58C4" w:rsidRPr="009148F8" w:rsidRDefault="008B58C4" w:rsidP="00EC669E">
            <w:pPr>
              <w:jc w:val="right"/>
              <w:rPr>
                <w:rFonts w:ascii="Times New Roman" w:eastAsia="Times New Roman" w:hAnsi="Times New Roman"/>
                <w:sz w:val="20"/>
              </w:rPr>
            </w:pPr>
          </w:p>
        </w:tc>
      </w:tr>
      <w:tr w:rsidR="008B58C4" w:rsidRPr="009148F8" w14:paraId="1836A7D4" w14:textId="77777777" w:rsidTr="00EC669E">
        <w:trPr>
          <w:trHeight w:val="17"/>
        </w:trPr>
        <w:tc>
          <w:tcPr>
            <w:tcW w:w="2693" w:type="pct"/>
            <w:tcBorders>
              <w:top w:val="single" w:sz="12" w:space="0" w:color="auto"/>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2747378E"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 xml:space="preserve">“A few times </w:t>
            </w:r>
            <w:r>
              <w:rPr>
                <w:rFonts w:ascii="Times New Roman" w:eastAsia="Times New Roman" w:hAnsi="Times New Roman"/>
                <w:sz w:val="20"/>
              </w:rPr>
              <w:t>a</w:t>
            </w:r>
            <w:r w:rsidRPr="009148F8">
              <w:rPr>
                <w:rFonts w:ascii="Times New Roman" w:eastAsia="Times New Roman" w:hAnsi="Times New Roman"/>
                <w:sz w:val="20"/>
              </w:rPr>
              <w:t xml:space="preserve"> </w:t>
            </w:r>
            <w:r>
              <w:rPr>
                <w:rFonts w:ascii="Times New Roman" w:eastAsia="Times New Roman" w:hAnsi="Times New Roman"/>
                <w:sz w:val="20"/>
              </w:rPr>
              <w:t>y</w:t>
            </w:r>
            <w:r w:rsidRPr="009148F8">
              <w:rPr>
                <w:rFonts w:ascii="Times New Roman" w:eastAsia="Times New Roman" w:hAnsi="Times New Roman"/>
                <w:sz w:val="20"/>
              </w:rPr>
              <w:t xml:space="preserve">ear” before to “A few times </w:t>
            </w:r>
            <w:r>
              <w:rPr>
                <w:rFonts w:ascii="Times New Roman" w:eastAsia="Times New Roman" w:hAnsi="Times New Roman"/>
                <w:sz w:val="20"/>
              </w:rPr>
              <w:t>a</w:t>
            </w:r>
            <w:r w:rsidRPr="009148F8">
              <w:rPr>
                <w:rFonts w:ascii="Times New Roman" w:eastAsia="Times New Roman" w:hAnsi="Times New Roman"/>
                <w:sz w:val="20"/>
              </w:rPr>
              <w:t xml:space="preserve"> </w:t>
            </w:r>
            <w:r>
              <w:rPr>
                <w:rFonts w:ascii="Times New Roman" w:eastAsia="Times New Roman" w:hAnsi="Times New Roman"/>
                <w:sz w:val="20"/>
              </w:rPr>
              <w:t>w</w:t>
            </w:r>
            <w:r w:rsidRPr="009148F8">
              <w:rPr>
                <w:rFonts w:ascii="Times New Roman" w:eastAsia="Times New Roman" w:hAnsi="Times New Roman"/>
                <w:sz w:val="20"/>
              </w:rPr>
              <w:t xml:space="preserve">eek” </w:t>
            </w:r>
            <w:r>
              <w:rPr>
                <w:rFonts w:ascii="Times New Roman" w:eastAsia="Times New Roman" w:hAnsi="Times New Roman"/>
                <w:sz w:val="20"/>
              </w:rPr>
              <w:t>a</w:t>
            </w:r>
            <w:r w:rsidRPr="009148F8">
              <w:rPr>
                <w:rFonts w:ascii="Times New Roman" w:eastAsia="Times New Roman" w:hAnsi="Times New Roman"/>
                <w:sz w:val="20"/>
              </w:rPr>
              <w:t>fter</w:t>
            </w:r>
          </w:p>
        </w:tc>
        <w:tc>
          <w:tcPr>
            <w:tcW w:w="1153" w:type="pct"/>
            <w:gridSpan w:val="2"/>
            <w:tcBorders>
              <w:top w:val="single" w:sz="12" w:space="0" w:color="auto"/>
              <w:left w:val="single" w:sz="12" w:space="0" w:color="auto"/>
              <w:bottom w:val="dashSmallGap" w:sz="4" w:space="0" w:color="595959" w:themeColor="text1" w:themeTint="A6"/>
              <w:right w:val="single" w:sz="6" w:space="0" w:color="auto"/>
            </w:tcBorders>
            <w:tcMar>
              <w:top w:w="30" w:type="dxa"/>
              <w:left w:w="45" w:type="dxa"/>
              <w:bottom w:w="30" w:type="dxa"/>
              <w:right w:w="45" w:type="dxa"/>
            </w:tcMar>
            <w:vAlign w:val="center"/>
          </w:tcPr>
          <w:p w14:paraId="722B1AD9"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0.09</w:t>
            </w:r>
          </w:p>
        </w:tc>
        <w:tc>
          <w:tcPr>
            <w:tcW w:w="1154" w:type="pct"/>
            <w:gridSpan w:val="2"/>
            <w:tcBorders>
              <w:top w:val="single" w:sz="12" w:space="0" w:color="auto"/>
              <w:left w:val="single" w:sz="6" w:space="0" w:color="auto"/>
              <w:bottom w:val="dashSmallGap" w:sz="4" w:space="0" w:color="595959" w:themeColor="text1" w:themeTint="A6"/>
              <w:right w:val="single" w:sz="18" w:space="0" w:color="auto"/>
            </w:tcBorders>
            <w:tcMar>
              <w:top w:w="30" w:type="dxa"/>
              <w:left w:w="45" w:type="dxa"/>
              <w:bottom w:w="30" w:type="dxa"/>
              <w:right w:w="45" w:type="dxa"/>
            </w:tcMar>
            <w:vAlign w:val="center"/>
          </w:tcPr>
          <w:p w14:paraId="7AB1F5FB"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1.53</w:t>
            </w:r>
          </w:p>
        </w:tc>
      </w:tr>
      <w:tr w:rsidR="008B58C4" w:rsidRPr="009148F8" w14:paraId="6AFBC337" w14:textId="77777777" w:rsidTr="00EC669E">
        <w:trPr>
          <w:trHeight w:val="17"/>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03D13D6C"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 xml:space="preserve">“Never” before to “Everyday” </w:t>
            </w:r>
            <w:r>
              <w:rPr>
                <w:rFonts w:ascii="Times New Roman" w:eastAsia="Times New Roman" w:hAnsi="Times New Roman"/>
                <w:sz w:val="20"/>
              </w:rPr>
              <w:t>a</w:t>
            </w:r>
            <w:r w:rsidRPr="009148F8">
              <w:rPr>
                <w:rFonts w:ascii="Times New Roman" w:eastAsia="Times New Roman" w:hAnsi="Times New Roman"/>
                <w:sz w:val="20"/>
              </w:rPr>
              <w:t>fter</w:t>
            </w:r>
          </w:p>
        </w:tc>
        <w:tc>
          <w:tcPr>
            <w:tcW w:w="1153" w:type="pct"/>
            <w:gridSpan w:val="2"/>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vAlign w:val="center"/>
          </w:tcPr>
          <w:p w14:paraId="0D2DFDB4"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-0.4</w:t>
            </w:r>
            <w:r>
              <w:rPr>
                <w:rFonts w:ascii="Times New Roman" w:eastAsia="Times New Roman" w:hAnsi="Times New Roman"/>
                <w:sz w:val="20"/>
              </w:rPr>
              <w:t>5</w:t>
            </w:r>
          </w:p>
        </w:tc>
        <w:tc>
          <w:tcPr>
            <w:tcW w:w="1154" w:type="pct"/>
            <w:gridSpan w:val="2"/>
            <w:tcBorders>
              <w:top w:val="dashSmallGap"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vAlign w:val="center"/>
          </w:tcPr>
          <w:p w14:paraId="386A8EF9"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-5.39</w:t>
            </w:r>
          </w:p>
        </w:tc>
      </w:tr>
      <w:tr w:rsidR="008B58C4" w:rsidRPr="009148F8" w14:paraId="02821A08" w14:textId="77777777" w:rsidTr="00EC669E">
        <w:trPr>
          <w:trHeight w:val="17"/>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577D103D"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“Never” before to “A few times</w:t>
            </w:r>
            <w:r>
              <w:rPr>
                <w:rFonts w:ascii="Times New Roman" w:eastAsia="Times New Roman" w:hAnsi="Times New Roman"/>
                <w:sz w:val="20"/>
              </w:rPr>
              <w:t xml:space="preserve"> a w</w:t>
            </w:r>
            <w:r w:rsidRPr="009148F8">
              <w:rPr>
                <w:rFonts w:ascii="Times New Roman" w:eastAsia="Times New Roman" w:hAnsi="Times New Roman"/>
                <w:sz w:val="20"/>
              </w:rPr>
              <w:t xml:space="preserve">eek” </w:t>
            </w:r>
            <w:r>
              <w:rPr>
                <w:rFonts w:ascii="Times New Roman" w:eastAsia="Times New Roman" w:hAnsi="Times New Roman"/>
                <w:sz w:val="20"/>
              </w:rPr>
              <w:t>a</w:t>
            </w:r>
            <w:r w:rsidRPr="009148F8">
              <w:rPr>
                <w:rFonts w:ascii="Times New Roman" w:eastAsia="Times New Roman" w:hAnsi="Times New Roman"/>
                <w:sz w:val="20"/>
              </w:rPr>
              <w:t>fter</w:t>
            </w:r>
          </w:p>
        </w:tc>
        <w:tc>
          <w:tcPr>
            <w:tcW w:w="1153" w:type="pct"/>
            <w:gridSpan w:val="2"/>
            <w:tcBorders>
              <w:top w:val="dashSmallGap" w:sz="4" w:space="0" w:color="595959" w:themeColor="text1" w:themeTint="A6"/>
              <w:left w:val="single" w:sz="12" w:space="0" w:color="auto"/>
              <w:bottom w:val="dashSmallGap" w:sz="4" w:space="0" w:color="595959" w:themeColor="text1" w:themeTint="A6"/>
              <w:right w:val="single" w:sz="6" w:space="0" w:color="auto"/>
            </w:tcBorders>
            <w:tcMar>
              <w:top w:w="30" w:type="dxa"/>
              <w:left w:w="45" w:type="dxa"/>
              <w:bottom w:w="30" w:type="dxa"/>
              <w:right w:w="45" w:type="dxa"/>
            </w:tcMar>
            <w:vAlign w:val="center"/>
          </w:tcPr>
          <w:p w14:paraId="73E4C65B"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-0.19</w:t>
            </w:r>
          </w:p>
        </w:tc>
        <w:tc>
          <w:tcPr>
            <w:tcW w:w="1154" w:type="pct"/>
            <w:gridSpan w:val="2"/>
            <w:tcBorders>
              <w:top w:val="dashSmallGap" w:sz="4" w:space="0" w:color="595959" w:themeColor="text1" w:themeTint="A6"/>
              <w:left w:val="single" w:sz="6" w:space="0" w:color="auto"/>
              <w:bottom w:val="dashSmallGap" w:sz="4" w:space="0" w:color="595959" w:themeColor="text1" w:themeTint="A6"/>
              <w:right w:val="single" w:sz="18" w:space="0" w:color="auto"/>
            </w:tcBorders>
            <w:tcMar>
              <w:top w:w="30" w:type="dxa"/>
              <w:left w:w="45" w:type="dxa"/>
              <w:bottom w:w="30" w:type="dxa"/>
              <w:right w:w="45" w:type="dxa"/>
            </w:tcMar>
            <w:vAlign w:val="center"/>
          </w:tcPr>
          <w:p w14:paraId="2A9A74DD"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-4.09</w:t>
            </w:r>
          </w:p>
        </w:tc>
      </w:tr>
      <w:tr w:rsidR="008B58C4" w:rsidRPr="009148F8" w14:paraId="63B90EC9" w14:textId="77777777" w:rsidTr="00EC669E">
        <w:trPr>
          <w:trHeight w:val="17"/>
        </w:trPr>
        <w:tc>
          <w:tcPr>
            <w:tcW w:w="2693" w:type="pct"/>
            <w:tcBorders>
              <w:top w:val="dashSmallGap" w:sz="4" w:space="0" w:color="595959" w:themeColor="text1" w:themeTint="A6"/>
              <w:left w:val="single" w:sz="18" w:space="0" w:color="auto"/>
              <w:bottom w:val="single" w:sz="12" w:space="0" w:color="auto"/>
              <w:right w:val="single" w:sz="12" w:space="0" w:color="auto"/>
            </w:tcBorders>
            <w:tcMar>
              <w:top w:w="30" w:type="dxa"/>
              <w:left w:w="0" w:type="dxa"/>
              <w:bottom w:w="30" w:type="dxa"/>
              <w:right w:w="0" w:type="dxa"/>
            </w:tcMar>
            <w:vAlign w:val="center"/>
          </w:tcPr>
          <w:p w14:paraId="542D4CEB"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“A few times</w:t>
            </w:r>
            <w:r>
              <w:rPr>
                <w:rFonts w:ascii="Times New Roman" w:eastAsia="Times New Roman" w:hAnsi="Times New Roman"/>
                <w:sz w:val="20"/>
              </w:rPr>
              <w:t xml:space="preserve"> a w</w:t>
            </w:r>
            <w:r w:rsidRPr="009148F8">
              <w:rPr>
                <w:rFonts w:ascii="Times New Roman" w:eastAsia="Times New Roman" w:hAnsi="Times New Roman"/>
                <w:sz w:val="20"/>
              </w:rPr>
              <w:t xml:space="preserve">eek” </w:t>
            </w:r>
            <w:r>
              <w:rPr>
                <w:rFonts w:ascii="Times New Roman" w:eastAsia="Times New Roman" w:hAnsi="Times New Roman"/>
                <w:sz w:val="20"/>
              </w:rPr>
              <w:t>b</w:t>
            </w:r>
            <w:r w:rsidRPr="009148F8">
              <w:rPr>
                <w:rFonts w:ascii="Times New Roman" w:eastAsia="Times New Roman" w:hAnsi="Times New Roman"/>
                <w:sz w:val="20"/>
              </w:rPr>
              <w:t xml:space="preserve">efore to “Never” </w:t>
            </w:r>
            <w:r>
              <w:rPr>
                <w:rFonts w:ascii="Times New Roman" w:eastAsia="Times New Roman" w:hAnsi="Times New Roman"/>
                <w:sz w:val="20"/>
              </w:rPr>
              <w:t>a</w:t>
            </w:r>
            <w:r w:rsidRPr="009148F8">
              <w:rPr>
                <w:rFonts w:ascii="Times New Roman" w:eastAsia="Times New Roman" w:hAnsi="Times New Roman"/>
                <w:sz w:val="20"/>
              </w:rPr>
              <w:t>fter</w:t>
            </w:r>
          </w:p>
        </w:tc>
        <w:tc>
          <w:tcPr>
            <w:tcW w:w="1153" w:type="pct"/>
            <w:gridSpan w:val="2"/>
            <w:tcBorders>
              <w:top w:val="dashSmallGap" w:sz="4" w:space="0" w:color="595959" w:themeColor="text1" w:themeTint="A6"/>
              <w:left w:val="single" w:sz="12" w:space="0" w:color="auto"/>
              <w:bottom w:val="single" w:sz="12" w:space="0" w:color="auto"/>
              <w:right w:val="single" w:sz="6" w:space="0" w:color="auto"/>
            </w:tcBorders>
            <w:tcMar>
              <w:top w:w="30" w:type="dxa"/>
              <w:left w:w="45" w:type="dxa"/>
              <w:bottom w:w="30" w:type="dxa"/>
              <w:right w:w="45" w:type="dxa"/>
            </w:tcMar>
            <w:vAlign w:val="center"/>
          </w:tcPr>
          <w:p w14:paraId="68ECAD0F"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w:t>
            </w:r>
            <w:r>
              <w:rPr>
                <w:rFonts w:ascii="Times New Roman" w:eastAsia="Times New Roman" w:hAnsi="Times New Roman"/>
                <w:sz w:val="20"/>
              </w:rPr>
              <w:t>5</w:t>
            </w:r>
          </w:p>
        </w:tc>
        <w:tc>
          <w:tcPr>
            <w:tcW w:w="1154" w:type="pct"/>
            <w:gridSpan w:val="2"/>
            <w:tcBorders>
              <w:top w:val="dashSmallGap" w:sz="4" w:space="0" w:color="595959" w:themeColor="text1" w:themeTint="A6"/>
              <w:left w:val="single" w:sz="6" w:space="0" w:color="auto"/>
              <w:bottom w:val="single" w:sz="12" w:space="0" w:color="auto"/>
              <w:right w:val="single" w:sz="18" w:space="0" w:color="auto"/>
            </w:tcBorders>
            <w:tcMar>
              <w:top w:w="30" w:type="dxa"/>
              <w:left w:w="45" w:type="dxa"/>
              <w:bottom w:w="30" w:type="dxa"/>
              <w:right w:w="45" w:type="dxa"/>
            </w:tcMar>
            <w:vAlign w:val="center"/>
          </w:tcPr>
          <w:p w14:paraId="5AB8198D"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-2.88</w:t>
            </w:r>
          </w:p>
        </w:tc>
      </w:tr>
      <w:tr w:rsidR="008B58C4" w:rsidRPr="009148F8" w14:paraId="19328E7D" w14:textId="77777777" w:rsidTr="00EC669E">
        <w:trPr>
          <w:trHeight w:val="17"/>
        </w:trPr>
        <w:tc>
          <w:tcPr>
            <w:tcW w:w="2693" w:type="pct"/>
            <w:tcBorders>
              <w:top w:val="single" w:sz="12" w:space="0" w:color="auto"/>
              <w:left w:val="single" w:sz="18" w:space="0" w:color="auto"/>
              <w:bottom w:val="single" w:sz="12" w:space="0" w:color="auto"/>
              <w:right w:val="single" w:sz="12" w:space="0" w:color="auto"/>
            </w:tcBorders>
            <w:tcMar>
              <w:top w:w="30" w:type="dxa"/>
              <w:left w:w="0" w:type="dxa"/>
              <w:bottom w:w="30" w:type="dxa"/>
              <w:right w:w="0" w:type="dxa"/>
            </w:tcMar>
            <w:vAlign w:val="center"/>
          </w:tcPr>
          <w:p w14:paraId="4D7929AF" w14:textId="77777777" w:rsidR="008B58C4" w:rsidRPr="009148F8" w:rsidRDefault="008B58C4" w:rsidP="00EC669E">
            <w:pPr>
              <w:jc w:val="both"/>
              <w:rPr>
                <w:rFonts w:ascii="Times New Roman" w:eastAsia="Times New Roman" w:hAnsi="Times New Roman"/>
                <w:sz w:val="20"/>
              </w:rPr>
            </w:pPr>
            <w:r w:rsidRPr="009148F8">
              <w:rPr>
                <w:rFonts w:ascii="Times New Roman" w:eastAsia="Times New Roman" w:hAnsi="Times New Roman"/>
                <w:b/>
                <w:bCs/>
                <w:sz w:val="20"/>
              </w:rPr>
              <w:t xml:space="preserve">Generic </w:t>
            </w:r>
            <w:r>
              <w:rPr>
                <w:rFonts w:ascii="Times New Roman" w:eastAsia="Times New Roman" w:hAnsi="Times New Roman"/>
                <w:b/>
                <w:bCs/>
                <w:sz w:val="20"/>
              </w:rPr>
              <w:t>c</w:t>
            </w:r>
            <w:r w:rsidRPr="009148F8">
              <w:rPr>
                <w:rFonts w:ascii="Times New Roman" w:eastAsia="Times New Roman" w:hAnsi="Times New Roman"/>
                <w:b/>
                <w:bCs/>
                <w:sz w:val="20"/>
              </w:rPr>
              <w:t xml:space="preserve">onsonance </w:t>
            </w:r>
            <w:r>
              <w:rPr>
                <w:rFonts w:ascii="Times New Roman" w:eastAsia="Times New Roman" w:hAnsi="Times New Roman"/>
                <w:b/>
                <w:bCs/>
                <w:sz w:val="20"/>
              </w:rPr>
              <w:t>s</w:t>
            </w:r>
            <w:r w:rsidRPr="009148F8">
              <w:rPr>
                <w:rFonts w:ascii="Times New Roman" w:eastAsia="Times New Roman" w:hAnsi="Times New Roman"/>
                <w:b/>
                <w:bCs/>
                <w:sz w:val="20"/>
              </w:rPr>
              <w:t xml:space="preserve">hifts </w:t>
            </w:r>
            <w:r>
              <w:rPr>
                <w:rFonts w:ascii="Times New Roman" w:eastAsia="Times New Roman" w:hAnsi="Times New Roman"/>
                <w:b/>
                <w:bCs/>
                <w:sz w:val="20"/>
              </w:rPr>
              <w:t>for</w:t>
            </w:r>
            <w:r w:rsidRPr="009148F8">
              <w:rPr>
                <w:rFonts w:ascii="Times New Roman" w:eastAsia="Times New Roman" w:hAnsi="Times New Roman"/>
                <w:b/>
                <w:bCs/>
                <w:sz w:val="20"/>
              </w:rPr>
              <w:t xml:space="preserve"> </w:t>
            </w:r>
            <w:r>
              <w:rPr>
                <w:rFonts w:ascii="Times New Roman" w:eastAsia="Times New Roman" w:hAnsi="Times New Roman"/>
                <w:b/>
                <w:bCs/>
                <w:sz w:val="20"/>
              </w:rPr>
              <w:t>post-</w:t>
            </w:r>
            <w:r w:rsidRPr="009148F8">
              <w:rPr>
                <w:rFonts w:ascii="Times New Roman" w:eastAsia="Times New Roman" w:hAnsi="Times New Roman"/>
                <w:b/>
                <w:bCs/>
                <w:sz w:val="20"/>
              </w:rPr>
              <w:t>pandemic</w:t>
            </w:r>
          </w:p>
        </w:tc>
        <w:tc>
          <w:tcPr>
            <w:tcW w:w="1153" w:type="pct"/>
            <w:gridSpan w:val="2"/>
            <w:tcBorders>
              <w:top w:val="single" w:sz="12" w:space="0" w:color="auto"/>
              <w:left w:val="single" w:sz="12" w:space="0" w:color="auto"/>
              <w:bottom w:val="single" w:sz="12" w:space="0" w:color="auto"/>
              <w:right w:val="single" w:sz="6" w:space="0" w:color="auto"/>
            </w:tcBorders>
            <w:tcMar>
              <w:top w:w="30" w:type="dxa"/>
              <w:left w:w="45" w:type="dxa"/>
              <w:bottom w:w="30" w:type="dxa"/>
              <w:right w:w="45" w:type="dxa"/>
            </w:tcMar>
            <w:vAlign w:val="center"/>
          </w:tcPr>
          <w:p w14:paraId="3C40F14C" w14:textId="77777777" w:rsidR="008B58C4" w:rsidRPr="009148F8" w:rsidRDefault="008B58C4" w:rsidP="00EC669E">
            <w:pPr>
              <w:jc w:val="right"/>
              <w:rPr>
                <w:rFonts w:ascii="Times New Roman" w:eastAsia="Times New Roman" w:hAnsi="Times New Roman"/>
                <w:sz w:val="20"/>
              </w:rPr>
            </w:pPr>
          </w:p>
        </w:tc>
        <w:tc>
          <w:tcPr>
            <w:tcW w:w="1154" w:type="pct"/>
            <w:gridSpan w:val="2"/>
            <w:tcBorders>
              <w:top w:val="single" w:sz="12" w:space="0" w:color="auto"/>
              <w:left w:val="single" w:sz="6" w:space="0" w:color="auto"/>
              <w:bottom w:val="single" w:sz="12" w:space="0" w:color="auto"/>
              <w:right w:val="single" w:sz="18" w:space="0" w:color="auto"/>
            </w:tcBorders>
            <w:tcMar>
              <w:top w:w="30" w:type="dxa"/>
              <w:left w:w="45" w:type="dxa"/>
              <w:bottom w:w="30" w:type="dxa"/>
              <w:right w:w="45" w:type="dxa"/>
            </w:tcMar>
            <w:vAlign w:val="center"/>
          </w:tcPr>
          <w:p w14:paraId="2275B878" w14:textId="77777777" w:rsidR="008B58C4" w:rsidRPr="009148F8" w:rsidRDefault="008B58C4" w:rsidP="00EC669E">
            <w:pPr>
              <w:jc w:val="right"/>
              <w:rPr>
                <w:rFonts w:ascii="Times New Roman" w:eastAsia="Times New Roman" w:hAnsi="Times New Roman"/>
                <w:sz w:val="20"/>
              </w:rPr>
            </w:pPr>
          </w:p>
        </w:tc>
      </w:tr>
      <w:tr w:rsidR="008B58C4" w:rsidRPr="009148F8" w14:paraId="32601BED" w14:textId="77777777" w:rsidTr="00EC669E">
        <w:trPr>
          <w:trHeight w:val="17"/>
        </w:trPr>
        <w:tc>
          <w:tcPr>
            <w:tcW w:w="2693" w:type="pct"/>
            <w:tcBorders>
              <w:top w:val="single" w:sz="12" w:space="0" w:color="auto"/>
              <w:left w:val="single" w:sz="18" w:space="0" w:color="auto"/>
              <w:bottom w:val="single" w:sz="6" w:space="0" w:color="auto"/>
              <w:right w:val="single" w:sz="12" w:space="0" w:color="auto"/>
            </w:tcBorders>
            <w:tcMar>
              <w:top w:w="30" w:type="dxa"/>
              <w:left w:w="0" w:type="dxa"/>
              <w:bottom w:w="30" w:type="dxa"/>
              <w:right w:w="0" w:type="dxa"/>
            </w:tcMar>
            <w:vAlign w:val="center"/>
          </w:tcPr>
          <w:p w14:paraId="43912268" w14:textId="77777777" w:rsidR="008B58C4" w:rsidRPr="007044BF" w:rsidRDefault="008B58C4" w:rsidP="00EC669E">
            <w:pPr>
              <w:jc w:val="both"/>
              <w:rPr>
                <w:rFonts w:ascii="Times New Roman" w:eastAsia="Times New Roman" w:hAnsi="Times New Roman"/>
                <w:sz w:val="20"/>
              </w:rPr>
            </w:pPr>
            <w:r w:rsidRPr="007044BF">
              <w:rPr>
                <w:rFonts w:ascii="Times New Roman" w:eastAsia="Times New Roman" w:hAnsi="Times New Roman"/>
                <w:i/>
                <w:iCs/>
                <w:sz w:val="20"/>
              </w:rPr>
              <w:t xml:space="preserve">Household </w:t>
            </w:r>
            <w:r>
              <w:rPr>
                <w:rFonts w:ascii="Times New Roman" w:eastAsia="Times New Roman" w:hAnsi="Times New Roman"/>
                <w:i/>
                <w:iCs/>
                <w:sz w:val="20"/>
              </w:rPr>
              <w:t>i</w:t>
            </w:r>
            <w:r w:rsidRPr="007044BF">
              <w:rPr>
                <w:rFonts w:ascii="Times New Roman" w:eastAsia="Times New Roman" w:hAnsi="Times New Roman"/>
                <w:i/>
                <w:iCs/>
                <w:sz w:val="20"/>
              </w:rPr>
              <w:t>ncome (&lt;$100,000)</w:t>
            </w:r>
          </w:p>
        </w:tc>
        <w:tc>
          <w:tcPr>
            <w:tcW w:w="1153" w:type="pct"/>
            <w:gridSpan w:val="2"/>
            <w:tcBorders>
              <w:top w:val="single" w:sz="12" w:space="0" w:color="auto"/>
              <w:left w:val="single" w:sz="12" w:space="0" w:color="auto"/>
              <w:bottom w:val="single" w:sz="6" w:space="0" w:color="auto"/>
              <w:right w:val="single" w:sz="6" w:space="0" w:color="auto"/>
            </w:tcBorders>
            <w:tcMar>
              <w:top w:w="30" w:type="dxa"/>
              <w:left w:w="45" w:type="dxa"/>
              <w:bottom w:w="30" w:type="dxa"/>
              <w:right w:w="45" w:type="dxa"/>
            </w:tcMar>
            <w:vAlign w:val="center"/>
          </w:tcPr>
          <w:p w14:paraId="31E1D72F" w14:textId="77777777" w:rsidR="008B58C4" w:rsidRPr="009148F8" w:rsidRDefault="008B58C4" w:rsidP="00EC669E">
            <w:pPr>
              <w:jc w:val="right"/>
              <w:rPr>
                <w:rFonts w:ascii="Times New Roman" w:eastAsia="Times New Roman" w:hAnsi="Times New Roman"/>
                <w:sz w:val="20"/>
              </w:rPr>
            </w:pPr>
          </w:p>
        </w:tc>
        <w:tc>
          <w:tcPr>
            <w:tcW w:w="1154" w:type="pct"/>
            <w:gridSpan w:val="2"/>
            <w:tcBorders>
              <w:top w:val="single" w:sz="12" w:space="0" w:color="auto"/>
              <w:left w:val="single" w:sz="6" w:space="0" w:color="auto"/>
              <w:bottom w:val="single" w:sz="6" w:space="0" w:color="auto"/>
              <w:right w:val="single" w:sz="18" w:space="0" w:color="auto"/>
            </w:tcBorders>
            <w:tcMar>
              <w:top w:w="30" w:type="dxa"/>
              <w:left w:w="45" w:type="dxa"/>
              <w:bottom w:w="30" w:type="dxa"/>
              <w:right w:w="45" w:type="dxa"/>
            </w:tcMar>
            <w:vAlign w:val="center"/>
          </w:tcPr>
          <w:p w14:paraId="4008F307" w14:textId="77777777" w:rsidR="008B58C4" w:rsidRPr="009148F8" w:rsidRDefault="008B58C4" w:rsidP="00EC669E">
            <w:pPr>
              <w:jc w:val="right"/>
              <w:rPr>
                <w:rFonts w:ascii="Times New Roman" w:eastAsia="Times New Roman" w:hAnsi="Times New Roman"/>
                <w:sz w:val="20"/>
              </w:rPr>
            </w:pPr>
          </w:p>
        </w:tc>
      </w:tr>
      <w:tr w:rsidR="008B58C4" w:rsidRPr="009148F8" w14:paraId="77F7C4BA" w14:textId="77777777" w:rsidTr="00EC669E">
        <w:trPr>
          <w:trHeight w:val="17"/>
        </w:trPr>
        <w:tc>
          <w:tcPr>
            <w:tcW w:w="2693" w:type="pct"/>
            <w:tcBorders>
              <w:top w:val="single" w:sz="6" w:space="0" w:color="auto"/>
              <w:left w:val="single" w:sz="18" w:space="0" w:color="auto"/>
              <w:bottom w:val="single" w:sz="12" w:space="0" w:color="auto"/>
              <w:right w:val="single" w:sz="12" w:space="0" w:color="auto"/>
            </w:tcBorders>
            <w:tcMar>
              <w:top w:w="30" w:type="dxa"/>
              <w:left w:w="0" w:type="dxa"/>
              <w:bottom w:w="30" w:type="dxa"/>
              <w:right w:w="0" w:type="dxa"/>
            </w:tcMar>
            <w:vAlign w:val="center"/>
          </w:tcPr>
          <w:p w14:paraId="2C1C1868"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≥$100,000</w:t>
            </w:r>
          </w:p>
        </w:tc>
        <w:tc>
          <w:tcPr>
            <w:tcW w:w="1153" w:type="pct"/>
            <w:gridSpan w:val="2"/>
            <w:tcBorders>
              <w:top w:val="single" w:sz="6" w:space="0" w:color="auto"/>
              <w:left w:val="single" w:sz="12" w:space="0" w:color="auto"/>
              <w:bottom w:val="single" w:sz="12" w:space="0" w:color="auto"/>
              <w:right w:val="single" w:sz="6" w:space="0" w:color="auto"/>
            </w:tcBorders>
            <w:tcMar>
              <w:top w:w="30" w:type="dxa"/>
              <w:left w:w="45" w:type="dxa"/>
              <w:bottom w:w="30" w:type="dxa"/>
              <w:right w:w="45" w:type="dxa"/>
            </w:tcMar>
            <w:vAlign w:val="center"/>
          </w:tcPr>
          <w:p w14:paraId="4CE1284B"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w:t>
            </w:r>
            <w:r>
              <w:rPr>
                <w:rFonts w:ascii="Times New Roman" w:eastAsia="Times New Roman" w:hAnsi="Times New Roman"/>
                <w:sz w:val="20"/>
              </w:rPr>
              <w:t>5</w:t>
            </w:r>
          </w:p>
        </w:tc>
        <w:tc>
          <w:tcPr>
            <w:tcW w:w="1154" w:type="pct"/>
            <w:gridSpan w:val="2"/>
            <w:tcBorders>
              <w:top w:val="single" w:sz="6" w:space="0" w:color="auto"/>
              <w:left w:val="single" w:sz="6" w:space="0" w:color="auto"/>
              <w:bottom w:val="single" w:sz="12" w:space="0" w:color="auto"/>
              <w:right w:val="single" w:sz="18" w:space="0" w:color="auto"/>
            </w:tcBorders>
            <w:tcMar>
              <w:top w:w="30" w:type="dxa"/>
              <w:left w:w="45" w:type="dxa"/>
              <w:bottom w:w="30" w:type="dxa"/>
              <w:right w:w="45" w:type="dxa"/>
            </w:tcMar>
            <w:vAlign w:val="center"/>
          </w:tcPr>
          <w:p w14:paraId="74D3AF44"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-1.31</w:t>
            </w:r>
          </w:p>
        </w:tc>
      </w:tr>
      <w:tr w:rsidR="008B58C4" w:rsidRPr="009148F8" w14:paraId="3038C255" w14:textId="77777777" w:rsidTr="00EC669E">
        <w:trPr>
          <w:trHeight w:val="17"/>
        </w:trPr>
        <w:tc>
          <w:tcPr>
            <w:tcW w:w="2693" w:type="pct"/>
            <w:tcBorders>
              <w:top w:val="single" w:sz="12" w:space="0" w:color="auto"/>
              <w:left w:val="single" w:sz="18" w:space="0" w:color="auto"/>
              <w:bottom w:val="single" w:sz="12" w:space="0" w:color="auto"/>
              <w:right w:val="single" w:sz="12" w:space="0" w:color="auto"/>
            </w:tcBorders>
            <w:tcMar>
              <w:top w:w="30" w:type="dxa"/>
              <w:left w:w="0" w:type="dxa"/>
              <w:bottom w:w="30" w:type="dxa"/>
              <w:right w:w="0" w:type="dxa"/>
            </w:tcMar>
            <w:vAlign w:val="center"/>
          </w:tcPr>
          <w:p w14:paraId="77430BAD" w14:textId="77777777" w:rsidR="008B58C4" w:rsidRPr="009148F8" w:rsidRDefault="008B58C4" w:rsidP="00EC669E">
            <w:pPr>
              <w:jc w:val="both"/>
              <w:rPr>
                <w:rFonts w:ascii="Times New Roman" w:eastAsia="Times New Roman" w:hAnsi="Times New Roman"/>
                <w:sz w:val="20"/>
              </w:rPr>
            </w:pPr>
            <w:r w:rsidRPr="009148F8">
              <w:rPr>
                <w:rFonts w:ascii="Times New Roman" w:eastAsia="Times New Roman" w:hAnsi="Times New Roman"/>
                <w:b/>
                <w:bCs/>
                <w:sz w:val="20"/>
              </w:rPr>
              <w:t>Outcome-</w:t>
            </w:r>
            <w:r>
              <w:rPr>
                <w:rFonts w:ascii="Times New Roman" w:eastAsia="Times New Roman" w:hAnsi="Times New Roman"/>
                <w:b/>
                <w:bCs/>
                <w:sz w:val="20"/>
              </w:rPr>
              <w:t>s</w:t>
            </w:r>
            <w:r w:rsidRPr="009148F8">
              <w:rPr>
                <w:rFonts w:ascii="Times New Roman" w:eastAsia="Times New Roman" w:hAnsi="Times New Roman"/>
                <w:b/>
                <w:bCs/>
                <w:sz w:val="20"/>
              </w:rPr>
              <w:t xml:space="preserve">pecific </w:t>
            </w:r>
            <w:r>
              <w:rPr>
                <w:rFonts w:ascii="Times New Roman" w:eastAsia="Times New Roman" w:hAnsi="Times New Roman"/>
                <w:b/>
                <w:bCs/>
                <w:sz w:val="20"/>
              </w:rPr>
              <w:t>c</w:t>
            </w:r>
            <w:r w:rsidRPr="009148F8">
              <w:rPr>
                <w:rFonts w:ascii="Times New Roman" w:eastAsia="Times New Roman" w:hAnsi="Times New Roman"/>
                <w:b/>
                <w:bCs/>
                <w:sz w:val="20"/>
              </w:rPr>
              <w:t xml:space="preserve">onsonance </w:t>
            </w:r>
            <w:r>
              <w:rPr>
                <w:rFonts w:ascii="Times New Roman" w:eastAsia="Times New Roman" w:hAnsi="Times New Roman"/>
                <w:b/>
                <w:bCs/>
                <w:sz w:val="20"/>
              </w:rPr>
              <w:t>s</w:t>
            </w:r>
            <w:r w:rsidRPr="009148F8">
              <w:rPr>
                <w:rFonts w:ascii="Times New Roman" w:eastAsia="Times New Roman" w:hAnsi="Times New Roman"/>
                <w:b/>
                <w:bCs/>
                <w:sz w:val="20"/>
              </w:rPr>
              <w:t xml:space="preserve">hifts </w:t>
            </w:r>
            <w:r>
              <w:rPr>
                <w:rFonts w:ascii="Times New Roman" w:eastAsia="Times New Roman" w:hAnsi="Times New Roman"/>
                <w:b/>
                <w:bCs/>
                <w:sz w:val="20"/>
              </w:rPr>
              <w:t>for post-pandemic</w:t>
            </w:r>
          </w:p>
        </w:tc>
        <w:tc>
          <w:tcPr>
            <w:tcW w:w="1153" w:type="pct"/>
            <w:gridSpan w:val="2"/>
            <w:tcBorders>
              <w:top w:val="single" w:sz="12" w:space="0" w:color="auto"/>
              <w:left w:val="single" w:sz="12" w:space="0" w:color="auto"/>
              <w:bottom w:val="single" w:sz="12" w:space="0" w:color="auto"/>
              <w:right w:val="single" w:sz="6" w:space="0" w:color="auto"/>
            </w:tcBorders>
            <w:tcMar>
              <w:top w:w="30" w:type="dxa"/>
              <w:left w:w="45" w:type="dxa"/>
              <w:bottom w:w="30" w:type="dxa"/>
              <w:right w:w="45" w:type="dxa"/>
            </w:tcMar>
            <w:vAlign w:val="center"/>
          </w:tcPr>
          <w:p w14:paraId="6223F2A4" w14:textId="77777777" w:rsidR="008B58C4" w:rsidRPr="009148F8" w:rsidRDefault="008B58C4" w:rsidP="00EC669E">
            <w:pPr>
              <w:jc w:val="right"/>
              <w:rPr>
                <w:rFonts w:ascii="Times New Roman" w:eastAsia="Times New Roman" w:hAnsi="Times New Roman"/>
                <w:sz w:val="20"/>
              </w:rPr>
            </w:pPr>
          </w:p>
        </w:tc>
        <w:tc>
          <w:tcPr>
            <w:tcW w:w="1154" w:type="pct"/>
            <w:gridSpan w:val="2"/>
            <w:tcBorders>
              <w:top w:val="single" w:sz="12" w:space="0" w:color="auto"/>
              <w:left w:val="single" w:sz="6" w:space="0" w:color="auto"/>
              <w:bottom w:val="single" w:sz="12" w:space="0" w:color="auto"/>
              <w:right w:val="single" w:sz="18" w:space="0" w:color="auto"/>
            </w:tcBorders>
            <w:tcMar>
              <w:top w:w="30" w:type="dxa"/>
              <w:left w:w="45" w:type="dxa"/>
              <w:bottom w:w="30" w:type="dxa"/>
              <w:right w:w="45" w:type="dxa"/>
            </w:tcMar>
            <w:vAlign w:val="center"/>
          </w:tcPr>
          <w:p w14:paraId="18207517" w14:textId="77777777" w:rsidR="008B58C4" w:rsidRPr="009148F8" w:rsidRDefault="008B58C4" w:rsidP="00EC669E">
            <w:pPr>
              <w:jc w:val="right"/>
              <w:rPr>
                <w:rFonts w:ascii="Times New Roman" w:eastAsia="Times New Roman" w:hAnsi="Times New Roman"/>
                <w:sz w:val="20"/>
              </w:rPr>
            </w:pPr>
          </w:p>
        </w:tc>
      </w:tr>
      <w:tr w:rsidR="008B58C4" w:rsidRPr="009148F8" w14:paraId="0768F604" w14:textId="77777777" w:rsidTr="00EC669E">
        <w:trPr>
          <w:trHeight w:val="17"/>
        </w:trPr>
        <w:tc>
          <w:tcPr>
            <w:tcW w:w="2693" w:type="pct"/>
            <w:tcBorders>
              <w:top w:val="single" w:sz="12" w:space="0" w:color="auto"/>
              <w:left w:val="single" w:sz="18" w:space="0" w:color="auto"/>
              <w:bottom w:val="single" w:sz="6" w:space="0" w:color="auto"/>
              <w:right w:val="single" w:sz="12" w:space="0" w:color="auto"/>
            </w:tcBorders>
            <w:tcMar>
              <w:top w:w="30" w:type="dxa"/>
              <w:left w:w="0" w:type="dxa"/>
              <w:bottom w:w="30" w:type="dxa"/>
              <w:right w:w="0" w:type="dxa"/>
            </w:tcMar>
            <w:vAlign w:val="center"/>
          </w:tcPr>
          <w:p w14:paraId="0C83FB97" w14:textId="77777777" w:rsidR="008B58C4" w:rsidRPr="007044BF" w:rsidRDefault="008B58C4" w:rsidP="00EC669E">
            <w:pPr>
              <w:jc w:val="both"/>
              <w:rPr>
                <w:rFonts w:ascii="Times New Roman" w:eastAsia="Times New Roman" w:hAnsi="Times New Roman"/>
                <w:sz w:val="20"/>
              </w:rPr>
            </w:pPr>
            <w:r w:rsidRPr="007044BF">
              <w:rPr>
                <w:rFonts w:ascii="Times New Roman" w:eastAsia="Times New Roman" w:hAnsi="Times New Roman"/>
                <w:i/>
                <w:iCs/>
                <w:sz w:val="20"/>
              </w:rPr>
              <w:t xml:space="preserve">Household </w:t>
            </w:r>
            <w:r>
              <w:rPr>
                <w:rFonts w:ascii="Times New Roman" w:eastAsia="Times New Roman" w:hAnsi="Times New Roman"/>
                <w:i/>
                <w:iCs/>
                <w:sz w:val="20"/>
              </w:rPr>
              <w:t>i</w:t>
            </w:r>
            <w:r w:rsidRPr="007044BF">
              <w:rPr>
                <w:rFonts w:ascii="Times New Roman" w:eastAsia="Times New Roman" w:hAnsi="Times New Roman"/>
                <w:i/>
                <w:iCs/>
                <w:sz w:val="20"/>
              </w:rPr>
              <w:t>ncome (&lt;$100,000)</w:t>
            </w:r>
          </w:p>
        </w:tc>
        <w:tc>
          <w:tcPr>
            <w:tcW w:w="1153" w:type="pct"/>
            <w:gridSpan w:val="2"/>
            <w:tcBorders>
              <w:top w:val="single" w:sz="12" w:space="0" w:color="auto"/>
              <w:left w:val="single" w:sz="12" w:space="0" w:color="auto"/>
              <w:bottom w:val="single" w:sz="6" w:space="0" w:color="auto"/>
              <w:right w:val="single" w:sz="6" w:space="0" w:color="auto"/>
            </w:tcBorders>
            <w:tcMar>
              <w:top w:w="30" w:type="dxa"/>
              <w:left w:w="45" w:type="dxa"/>
              <w:bottom w:w="30" w:type="dxa"/>
              <w:right w:w="45" w:type="dxa"/>
            </w:tcMar>
            <w:vAlign w:val="center"/>
          </w:tcPr>
          <w:p w14:paraId="3E5798FC" w14:textId="77777777" w:rsidR="008B58C4" w:rsidRPr="009148F8" w:rsidRDefault="008B58C4" w:rsidP="00EC669E">
            <w:pPr>
              <w:jc w:val="right"/>
              <w:rPr>
                <w:rFonts w:ascii="Times New Roman" w:eastAsia="Times New Roman" w:hAnsi="Times New Roman"/>
                <w:sz w:val="20"/>
              </w:rPr>
            </w:pPr>
          </w:p>
        </w:tc>
        <w:tc>
          <w:tcPr>
            <w:tcW w:w="1154" w:type="pct"/>
            <w:gridSpan w:val="2"/>
            <w:tcBorders>
              <w:top w:val="single" w:sz="12" w:space="0" w:color="auto"/>
              <w:left w:val="single" w:sz="6" w:space="0" w:color="auto"/>
              <w:bottom w:val="single" w:sz="6" w:space="0" w:color="auto"/>
              <w:right w:val="single" w:sz="18" w:space="0" w:color="auto"/>
            </w:tcBorders>
            <w:tcMar>
              <w:top w:w="30" w:type="dxa"/>
              <w:left w:w="45" w:type="dxa"/>
              <w:bottom w:w="30" w:type="dxa"/>
              <w:right w:w="45" w:type="dxa"/>
            </w:tcMar>
            <w:vAlign w:val="center"/>
          </w:tcPr>
          <w:p w14:paraId="4194E02D" w14:textId="77777777" w:rsidR="008B58C4" w:rsidRPr="009148F8" w:rsidRDefault="008B58C4" w:rsidP="00EC669E">
            <w:pPr>
              <w:jc w:val="right"/>
              <w:rPr>
                <w:rFonts w:ascii="Times New Roman" w:eastAsia="Times New Roman" w:hAnsi="Times New Roman"/>
                <w:sz w:val="20"/>
              </w:rPr>
            </w:pPr>
          </w:p>
        </w:tc>
      </w:tr>
      <w:tr w:rsidR="008B58C4" w:rsidRPr="009148F8" w14:paraId="46A9D82F" w14:textId="77777777" w:rsidTr="00EC669E">
        <w:trPr>
          <w:trHeight w:val="17"/>
        </w:trPr>
        <w:tc>
          <w:tcPr>
            <w:tcW w:w="2693" w:type="pct"/>
            <w:tcBorders>
              <w:top w:val="single" w:sz="6" w:space="0" w:color="auto"/>
              <w:left w:val="single" w:sz="18" w:space="0" w:color="auto"/>
              <w:bottom w:val="single" w:sz="6" w:space="0" w:color="auto"/>
              <w:right w:val="single" w:sz="12" w:space="0" w:color="auto"/>
            </w:tcBorders>
            <w:tcMar>
              <w:top w:w="30" w:type="dxa"/>
              <w:left w:w="0" w:type="dxa"/>
              <w:bottom w:w="30" w:type="dxa"/>
              <w:right w:w="0" w:type="dxa"/>
            </w:tcMar>
            <w:vAlign w:val="center"/>
          </w:tcPr>
          <w:p w14:paraId="60B2BEDC" w14:textId="77777777" w:rsidR="008B58C4" w:rsidRPr="009148F8" w:rsidRDefault="008B58C4" w:rsidP="00EC669E">
            <w:pPr>
              <w:ind w:left="144"/>
              <w:jc w:val="both"/>
              <w:rPr>
                <w:rFonts w:ascii="Times New Roman" w:eastAsia="Times New Roman" w:hAnsi="Times New Roman"/>
                <w:sz w:val="20"/>
              </w:rPr>
            </w:pPr>
            <w:r w:rsidRPr="009148F8">
              <w:rPr>
                <w:rFonts w:ascii="Times New Roman" w:eastAsia="Times New Roman" w:hAnsi="Times New Roman"/>
                <w:sz w:val="20"/>
              </w:rPr>
              <w:t>≥$100,000 * Walking every day</w:t>
            </w:r>
            <w:r>
              <w:rPr>
                <w:rFonts w:ascii="Times New Roman" w:eastAsia="Times New Roman" w:hAnsi="Times New Roman"/>
                <w:sz w:val="20"/>
              </w:rPr>
              <w:t xml:space="preserve"> after</w:t>
            </w:r>
          </w:p>
        </w:tc>
        <w:tc>
          <w:tcPr>
            <w:tcW w:w="1153" w:type="pct"/>
            <w:gridSpan w:val="2"/>
            <w:tcBorders>
              <w:top w:val="single" w:sz="6" w:space="0" w:color="auto"/>
              <w:left w:val="single" w:sz="12" w:space="0" w:color="auto"/>
              <w:bottom w:val="single" w:sz="6" w:space="0" w:color="auto"/>
              <w:right w:val="single" w:sz="6" w:space="0" w:color="auto"/>
            </w:tcBorders>
            <w:tcMar>
              <w:top w:w="30" w:type="dxa"/>
              <w:left w:w="45" w:type="dxa"/>
              <w:bottom w:w="30" w:type="dxa"/>
              <w:right w:w="45" w:type="dxa"/>
            </w:tcMar>
            <w:vAlign w:val="center"/>
          </w:tcPr>
          <w:p w14:paraId="4450DBBB"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-0.0</w:t>
            </w:r>
            <w:r>
              <w:rPr>
                <w:rFonts w:ascii="Times New Roman" w:eastAsia="Times New Roman" w:hAnsi="Times New Roman"/>
                <w:sz w:val="20"/>
              </w:rPr>
              <w:t>9</w:t>
            </w:r>
          </w:p>
        </w:tc>
        <w:tc>
          <w:tcPr>
            <w:tcW w:w="1154" w:type="pct"/>
            <w:gridSpan w:val="2"/>
            <w:tcBorders>
              <w:top w:val="single" w:sz="6" w:space="0" w:color="auto"/>
              <w:left w:val="single" w:sz="6" w:space="0" w:color="auto"/>
              <w:bottom w:val="single" w:sz="6" w:space="0" w:color="auto"/>
              <w:right w:val="single" w:sz="18" w:space="0" w:color="auto"/>
            </w:tcBorders>
            <w:tcMar>
              <w:top w:w="30" w:type="dxa"/>
              <w:left w:w="45" w:type="dxa"/>
              <w:bottom w:w="30" w:type="dxa"/>
              <w:right w:w="45" w:type="dxa"/>
            </w:tcMar>
            <w:vAlign w:val="center"/>
          </w:tcPr>
          <w:p w14:paraId="6D0A7EA8"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-1.59</w:t>
            </w:r>
          </w:p>
        </w:tc>
      </w:tr>
      <w:tr w:rsidR="008B58C4" w:rsidRPr="009148F8" w14:paraId="053FB2B3" w14:textId="77777777" w:rsidTr="00EC669E">
        <w:trPr>
          <w:trHeight w:val="17"/>
        </w:trPr>
        <w:tc>
          <w:tcPr>
            <w:tcW w:w="2693" w:type="pct"/>
            <w:tcBorders>
              <w:top w:val="single" w:sz="6" w:space="0" w:color="auto"/>
              <w:left w:val="single" w:sz="18" w:space="0" w:color="auto"/>
              <w:bottom w:val="single" w:sz="6" w:space="0" w:color="auto"/>
              <w:right w:val="single" w:sz="12" w:space="0" w:color="auto"/>
            </w:tcBorders>
            <w:tcMar>
              <w:top w:w="30" w:type="dxa"/>
              <w:left w:w="0" w:type="dxa"/>
              <w:bottom w:w="30" w:type="dxa"/>
              <w:right w:w="0" w:type="dxa"/>
            </w:tcMar>
            <w:vAlign w:val="center"/>
          </w:tcPr>
          <w:p w14:paraId="7CD7654D" w14:textId="77777777" w:rsidR="008B58C4" w:rsidRPr="007044BF" w:rsidRDefault="008B58C4" w:rsidP="00EC669E">
            <w:pPr>
              <w:jc w:val="both"/>
              <w:rPr>
                <w:rFonts w:ascii="Times New Roman" w:eastAsia="Times New Roman" w:hAnsi="Times New Roman"/>
                <w:sz w:val="20"/>
              </w:rPr>
            </w:pPr>
            <w:r w:rsidRPr="007044BF">
              <w:rPr>
                <w:rFonts w:ascii="Times New Roman" w:eastAsia="Times New Roman" w:hAnsi="Times New Roman"/>
                <w:i/>
                <w:iCs/>
                <w:sz w:val="20"/>
              </w:rPr>
              <w:t>Education level (</w:t>
            </w:r>
            <w:r>
              <w:rPr>
                <w:rFonts w:ascii="Times New Roman" w:eastAsia="Times New Roman" w:hAnsi="Times New Roman"/>
                <w:i/>
                <w:iCs/>
                <w:sz w:val="20"/>
              </w:rPr>
              <w:t>b</w:t>
            </w:r>
            <w:r w:rsidRPr="007044BF">
              <w:rPr>
                <w:rFonts w:ascii="Times New Roman" w:eastAsia="Times New Roman" w:hAnsi="Times New Roman"/>
                <w:i/>
                <w:iCs/>
                <w:sz w:val="20"/>
              </w:rPr>
              <w:t>achelor or lower)</w:t>
            </w:r>
          </w:p>
        </w:tc>
        <w:tc>
          <w:tcPr>
            <w:tcW w:w="1153" w:type="pct"/>
            <w:gridSpan w:val="2"/>
            <w:tcBorders>
              <w:top w:val="single" w:sz="6" w:space="0" w:color="auto"/>
              <w:left w:val="single" w:sz="12" w:space="0" w:color="auto"/>
              <w:bottom w:val="single" w:sz="6" w:space="0" w:color="auto"/>
              <w:right w:val="single" w:sz="6" w:space="0" w:color="auto"/>
            </w:tcBorders>
            <w:tcMar>
              <w:top w:w="30" w:type="dxa"/>
              <w:left w:w="45" w:type="dxa"/>
              <w:bottom w:w="30" w:type="dxa"/>
              <w:right w:w="45" w:type="dxa"/>
            </w:tcMar>
            <w:vAlign w:val="center"/>
          </w:tcPr>
          <w:p w14:paraId="6E564031" w14:textId="77777777" w:rsidR="008B58C4" w:rsidRPr="009148F8" w:rsidRDefault="008B58C4" w:rsidP="00EC669E">
            <w:pPr>
              <w:jc w:val="right"/>
              <w:rPr>
                <w:rFonts w:ascii="Times New Roman" w:eastAsia="Times New Roman" w:hAnsi="Times New Roman"/>
                <w:sz w:val="20"/>
              </w:rPr>
            </w:pPr>
          </w:p>
        </w:tc>
        <w:tc>
          <w:tcPr>
            <w:tcW w:w="1154" w:type="pct"/>
            <w:gridSpan w:val="2"/>
            <w:tcBorders>
              <w:top w:val="single" w:sz="6" w:space="0" w:color="auto"/>
              <w:left w:val="single" w:sz="6" w:space="0" w:color="auto"/>
              <w:bottom w:val="single" w:sz="6" w:space="0" w:color="auto"/>
              <w:right w:val="single" w:sz="18" w:space="0" w:color="auto"/>
            </w:tcBorders>
            <w:tcMar>
              <w:top w:w="30" w:type="dxa"/>
              <w:left w:w="45" w:type="dxa"/>
              <w:bottom w:w="30" w:type="dxa"/>
              <w:right w:w="45" w:type="dxa"/>
            </w:tcMar>
            <w:vAlign w:val="center"/>
          </w:tcPr>
          <w:p w14:paraId="7DE99680" w14:textId="77777777" w:rsidR="008B58C4" w:rsidRPr="009148F8" w:rsidRDefault="008B58C4" w:rsidP="00EC669E">
            <w:pPr>
              <w:jc w:val="right"/>
              <w:rPr>
                <w:rFonts w:ascii="Times New Roman" w:eastAsia="Times New Roman" w:hAnsi="Times New Roman"/>
                <w:sz w:val="20"/>
              </w:rPr>
            </w:pPr>
          </w:p>
        </w:tc>
      </w:tr>
      <w:tr w:rsidR="008B58C4" w:rsidRPr="009148F8" w14:paraId="6DE2171D" w14:textId="77777777" w:rsidTr="00EC669E">
        <w:trPr>
          <w:trHeight w:val="17"/>
        </w:trPr>
        <w:tc>
          <w:tcPr>
            <w:tcW w:w="2693" w:type="pct"/>
            <w:tcBorders>
              <w:top w:val="single" w:sz="6" w:space="0" w:color="auto"/>
              <w:left w:val="single" w:sz="18" w:space="0" w:color="auto"/>
              <w:bottom w:val="single" w:sz="12" w:space="0" w:color="auto"/>
              <w:right w:val="single" w:sz="12" w:space="0" w:color="auto"/>
            </w:tcBorders>
            <w:tcMar>
              <w:top w:w="30" w:type="dxa"/>
              <w:left w:w="0" w:type="dxa"/>
              <w:bottom w:w="30" w:type="dxa"/>
              <w:right w:w="0" w:type="dxa"/>
            </w:tcMar>
            <w:vAlign w:val="center"/>
          </w:tcPr>
          <w:p w14:paraId="77B73CCA" w14:textId="77777777" w:rsidR="008B58C4" w:rsidRPr="009148F8" w:rsidRDefault="008B58C4" w:rsidP="00EC669E">
            <w:pPr>
              <w:ind w:left="144"/>
              <w:jc w:val="both"/>
              <w:rPr>
                <w:rFonts w:ascii="Times New Roman" w:eastAsia="Times New Roman" w:hAnsi="Times New Roman"/>
                <w:sz w:val="20"/>
              </w:rPr>
            </w:pPr>
            <w:r>
              <w:rPr>
                <w:rFonts w:ascii="Times New Roman" w:eastAsia="Times New Roman" w:hAnsi="Times New Roman"/>
                <w:sz w:val="20"/>
              </w:rPr>
              <w:t>Graduate degree(s)</w:t>
            </w:r>
            <w:r w:rsidRPr="009148F8">
              <w:rPr>
                <w:rFonts w:ascii="Times New Roman" w:eastAsia="Times New Roman" w:hAnsi="Times New Roman"/>
                <w:sz w:val="20"/>
              </w:rPr>
              <w:t xml:space="preserve"> * Walking every day</w:t>
            </w:r>
            <w:r>
              <w:rPr>
                <w:rFonts w:ascii="Times New Roman" w:eastAsia="Times New Roman" w:hAnsi="Times New Roman"/>
                <w:sz w:val="20"/>
              </w:rPr>
              <w:t xml:space="preserve"> after</w:t>
            </w:r>
          </w:p>
        </w:tc>
        <w:tc>
          <w:tcPr>
            <w:tcW w:w="1153" w:type="pct"/>
            <w:gridSpan w:val="2"/>
            <w:tcBorders>
              <w:top w:val="single" w:sz="6" w:space="0" w:color="auto"/>
              <w:left w:val="single" w:sz="12" w:space="0" w:color="auto"/>
              <w:bottom w:val="single" w:sz="12" w:space="0" w:color="auto"/>
              <w:right w:val="single" w:sz="6" w:space="0" w:color="auto"/>
            </w:tcBorders>
            <w:tcMar>
              <w:top w:w="30" w:type="dxa"/>
              <w:left w:w="45" w:type="dxa"/>
              <w:bottom w:w="30" w:type="dxa"/>
              <w:right w:w="45" w:type="dxa"/>
            </w:tcMar>
            <w:vAlign w:val="center"/>
          </w:tcPr>
          <w:p w14:paraId="4BA40153"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0.1</w:t>
            </w:r>
            <w:r>
              <w:rPr>
                <w:rFonts w:ascii="Times New Roman" w:eastAsia="Times New Roman" w:hAnsi="Times New Roman"/>
                <w:sz w:val="20"/>
              </w:rPr>
              <w:t>2</w:t>
            </w:r>
          </w:p>
        </w:tc>
        <w:tc>
          <w:tcPr>
            <w:tcW w:w="1154" w:type="pct"/>
            <w:gridSpan w:val="2"/>
            <w:tcBorders>
              <w:top w:val="single" w:sz="6" w:space="0" w:color="auto"/>
              <w:left w:val="single" w:sz="6" w:space="0" w:color="auto"/>
              <w:bottom w:val="single" w:sz="12" w:space="0" w:color="auto"/>
              <w:right w:val="single" w:sz="18" w:space="0" w:color="auto"/>
            </w:tcBorders>
            <w:tcMar>
              <w:top w:w="30" w:type="dxa"/>
              <w:left w:w="45" w:type="dxa"/>
              <w:bottom w:w="30" w:type="dxa"/>
              <w:right w:w="45" w:type="dxa"/>
            </w:tcMar>
            <w:vAlign w:val="center"/>
          </w:tcPr>
          <w:p w14:paraId="6DD3B560" w14:textId="77777777" w:rsidR="008B58C4" w:rsidRPr="009148F8" w:rsidRDefault="008B58C4" w:rsidP="00EC669E">
            <w:pPr>
              <w:jc w:val="right"/>
              <w:rPr>
                <w:rFonts w:ascii="Times New Roman" w:eastAsia="Times New Roman" w:hAnsi="Times New Roman"/>
                <w:sz w:val="20"/>
              </w:rPr>
            </w:pPr>
            <w:r w:rsidRPr="009148F8">
              <w:rPr>
                <w:rFonts w:ascii="Times New Roman" w:eastAsia="Times New Roman" w:hAnsi="Times New Roman"/>
                <w:sz w:val="20"/>
              </w:rPr>
              <w:t>1.88</w:t>
            </w:r>
          </w:p>
        </w:tc>
      </w:tr>
      <w:tr w:rsidR="008B58C4" w:rsidRPr="009148F8" w14:paraId="76411090" w14:textId="77777777" w:rsidTr="00EC669E">
        <w:trPr>
          <w:trHeight w:val="17"/>
        </w:trPr>
        <w:tc>
          <w:tcPr>
            <w:tcW w:w="2693" w:type="pct"/>
            <w:tcBorders>
              <w:top w:val="single" w:sz="12" w:space="0" w:color="auto"/>
              <w:left w:val="single" w:sz="18" w:space="0" w:color="auto"/>
              <w:bottom w:val="single" w:sz="12" w:space="0" w:color="auto"/>
              <w:right w:val="single" w:sz="12" w:space="0" w:color="auto"/>
            </w:tcBorders>
            <w:tcMar>
              <w:top w:w="30" w:type="dxa"/>
              <w:left w:w="0" w:type="dxa"/>
              <w:bottom w:w="30" w:type="dxa"/>
              <w:right w:w="0" w:type="dxa"/>
            </w:tcMar>
            <w:vAlign w:val="center"/>
          </w:tcPr>
          <w:p w14:paraId="159D9B77" w14:textId="77777777" w:rsidR="008B58C4" w:rsidRPr="009148F8" w:rsidRDefault="008B58C4" w:rsidP="00EC669E">
            <w:pPr>
              <w:jc w:val="both"/>
              <w:rPr>
                <w:rFonts w:ascii="Times New Roman" w:eastAsia="Times New Roman" w:hAnsi="Times New Roman"/>
                <w:sz w:val="20"/>
              </w:rPr>
            </w:pPr>
            <w:r w:rsidRPr="009148F8">
              <w:rPr>
                <w:rFonts w:ascii="Times New Roman" w:eastAsia="Times New Roman" w:hAnsi="Times New Roman"/>
                <w:b/>
                <w:bCs/>
                <w:sz w:val="20"/>
              </w:rPr>
              <w:t xml:space="preserve">Data </w:t>
            </w:r>
            <w:r>
              <w:rPr>
                <w:rFonts w:ascii="Times New Roman" w:eastAsia="Times New Roman" w:hAnsi="Times New Roman"/>
                <w:b/>
                <w:bCs/>
                <w:sz w:val="20"/>
              </w:rPr>
              <w:t>f</w:t>
            </w:r>
            <w:r w:rsidRPr="009148F8">
              <w:rPr>
                <w:rFonts w:ascii="Times New Roman" w:eastAsia="Times New Roman" w:hAnsi="Times New Roman"/>
                <w:b/>
                <w:bCs/>
                <w:sz w:val="20"/>
              </w:rPr>
              <w:t xml:space="preserve">it </w:t>
            </w:r>
            <w:r>
              <w:rPr>
                <w:rFonts w:ascii="Times New Roman" w:eastAsia="Times New Roman" w:hAnsi="Times New Roman"/>
                <w:b/>
                <w:bCs/>
                <w:sz w:val="20"/>
              </w:rPr>
              <w:t>m</w:t>
            </w:r>
            <w:r w:rsidRPr="009148F8">
              <w:rPr>
                <w:rFonts w:ascii="Times New Roman" w:eastAsia="Times New Roman" w:hAnsi="Times New Roman"/>
                <w:b/>
                <w:bCs/>
                <w:sz w:val="20"/>
              </w:rPr>
              <w:t>easures</w:t>
            </w:r>
          </w:p>
        </w:tc>
        <w:tc>
          <w:tcPr>
            <w:tcW w:w="2307" w:type="pct"/>
            <w:gridSpan w:val="4"/>
            <w:tcBorders>
              <w:top w:val="single" w:sz="12" w:space="0" w:color="auto"/>
              <w:left w:val="single" w:sz="12" w:space="0" w:color="auto"/>
              <w:bottom w:val="single" w:sz="12" w:space="0" w:color="auto"/>
              <w:right w:val="single" w:sz="18" w:space="0" w:color="auto"/>
            </w:tcBorders>
            <w:tcMar>
              <w:top w:w="30" w:type="dxa"/>
              <w:left w:w="45" w:type="dxa"/>
              <w:bottom w:w="30" w:type="dxa"/>
              <w:right w:w="45" w:type="dxa"/>
            </w:tcMar>
            <w:vAlign w:val="bottom"/>
          </w:tcPr>
          <w:p w14:paraId="5A61D54F" w14:textId="77777777" w:rsidR="008B58C4" w:rsidRPr="009148F8" w:rsidRDefault="008B58C4" w:rsidP="00EC669E">
            <w:pPr>
              <w:jc w:val="both"/>
              <w:rPr>
                <w:rFonts w:ascii="Times New Roman" w:eastAsia="Times New Roman" w:hAnsi="Times New Roman"/>
                <w:sz w:val="20"/>
              </w:rPr>
            </w:pPr>
          </w:p>
        </w:tc>
      </w:tr>
      <w:tr w:rsidR="008B58C4" w:rsidRPr="009148F8" w14:paraId="3D073088" w14:textId="77777777" w:rsidTr="00EC669E">
        <w:trPr>
          <w:trHeight w:val="17"/>
        </w:trPr>
        <w:tc>
          <w:tcPr>
            <w:tcW w:w="2693" w:type="pct"/>
            <w:tcBorders>
              <w:top w:val="single" w:sz="12" w:space="0" w:color="auto"/>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39254E7D" w14:textId="77777777" w:rsidR="008B58C4" w:rsidRPr="009148F8" w:rsidRDefault="008B58C4" w:rsidP="00EC669E">
            <w:pPr>
              <w:jc w:val="both"/>
              <w:rPr>
                <w:rFonts w:ascii="Times New Roman" w:eastAsia="Times New Roman" w:hAnsi="Times New Roman"/>
                <w:b/>
                <w:bCs/>
                <w:sz w:val="20"/>
              </w:rPr>
            </w:pPr>
            <w:r w:rsidRPr="005833B8">
              <w:rPr>
                <w:rFonts w:ascii="Times New Roman" w:eastAsia="Times New Roman" w:hAnsi="Times New Roman"/>
                <w:sz w:val="20"/>
              </w:rPr>
              <w:t>Log-likelihood at convergence</w:t>
            </w:r>
          </w:p>
        </w:tc>
        <w:tc>
          <w:tcPr>
            <w:tcW w:w="2307" w:type="pct"/>
            <w:gridSpan w:val="4"/>
            <w:tcBorders>
              <w:top w:val="single" w:sz="12" w:space="0" w:color="auto"/>
              <w:left w:val="single" w:sz="12" w:space="0" w:color="auto"/>
              <w:bottom w:val="dashSmallGap" w:sz="4" w:space="0" w:color="595959" w:themeColor="text1" w:themeTint="A6"/>
              <w:right w:val="single" w:sz="18" w:space="0" w:color="auto"/>
            </w:tcBorders>
            <w:tcMar>
              <w:top w:w="30" w:type="dxa"/>
              <w:left w:w="45" w:type="dxa"/>
              <w:bottom w:w="30" w:type="dxa"/>
              <w:right w:w="45" w:type="dxa"/>
            </w:tcMar>
            <w:vAlign w:val="bottom"/>
          </w:tcPr>
          <w:p w14:paraId="6740D3B8" w14:textId="77777777" w:rsidR="008B58C4" w:rsidRPr="009148F8" w:rsidRDefault="008B58C4" w:rsidP="00EC669E">
            <w:pPr>
              <w:jc w:val="center"/>
              <w:rPr>
                <w:rFonts w:ascii="Times New Roman" w:eastAsia="Times New Roman" w:hAnsi="Times New Roman"/>
                <w:sz w:val="20"/>
              </w:rPr>
            </w:pPr>
            <w:r w:rsidRPr="005833B8">
              <w:rPr>
                <w:rFonts w:ascii="Times New Roman" w:eastAsia="Times New Roman" w:hAnsi="Times New Roman"/>
                <w:i/>
                <w:iCs/>
                <w:sz w:val="20"/>
              </w:rPr>
              <w:t>-7271.89</w:t>
            </w:r>
          </w:p>
        </w:tc>
      </w:tr>
      <w:tr w:rsidR="008B58C4" w:rsidRPr="009148F8" w14:paraId="71B2F415" w14:textId="77777777" w:rsidTr="00EC669E">
        <w:trPr>
          <w:trHeight w:val="17"/>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57DDA074" w14:textId="77777777" w:rsidR="008B58C4" w:rsidRPr="009148F8" w:rsidRDefault="008B58C4" w:rsidP="00EC669E">
            <w:pPr>
              <w:jc w:val="both"/>
              <w:rPr>
                <w:rFonts w:ascii="Times New Roman" w:eastAsia="Times New Roman" w:hAnsi="Times New Roman"/>
                <w:b/>
                <w:bCs/>
                <w:sz w:val="20"/>
              </w:rPr>
            </w:pPr>
            <w:r w:rsidRPr="005833B8">
              <w:rPr>
                <w:rFonts w:ascii="Times New Roman" w:eastAsia="Times New Roman" w:hAnsi="Times New Roman"/>
                <w:sz w:val="20"/>
              </w:rPr>
              <w:t>Number of parameters</w:t>
            </w:r>
          </w:p>
        </w:tc>
        <w:tc>
          <w:tcPr>
            <w:tcW w:w="2307" w:type="pct"/>
            <w:gridSpan w:val="4"/>
            <w:tcBorders>
              <w:top w:val="dashSmallGap" w:sz="4" w:space="0" w:color="595959" w:themeColor="text1" w:themeTint="A6"/>
              <w:left w:val="single" w:sz="12" w:space="0" w:color="auto"/>
              <w:bottom w:val="dashSmallGap" w:sz="4" w:space="0" w:color="595959" w:themeColor="text1" w:themeTint="A6"/>
              <w:right w:val="single" w:sz="18" w:space="0" w:color="auto"/>
            </w:tcBorders>
            <w:tcMar>
              <w:top w:w="30" w:type="dxa"/>
              <w:left w:w="45" w:type="dxa"/>
              <w:bottom w:w="30" w:type="dxa"/>
              <w:right w:w="45" w:type="dxa"/>
            </w:tcMar>
            <w:vAlign w:val="bottom"/>
          </w:tcPr>
          <w:p w14:paraId="6C61742E" w14:textId="77777777" w:rsidR="008B58C4" w:rsidRPr="009148F8" w:rsidRDefault="008B58C4" w:rsidP="00EC669E">
            <w:pPr>
              <w:jc w:val="center"/>
              <w:rPr>
                <w:rFonts w:ascii="Times New Roman" w:eastAsia="Times New Roman" w:hAnsi="Times New Roman"/>
                <w:sz w:val="20"/>
              </w:rPr>
            </w:pPr>
            <w:r w:rsidRPr="005833B8">
              <w:rPr>
                <w:rFonts w:ascii="Times New Roman" w:eastAsia="Times New Roman" w:hAnsi="Times New Roman"/>
                <w:i/>
                <w:iCs/>
                <w:sz w:val="20"/>
              </w:rPr>
              <w:t>46</w:t>
            </w:r>
          </w:p>
        </w:tc>
      </w:tr>
      <w:tr w:rsidR="008B58C4" w:rsidRPr="009148F8" w14:paraId="17EB69A4" w14:textId="77777777" w:rsidTr="00EC669E">
        <w:trPr>
          <w:trHeight w:val="17"/>
        </w:trPr>
        <w:tc>
          <w:tcPr>
            <w:tcW w:w="2693" w:type="pct"/>
            <w:tcBorders>
              <w:top w:val="dashSmallGap" w:sz="4" w:space="0" w:color="595959" w:themeColor="text1" w:themeTint="A6"/>
              <w:left w:val="single" w:sz="18" w:space="0" w:color="auto"/>
              <w:bottom w:val="dashSmallGap" w:sz="4" w:space="0" w:color="595959" w:themeColor="text1" w:themeTint="A6"/>
              <w:right w:val="single" w:sz="12" w:space="0" w:color="auto"/>
            </w:tcBorders>
            <w:tcMar>
              <w:top w:w="30" w:type="dxa"/>
              <w:left w:w="0" w:type="dxa"/>
              <w:bottom w:w="30" w:type="dxa"/>
              <w:right w:w="0" w:type="dxa"/>
            </w:tcMar>
            <w:vAlign w:val="center"/>
          </w:tcPr>
          <w:p w14:paraId="794AAEB4" w14:textId="77777777" w:rsidR="008B58C4" w:rsidRPr="009148F8" w:rsidRDefault="008B58C4" w:rsidP="00EC669E">
            <w:pPr>
              <w:jc w:val="both"/>
              <w:rPr>
                <w:rFonts w:ascii="Times New Roman" w:eastAsia="Times New Roman" w:hAnsi="Times New Roman"/>
                <w:b/>
                <w:bCs/>
                <w:sz w:val="20"/>
              </w:rPr>
            </w:pPr>
            <w:r w:rsidRPr="005833B8">
              <w:rPr>
                <w:rFonts w:ascii="Times New Roman" w:eastAsia="Times New Roman" w:hAnsi="Times New Roman"/>
                <w:sz w:val="20"/>
              </w:rPr>
              <w:t>Log-likelihood at independence (35 parameters)</w:t>
            </w:r>
          </w:p>
        </w:tc>
        <w:tc>
          <w:tcPr>
            <w:tcW w:w="2307" w:type="pct"/>
            <w:gridSpan w:val="4"/>
            <w:tcBorders>
              <w:top w:val="dashSmallGap" w:sz="4" w:space="0" w:color="595959" w:themeColor="text1" w:themeTint="A6"/>
              <w:left w:val="single" w:sz="12" w:space="0" w:color="auto"/>
              <w:bottom w:val="dashSmallGap" w:sz="4" w:space="0" w:color="595959" w:themeColor="text1" w:themeTint="A6"/>
              <w:right w:val="single" w:sz="18" w:space="0" w:color="auto"/>
            </w:tcBorders>
            <w:tcMar>
              <w:top w:w="30" w:type="dxa"/>
              <w:left w:w="45" w:type="dxa"/>
              <w:bottom w:w="30" w:type="dxa"/>
              <w:right w:w="45" w:type="dxa"/>
            </w:tcMar>
            <w:vAlign w:val="bottom"/>
          </w:tcPr>
          <w:p w14:paraId="411D30F1" w14:textId="77777777" w:rsidR="008B58C4" w:rsidRPr="009148F8" w:rsidRDefault="008B58C4" w:rsidP="00EC669E">
            <w:pPr>
              <w:jc w:val="center"/>
              <w:rPr>
                <w:rFonts w:ascii="Times New Roman" w:eastAsia="Times New Roman" w:hAnsi="Times New Roman"/>
                <w:sz w:val="20"/>
              </w:rPr>
            </w:pPr>
            <w:r w:rsidRPr="005833B8">
              <w:rPr>
                <w:rFonts w:ascii="Times New Roman" w:eastAsia="Times New Roman" w:hAnsi="Times New Roman"/>
                <w:i/>
                <w:iCs/>
                <w:sz w:val="20"/>
              </w:rPr>
              <w:t>-7720.91</w:t>
            </w:r>
          </w:p>
        </w:tc>
      </w:tr>
      <w:tr w:rsidR="008B58C4" w:rsidRPr="009148F8" w14:paraId="00E9C6A4" w14:textId="77777777" w:rsidTr="00EC669E">
        <w:trPr>
          <w:trHeight w:val="17"/>
        </w:trPr>
        <w:tc>
          <w:tcPr>
            <w:tcW w:w="2693" w:type="pct"/>
            <w:tcBorders>
              <w:top w:val="dashSmallGap" w:sz="4" w:space="0" w:color="595959" w:themeColor="text1" w:themeTint="A6"/>
              <w:left w:val="single" w:sz="18" w:space="0" w:color="auto"/>
              <w:bottom w:val="single" w:sz="18" w:space="0" w:color="auto"/>
              <w:right w:val="single" w:sz="12" w:space="0" w:color="auto"/>
            </w:tcBorders>
            <w:tcMar>
              <w:top w:w="30" w:type="dxa"/>
              <w:left w:w="0" w:type="dxa"/>
              <w:bottom w:w="30" w:type="dxa"/>
              <w:right w:w="0" w:type="dxa"/>
            </w:tcMar>
            <w:vAlign w:val="center"/>
          </w:tcPr>
          <w:p w14:paraId="3D40751F" w14:textId="77777777" w:rsidR="008B58C4" w:rsidRPr="009148F8" w:rsidRDefault="008B58C4" w:rsidP="00EC669E">
            <w:pPr>
              <w:jc w:val="both"/>
              <w:rPr>
                <w:rFonts w:ascii="Times New Roman" w:eastAsia="Times New Roman" w:hAnsi="Times New Roman"/>
                <w:b/>
                <w:bCs/>
                <w:sz w:val="20"/>
              </w:rPr>
            </w:pPr>
            <w:r w:rsidRPr="005833B8">
              <w:rPr>
                <w:rFonts w:ascii="Times New Roman" w:eastAsia="Times New Roman" w:hAnsi="Times New Roman"/>
                <w:sz w:val="20"/>
              </w:rPr>
              <w:t>Likelihood ratio test</w:t>
            </w:r>
          </w:p>
        </w:tc>
        <w:tc>
          <w:tcPr>
            <w:tcW w:w="2307" w:type="pct"/>
            <w:gridSpan w:val="4"/>
            <w:tcBorders>
              <w:top w:val="dashSmallGap" w:sz="4" w:space="0" w:color="595959" w:themeColor="text1" w:themeTint="A6"/>
              <w:left w:val="single" w:sz="12" w:space="0" w:color="auto"/>
              <w:bottom w:val="single" w:sz="18" w:space="0" w:color="auto"/>
              <w:right w:val="single" w:sz="18" w:space="0" w:color="auto"/>
            </w:tcBorders>
            <w:tcMar>
              <w:top w:w="30" w:type="dxa"/>
              <w:left w:w="45" w:type="dxa"/>
              <w:bottom w:w="30" w:type="dxa"/>
              <w:right w:w="45" w:type="dxa"/>
            </w:tcMar>
            <w:vAlign w:val="bottom"/>
          </w:tcPr>
          <w:p w14:paraId="6CD9F71B" w14:textId="77777777" w:rsidR="008B58C4" w:rsidRPr="00B26C47" w:rsidRDefault="008B58C4" w:rsidP="00EC669E">
            <w:pPr>
              <w:jc w:val="both"/>
              <w:rPr>
                <w:rFonts w:ascii="Times New Roman" w:eastAsia="Times New Roman" w:hAnsi="Times New Roman"/>
                <w:sz w:val="20"/>
              </w:rPr>
            </w:pPr>
            <m:oMathPara>
              <m:oMath>
                <m:r>
                  <w:rPr>
                    <w:rFonts w:ascii="Cambria Math" w:hAnsi="Cambria Math"/>
                    <w:color w:val="000000" w:themeColor="text1"/>
                    <w:sz w:val="20"/>
                  </w:rPr>
                  <m:t>LR=898.04 &gt; </m:t>
                </m:r>
                <m:sSup>
                  <m:sSupPr>
                    <m:ctrlPr>
                      <w:rPr>
                        <w:rFonts w:ascii="Cambria Math" w:eastAsia="Cambria Math" w:hAnsi="Cambria Math"/>
                        <w:i/>
                        <w:iCs/>
                        <w:color w:val="000000" w:themeColor="text1"/>
                        <w:sz w:val="20"/>
                      </w:rPr>
                    </m:ctrlPr>
                  </m:sSupPr>
                  <m:e>
                    <m:r>
                      <w:rPr>
                        <w:rFonts w:ascii="Cambria Math" w:eastAsia="Cambria Math" w:hAnsi="Cambria Math"/>
                        <w:color w:val="000000" w:themeColor="text1"/>
                        <w:sz w:val="20"/>
                      </w:rPr>
                      <m:t>χ</m:t>
                    </m:r>
                  </m:e>
                  <m:sup>
                    <m:r>
                      <w:rPr>
                        <w:rFonts w:ascii="Cambria Math" w:eastAsia="Cambria Math" w:hAnsi="Cambria Math"/>
                        <w:color w:val="000000" w:themeColor="text1"/>
                        <w:sz w:val="20"/>
                      </w:rPr>
                      <m:t>2</m:t>
                    </m:r>
                  </m:sup>
                </m:sSup>
                <m:sSub>
                  <m:sSubPr>
                    <m:ctrlPr>
                      <w:rPr>
                        <w:rFonts w:ascii="Cambria Math" w:eastAsia="Cambria Math" w:hAnsi="Cambria Math"/>
                        <w:i/>
                        <w:iCs/>
                        <w:color w:val="000000" w:themeColor="text1"/>
                        <w:sz w:val="20"/>
                      </w:rPr>
                    </m:ctrlPr>
                  </m:sSubPr>
                  <m:e>
                    <m:r>
                      <w:rPr>
                        <w:rFonts w:ascii="Cambria Math" w:eastAsia="Cambria Math" w:hAnsi="Cambria Math"/>
                        <w:color w:val="000000" w:themeColor="text1"/>
                        <w:sz w:val="20"/>
                      </w:rPr>
                      <m:t> </m:t>
                    </m:r>
                  </m:e>
                  <m:sub>
                    <m:d>
                      <m:dPr>
                        <m:ctrlPr>
                          <w:rPr>
                            <w:rFonts w:ascii="Cambria Math" w:eastAsia="Cambria Math" w:hAnsi="Cambria Math"/>
                            <w:i/>
                            <w:iCs/>
                            <w:color w:val="000000" w:themeColor="text1"/>
                            <w:sz w:val="20"/>
                          </w:rPr>
                        </m:ctrlPr>
                      </m:dPr>
                      <m:e>
                        <m:r>
                          <w:rPr>
                            <w:rFonts w:ascii="Cambria Math" w:eastAsia="Cambria Math" w:hAnsi="Cambria Math"/>
                            <w:color w:val="000000" w:themeColor="text1"/>
                            <w:sz w:val="20"/>
                          </w:rPr>
                          <m:t>11,0.01</m:t>
                        </m:r>
                      </m:e>
                    </m:d>
                  </m:sub>
                </m:sSub>
                <m:r>
                  <w:rPr>
                    <w:rFonts w:ascii="Cambria Math" w:eastAsia="Cambria Math" w:hAnsi="Cambria Math"/>
                    <w:color w:val="000000" w:themeColor="text1"/>
                    <w:sz w:val="20"/>
                  </w:rPr>
                  <m:t>=24.727</m:t>
                </m:r>
              </m:oMath>
            </m:oMathPara>
          </w:p>
        </w:tc>
      </w:tr>
    </w:tbl>
    <w:p w14:paraId="2376308F" w14:textId="77777777" w:rsidR="008B58C4" w:rsidRPr="00341E8E" w:rsidRDefault="008B58C4" w:rsidP="008B58C4">
      <w:pPr>
        <w:jc w:val="both"/>
        <w:rPr>
          <w:rFonts w:ascii="Times New Roman" w:hAnsi="Times New Roman"/>
        </w:rPr>
      </w:pPr>
    </w:p>
    <w:p w14:paraId="0831B386" w14:textId="19E62DB3" w:rsidR="008B58C4" w:rsidRDefault="008B58C4" w:rsidP="008B58C4">
      <w:pPr>
        <w:jc w:val="both"/>
        <w:rPr>
          <w:rFonts w:ascii="Times New Roman" w:hAnsi="Times New Roman"/>
        </w:rPr>
      </w:pPr>
      <w:r w:rsidRPr="00341E8E">
        <w:rPr>
          <w:rFonts w:ascii="Times New Roman" w:hAnsi="Times New Roman"/>
        </w:rPr>
        <w:lastRenderedPageBreak/>
        <w:tab/>
        <w:t>A host of socio-economic and demographic variables exhibit fixed and/or switching effects on walking frequency. Older individuals tend to walk less in general as depicted by the negative fixed effects, consistent with findings in the literature (e.g., Paul et al., 2015). Although not statistically significant at the 0.05 significance level, those 50 or older depict a negative switching effect that is noteworthy and behaviorally intuitive. It is likely that older individuals reduced their outdoor activities, including walking, more than other age groups to minimize exposure during the pandemic and subsequently continued with these behaviors after the pandemic. W</w:t>
      </w:r>
      <w:r w:rsidRPr="00341E8E">
        <w:rPr>
          <w:rFonts w:ascii="Times New Roman" w:hAnsi="Times New Roman"/>
          <w:bCs/>
          <w:szCs w:val="24"/>
        </w:rPr>
        <w:t>omen have a lower walking propensity than men</w:t>
      </w:r>
      <w:r w:rsidRPr="00341E8E">
        <w:rPr>
          <w:rFonts w:ascii="Times New Roman" w:hAnsi="Times New Roman"/>
        </w:rPr>
        <w:t>, a finding also reported in the literature (e.g., Gul et al., 2019), and depict</w:t>
      </w:r>
      <w:r w:rsidR="00443932">
        <w:rPr>
          <w:rFonts w:ascii="Times New Roman" w:hAnsi="Times New Roman"/>
        </w:rPr>
        <w:t>s</w:t>
      </w:r>
      <w:r w:rsidRPr="00341E8E">
        <w:rPr>
          <w:rFonts w:ascii="Times New Roman" w:hAnsi="Times New Roman"/>
        </w:rPr>
        <w:t xml:space="preserve"> no switching effect. Those with a higher education level show a higher propensity for walking (fixed effects). Berrigan and Troiano (2002) have reported a similar finding and explained that higher-educated individuals may be more aware of the benefits of walking-related physical activity and </w:t>
      </w:r>
      <w:r w:rsidRPr="00341E8E">
        <w:rPr>
          <w:rFonts w:ascii="Times New Roman" w:hAnsi="Times New Roman"/>
        </w:rPr>
        <w:fldChar w:fldCharType="begin"/>
      </w:r>
      <w:r w:rsidR="00E66090">
        <w:rPr>
          <w:rFonts w:ascii="Times New Roman" w:hAnsi="Times New Roman"/>
        </w:rPr>
        <w:instrText xml:space="preserve"> ADDIN ZOTERO_ITEM CSL_CITATION {"citationID":"tmcjvzM6","properties":{"formattedCitation":"(Van Der Vlugt et al., 2022)","plainCitation":"(Van Der Vlugt et al., 2022)","dontUpdate":true,"noteIndex":0},"citationItems":[{"id":"Fxqj00vV/sxwovBoO","uris":["http://zotero.org/users/10132210/items/L82SBHSC"],"itemData":{"id":514,"type":"article-journal","abstract":"People are driven by their perceptions. Perceptions of the environment shape mobility decisions and represent the “lived reality” of accessibility but are mostly disregarded in common accessibility analysis. This paper ex­ plores the role of perceived accessibility. By using a structural equation modelling (SEM) approach, we inves­ tigate multiple relations between travel attitudes, socio-demographic factors, objective walking accessibility, perceived walking accessibility and realised walking behaviour in three steps. Firstly, we analyse the influence of objective walking accessibility and travel attitudes on perceived walking accessibility. Secondly, we look at perceived walking accessibility as a mediator variable and, finally, we investigate the association between perceived walking accessibility and walking behaviour. Key results imply that travel attitudes are important in understanding variations in perceptions, in terms of direct effects and as mediator variables. Perceived walking accessibility directly affects the probability of walking and plays, therefore, an important role in understanding travel behaviour. The implications of our results are discussed with regard to future research gaps and policy.","container-title":"Travel Behaviour and Society","DOI":"10.1016/j.tbs.2021.11.002","ISSN":"2214367X","journalAbbreviation":"Travel Behaviour and Society","language":"en","page":"47-56","source":"DOI.org (Crossref)","title":"The influence of travel attitudes on perceived walking accessibility and walking behaviour","volume":"27","author":[{"family":"Van Der Vlugt","given":"Anna-Lena"},{"family":"Curl","given":"Angela"},{"family":"Scheiner","given":"Joachim"}],"issued":{"date-parts":[["2022",4]]}}}],"schema":"https://github.com/citation-style-language/schema/raw/master/csl-citation.json"} </w:instrText>
      </w:r>
      <w:r w:rsidRPr="00341E8E">
        <w:rPr>
          <w:rFonts w:ascii="Times New Roman" w:hAnsi="Times New Roman"/>
        </w:rPr>
        <w:fldChar w:fldCharType="separate"/>
      </w:r>
      <w:r w:rsidRPr="00341E8E">
        <w:rPr>
          <w:rFonts w:ascii="Times New Roman" w:hAnsi="Times New Roman"/>
        </w:rPr>
        <w:t>Van Der Vlugt et al. (2022)</w:t>
      </w:r>
      <w:r w:rsidRPr="00341E8E">
        <w:rPr>
          <w:rFonts w:ascii="Times New Roman" w:hAnsi="Times New Roman"/>
        </w:rPr>
        <w:fldChar w:fldCharType="end"/>
      </w:r>
      <w:r w:rsidRPr="00341E8E">
        <w:rPr>
          <w:rFonts w:ascii="Times New Roman" w:hAnsi="Times New Roman"/>
        </w:rPr>
        <w:t xml:space="preserve"> also explained that they have the flexibility to use public transit, which leads to walking for access. The positive switching effect associated with the highest education level suggests further amplified walking activity in that group during the pandemic.</w:t>
      </w:r>
    </w:p>
    <w:p w14:paraId="75C0C4ED" w14:textId="5C534EF4" w:rsidR="008B58C4" w:rsidRPr="00341E8E" w:rsidRDefault="008B58C4" w:rsidP="008B58C4">
      <w:pPr>
        <w:ind w:firstLine="720"/>
        <w:jc w:val="both"/>
        <w:rPr>
          <w:rFonts w:ascii="Times New Roman" w:hAnsi="Times New Roman"/>
        </w:rPr>
      </w:pPr>
      <w:r w:rsidRPr="00341E8E">
        <w:rPr>
          <w:rFonts w:ascii="Times New Roman" w:hAnsi="Times New Roman"/>
        </w:rPr>
        <w:t xml:space="preserve">In terms of household composition, living with a partner is generally associated with higher walking propensity (fixed effect), findings also reported by </w:t>
      </w:r>
      <w:proofErr w:type="spellStart"/>
      <w:r w:rsidRPr="00341E8E">
        <w:rPr>
          <w:rFonts w:ascii="Times New Roman" w:hAnsi="Times New Roman"/>
        </w:rPr>
        <w:t>Aliyas</w:t>
      </w:r>
      <w:proofErr w:type="spellEnd"/>
      <w:r w:rsidRPr="00341E8E">
        <w:rPr>
          <w:rFonts w:ascii="Times New Roman" w:hAnsi="Times New Roman"/>
        </w:rPr>
        <w:t xml:space="preserve"> (2020a) and Kramer et al. (2013). However, the negative switching effect suggests a reduced walking propensity among couples after the pandemic, presumably to decrease their exposure to the virus during the pandemic. Those living with a child exhibit a lower propensity for walking, possibly due to busy schedules and childcare responsibilities (</w:t>
      </w:r>
      <w:proofErr w:type="spellStart"/>
      <w:r w:rsidRPr="00341E8E">
        <w:rPr>
          <w:rFonts w:ascii="Times New Roman" w:hAnsi="Times New Roman"/>
        </w:rPr>
        <w:t>Aliyas</w:t>
      </w:r>
      <w:proofErr w:type="spellEnd"/>
      <w:r w:rsidRPr="00341E8E">
        <w:rPr>
          <w:rFonts w:ascii="Times New Roman" w:hAnsi="Times New Roman"/>
        </w:rPr>
        <w:t>, 2020b</w:t>
      </w:r>
      <w:r w:rsidR="003C329C">
        <w:rPr>
          <w:rFonts w:ascii="Times New Roman" w:hAnsi="Times New Roman"/>
        </w:rPr>
        <w:t xml:space="preserve">; </w:t>
      </w:r>
      <w:r w:rsidRPr="00341E8E">
        <w:rPr>
          <w:rFonts w:ascii="Times New Roman" w:hAnsi="Times New Roman"/>
        </w:rPr>
        <w:t xml:space="preserve">Berge et al., 2011). </w:t>
      </w:r>
      <w:r w:rsidRPr="00341E8E">
        <w:rPr>
          <w:rFonts w:ascii="Times New Roman" w:hAnsi="Times New Roman"/>
          <w:bCs/>
          <w:szCs w:val="24"/>
        </w:rPr>
        <w:t>Conversely, the results reveal that members of larger households generally increased their propensity after the pandemic</w:t>
      </w:r>
      <w:r w:rsidR="00443932">
        <w:rPr>
          <w:rFonts w:ascii="Times New Roman" w:hAnsi="Times New Roman"/>
          <w:bCs/>
          <w:szCs w:val="24"/>
        </w:rPr>
        <w:t>,</w:t>
      </w:r>
      <w:r w:rsidRPr="00341E8E">
        <w:rPr>
          <w:rFonts w:ascii="Times New Roman" w:hAnsi="Times New Roman"/>
        </w:rPr>
        <w:t xml:space="preserve"> presumably to facilitate social interaction and healthy physical activity (during a time of lingering concerns about conducting activities in indoor spaces). </w:t>
      </w:r>
    </w:p>
    <w:p w14:paraId="7F4FA4DA" w14:textId="4D7E68AD" w:rsidR="008B58C4" w:rsidRPr="00341E8E" w:rsidRDefault="008B58C4" w:rsidP="008B58C4">
      <w:pPr>
        <w:jc w:val="both"/>
        <w:rPr>
          <w:rFonts w:ascii="Times New Roman" w:hAnsi="Times New Roman"/>
        </w:rPr>
      </w:pPr>
      <w:r w:rsidRPr="00341E8E">
        <w:rPr>
          <w:rFonts w:ascii="Times New Roman" w:hAnsi="Times New Roman"/>
        </w:rPr>
        <w:tab/>
        <w:t xml:space="preserve">Vehicle ownership and income </w:t>
      </w:r>
      <w:r w:rsidR="00443932">
        <w:rPr>
          <w:rFonts w:ascii="Times New Roman" w:hAnsi="Times New Roman"/>
        </w:rPr>
        <w:t>are</w:t>
      </w:r>
      <w:r w:rsidR="00443932" w:rsidRPr="00341E8E">
        <w:rPr>
          <w:rFonts w:ascii="Times New Roman" w:hAnsi="Times New Roman"/>
        </w:rPr>
        <w:t xml:space="preserve"> </w:t>
      </w:r>
      <w:r w:rsidRPr="00341E8E">
        <w:rPr>
          <w:rFonts w:ascii="Times New Roman" w:hAnsi="Times New Roman"/>
        </w:rPr>
        <w:t xml:space="preserve">found to affect </w:t>
      </w:r>
      <w:r w:rsidRPr="00341E8E">
        <w:rPr>
          <w:rFonts w:ascii="Times New Roman" w:eastAsia="Malgun Gothic" w:hAnsi="Times New Roman"/>
          <w:bCs/>
          <w:szCs w:val="24"/>
          <w:lang w:eastAsia="ko-KR"/>
        </w:rPr>
        <w:t xml:space="preserve">the underlying latent variables characterizing </w:t>
      </w:r>
      <w:r w:rsidRPr="00341E8E">
        <w:rPr>
          <w:rFonts w:ascii="Times New Roman" w:hAnsi="Times New Roman"/>
        </w:rPr>
        <w:t xml:space="preserve">walking frequency as well, with the change in income experienced during the pandemic having additional effects. Car ownership is generally associated with lower walking propensity, as documented in prior research </w:t>
      </w:r>
      <w:r w:rsidRPr="00341E8E">
        <w:rPr>
          <w:rFonts w:ascii="Times New Roman" w:eastAsia="Times New Roman" w:hAnsi="Times New Roman"/>
          <w:color w:val="000000"/>
          <w:szCs w:val="24"/>
        </w:rPr>
        <w:fldChar w:fldCharType="begin"/>
      </w:r>
      <w:r w:rsidR="00E66090">
        <w:rPr>
          <w:rFonts w:ascii="Times New Roman" w:eastAsia="Times New Roman" w:hAnsi="Times New Roman"/>
          <w:color w:val="000000"/>
          <w:szCs w:val="24"/>
        </w:rPr>
        <w:instrText xml:space="preserve"> ADDIN ZOTERO_ITEM CSL_CITATION {"citationID":"pVk3tse8","properties":{"formattedCitation":"(Sehatzadeh et al., 2011)","plainCitation":"(Sehatzadeh et al., 2011)","noteIndex":0},"citationItems":[{"id":"Fxqj00vV/eEonDtnD","uris":["http://zotero.org/users/10132210/items/NVBMBM6K"],"itemData":{"id":128,"type":"article-journal","abstract":"To explain walking propensity or frequency, empirical studies have generally used two sets of explanatory variables, namely, socio-demographic variables and built environment variables. They have generally shown that both socio-demographic characteristics and built environment characteristics are associated with walking propensity. We examine the traditional walkability variables that encompass density, mix of uses, and network connectivity in New Jersey, using a statewide sample including an oversample of Jersey City. We estimate a two-stage least squares model using a conditional mixed process that combines an ordered probit model of walking frequency in the second stage based on a truncated regression of car ownership in the ﬁrst stage. Our results show that built environment variables have some small effects, mainly from better network connectivity associated with increased walking frequency. One of our key ﬁndings is that built environment features also work indirectly via how they inﬂuence car ownership. In general, we ﬁnd sufﬁcient evidence that suggests fewer cars are owned in areas with more walkable built environment features. The other key variable that we control for is whether a household owns a dog. This also proved to be strongly associated with walking suggesting that dog ownership is a necessary control variable to understand the frequency of walking.","container-title":"Transportation Research Part A: Policy and Practice","DOI":"10.1016/j.tra.2011.06.001","ISSN":"09658564","issue":"8","journalAbbreviation":"Transportation Research Part A: Policy and Practice","language":"en","page":"741-754","source":"DOI.org (Crossref)","title":"Walking frequency, cars, dogs, and the built environment","volume":"45","author":[{"family":"Sehatzadeh","given":"Bahareh"},{"family":"Noland","given":"Robert B."},{"family":"Weiner","given":"Marc D."}],"issued":{"date-parts":[["2011",10]]}}}],"schema":"https://github.com/citation-style-language/schema/raw/master/csl-citation.json"} </w:instrText>
      </w:r>
      <w:r w:rsidRPr="00341E8E">
        <w:rPr>
          <w:rFonts w:ascii="Times New Roman" w:eastAsia="Times New Roman" w:hAnsi="Times New Roman"/>
          <w:color w:val="000000"/>
          <w:szCs w:val="24"/>
        </w:rPr>
        <w:fldChar w:fldCharType="separate"/>
      </w:r>
      <w:r w:rsidRPr="00341E8E">
        <w:rPr>
          <w:rFonts w:ascii="Times New Roman" w:hAnsi="Times New Roman"/>
        </w:rPr>
        <w:t>(Sehatzadeh et al., 2011)</w:t>
      </w:r>
      <w:r w:rsidRPr="00341E8E">
        <w:rPr>
          <w:rFonts w:ascii="Times New Roman" w:eastAsia="Times New Roman" w:hAnsi="Times New Roman"/>
          <w:color w:val="000000"/>
          <w:szCs w:val="24"/>
        </w:rPr>
        <w:fldChar w:fldCharType="end"/>
      </w:r>
      <w:r w:rsidRPr="00341E8E">
        <w:rPr>
          <w:rFonts w:ascii="Times New Roman" w:hAnsi="Times New Roman"/>
        </w:rPr>
        <w:t xml:space="preserve">.  However, the presence of multiple vehicles (two vehicles or three or more vehicles) is associated with a positive switching effect, suggesting that individuals in households with more vehicles may have consciously increased their propensity for walking during the pandemic upon realizing the negative health outcomes associated with sedentary car-oriented lifestyles. Those in higher-income households exhibit a higher propensity for walking (positive fixed effect), consistent with findings reported by Cerin et al. (2009) and </w:t>
      </w:r>
      <w:proofErr w:type="spellStart"/>
      <w:r w:rsidRPr="00341E8E">
        <w:rPr>
          <w:rFonts w:ascii="Times New Roman" w:hAnsi="Times New Roman"/>
        </w:rPr>
        <w:t>Lachapelle</w:t>
      </w:r>
      <w:proofErr w:type="spellEnd"/>
      <w:r w:rsidRPr="00341E8E">
        <w:rPr>
          <w:rFonts w:ascii="Times New Roman" w:hAnsi="Times New Roman"/>
        </w:rPr>
        <w:t xml:space="preserve"> and Noland (2012). </w:t>
      </w:r>
      <w:r w:rsidRPr="00341E8E">
        <w:rPr>
          <w:rFonts w:ascii="Times New Roman" w:hAnsi="Times New Roman"/>
          <w:bCs/>
          <w:szCs w:val="24"/>
        </w:rPr>
        <w:t>While household income itself does not exhibit a switching effect, both a decrease and an increase in income result in positive shifts in walking frequency propensity after the pandemic.</w:t>
      </w:r>
      <w:r w:rsidRPr="00341E8E">
        <w:rPr>
          <w:rFonts w:ascii="Times New Roman" w:hAnsi="Times New Roman"/>
        </w:rPr>
        <w:t xml:space="preserve"> Those experiencing an increase in income are likely to have shifted their lifestyle to more closely mimic that of higher-income households.  Those experiencing a decrease in income may have suffered a loss of employment; this reduces available monetary resources, increases available time, and creates stress and lower mental well-being. Increased walking propensity may have been a result of all three contributing factors. </w:t>
      </w:r>
    </w:p>
    <w:p w14:paraId="2D74453E" w14:textId="5A2E6784" w:rsidR="008B58C4" w:rsidRPr="00341E8E" w:rsidRDefault="008B58C4" w:rsidP="008B58C4">
      <w:pPr>
        <w:jc w:val="both"/>
        <w:rPr>
          <w:rFonts w:ascii="Times New Roman" w:hAnsi="Times New Roman"/>
        </w:rPr>
      </w:pPr>
      <w:r w:rsidRPr="00341E8E">
        <w:rPr>
          <w:rFonts w:ascii="Times New Roman" w:hAnsi="Times New Roman"/>
        </w:rPr>
        <w:tab/>
        <w:t xml:space="preserve">Employment characteristics play a role in shaping walking frequency. Employed individuals exhibit a lower walking propensity (negative fixed effect) </w:t>
      </w:r>
      <w:r w:rsidR="00443932">
        <w:rPr>
          <w:rFonts w:ascii="Times New Roman" w:hAnsi="Times New Roman"/>
        </w:rPr>
        <w:t>potentially</w:t>
      </w:r>
      <w:r w:rsidR="00443932" w:rsidRPr="00341E8E">
        <w:rPr>
          <w:rFonts w:ascii="Times New Roman" w:hAnsi="Times New Roman"/>
        </w:rPr>
        <w:t xml:space="preserve"> </w:t>
      </w:r>
      <w:r w:rsidRPr="00341E8E">
        <w:rPr>
          <w:rFonts w:ascii="Times New Roman" w:hAnsi="Times New Roman"/>
        </w:rPr>
        <w:t>due to time constraints (Chen et al., 2013</w:t>
      </w:r>
      <w:r w:rsidR="003C329C">
        <w:rPr>
          <w:rFonts w:ascii="Times New Roman" w:hAnsi="Times New Roman"/>
        </w:rPr>
        <w:t xml:space="preserve">; </w:t>
      </w:r>
      <w:r w:rsidRPr="00341E8E">
        <w:rPr>
          <w:rFonts w:ascii="Times New Roman" w:hAnsi="Times New Roman"/>
        </w:rPr>
        <w:t xml:space="preserve">Li et al., 2019). </w:t>
      </w:r>
      <w:r w:rsidRPr="00341E8E">
        <w:rPr>
          <w:rFonts w:ascii="Times New Roman" w:hAnsi="Times New Roman"/>
          <w:bCs/>
          <w:szCs w:val="24"/>
        </w:rPr>
        <w:t xml:space="preserve">Additionally, the findings indicate that </w:t>
      </w:r>
      <w:r w:rsidRPr="00341E8E">
        <w:rPr>
          <w:rFonts w:ascii="Times New Roman" w:hAnsi="Times New Roman"/>
        </w:rPr>
        <w:t xml:space="preserve">those with long commutes are likely to walk more frequently, largely because they use public transit more than those with short commutes (De Vos et al., 2022; Morris and Guerra, 2015). Long commutes are associated with a negative switching effect, suggesting a decrease in walking propensity in the COVID era (because of the dramatic drop in transit commuting during and after COVID). Those </w:t>
      </w:r>
      <w:r w:rsidRPr="00341E8E">
        <w:rPr>
          <w:rFonts w:ascii="Times New Roman" w:hAnsi="Times New Roman"/>
        </w:rPr>
        <w:lastRenderedPageBreak/>
        <w:t xml:space="preserve">who adopted a high level of telework </w:t>
      </w:r>
      <w:r w:rsidR="00443932">
        <w:rPr>
          <w:rFonts w:ascii="Times New Roman" w:hAnsi="Times New Roman"/>
        </w:rPr>
        <w:t>are</w:t>
      </w:r>
      <w:r w:rsidR="00443932" w:rsidRPr="00341E8E">
        <w:rPr>
          <w:rFonts w:ascii="Times New Roman" w:hAnsi="Times New Roman"/>
        </w:rPr>
        <w:t xml:space="preserve"> </w:t>
      </w:r>
      <w:r w:rsidRPr="00341E8E">
        <w:rPr>
          <w:rFonts w:ascii="Times New Roman" w:hAnsi="Times New Roman"/>
        </w:rPr>
        <w:t xml:space="preserve">likely to increase their walking frequency, most likely because of greater time availability and the need for relief from isolation </w:t>
      </w:r>
      <w:r w:rsidRPr="00341E8E">
        <w:rPr>
          <w:rFonts w:ascii="Times New Roman" w:hAnsi="Times New Roman"/>
        </w:rPr>
        <w:fldChar w:fldCharType="begin"/>
      </w:r>
      <w:r w:rsidR="00E66090">
        <w:rPr>
          <w:rFonts w:ascii="Times New Roman" w:hAnsi="Times New Roman"/>
        </w:rPr>
        <w:instrText xml:space="preserve"> ADDIN ZOTERO_ITEM CSL_CITATION {"citationID":"UVm0Iby0","properties":{"formattedCitation":"(Batur et al., 2023)","plainCitation":"(Batur et al., 2023)","noteIndex":0},"citationItems":[{"id":"Fxqj00vV/I1JrDl0m","uris":["http://zotero.org/users/10132210/items/JFN4IWLT"],"itemData":{"id":511,"type":"article-journal","abstract":"This research aims to investigate the well-being implications of changes in activity-travel and time-use patterns brought about by the COVID-19 pandemic. The study uses American Time Use Survey (ATUS) data from 2019 and 2020 to assess changes in activity-travel and time-use patterns. It applies two methods—a well-being scoring method and a time-poverty analysis method—to evaluate the impacts of these changes on society. The results show that individuals experienced diminished wellbeing during the pandemic even when their time-poverty statistics showed an improvement; this is because the pandemic did not allow individuals to pursue activities in a way that would enhance well-being. In general, well-being is positively associated with the pursuit of discretionary activities in the company of others in favored out-of-home locations. This explains why people have rapidly embraced traveling again in a post-pandemic era. At the same time, people desire more discretionary time (less time poverty); because the elimination of the commute contributes to this, workers are reluctant to return fully to the workplace. Planning processes need to account for a new normal in which activity-travel patterns will be increasingly shaped by the human desire to accumulate positive life experiences.","container-title":"Transportation Research Record: Journal of the Transportation Research Board","DOI":"10.1177/03611981231165020","ISSN":"0361-1981, 2169-4052","journalAbbreviation":"Transportation Research Record: Journal of the Transportation Research Board","language":"en","page":"036119812311650","source":"DOI.org (Crossref)","title":"Analysis of Changes in Time Use and Activity Participation in Response to the COVID-19 Pandemic in the United States: Implications for Well-Being","title-short":"Analysis of Changes in Time Use and Activity Participation in Response to the COVID-19 Pandemic in the United States","author":[{"family":"Batur","given":"Irfan"},{"family":"Dirks","given":"Abbie C."},{"family":"Bhat","given":"Chandra R."},{"family":"Polzin","given":"Steven E."},{"family":"Chen","given":"Cynthia"},{"family":"Pendyala","given":"Ram M."}],"issued":{"date-parts":[["2023",4,22]]}}}],"schema":"https://github.com/citation-style-language/schema/raw/master/csl-citation.json"} </w:instrText>
      </w:r>
      <w:r w:rsidRPr="00341E8E">
        <w:rPr>
          <w:rFonts w:ascii="Times New Roman" w:hAnsi="Times New Roman"/>
        </w:rPr>
        <w:fldChar w:fldCharType="separate"/>
      </w:r>
      <w:r w:rsidRPr="00341E8E">
        <w:rPr>
          <w:rFonts w:ascii="Times New Roman" w:hAnsi="Times New Roman"/>
        </w:rPr>
        <w:t>(Batur et al., 2023)</w:t>
      </w:r>
      <w:r w:rsidRPr="00341E8E">
        <w:rPr>
          <w:rFonts w:ascii="Times New Roman" w:hAnsi="Times New Roman"/>
        </w:rPr>
        <w:fldChar w:fldCharType="end"/>
      </w:r>
      <w:r w:rsidRPr="00341E8E">
        <w:rPr>
          <w:rFonts w:ascii="Times New Roman" w:hAnsi="Times New Roman"/>
        </w:rPr>
        <w:t xml:space="preserve">.  </w:t>
      </w:r>
    </w:p>
    <w:p w14:paraId="609133B6" w14:textId="253918FB" w:rsidR="008B58C4" w:rsidRPr="00341E8E" w:rsidRDefault="008B58C4" w:rsidP="008B58C4">
      <w:pPr>
        <w:jc w:val="both"/>
        <w:rPr>
          <w:rFonts w:ascii="Times New Roman" w:hAnsi="Times New Roman"/>
        </w:rPr>
      </w:pPr>
      <w:r w:rsidRPr="00341E8E">
        <w:rPr>
          <w:rFonts w:ascii="Times New Roman" w:hAnsi="Times New Roman"/>
        </w:rPr>
        <w:tab/>
        <w:t xml:space="preserve">Lastly, </w:t>
      </w:r>
      <w:r w:rsidR="00443932">
        <w:rPr>
          <w:rFonts w:ascii="Times New Roman" w:hAnsi="Times New Roman"/>
        </w:rPr>
        <w:t>BE</w:t>
      </w:r>
      <w:r w:rsidRPr="00341E8E">
        <w:rPr>
          <w:rFonts w:ascii="Times New Roman" w:hAnsi="Times New Roman"/>
        </w:rPr>
        <w:t xml:space="preserve"> attributes exhibit a significant influence on the propensity for walking in ways that are consistent with expectations and prior research. Population density, walkability index, and bicycle access (obtained as the response to a simple binary question of “do you own or have access to a bicycle”)</w:t>
      </w:r>
      <w:r w:rsidRPr="00341E8E" w:rsidDel="006E65BF">
        <w:rPr>
          <w:rFonts w:ascii="Times New Roman" w:hAnsi="Times New Roman"/>
        </w:rPr>
        <w:t xml:space="preserve"> </w:t>
      </w:r>
      <w:r w:rsidRPr="00341E8E">
        <w:rPr>
          <w:rFonts w:ascii="Times New Roman" w:hAnsi="Times New Roman"/>
        </w:rPr>
        <w:t xml:space="preserve">are found to contribute positively to walking propensity, consistent with results reported by Liu et al. (2021), Yin et al. (2023), Ewing and Cervero (2010), and Watson et al. (2020). Similarly, living closer to transit stops is associated with increased walking, as reported by </w:t>
      </w:r>
      <w:proofErr w:type="spellStart"/>
      <w:r w:rsidRPr="00341E8E">
        <w:rPr>
          <w:rFonts w:ascii="Times New Roman" w:hAnsi="Times New Roman"/>
        </w:rPr>
        <w:t>Lachapelle</w:t>
      </w:r>
      <w:proofErr w:type="spellEnd"/>
      <w:r w:rsidRPr="00341E8E">
        <w:rPr>
          <w:rFonts w:ascii="Times New Roman" w:hAnsi="Times New Roman"/>
        </w:rPr>
        <w:t xml:space="preserve"> and Noland (2012), likely due to walking for access/egress purposes. None of these BE variables exhibited a switching effect, indicating that the pandemic did not bring about any change in BE impact on walking frequency. </w:t>
      </w:r>
    </w:p>
    <w:p w14:paraId="3D79C54D" w14:textId="77777777" w:rsidR="008B58C4" w:rsidRPr="00341E8E" w:rsidRDefault="008B58C4" w:rsidP="008B58C4">
      <w:pPr>
        <w:jc w:val="both"/>
        <w:rPr>
          <w:rFonts w:ascii="Times New Roman" w:hAnsi="Times New Roman"/>
        </w:rPr>
      </w:pPr>
      <w:r w:rsidRPr="00341E8E">
        <w:rPr>
          <w:rFonts w:ascii="Times New Roman" w:hAnsi="Times New Roman"/>
        </w:rPr>
        <w:tab/>
        <w:t xml:space="preserve">  </w:t>
      </w:r>
    </w:p>
    <w:p w14:paraId="0393024E" w14:textId="77777777" w:rsidR="008B58C4" w:rsidRPr="0038441B" w:rsidRDefault="008B58C4" w:rsidP="008B58C4">
      <w:pPr>
        <w:pStyle w:val="Heading2"/>
        <w:keepNext/>
        <w:keepLines/>
        <w:spacing w:line="240" w:lineRule="auto"/>
      </w:pPr>
      <w:r w:rsidRPr="0038441B">
        <w:t>Correlations, Shifts, and Goodness-of-Fit</w:t>
      </w:r>
    </w:p>
    <w:p w14:paraId="39CC09F5" w14:textId="586FECD5" w:rsidR="008B58C4" w:rsidRPr="001B10A9" w:rsidRDefault="008B58C4" w:rsidP="008B58C4">
      <w:pPr>
        <w:keepNext/>
        <w:keepLines/>
        <w:jc w:val="both"/>
        <w:rPr>
          <w:rFonts w:ascii="Times New Roman" w:eastAsiaTheme="minorEastAsia" w:hAnsi="Times New Roman"/>
          <w:lang w:eastAsia="ko-KR"/>
        </w:rPr>
      </w:pPr>
      <w:r w:rsidRPr="00341E8E">
        <w:rPr>
          <w:rFonts w:ascii="Times New Roman" w:hAnsi="Times New Roman"/>
          <w:szCs w:val="24"/>
        </w:rPr>
        <w:t xml:space="preserve">In addition to variable coefficient estimates, </w:t>
      </w:r>
      <w:r w:rsidRPr="00341E8E">
        <w:rPr>
          <w:rFonts w:ascii="Times New Roman" w:hAnsi="Times New Roman"/>
          <w:bCs/>
          <w:szCs w:val="24"/>
        </w:rPr>
        <w:t xml:space="preserve">Table 3 presents the resulting correlation terms and consonance/dissonance effects. </w:t>
      </w:r>
      <w:r w:rsidRPr="00341E8E">
        <w:rPr>
          <w:rFonts w:ascii="Times New Roman" w:hAnsi="Times New Roman"/>
        </w:rPr>
        <w:t xml:space="preserve">The significant positive correlation suggests the presence of several correlated unobserved factors that influence walking frequency both before and after the pandemic in the same direction. For example, attitudinal factors and personality traits (health </w:t>
      </w:r>
      <w:r w:rsidR="001B10A9" w:rsidRPr="00341E8E">
        <w:rPr>
          <w:rFonts w:ascii="Times New Roman" w:hAnsi="Times New Roman"/>
        </w:rPr>
        <w:t>consciousness</w:t>
      </w:r>
      <w:r w:rsidRPr="00341E8E">
        <w:rPr>
          <w:rFonts w:ascii="Times New Roman" w:hAnsi="Times New Roman"/>
        </w:rPr>
        <w:t>, outdoor/active lifestyle propensity, extrovert personality) may contribute positively to walking frequency regardless of the pandemic.</w:t>
      </w:r>
    </w:p>
    <w:p w14:paraId="63A6C881" w14:textId="77508533" w:rsidR="008B58C4" w:rsidRPr="001B10A9" w:rsidRDefault="008B58C4" w:rsidP="008B58C4">
      <w:pPr>
        <w:jc w:val="both"/>
        <w:rPr>
          <w:rFonts w:ascii="Times New Roman" w:eastAsiaTheme="minorEastAsia" w:hAnsi="Times New Roman"/>
          <w:lang w:eastAsia="ko-KR"/>
        </w:rPr>
      </w:pPr>
      <w:r w:rsidRPr="00341E8E">
        <w:rPr>
          <w:rFonts w:ascii="Times New Roman" w:hAnsi="Times New Roman"/>
        </w:rPr>
        <w:tab/>
        <w:t>The unadjusted thresholds do not have any substantive interpretation; they simply map the underlying latent propensities and the actual observed outcomes across the sample. The consonance shifts are all positive and significant, clearly pointing to the substantial presence of consonance. That is, those who are more prone to walk before the pandemic are more prone to walk after the pandemic as well, and vice-versa. This consonance is evidence of the presence of considerable state dependence (after accounting for unobserved heterogeneity through correlation effects), where the current or future state is highly correlated with and dependent upon the past or current state.</w:t>
      </w:r>
    </w:p>
    <w:p w14:paraId="1066E82A" w14:textId="0587DCFE" w:rsidR="008B58C4" w:rsidRPr="00341E8E" w:rsidRDefault="008B58C4" w:rsidP="008B58C4">
      <w:pPr>
        <w:jc w:val="both"/>
        <w:rPr>
          <w:rFonts w:ascii="Times New Roman" w:hAnsi="Times New Roman"/>
        </w:rPr>
      </w:pPr>
      <w:r w:rsidRPr="00341E8E">
        <w:rPr>
          <w:rFonts w:ascii="Times New Roman" w:hAnsi="Times New Roman"/>
        </w:rPr>
        <w:tab/>
        <w:t xml:space="preserve">To accommodate before-after COVID walking frequency combinations that are unlikely or very likely to occur, cross-threshold adjustments are estimated. These adjustments enable the model to better replicate observed outcome combinations in the sample. Four parameters were found to be statistically significant, with a positive parameter having the effect of pushing thresholds toward the right (reducing the probability of a specific combination occurring) and a negative parameter having the effect of pushing thresholds toward the left (increasing the probability of a specific combination occurring). The positive and negative signs on the cross-threshold adjustment parameters are consistent with the patterns seen in Table 1. </w:t>
      </w:r>
    </w:p>
    <w:p w14:paraId="56E54AEE" w14:textId="77777777" w:rsidR="008B58C4" w:rsidRPr="00341E8E" w:rsidRDefault="008B58C4" w:rsidP="008B58C4">
      <w:pPr>
        <w:jc w:val="both"/>
        <w:rPr>
          <w:rFonts w:ascii="Times New Roman" w:hAnsi="Times New Roman"/>
        </w:rPr>
      </w:pPr>
      <w:r w:rsidRPr="00341E8E">
        <w:rPr>
          <w:rFonts w:ascii="Times New Roman" w:hAnsi="Times New Roman"/>
        </w:rPr>
        <w:tab/>
        <w:t xml:space="preserve">The generic consonance shift parameters suggest that high-income individuals depict a low level of consonance (per the negative shift parameter). It is plausible that these individuals recovered considerable commute time during the pandemic with greater work-from-home. While they used to engage in social interactions in the office and had no time to walk before the pandemic, the pandemic era allowed them to use commute time savings to walk more and combat isolation. </w:t>
      </w:r>
    </w:p>
    <w:p w14:paraId="357864BA" w14:textId="1A8022E3" w:rsidR="008B58C4" w:rsidRDefault="008B58C4" w:rsidP="0038441B">
      <w:pPr>
        <w:ind w:firstLine="720"/>
        <w:jc w:val="both"/>
        <w:rPr>
          <w:rFonts w:ascii="Times New Roman" w:hAnsi="Times New Roman"/>
        </w:rPr>
      </w:pPr>
      <w:r w:rsidRPr="00341E8E">
        <w:rPr>
          <w:rFonts w:ascii="Times New Roman" w:hAnsi="Times New Roman"/>
        </w:rPr>
        <w:t>The outcome-specific consonance shift effects indicate the threshold for the “everyday” category in the post-COVID case shifts to the left for high-income individuals (regardless of their pre-COVID walking frequency), thus elevating walk propensity among high-income individuals in the post-COVID case. On the other hand, highly educated individuals are less likely to walk every day after COVID regardless of their pre-</w:t>
      </w:r>
      <w:r w:rsidR="00443932">
        <w:rPr>
          <w:rFonts w:ascii="Times New Roman" w:hAnsi="Times New Roman"/>
        </w:rPr>
        <w:t>COVID</w:t>
      </w:r>
      <w:r w:rsidR="00443932" w:rsidRPr="00341E8E">
        <w:rPr>
          <w:rFonts w:ascii="Times New Roman" w:hAnsi="Times New Roman"/>
        </w:rPr>
        <w:t xml:space="preserve"> </w:t>
      </w:r>
      <w:r w:rsidRPr="00341E8E">
        <w:rPr>
          <w:rFonts w:ascii="Times New Roman" w:hAnsi="Times New Roman"/>
        </w:rPr>
        <w:t xml:space="preserve">walking frequency (which is a finding that warrants further investigation). Finally, the goodness-of-fit measures show that the joint model </w:t>
      </w:r>
      <w:r w:rsidRPr="00341E8E">
        <w:rPr>
          <w:rFonts w:ascii="Times New Roman" w:hAnsi="Times New Roman"/>
        </w:rPr>
        <w:lastRenderedPageBreak/>
        <w:t xml:space="preserve">presents a statistically superior fit when compared with the model with constants only. The significant error correlation also justifies the estimation of a joint bivariate model that accounts for error covariances. </w:t>
      </w:r>
    </w:p>
    <w:p w14:paraId="66BD0C5C" w14:textId="77777777" w:rsidR="008B58C4" w:rsidRDefault="008B58C4" w:rsidP="0038441B">
      <w:pPr>
        <w:jc w:val="both"/>
        <w:rPr>
          <w:rFonts w:ascii="Times New Roman" w:hAnsi="Times New Roman"/>
          <w:b/>
          <w:bCs/>
          <w:i/>
          <w:noProof/>
          <w:szCs w:val="24"/>
          <w:u w:val="single"/>
        </w:rPr>
      </w:pPr>
    </w:p>
    <w:p w14:paraId="7D9008A0" w14:textId="77777777" w:rsidR="008B58C4" w:rsidRPr="0038441B" w:rsidRDefault="008B58C4" w:rsidP="003C329C">
      <w:pPr>
        <w:pStyle w:val="Heading1"/>
        <w:spacing w:line="240" w:lineRule="auto"/>
        <w:jc w:val="both"/>
        <w:rPr>
          <w:caps/>
          <w:szCs w:val="24"/>
        </w:rPr>
      </w:pPr>
      <w:r w:rsidRPr="0038441B">
        <w:rPr>
          <w:caps/>
          <w:szCs w:val="24"/>
        </w:rPr>
        <w:t>Estimation Results for Model of Reasons for Increased Walking</w:t>
      </w:r>
    </w:p>
    <w:p w14:paraId="19A7CED9" w14:textId="1D1AFD3A" w:rsidR="008B58C4" w:rsidRDefault="008B58C4" w:rsidP="0038441B">
      <w:pPr>
        <w:jc w:val="both"/>
        <w:rPr>
          <w:rFonts w:ascii="Times New Roman" w:hAnsi="Times New Roman"/>
        </w:rPr>
      </w:pPr>
      <w:r w:rsidRPr="00341E8E">
        <w:rPr>
          <w:rFonts w:ascii="Times New Roman" w:hAnsi="Times New Roman"/>
        </w:rPr>
        <w:t xml:space="preserve">Of the 2,623 respondents in the analysis sample, 729 indicated that they increased their walking during the pandemic period. The multivariate binary </w:t>
      </w:r>
      <w:proofErr w:type="spellStart"/>
      <w:r w:rsidRPr="00341E8E">
        <w:rPr>
          <w:rFonts w:ascii="Times New Roman" w:hAnsi="Times New Roman"/>
        </w:rPr>
        <w:t>probit</w:t>
      </w:r>
      <w:proofErr w:type="spellEnd"/>
      <w:r w:rsidRPr="00341E8E">
        <w:rPr>
          <w:rFonts w:ascii="Times New Roman" w:hAnsi="Times New Roman"/>
        </w:rPr>
        <w:t xml:space="preserve"> model of reasons for increased walking is estimated on this subsample of respondents and presented in Table 4. This section </w:t>
      </w:r>
      <w:r w:rsidR="00443932">
        <w:rPr>
          <w:rFonts w:ascii="Times New Roman" w:hAnsi="Times New Roman"/>
        </w:rPr>
        <w:t>discusses</w:t>
      </w:r>
      <w:r w:rsidRPr="00341E8E">
        <w:rPr>
          <w:rFonts w:ascii="Times New Roman" w:hAnsi="Times New Roman"/>
        </w:rPr>
        <w:t xml:space="preserve"> the model estimation results to draw insights on reasons for increased </w:t>
      </w:r>
      <w:r w:rsidR="001B10A9" w:rsidRPr="00341E8E">
        <w:rPr>
          <w:rFonts w:ascii="Times New Roman" w:hAnsi="Times New Roman"/>
        </w:rPr>
        <w:t>walking and</w:t>
      </w:r>
      <w:r w:rsidRPr="00341E8E">
        <w:rPr>
          <w:rFonts w:ascii="Times New Roman" w:hAnsi="Times New Roman"/>
        </w:rPr>
        <w:t xml:space="preserve"> infer whether the increased walking will persist in the long term.</w:t>
      </w:r>
    </w:p>
    <w:p w14:paraId="55B723E3" w14:textId="3C10FE0F" w:rsidR="008B58C4" w:rsidRDefault="008B58C4" w:rsidP="008B58C4">
      <w:pPr>
        <w:jc w:val="both"/>
        <w:rPr>
          <w:rFonts w:ascii="Times New Roman" w:hAnsi="Times New Roman"/>
        </w:rPr>
      </w:pPr>
      <w:r>
        <w:rPr>
          <w:rFonts w:ascii="Times New Roman" w:hAnsi="Times New Roman"/>
        </w:rPr>
        <w:tab/>
      </w:r>
      <w:r w:rsidRPr="00341E8E">
        <w:rPr>
          <w:rFonts w:ascii="Times New Roman" w:hAnsi="Times New Roman"/>
        </w:rPr>
        <w:t xml:space="preserve">Compared to those below 50 years of age, those 50-64 years </w:t>
      </w:r>
      <w:r w:rsidR="00443932">
        <w:rPr>
          <w:rFonts w:ascii="Times New Roman" w:hAnsi="Times New Roman"/>
        </w:rPr>
        <w:t>are</w:t>
      </w:r>
      <w:r w:rsidR="00443932" w:rsidRPr="00341E8E">
        <w:rPr>
          <w:rFonts w:ascii="Times New Roman" w:hAnsi="Times New Roman"/>
        </w:rPr>
        <w:t xml:space="preserve"> </w:t>
      </w:r>
      <w:r w:rsidRPr="00341E8E">
        <w:rPr>
          <w:rFonts w:ascii="Times New Roman" w:hAnsi="Times New Roman"/>
        </w:rPr>
        <w:t xml:space="preserve">more likely to increase walking for exercise. Those 65 and older </w:t>
      </w:r>
      <w:r w:rsidR="00443932">
        <w:rPr>
          <w:rFonts w:ascii="Times New Roman" w:hAnsi="Times New Roman"/>
        </w:rPr>
        <w:t>are</w:t>
      </w:r>
      <w:r w:rsidR="00443932" w:rsidRPr="00341E8E">
        <w:rPr>
          <w:rFonts w:ascii="Times New Roman" w:hAnsi="Times New Roman"/>
        </w:rPr>
        <w:t xml:space="preserve"> </w:t>
      </w:r>
      <w:r w:rsidRPr="00341E8E">
        <w:rPr>
          <w:rFonts w:ascii="Times New Roman" w:hAnsi="Times New Roman"/>
        </w:rPr>
        <w:t xml:space="preserve">also more likely to increase walking for exercise; this group </w:t>
      </w:r>
      <w:r w:rsidR="00443932">
        <w:rPr>
          <w:rFonts w:ascii="Times New Roman" w:hAnsi="Times New Roman"/>
        </w:rPr>
        <w:t xml:space="preserve">is </w:t>
      </w:r>
      <w:r w:rsidRPr="00341E8E">
        <w:rPr>
          <w:rFonts w:ascii="Times New Roman" w:hAnsi="Times New Roman"/>
        </w:rPr>
        <w:t xml:space="preserve">also </w:t>
      </w:r>
      <w:r w:rsidR="00443932">
        <w:rPr>
          <w:rFonts w:ascii="Times New Roman" w:hAnsi="Times New Roman"/>
        </w:rPr>
        <w:t xml:space="preserve">more likely to </w:t>
      </w:r>
      <w:r w:rsidRPr="00341E8E">
        <w:rPr>
          <w:rFonts w:ascii="Times New Roman" w:hAnsi="Times New Roman"/>
        </w:rPr>
        <w:t xml:space="preserve">pursue more walking to </w:t>
      </w:r>
      <w:r w:rsidR="00443932">
        <w:rPr>
          <w:rFonts w:ascii="Times New Roman" w:hAnsi="Times New Roman"/>
        </w:rPr>
        <w:t>satisfy</w:t>
      </w:r>
      <w:r w:rsidR="00443932" w:rsidRPr="00341E8E">
        <w:rPr>
          <w:rFonts w:ascii="Times New Roman" w:hAnsi="Times New Roman"/>
        </w:rPr>
        <w:t xml:space="preserve"> </w:t>
      </w:r>
      <w:r w:rsidRPr="00341E8E">
        <w:rPr>
          <w:rFonts w:ascii="Times New Roman" w:hAnsi="Times New Roman"/>
        </w:rPr>
        <w:t xml:space="preserve">social needs. They </w:t>
      </w:r>
      <w:r w:rsidR="00443932">
        <w:rPr>
          <w:rFonts w:ascii="Times New Roman" w:hAnsi="Times New Roman"/>
        </w:rPr>
        <w:t>are</w:t>
      </w:r>
      <w:r w:rsidR="00443932" w:rsidRPr="00341E8E">
        <w:rPr>
          <w:rFonts w:ascii="Times New Roman" w:hAnsi="Times New Roman"/>
        </w:rPr>
        <w:t xml:space="preserve"> </w:t>
      </w:r>
      <w:r w:rsidRPr="00341E8E">
        <w:rPr>
          <w:rFonts w:ascii="Times New Roman" w:hAnsi="Times New Roman"/>
        </w:rPr>
        <w:t xml:space="preserve">less likely to walk more to replace other modes and due to any new recognition of enjoyment derived from walking. It seems clear that the older age groups walked more for leisure rather than for utilitarian purposes before the pandemic </w:t>
      </w:r>
      <w:r w:rsidRPr="00341E8E">
        <w:rPr>
          <w:rFonts w:ascii="Times New Roman" w:hAnsi="Times New Roman"/>
        </w:rPr>
        <w:fldChar w:fldCharType="begin"/>
      </w:r>
      <w:r w:rsidR="00E66090">
        <w:rPr>
          <w:rFonts w:ascii="Times New Roman" w:hAnsi="Times New Roman"/>
        </w:rPr>
        <w:instrText xml:space="preserve"> ADDIN ZOTERO_ITEM CSL_CITATION {"citationID":"8ienvtQl","properties":{"formattedCitation":"(Deka &amp; Brown, 2020)","plainCitation":"(Deka &amp; Brown, 2020)","dontUpdate":true,"noteIndex":0},"citationItems":[{"id":"Fxqj00vV/4sdLowJE","uris":["http://zotero.org/users/10132210/items/TFFETI8N"],"itemData":{"id":516,"type":"article-journal","container-title":"Travel Behaviour and Society","DOI":"10.1016/j.tbs.2020.02.005","ISSN":"2214367X","journalAbbreviation":"Travel Behaviour and Society","language":"en","page":"51-61","source":"DOI.org (Crossref)","title":"Does the pathway to transportation walking for older adults run through recreational walking?","volume":"20","author":[{"family":"Deka","given":"Devajyoti"},{"family":"Brown","given":"Charles T."}],"issued":{"date-parts":[["2020",7]]}}}],"schema":"https://github.com/citation-style-language/schema/raw/master/csl-citation.json"} </w:instrText>
      </w:r>
      <w:r w:rsidRPr="00341E8E">
        <w:rPr>
          <w:rFonts w:ascii="Times New Roman" w:hAnsi="Times New Roman"/>
        </w:rPr>
        <w:fldChar w:fldCharType="separate"/>
      </w:r>
      <w:r w:rsidRPr="00341E8E">
        <w:rPr>
          <w:rFonts w:ascii="Times New Roman" w:hAnsi="Times New Roman"/>
        </w:rPr>
        <w:t>(Deka and Brown, 2020)</w:t>
      </w:r>
      <w:r w:rsidRPr="00341E8E">
        <w:rPr>
          <w:rFonts w:ascii="Times New Roman" w:hAnsi="Times New Roman"/>
        </w:rPr>
        <w:fldChar w:fldCharType="end"/>
      </w:r>
      <w:r w:rsidRPr="00341E8E">
        <w:rPr>
          <w:rFonts w:ascii="Times New Roman" w:hAnsi="Times New Roman"/>
        </w:rPr>
        <w:t xml:space="preserve"> and increased their walking for exercise and/or social needs during the pandemic when indoor recreational facilities, restaurants, and other establishments were operating at limited capacity and presented a threat of contagion. When compared with men, women </w:t>
      </w:r>
      <w:r w:rsidR="00443932">
        <w:rPr>
          <w:rFonts w:ascii="Times New Roman" w:hAnsi="Times New Roman"/>
        </w:rPr>
        <w:t>are</w:t>
      </w:r>
      <w:r w:rsidR="00443932" w:rsidRPr="00341E8E">
        <w:rPr>
          <w:rFonts w:ascii="Times New Roman" w:hAnsi="Times New Roman"/>
        </w:rPr>
        <w:t xml:space="preserve"> </w:t>
      </w:r>
      <w:r w:rsidRPr="00341E8E">
        <w:rPr>
          <w:rFonts w:ascii="Times New Roman" w:hAnsi="Times New Roman"/>
        </w:rPr>
        <w:t xml:space="preserve">less likely to increase walking due to a desire to replace other modes, suggesting that their increase in walking constitutes a net increase in walking as opposed to a mere substitution of one mode for another. Those with the highest education levels (higher than a </w:t>
      </w:r>
      <w:r w:rsidR="001B10A9" w:rsidRPr="00341E8E">
        <w:rPr>
          <w:rFonts w:ascii="Times New Roman" w:hAnsi="Times New Roman"/>
        </w:rPr>
        <w:t>bachelor’s</w:t>
      </w:r>
      <w:r w:rsidRPr="00341E8E">
        <w:rPr>
          <w:rFonts w:ascii="Times New Roman" w:hAnsi="Times New Roman"/>
        </w:rPr>
        <w:t xml:space="preserve"> degree) seem to increase walking levels due to the acquisition of a dog during the pandemic, but less so because of the need for social interactions. These individuals tend to have positive social affiliation (</w:t>
      </w:r>
      <w:proofErr w:type="spellStart"/>
      <w:r w:rsidRPr="00341E8E">
        <w:rPr>
          <w:rFonts w:ascii="Times New Roman" w:hAnsi="Times New Roman"/>
        </w:rPr>
        <w:t>Hommerich</w:t>
      </w:r>
      <w:proofErr w:type="spellEnd"/>
      <w:r w:rsidRPr="00341E8E">
        <w:rPr>
          <w:rFonts w:ascii="Times New Roman" w:hAnsi="Times New Roman"/>
        </w:rPr>
        <w:t xml:space="preserve"> and </w:t>
      </w:r>
      <w:proofErr w:type="spellStart"/>
      <w:r w:rsidRPr="00341E8E">
        <w:rPr>
          <w:rFonts w:ascii="Times New Roman" w:hAnsi="Times New Roman"/>
        </w:rPr>
        <w:t>Tiefenbach</w:t>
      </w:r>
      <w:proofErr w:type="spellEnd"/>
      <w:r w:rsidRPr="00341E8E">
        <w:rPr>
          <w:rFonts w:ascii="Times New Roman" w:hAnsi="Times New Roman"/>
        </w:rPr>
        <w:t>, 2018) and low levels of loneliness during the pandemic (</w:t>
      </w:r>
      <w:proofErr w:type="spellStart"/>
      <w:r w:rsidRPr="00341E8E">
        <w:rPr>
          <w:rFonts w:ascii="Times New Roman" w:hAnsi="Times New Roman"/>
        </w:rPr>
        <w:t>Hoffart</w:t>
      </w:r>
      <w:proofErr w:type="spellEnd"/>
      <w:r w:rsidRPr="00341E8E">
        <w:rPr>
          <w:rFonts w:ascii="Times New Roman" w:hAnsi="Times New Roman"/>
        </w:rPr>
        <w:t xml:space="preserve"> et al., 2020) as they are more likely to use technology and virtual mechanisms to interact with others (</w:t>
      </w:r>
      <w:proofErr w:type="spellStart"/>
      <w:r w:rsidRPr="00341E8E">
        <w:rPr>
          <w:rFonts w:ascii="Times New Roman" w:hAnsi="Times New Roman"/>
          <w:lang w:eastAsia="ko-KR"/>
        </w:rPr>
        <w:t>Şar</w:t>
      </w:r>
      <w:proofErr w:type="spellEnd"/>
      <w:r w:rsidRPr="00341E8E" w:rsidDel="005D0B79">
        <w:rPr>
          <w:rFonts w:ascii="Times New Roman" w:hAnsi="Times New Roman"/>
        </w:rPr>
        <w:t xml:space="preserve"> </w:t>
      </w:r>
      <w:r w:rsidRPr="00341E8E">
        <w:rPr>
          <w:rFonts w:ascii="Times New Roman" w:hAnsi="Times New Roman"/>
        </w:rPr>
        <w:t xml:space="preserve">et al., 2012). </w:t>
      </w:r>
    </w:p>
    <w:p w14:paraId="6DE8991F" w14:textId="10BC9502" w:rsidR="008B58C4" w:rsidRDefault="008B58C4" w:rsidP="008B58C4">
      <w:pPr>
        <w:jc w:val="both"/>
        <w:rPr>
          <w:rFonts w:ascii="Times New Roman" w:hAnsi="Times New Roman"/>
        </w:rPr>
      </w:pPr>
      <w:r>
        <w:rPr>
          <w:rFonts w:ascii="Times New Roman" w:hAnsi="Times New Roman"/>
        </w:rPr>
        <w:tab/>
      </w:r>
      <w:r w:rsidRPr="00341E8E">
        <w:rPr>
          <w:rFonts w:ascii="Times New Roman" w:hAnsi="Times New Roman"/>
        </w:rPr>
        <w:t xml:space="preserve">Individuals living alone have fewer household and other obligations and are therefore able to increase walking as a means of replacing other modes. On the other hand, those living with a child adopt more walking because of a realization of the enjoyment afforded by walking; in the wake of many indoor establishments being closed or restricted during the height of the pandemic, </w:t>
      </w:r>
      <w:r w:rsidR="00E66090">
        <w:rPr>
          <w:rFonts w:ascii="Times New Roman" w:eastAsiaTheme="minorEastAsia" w:hAnsi="Times New Roman" w:hint="eastAsia"/>
          <w:lang w:eastAsia="ko-KR"/>
        </w:rPr>
        <w:t xml:space="preserve">as </w:t>
      </w:r>
      <w:r w:rsidR="00E66090">
        <w:rPr>
          <w:rFonts w:ascii="Times New Roman" w:eastAsiaTheme="minorEastAsia" w:hAnsi="Times New Roman"/>
          <w:lang w:eastAsia="ko-KR"/>
        </w:rPr>
        <w:fldChar w:fldCharType="begin"/>
      </w:r>
      <w:r w:rsidR="00E66090">
        <w:rPr>
          <w:rFonts w:ascii="Times New Roman" w:eastAsiaTheme="minorEastAsia" w:hAnsi="Times New Roman"/>
          <w:lang w:eastAsia="ko-KR"/>
        </w:rPr>
        <w:instrText xml:space="preserve"> ADDIN ZOTERO_ITEM CSL_CITATION {"citationID":"zuCWCdI0","properties":{"formattedCitation":"(Habib et al., 2021)","plainCitation":"(Habib et al., 2021)","noteIndex":0},"citationItems":[{"id":1098,"uris":["http://zotero.org/users/10132210/items/FNTNQQSF"],"itemData":{"id":1098,"type":"article-journal","abstract":"The COVID-19 outbreak created a context that was not previously considered by most urban transportation planners and modellers. This paper presents a study design to comprehensively measure the effects of COVID-19 induced Lockdown on changes in travel behaviour and its dynamics. The study is designed for the Greater Toronto Area. The paper presents results from the common portion of four specialized travel surveys. The empirical investigation presented in the paper is on the general pandemic response, in terms of daily activity-travel adaptation behaviour), in the context of around four months of complete Lockdown to stop the spread of COVID-19. Empirical investigation reveals that the Lockdown did not cause any substantial increase in unemployment, but it did force the majority of the residents to telecommute and practice flexible office hours. Overall, results show that Lockdown influences people to engage in more family-oriented activities.","container-title":"Transportation Letters","DOI":"10.1080/19427867.2021.1899579","ISSN":"1942-7867, 1942-7875","issue":"5-6","journalAbbreviation":"Transportation Letters","language":"en","page":"353-366","source":"DOI.org (Crossref)","title":"Assessing the impacts of COVID-19 on urban passenger travel demand in the greater Toronto area: description of a multi-pronged and multi-staged study with initial results","title-short":"Assessing the impacts of COVID-19 on urban passenger travel demand in the greater Toronto area","volume":"13","author":[{"family":"Habib","given":"Khandker Nurul"},{"family":"Hawkins","given":"Jason"},{"family":"Shakib","given":"Saeed"},{"family":"Loa","given":"Patrick"},{"family":"Mashrur","given":"Sk"},{"family":"Dianat","given":"Alireza"},{"family":"Wang","given":"Kaili"},{"family":"Hossain","given":"Sanjana"},{"family":"Liu","given":"Yicong"}],"issued":{"date-parts":[["2021",5,28]]}}}],"schema":"https://github.com/citation-style-language/schema/raw/master/csl-citation.json"} </w:instrText>
      </w:r>
      <w:r w:rsidR="00E66090">
        <w:rPr>
          <w:rFonts w:ascii="Times New Roman" w:eastAsiaTheme="minorEastAsia" w:hAnsi="Times New Roman"/>
          <w:lang w:eastAsia="ko-KR"/>
        </w:rPr>
        <w:fldChar w:fldCharType="separate"/>
      </w:r>
      <w:r w:rsidR="00E66090" w:rsidRPr="00E66090">
        <w:rPr>
          <w:rFonts w:ascii="Times New Roman" w:hAnsi="Times New Roman"/>
        </w:rPr>
        <w:t xml:space="preserve">Habib et al. </w:t>
      </w:r>
      <w:r w:rsidR="004E0B30">
        <w:rPr>
          <w:rFonts w:ascii="Times New Roman" w:eastAsiaTheme="minorEastAsia" w:hAnsi="Times New Roman" w:hint="eastAsia"/>
          <w:lang w:eastAsia="ko-KR"/>
        </w:rPr>
        <w:t>(</w:t>
      </w:r>
      <w:r w:rsidR="00E66090" w:rsidRPr="00E66090">
        <w:rPr>
          <w:rFonts w:ascii="Times New Roman" w:hAnsi="Times New Roman"/>
        </w:rPr>
        <w:t>2021)</w:t>
      </w:r>
      <w:r w:rsidR="00E66090">
        <w:rPr>
          <w:rFonts w:ascii="Times New Roman" w:eastAsiaTheme="minorEastAsia" w:hAnsi="Times New Roman"/>
          <w:lang w:eastAsia="ko-KR"/>
        </w:rPr>
        <w:fldChar w:fldCharType="end"/>
      </w:r>
      <w:r w:rsidR="004E0B30">
        <w:rPr>
          <w:rFonts w:ascii="Times New Roman" w:eastAsiaTheme="minorEastAsia" w:hAnsi="Times New Roman" w:hint="eastAsia"/>
          <w:lang w:eastAsia="ko-KR"/>
        </w:rPr>
        <w:t xml:space="preserve"> reported, </w:t>
      </w:r>
      <w:r w:rsidRPr="00341E8E">
        <w:rPr>
          <w:rFonts w:ascii="Times New Roman" w:hAnsi="Times New Roman"/>
        </w:rPr>
        <w:t>households with children may have explored outdoor activities and realized the benefits and joy of such pursuits. Those with one or more vehicles are less likely to walk more as a means of replacing other modes of travel; in other words, if individuals in households with cars walk more, they are not substituting car travel with walking.</w:t>
      </w:r>
    </w:p>
    <w:p w14:paraId="0F473C6A" w14:textId="0E6C6FE7" w:rsidR="008B58C4" w:rsidRDefault="008B58C4" w:rsidP="008B58C4">
      <w:pPr>
        <w:jc w:val="both"/>
        <w:rPr>
          <w:rFonts w:ascii="Times New Roman" w:hAnsi="Times New Roman"/>
        </w:rPr>
      </w:pPr>
      <w:r>
        <w:rPr>
          <w:rFonts w:ascii="Times New Roman" w:hAnsi="Times New Roman"/>
        </w:rPr>
        <w:tab/>
      </w:r>
      <w:r w:rsidRPr="00341E8E">
        <w:rPr>
          <w:rFonts w:ascii="Times New Roman" w:hAnsi="Times New Roman"/>
        </w:rPr>
        <w:t xml:space="preserve">The ability to work from home is significantly associated with reasons for walking more. Employed individuals who had the option to work from home after COVID, </w:t>
      </w:r>
      <w:r w:rsidR="00443932">
        <w:rPr>
          <w:rFonts w:ascii="Times New Roman" w:hAnsi="Times New Roman"/>
        </w:rPr>
        <w:t>are</w:t>
      </w:r>
      <w:r w:rsidR="00443932" w:rsidRPr="00341E8E">
        <w:rPr>
          <w:rFonts w:ascii="Times New Roman" w:hAnsi="Times New Roman"/>
        </w:rPr>
        <w:t xml:space="preserve"> </w:t>
      </w:r>
      <w:r w:rsidRPr="00341E8E">
        <w:rPr>
          <w:rFonts w:ascii="Times New Roman" w:hAnsi="Times New Roman"/>
        </w:rPr>
        <w:t>more likely to walk more because of acquiring a dog, to fulfill social needs, and to get exercise</w:t>
      </w:r>
      <w:r w:rsidR="001B10A9" w:rsidRPr="00341E8E">
        <w:rPr>
          <w:rFonts w:ascii="Times New Roman" w:hAnsi="Times New Roman"/>
        </w:rPr>
        <w:t xml:space="preserve">. </w:t>
      </w:r>
      <w:r w:rsidRPr="00341E8E">
        <w:rPr>
          <w:rFonts w:ascii="Times New Roman" w:hAnsi="Times New Roman"/>
        </w:rPr>
        <w:t xml:space="preserve">Prior to COVID, they may not have had a dog (because of work obligations) and fulfilled social needs at the workplace. It is possible that they also got some exercise at the workplace (compared to the scenario of working at home all day). With the option to telework, they were able to acquire a dog and began to walk more, not only for the dog but also for social interactions and exercise. On the other hand, those who already worked from home before COVID </w:t>
      </w:r>
      <w:r w:rsidR="00443932">
        <w:rPr>
          <w:rFonts w:ascii="Times New Roman" w:hAnsi="Times New Roman"/>
        </w:rPr>
        <w:t>are</w:t>
      </w:r>
      <w:r w:rsidRPr="00341E8E">
        <w:rPr>
          <w:rFonts w:ascii="Times New Roman" w:hAnsi="Times New Roman"/>
        </w:rPr>
        <w:t xml:space="preserve"> less likely to walk more for exercise</w:t>
      </w:r>
      <w:r w:rsidR="00443932">
        <w:rPr>
          <w:rFonts w:ascii="Times New Roman" w:hAnsi="Times New Roman"/>
        </w:rPr>
        <w:t xml:space="preserve"> post-COVID</w:t>
      </w:r>
      <w:r w:rsidRPr="00341E8E">
        <w:rPr>
          <w:rFonts w:ascii="Times New Roman" w:hAnsi="Times New Roman"/>
        </w:rPr>
        <w:t xml:space="preserve">; they are likely to have had a pre-COVID routine for exercise and simply continued that regimen during COVID. As such, these individuals </w:t>
      </w:r>
      <w:r w:rsidR="00443932">
        <w:rPr>
          <w:rFonts w:ascii="Times New Roman" w:hAnsi="Times New Roman"/>
        </w:rPr>
        <w:t xml:space="preserve">are </w:t>
      </w:r>
      <w:r w:rsidRPr="00341E8E">
        <w:rPr>
          <w:rFonts w:ascii="Times New Roman" w:hAnsi="Times New Roman"/>
        </w:rPr>
        <w:t>less likely to choose exercise as the reason for increased walking post-COVID.</w:t>
      </w:r>
    </w:p>
    <w:p w14:paraId="3AE5759E" w14:textId="77777777" w:rsidR="008B58C4" w:rsidRDefault="008B58C4" w:rsidP="008B58C4">
      <w:pPr>
        <w:jc w:val="both"/>
        <w:rPr>
          <w:rFonts w:ascii="Times New Roman" w:hAnsi="Times New Roman"/>
        </w:rPr>
        <w:sectPr w:rsidR="008B58C4" w:rsidSect="001F4A0E">
          <w:footerReference w:type="default" r:id="rId24"/>
          <w:pgSz w:w="12240" w:h="15840"/>
          <w:pgMar w:top="1440" w:right="1440" w:bottom="1440" w:left="1440" w:header="720" w:footer="720" w:gutter="0"/>
          <w:pgNumType w:start="1"/>
          <w:cols w:space="720"/>
          <w:docGrid w:linePitch="360"/>
        </w:sectPr>
      </w:pPr>
    </w:p>
    <w:p w14:paraId="0FDDF057" w14:textId="77777777" w:rsidR="008B58C4" w:rsidRPr="00341E8E" w:rsidRDefault="008B58C4" w:rsidP="008B58C4">
      <w:pPr>
        <w:jc w:val="both"/>
        <w:rPr>
          <w:rFonts w:ascii="Times New Roman" w:hAnsi="Times New Roman"/>
        </w:rPr>
      </w:pPr>
    </w:p>
    <w:p w14:paraId="5059E716" w14:textId="77777777" w:rsidR="008B58C4" w:rsidRPr="00BC47E7" w:rsidRDefault="008B58C4" w:rsidP="008B58C4">
      <w:pPr>
        <w:jc w:val="both"/>
        <w:rPr>
          <w:rFonts w:ascii="Times New Roman" w:eastAsiaTheme="minorHAnsi" w:hAnsi="Times New Roman"/>
          <w:b/>
          <w:bCs/>
          <w:noProof/>
          <w:szCs w:val="24"/>
        </w:rPr>
      </w:pPr>
      <w:r w:rsidRPr="00BC47E7">
        <w:rPr>
          <w:rFonts w:ascii="Times New Roman" w:eastAsiaTheme="minorHAnsi" w:hAnsi="Times New Roman"/>
          <w:b/>
          <w:bCs/>
          <w:noProof/>
          <w:szCs w:val="24"/>
        </w:rPr>
        <w:t xml:space="preserve">Table </w:t>
      </w:r>
      <w:r>
        <w:rPr>
          <w:rFonts w:ascii="Times New Roman" w:eastAsiaTheme="minorHAnsi" w:hAnsi="Times New Roman"/>
          <w:b/>
          <w:bCs/>
          <w:noProof/>
          <w:szCs w:val="24"/>
        </w:rPr>
        <w:t xml:space="preserve">4. Model Estimation Results for </w:t>
      </w:r>
      <w:r w:rsidRPr="00BC47E7">
        <w:rPr>
          <w:rFonts w:ascii="Times New Roman" w:eastAsiaTheme="minorHAnsi" w:hAnsi="Times New Roman"/>
          <w:b/>
          <w:bCs/>
          <w:noProof/>
          <w:szCs w:val="24"/>
        </w:rPr>
        <w:t xml:space="preserve">Reasons for </w:t>
      </w:r>
      <w:r>
        <w:rPr>
          <w:rFonts w:ascii="Times New Roman" w:eastAsiaTheme="minorHAnsi" w:hAnsi="Times New Roman"/>
          <w:b/>
          <w:bCs/>
          <w:noProof/>
          <w:szCs w:val="24"/>
        </w:rPr>
        <w:t>Increased</w:t>
      </w:r>
      <w:r w:rsidRPr="00BC47E7">
        <w:rPr>
          <w:rFonts w:ascii="Times New Roman" w:eastAsiaTheme="minorHAnsi" w:hAnsi="Times New Roman"/>
          <w:b/>
          <w:bCs/>
          <w:noProof/>
          <w:szCs w:val="24"/>
        </w:rPr>
        <w:t xml:space="preserve"> Walking</w:t>
      </w:r>
      <w:r>
        <w:rPr>
          <w:rFonts w:ascii="Times New Roman" w:eastAsiaTheme="minorHAnsi" w:hAnsi="Times New Roman"/>
          <w:b/>
          <w:bCs/>
          <w:noProof/>
          <w:szCs w:val="24"/>
        </w:rPr>
        <w:t xml:space="preserve"> Frequency (N=729)</w:t>
      </w:r>
    </w:p>
    <w:tbl>
      <w:tblPr>
        <w:tblW w:w="12900" w:type="dxa"/>
        <w:tblInd w:w="-5" w:type="dxa"/>
        <w:tblLayout w:type="fixed"/>
        <w:tblCellMar>
          <w:left w:w="0" w:type="dxa"/>
          <w:right w:w="0" w:type="dxa"/>
        </w:tblCellMar>
        <w:tblLook w:val="04A0" w:firstRow="1" w:lastRow="0" w:firstColumn="1" w:lastColumn="0" w:noHBand="0" w:noVBand="1"/>
      </w:tblPr>
      <w:tblGrid>
        <w:gridCol w:w="2600"/>
        <w:gridCol w:w="1890"/>
        <w:gridCol w:w="700"/>
        <w:gridCol w:w="701"/>
        <w:gridCol w:w="701"/>
        <w:gridCol w:w="701"/>
        <w:gridCol w:w="701"/>
        <w:gridCol w:w="701"/>
        <w:gridCol w:w="700"/>
        <w:gridCol w:w="701"/>
        <w:gridCol w:w="701"/>
        <w:gridCol w:w="701"/>
        <w:gridCol w:w="701"/>
        <w:gridCol w:w="701"/>
      </w:tblGrid>
      <w:tr w:rsidR="008B58C4" w:rsidRPr="009148F8" w14:paraId="0D749A97" w14:textId="77777777" w:rsidTr="00EC669E">
        <w:trPr>
          <w:trHeight w:val="216"/>
          <w:tblHeader/>
        </w:trPr>
        <w:tc>
          <w:tcPr>
            <w:tcW w:w="4490" w:type="dxa"/>
            <w:gridSpan w:val="2"/>
            <w:vMerge w:val="restart"/>
            <w:tcBorders>
              <w:top w:val="single" w:sz="18" w:space="0" w:color="auto"/>
              <w:left w:val="single" w:sz="18" w:space="0" w:color="auto"/>
              <w:right w:val="single" w:sz="12" w:space="0" w:color="auto"/>
            </w:tcBorders>
            <w:shd w:val="clear" w:color="auto" w:fill="auto"/>
            <w:noWrap/>
            <w:vAlign w:val="center"/>
            <w:hideMark/>
          </w:tcPr>
          <w:p w14:paraId="24031AA6" w14:textId="77777777" w:rsidR="008B58C4" w:rsidRPr="009148F8" w:rsidRDefault="008B58C4" w:rsidP="00EC669E">
            <w:pPr>
              <w:rPr>
                <w:rFonts w:ascii="Times New Roman" w:eastAsia="Times New Roman" w:hAnsi="Times New Roman"/>
                <w:b/>
                <w:bCs/>
                <w:sz w:val="20"/>
                <w:lang w:eastAsia="ko-KR"/>
              </w:rPr>
            </w:pPr>
            <w:r w:rsidRPr="009148F8">
              <w:rPr>
                <w:rFonts w:ascii="Times New Roman" w:eastAsia="Times New Roman" w:hAnsi="Times New Roman"/>
                <w:b/>
                <w:bCs/>
                <w:sz w:val="20"/>
                <w:lang w:eastAsia="ko-KR"/>
              </w:rPr>
              <w:t xml:space="preserve">Exogenous </w:t>
            </w:r>
            <w:r>
              <w:rPr>
                <w:rFonts w:ascii="Times New Roman" w:eastAsia="Times New Roman" w:hAnsi="Times New Roman"/>
                <w:b/>
                <w:bCs/>
                <w:sz w:val="20"/>
                <w:lang w:eastAsia="ko-KR"/>
              </w:rPr>
              <w:t>v</w:t>
            </w:r>
            <w:r w:rsidRPr="009148F8">
              <w:rPr>
                <w:rFonts w:ascii="Times New Roman" w:eastAsia="Times New Roman" w:hAnsi="Times New Roman"/>
                <w:b/>
                <w:bCs/>
                <w:sz w:val="20"/>
                <w:lang w:eastAsia="ko-KR"/>
              </w:rPr>
              <w:t>ariables (</w:t>
            </w:r>
            <w:r>
              <w:rPr>
                <w:rFonts w:ascii="Times New Roman" w:eastAsia="Times New Roman" w:hAnsi="Times New Roman"/>
                <w:b/>
                <w:bCs/>
                <w:sz w:val="20"/>
                <w:lang w:eastAsia="ko-KR"/>
              </w:rPr>
              <w:t>b</w:t>
            </w:r>
            <w:r w:rsidRPr="009148F8">
              <w:rPr>
                <w:rFonts w:ascii="Times New Roman" w:eastAsia="Times New Roman" w:hAnsi="Times New Roman"/>
                <w:b/>
                <w:bCs/>
                <w:sz w:val="20"/>
                <w:lang w:eastAsia="ko-KR"/>
              </w:rPr>
              <w:t>ase)</w:t>
            </w:r>
          </w:p>
        </w:tc>
        <w:tc>
          <w:tcPr>
            <w:tcW w:w="1401" w:type="dxa"/>
            <w:gridSpan w:val="2"/>
            <w:tcBorders>
              <w:top w:val="single" w:sz="18" w:space="0" w:color="auto"/>
              <w:left w:val="single" w:sz="12" w:space="0" w:color="auto"/>
              <w:bottom w:val="single" w:sz="6" w:space="0" w:color="auto"/>
              <w:right w:val="single" w:sz="12" w:space="0" w:color="auto"/>
            </w:tcBorders>
            <w:shd w:val="clear" w:color="auto" w:fill="auto"/>
            <w:noWrap/>
            <w:vAlign w:val="center"/>
            <w:hideMark/>
          </w:tcPr>
          <w:p w14:paraId="26221C1C" w14:textId="77777777" w:rsidR="008B58C4" w:rsidRPr="009148F8" w:rsidRDefault="008B58C4" w:rsidP="00EC669E">
            <w:pPr>
              <w:jc w:val="center"/>
              <w:rPr>
                <w:rFonts w:ascii="Times New Roman" w:eastAsia="Times New Roman" w:hAnsi="Times New Roman"/>
                <w:b/>
                <w:color w:val="000000"/>
                <w:sz w:val="20"/>
                <w:lang w:eastAsia="ko-KR"/>
              </w:rPr>
            </w:pPr>
            <w:r w:rsidRPr="009148F8">
              <w:rPr>
                <w:rFonts w:ascii="Times New Roman" w:eastAsia="Times New Roman" w:hAnsi="Times New Roman"/>
                <w:b/>
                <w:color w:val="000000"/>
                <w:sz w:val="20"/>
                <w:lang w:eastAsia="ko-KR"/>
              </w:rPr>
              <w:t xml:space="preserve">Recognized </w:t>
            </w:r>
            <w:r>
              <w:rPr>
                <w:rFonts w:ascii="Times New Roman" w:eastAsia="Times New Roman" w:hAnsi="Times New Roman"/>
                <w:b/>
                <w:color w:val="000000"/>
                <w:sz w:val="20"/>
                <w:lang w:eastAsia="ko-KR"/>
              </w:rPr>
              <w:t>e</w:t>
            </w:r>
            <w:r w:rsidRPr="009148F8">
              <w:rPr>
                <w:rFonts w:ascii="Times New Roman" w:eastAsia="Times New Roman" w:hAnsi="Times New Roman"/>
                <w:b/>
                <w:color w:val="000000"/>
                <w:sz w:val="20"/>
                <w:lang w:eastAsia="ko-KR"/>
              </w:rPr>
              <w:t>njoyment</w:t>
            </w:r>
          </w:p>
        </w:tc>
        <w:tc>
          <w:tcPr>
            <w:tcW w:w="1402" w:type="dxa"/>
            <w:gridSpan w:val="2"/>
            <w:tcBorders>
              <w:top w:val="single" w:sz="18" w:space="0" w:color="auto"/>
              <w:left w:val="single" w:sz="12" w:space="0" w:color="auto"/>
              <w:bottom w:val="single" w:sz="6" w:space="0" w:color="auto"/>
              <w:right w:val="single" w:sz="12" w:space="0" w:color="auto"/>
            </w:tcBorders>
            <w:shd w:val="clear" w:color="auto" w:fill="auto"/>
            <w:noWrap/>
            <w:vAlign w:val="center"/>
            <w:hideMark/>
          </w:tcPr>
          <w:p w14:paraId="059D34CB" w14:textId="77777777" w:rsidR="008B58C4" w:rsidRPr="009148F8" w:rsidRDefault="008B58C4" w:rsidP="00EC669E">
            <w:pPr>
              <w:jc w:val="center"/>
              <w:rPr>
                <w:rFonts w:ascii="Times New Roman" w:eastAsia="Times New Roman" w:hAnsi="Times New Roman"/>
                <w:b/>
                <w:color w:val="000000"/>
                <w:sz w:val="20"/>
                <w:lang w:eastAsia="ko-KR"/>
              </w:rPr>
            </w:pPr>
            <w:r w:rsidRPr="009148F8">
              <w:rPr>
                <w:rFonts w:ascii="Times New Roman" w:eastAsia="Times New Roman" w:hAnsi="Times New Roman"/>
                <w:b/>
                <w:color w:val="000000"/>
                <w:sz w:val="20"/>
                <w:lang w:eastAsia="ko-KR"/>
              </w:rPr>
              <w:t xml:space="preserve">Environment </w:t>
            </w:r>
            <w:r>
              <w:rPr>
                <w:rFonts w:ascii="Times New Roman" w:eastAsia="Times New Roman" w:hAnsi="Times New Roman"/>
                <w:b/>
                <w:color w:val="000000"/>
                <w:sz w:val="20"/>
                <w:lang w:eastAsia="ko-KR"/>
              </w:rPr>
              <w:t>i</w:t>
            </w:r>
            <w:r w:rsidRPr="009148F8">
              <w:rPr>
                <w:rFonts w:ascii="Times New Roman" w:eastAsia="Times New Roman" w:hAnsi="Times New Roman"/>
                <w:b/>
                <w:color w:val="000000"/>
                <w:sz w:val="20"/>
                <w:lang w:eastAsia="ko-KR"/>
              </w:rPr>
              <w:t>mprovement</w:t>
            </w:r>
          </w:p>
        </w:tc>
        <w:tc>
          <w:tcPr>
            <w:tcW w:w="1402" w:type="dxa"/>
            <w:gridSpan w:val="2"/>
            <w:tcBorders>
              <w:top w:val="single" w:sz="18" w:space="0" w:color="auto"/>
              <w:left w:val="single" w:sz="12" w:space="0" w:color="auto"/>
              <w:bottom w:val="single" w:sz="6" w:space="0" w:color="auto"/>
              <w:right w:val="single" w:sz="12" w:space="0" w:color="auto"/>
            </w:tcBorders>
            <w:shd w:val="clear" w:color="auto" w:fill="auto"/>
            <w:noWrap/>
            <w:vAlign w:val="center"/>
            <w:hideMark/>
          </w:tcPr>
          <w:p w14:paraId="7AFF0252" w14:textId="77777777" w:rsidR="008B58C4" w:rsidRPr="009148F8" w:rsidRDefault="008B58C4" w:rsidP="00EC669E">
            <w:pPr>
              <w:jc w:val="center"/>
              <w:rPr>
                <w:rFonts w:ascii="Times New Roman" w:eastAsia="Times New Roman" w:hAnsi="Times New Roman"/>
                <w:b/>
                <w:color w:val="000000"/>
                <w:sz w:val="20"/>
                <w:lang w:eastAsia="ko-KR"/>
              </w:rPr>
            </w:pPr>
            <w:r w:rsidRPr="009148F8">
              <w:rPr>
                <w:rFonts w:ascii="Times New Roman" w:eastAsia="Times New Roman" w:hAnsi="Times New Roman"/>
                <w:b/>
                <w:color w:val="000000"/>
                <w:sz w:val="20"/>
                <w:lang w:eastAsia="ko-KR"/>
              </w:rPr>
              <w:t xml:space="preserve">Dog </w:t>
            </w:r>
            <w:r>
              <w:rPr>
                <w:rFonts w:ascii="Times New Roman" w:eastAsia="Times New Roman" w:hAnsi="Times New Roman"/>
                <w:b/>
                <w:color w:val="000000"/>
                <w:sz w:val="20"/>
                <w:lang w:eastAsia="ko-KR"/>
              </w:rPr>
              <w:t>a</w:t>
            </w:r>
            <w:r w:rsidRPr="009148F8">
              <w:rPr>
                <w:rFonts w:ascii="Times New Roman" w:eastAsia="Times New Roman" w:hAnsi="Times New Roman"/>
                <w:b/>
                <w:color w:val="000000"/>
                <w:sz w:val="20"/>
                <w:lang w:eastAsia="ko-KR"/>
              </w:rPr>
              <w:t>cquisition</w:t>
            </w:r>
          </w:p>
        </w:tc>
        <w:tc>
          <w:tcPr>
            <w:tcW w:w="1401" w:type="dxa"/>
            <w:gridSpan w:val="2"/>
            <w:tcBorders>
              <w:top w:val="single" w:sz="18" w:space="0" w:color="auto"/>
              <w:left w:val="single" w:sz="12" w:space="0" w:color="auto"/>
              <w:bottom w:val="single" w:sz="6" w:space="0" w:color="auto"/>
              <w:right w:val="single" w:sz="12" w:space="0" w:color="auto"/>
            </w:tcBorders>
            <w:shd w:val="clear" w:color="auto" w:fill="auto"/>
            <w:noWrap/>
            <w:vAlign w:val="center"/>
            <w:hideMark/>
          </w:tcPr>
          <w:p w14:paraId="2408F4EF" w14:textId="77777777" w:rsidR="008B58C4" w:rsidRPr="009148F8" w:rsidRDefault="008B58C4" w:rsidP="00EC669E">
            <w:pPr>
              <w:jc w:val="center"/>
              <w:rPr>
                <w:rFonts w:ascii="Times New Roman" w:eastAsia="Times New Roman" w:hAnsi="Times New Roman"/>
                <w:b/>
                <w:color w:val="000000"/>
                <w:sz w:val="20"/>
                <w:lang w:eastAsia="ko-KR"/>
              </w:rPr>
            </w:pPr>
            <w:r w:rsidRPr="009148F8">
              <w:rPr>
                <w:rFonts w:ascii="Times New Roman" w:eastAsia="Times New Roman" w:hAnsi="Times New Roman"/>
                <w:b/>
                <w:color w:val="000000"/>
                <w:sz w:val="20"/>
                <w:lang w:eastAsia="ko-KR"/>
              </w:rPr>
              <w:t xml:space="preserve">Social </w:t>
            </w:r>
            <w:r>
              <w:rPr>
                <w:rFonts w:ascii="Times New Roman" w:eastAsia="Times New Roman" w:hAnsi="Times New Roman"/>
                <w:b/>
                <w:color w:val="000000"/>
                <w:sz w:val="20"/>
                <w:lang w:eastAsia="ko-KR"/>
              </w:rPr>
              <w:t>n</w:t>
            </w:r>
            <w:r w:rsidRPr="009148F8">
              <w:rPr>
                <w:rFonts w:ascii="Times New Roman" w:eastAsia="Times New Roman" w:hAnsi="Times New Roman"/>
                <w:b/>
                <w:color w:val="000000"/>
                <w:sz w:val="20"/>
                <w:lang w:eastAsia="ko-KR"/>
              </w:rPr>
              <w:t>eeds</w:t>
            </w:r>
          </w:p>
        </w:tc>
        <w:tc>
          <w:tcPr>
            <w:tcW w:w="1402" w:type="dxa"/>
            <w:gridSpan w:val="2"/>
            <w:tcBorders>
              <w:top w:val="single" w:sz="18" w:space="0" w:color="auto"/>
              <w:left w:val="single" w:sz="12" w:space="0" w:color="auto"/>
              <w:bottom w:val="single" w:sz="6" w:space="0" w:color="auto"/>
              <w:right w:val="single" w:sz="12" w:space="0" w:color="auto"/>
            </w:tcBorders>
            <w:shd w:val="clear" w:color="auto" w:fill="auto"/>
            <w:noWrap/>
            <w:vAlign w:val="center"/>
            <w:hideMark/>
          </w:tcPr>
          <w:p w14:paraId="06A93318" w14:textId="77777777" w:rsidR="008B58C4" w:rsidRPr="009148F8" w:rsidRDefault="008B58C4" w:rsidP="00EC669E">
            <w:pPr>
              <w:jc w:val="center"/>
              <w:rPr>
                <w:rFonts w:ascii="Times New Roman" w:eastAsia="Times New Roman" w:hAnsi="Times New Roman"/>
                <w:b/>
                <w:color w:val="000000"/>
                <w:sz w:val="20"/>
                <w:lang w:eastAsia="ko-KR"/>
              </w:rPr>
            </w:pPr>
            <w:r w:rsidRPr="009148F8">
              <w:rPr>
                <w:rFonts w:ascii="Times New Roman" w:eastAsia="Times New Roman" w:hAnsi="Times New Roman"/>
                <w:b/>
                <w:color w:val="000000"/>
                <w:sz w:val="20"/>
                <w:lang w:eastAsia="ko-KR"/>
              </w:rPr>
              <w:t xml:space="preserve">Replace </w:t>
            </w:r>
            <w:r>
              <w:rPr>
                <w:rFonts w:ascii="Times New Roman" w:eastAsia="Times New Roman" w:hAnsi="Times New Roman"/>
                <w:b/>
                <w:color w:val="000000"/>
                <w:sz w:val="20"/>
                <w:lang w:eastAsia="ko-KR"/>
              </w:rPr>
              <w:t>o</w:t>
            </w:r>
            <w:r w:rsidRPr="009148F8">
              <w:rPr>
                <w:rFonts w:ascii="Times New Roman" w:eastAsia="Times New Roman" w:hAnsi="Times New Roman"/>
                <w:b/>
                <w:color w:val="000000"/>
                <w:sz w:val="20"/>
                <w:lang w:eastAsia="ko-KR"/>
              </w:rPr>
              <w:t xml:space="preserve">ther </w:t>
            </w:r>
            <w:r>
              <w:rPr>
                <w:rFonts w:ascii="Times New Roman" w:eastAsia="Times New Roman" w:hAnsi="Times New Roman"/>
                <w:b/>
                <w:color w:val="000000"/>
                <w:sz w:val="20"/>
                <w:lang w:eastAsia="ko-KR"/>
              </w:rPr>
              <w:t>m</w:t>
            </w:r>
            <w:r w:rsidRPr="009148F8">
              <w:rPr>
                <w:rFonts w:ascii="Times New Roman" w:eastAsia="Times New Roman" w:hAnsi="Times New Roman"/>
                <w:b/>
                <w:color w:val="000000"/>
                <w:sz w:val="20"/>
                <w:lang w:eastAsia="ko-KR"/>
              </w:rPr>
              <w:t>odes</w:t>
            </w:r>
          </w:p>
        </w:tc>
        <w:tc>
          <w:tcPr>
            <w:tcW w:w="1402" w:type="dxa"/>
            <w:gridSpan w:val="2"/>
            <w:tcBorders>
              <w:top w:val="single" w:sz="18" w:space="0" w:color="auto"/>
              <w:left w:val="single" w:sz="12" w:space="0" w:color="auto"/>
              <w:bottom w:val="single" w:sz="6" w:space="0" w:color="auto"/>
              <w:right w:val="single" w:sz="18" w:space="0" w:color="auto"/>
            </w:tcBorders>
            <w:shd w:val="clear" w:color="auto" w:fill="auto"/>
            <w:noWrap/>
            <w:vAlign w:val="center"/>
            <w:hideMark/>
          </w:tcPr>
          <w:p w14:paraId="2419D106" w14:textId="77777777" w:rsidR="008B58C4" w:rsidRPr="009148F8" w:rsidRDefault="008B58C4" w:rsidP="00EC669E">
            <w:pPr>
              <w:jc w:val="center"/>
              <w:rPr>
                <w:rFonts w:ascii="Times New Roman" w:eastAsia="Times New Roman" w:hAnsi="Times New Roman"/>
                <w:b/>
                <w:color w:val="000000"/>
                <w:sz w:val="20"/>
                <w:lang w:eastAsia="ko-KR"/>
              </w:rPr>
            </w:pPr>
            <w:r w:rsidRPr="009148F8">
              <w:rPr>
                <w:rFonts w:ascii="Times New Roman" w:eastAsia="Times New Roman" w:hAnsi="Times New Roman"/>
                <w:b/>
                <w:color w:val="000000"/>
                <w:sz w:val="20"/>
                <w:lang w:eastAsia="ko-KR"/>
              </w:rPr>
              <w:t>Exercise</w:t>
            </w:r>
          </w:p>
        </w:tc>
      </w:tr>
      <w:tr w:rsidR="008B58C4" w:rsidRPr="009148F8" w14:paraId="3250CF61" w14:textId="77777777" w:rsidTr="00EC669E">
        <w:trPr>
          <w:trHeight w:val="216"/>
          <w:tblHeader/>
        </w:trPr>
        <w:tc>
          <w:tcPr>
            <w:tcW w:w="4490" w:type="dxa"/>
            <w:gridSpan w:val="2"/>
            <w:vMerge/>
            <w:tcBorders>
              <w:left w:val="single" w:sz="18" w:space="0" w:color="auto"/>
              <w:bottom w:val="single" w:sz="12" w:space="0" w:color="auto"/>
              <w:right w:val="single" w:sz="12" w:space="0" w:color="auto"/>
            </w:tcBorders>
            <w:shd w:val="clear" w:color="auto" w:fill="auto"/>
            <w:noWrap/>
            <w:vAlign w:val="center"/>
            <w:hideMark/>
          </w:tcPr>
          <w:p w14:paraId="4D5B4A4D" w14:textId="77777777" w:rsidR="008B58C4" w:rsidRPr="009148F8" w:rsidRDefault="008B58C4" w:rsidP="00EC669E">
            <w:pPr>
              <w:jc w:val="center"/>
              <w:rPr>
                <w:rFonts w:ascii="Times New Roman" w:eastAsia="Times New Roman" w:hAnsi="Times New Roman"/>
                <w:sz w:val="20"/>
                <w:lang w:eastAsia="ko-KR"/>
              </w:rPr>
            </w:pPr>
          </w:p>
        </w:tc>
        <w:tc>
          <w:tcPr>
            <w:tcW w:w="700" w:type="dxa"/>
            <w:tcBorders>
              <w:top w:val="single" w:sz="6"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423E55B2" w14:textId="77777777" w:rsidR="008B58C4" w:rsidRPr="00B9535B" w:rsidRDefault="008B58C4" w:rsidP="00EC669E">
            <w:pPr>
              <w:jc w:val="center"/>
              <w:rPr>
                <w:rFonts w:ascii="Times New Roman" w:eastAsia="Times New Roman" w:hAnsi="Times New Roman"/>
                <w:bCs/>
                <w:color w:val="000000"/>
                <w:sz w:val="20"/>
                <w:lang w:eastAsia="ko-KR"/>
              </w:rPr>
            </w:pPr>
            <w:r w:rsidRPr="00B9535B">
              <w:rPr>
                <w:rFonts w:ascii="Times New Roman" w:eastAsia="Times New Roman" w:hAnsi="Times New Roman"/>
                <w:bCs/>
                <w:color w:val="000000"/>
                <w:sz w:val="20"/>
                <w:lang w:eastAsia="ko-KR"/>
              </w:rPr>
              <w:t>Coef.</w:t>
            </w:r>
          </w:p>
        </w:tc>
        <w:tc>
          <w:tcPr>
            <w:tcW w:w="701" w:type="dxa"/>
            <w:tcBorders>
              <w:top w:val="single" w:sz="6"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6C6A72D1" w14:textId="77777777" w:rsidR="008B58C4" w:rsidRPr="00B9535B" w:rsidRDefault="008B58C4" w:rsidP="00EC669E">
            <w:pPr>
              <w:jc w:val="center"/>
              <w:rPr>
                <w:rFonts w:ascii="Times New Roman" w:eastAsia="Times New Roman" w:hAnsi="Times New Roman"/>
                <w:bCs/>
                <w:color w:val="000000"/>
                <w:sz w:val="20"/>
                <w:lang w:eastAsia="ko-KR"/>
              </w:rPr>
            </w:pPr>
            <w:r w:rsidRPr="00B9535B">
              <w:rPr>
                <w:rFonts w:ascii="Times New Roman" w:eastAsia="Times New Roman" w:hAnsi="Times New Roman"/>
                <w:bCs/>
                <w:color w:val="000000"/>
                <w:sz w:val="20"/>
                <w:lang w:eastAsia="ko-KR"/>
              </w:rPr>
              <w:t>t-stat</w:t>
            </w:r>
          </w:p>
        </w:tc>
        <w:tc>
          <w:tcPr>
            <w:tcW w:w="701" w:type="dxa"/>
            <w:tcBorders>
              <w:top w:val="single" w:sz="6"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4AC39E02" w14:textId="77777777" w:rsidR="008B58C4" w:rsidRPr="00B9535B" w:rsidRDefault="008B58C4" w:rsidP="00EC669E">
            <w:pPr>
              <w:jc w:val="center"/>
              <w:rPr>
                <w:rFonts w:ascii="Times New Roman" w:eastAsia="Times New Roman" w:hAnsi="Times New Roman"/>
                <w:bCs/>
                <w:color w:val="000000"/>
                <w:sz w:val="20"/>
                <w:lang w:eastAsia="ko-KR"/>
              </w:rPr>
            </w:pPr>
            <w:r w:rsidRPr="00B9535B">
              <w:rPr>
                <w:rFonts w:ascii="Times New Roman" w:eastAsia="Times New Roman" w:hAnsi="Times New Roman"/>
                <w:bCs/>
                <w:color w:val="000000"/>
                <w:sz w:val="20"/>
                <w:lang w:eastAsia="ko-KR"/>
              </w:rPr>
              <w:t>Coef.</w:t>
            </w:r>
          </w:p>
        </w:tc>
        <w:tc>
          <w:tcPr>
            <w:tcW w:w="701" w:type="dxa"/>
            <w:tcBorders>
              <w:top w:val="single" w:sz="6"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4D9183B9" w14:textId="77777777" w:rsidR="008B58C4" w:rsidRPr="00B9535B" w:rsidRDefault="008B58C4" w:rsidP="00EC669E">
            <w:pPr>
              <w:jc w:val="center"/>
              <w:rPr>
                <w:rFonts w:ascii="Times New Roman" w:eastAsia="Times New Roman" w:hAnsi="Times New Roman"/>
                <w:bCs/>
                <w:color w:val="000000"/>
                <w:sz w:val="20"/>
                <w:lang w:eastAsia="ko-KR"/>
              </w:rPr>
            </w:pPr>
            <w:r w:rsidRPr="00B9535B">
              <w:rPr>
                <w:rFonts w:ascii="Times New Roman" w:eastAsia="Times New Roman" w:hAnsi="Times New Roman"/>
                <w:bCs/>
                <w:color w:val="000000"/>
                <w:sz w:val="20"/>
                <w:lang w:eastAsia="ko-KR"/>
              </w:rPr>
              <w:t>t-stat</w:t>
            </w:r>
          </w:p>
        </w:tc>
        <w:tc>
          <w:tcPr>
            <w:tcW w:w="701" w:type="dxa"/>
            <w:tcBorders>
              <w:top w:val="single" w:sz="6"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6277379B" w14:textId="77777777" w:rsidR="008B58C4" w:rsidRPr="00B9535B" w:rsidRDefault="008B58C4" w:rsidP="00EC669E">
            <w:pPr>
              <w:jc w:val="center"/>
              <w:rPr>
                <w:rFonts w:ascii="Times New Roman" w:eastAsia="Times New Roman" w:hAnsi="Times New Roman"/>
                <w:bCs/>
                <w:color w:val="000000"/>
                <w:sz w:val="20"/>
                <w:lang w:eastAsia="ko-KR"/>
              </w:rPr>
            </w:pPr>
            <w:r w:rsidRPr="00B9535B">
              <w:rPr>
                <w:rFonts w:ascii="Times New Roman" w:eastAsia="Times New Roman" w:hAnsi="Times New Roman"/>
                <w:bCs/>
                <w:color w:val="000000"/>
                <w:sz w:val="20"/>
                <w:lang w:eastAsia="ko-KR"/>
              </w:rPr>
              <w:t>Coef.</w:t>
            </w:r>
          </w:p>
        </w:tc>
        <w:tc>
          <w:tcPr>
            <w:tcW w:w="701" w:type="dxa"/>
            <w:tcBorders>
              <w:top w:val="single" w:sz="6"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129D28A0" w14:textId="77777777" w:rsidR="008B58C4" w:rsidRPr="00B9535B" w:rsidRDefault="008B58C4" w:rsidP="00EC669E">
            <w:pPr>
              <w:jc w:val="center"/>
              <w:rPr>
                <w:rFonts w:ascii="Times New Roman" w:eastAsia="Times New Roman" w:hAnsi="Times New Roman"/>
                <w:bCs/>
                <w:color w:val="000000"/>
                <w:sz w:val="20"/>
                <w:lang w:eastAsia="ko-KR"/>
              </w:rPr>
            </w:pPr>
            <w:r w:rsidRPr="00B9535B">
              <w:rPr>
                <w:rFonts w:ascii="Times New Roman" w:eastAsia="Times New Roman" w:hAnsi="Times New Roman"/>
                <w:bCs/>
                <w:color w:val="000000"/>
                <w:sz w:val="20"/>
                <w:lang w:eastAsia="ko-KR"/>
              </w:rPr>
              <w:t>t-stat</w:t>
            </w:r>
          </w:p>
        </w:tc>
        <w:tc>
          <w:tcPr>
            <w:tcW w:w="700" w:type="dxa"/>
            <w:tcBorders>
              <w:top w:val="single" w:sz="6"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322C4A82" w14:textId="77777777" w:rsidR="008B58C4" w:rsidRPr="00B9535B" w:rsidRDefault="008B58C4" w:rsidP="00EC669E">
            <w:pPr>
              <w:jc w:val="center"/>
              <w:rPr>
                <w:rFonts w:ascii="Times New Roman" w:eastAsia="Times New Roman" w:hAnsi="Times New Roman"/>
                <w:bCs/>
                <w:color w:val="000000"/>
                <w:sz w:val="20"/>
                <w:lang w:eastAsia="ko-KR"/>
              </w:rPr>
            </w:pPr>
            <w:r w:rsidRPr="00B9535B">
              <w:rPr>
                <w:rFonts w:ascii="Times New Roman" w:eastAsia="Times New Roman" w:hAnsi="Times New Roman"/>
                <w:bCs/>
                <w:color w:val="000000"/>
                <w:sz w:val="20"/>
                <w:lang w:eastAsia="ko-KR"/>
              </w:rPr>
              <w:t>Coef.</w:t>
            </w:r>
          </w:p>
        </w:tc>
        <w:tc>
          <w:tcPr>
            <w:tcW w:w="701" w:type="dxa"/>
            <w:tcBorders>
              <w:top w:val="single" w:sz="6"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68332288" w14:textId="77777777" w:rsidR="008B58C4" w:rsidRPr="00B9535B" w:rsidRDefault="008B58C4" w:rsidP="00EC669E">
            <w:pPr>
              <w:jc w:val="center"/>
              <w:rPr>
                <w:rFonts w:ascii="Times New Roman" w:eastAsia="Times New Roman" w:hAnsi="Times New Roman"/>
                <w:bCs/>
                <w:color w:val="000000"/>
                <w:sz w:val="20"/>
                <w:lang w:eastAsia="ko-KR"/>
              </w:rPr>
            </w:pPr>
            <w:r w:rsidRPr="00B9535B">
              <w:rPr>
                <w:rFonts w:ascii="Times New Roman" w:eastAsia="Times New Roman" w:hAnsi="Times New Roman"/>
                <w:bCs/>
                <w:color w:val="000000"/>
                <w:sz w:val="20"/>
                <w:lang w:eastAsia="ko-KR"/>
              </w:rPr>
              <w:t>t-stat</w:t>
            </w:r>
          </w:p>
        </w:tc>
        <w:tc>
          <w:tcPr>
            <w:tcW w:w="701" w:type="dxa"/>
            <w:tcBorders>
              <w:top w:val="single" w:sz="6"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0CC0BC49" w14:textId="77777777" w:rsidR="008B58C4" w:rsidRPr="00B9535B" w:rsidRDefault="008B58C4" w:rsidP="00EC669E">
            <w:pPr>
              <w:jc w:val="center"/>
              <w:rPr>
                <w:rFonts w:ascii="Times New Roman" w:eastAsia="Times New Roman" w:hAnsi="Times New Roman"/>
                <w:bCs/>
                <w:color w:val="000000"/>
                <w:sz w:val="20"/>
                <w:lang w:eastAsia="ko-KR"/>
              </w:rPr>
            </w:pPr>
            <w:r w:rsidRPr="00B9535B">
              <w:rPr>
                <w:rFonts w:ascii="Times New Roman" w:eastAsia="Times New Roman" w:hAnsi="Times New Roman"/>
                <w:bCs/>
                <w:color w:val="000000"/>
                <w:sz w:val="20"/>
                <w:lang w:eastAsia="ko-KR"/>
              </w:rPr>
              <w:t>Coef.</w:t>
            </w:r>
          </w:p>
        </w:tc>
        <w:tc>
          <w:tcPr>
            <w:tcW w:w="701" w:type="dxa"/>
            <w:tcBorders>
              <w:top w:val="single" w:sz="6"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5904002E" w14:textId="77777777" w:rsidR="008B58C4" w:rsidRPr="00B9535B" w:rsidRDefault="008B58C4" w:rsidP="00EC669E">
            <w:pPr>
              <w:jc w:val="center"/>
              <w:rPr>
                <w:rFonts w:ascii="Times New Roman" w:eastAsia="Times New Roman" w:hAnsi="Times New Roman"/>
                <w:bCs/>
                <w:color w:val="000000"/>
                <w:sz w:val="20"/>
                <w:lang w:eastAsia="ko-KR"/>
              </w:rPr>
            </w:pPr>
            <w:r w:rsidRPr="00B9535B">
              <w:rPr>
                <w:rFonts w:ascii="Times New Roman" w:eastAsia="Times New Roman" w:hAnsi="Times New Roman"/>
                <w:bCs/>
                <w:color w:val="000000"/>
                <w:sz w:val="20"/>
                <w:lang w:eastAsia="ko-KR"/>
              </w:rPr>
              <w:t>t-stat</w:t>
            </w:r>
          </w:p>
        </w:tc>
        <w:tc>
          <w:tcPr>
            <w:tcW w:w="701" w:type="dxa"/>
            <w:tcBorders>
              <w:top w:val="single" w:sz="6"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0987BF61" w14:textId="77777777" w:rsidR="008B58C4" w:rsidRPr="00B9535B" w:rsidRDefault="008B58C4" w:rsidP="00EC669E">
            <w:pPr>
              <w:jc w:val="center"/>
              <w:rPr>
                <w:rFonts w:ascii="Times New Roman" w:eastAsia="Times New Roman" w:hAnsi="Times New Roman"/>
                <w:bCs/>
                <w:color w:val="000000"/>
                <w:sz w:val="20"/>
                <w:lang w:eastAsia="ko-KR"/>
              </w:rPr>
            </w:pPr>
            <w:r w:rsidRPr="00B9535B">
              <w:rPr>
                <w:rFonts w:ascii="Times New Roman" w:eastAsia="Times New Roman" w:hAnsi="Times New Roman"/>
                <w:bCs/>
                <w:color w:val="000000"/>
                <w:sz w:val="20"/>
                <w:lang w:eastAsia="ko-KR"/>
              </w:rPr>
              <w:t>Coef.</w:t>
            </w:r>
          </w:p>
        </w:tc>
        <w:tc>
          <w:tcPr>
            <w:tcW w:w="701" w:type="dxa"/>
            <w:tcBorders>
              <w:top w:val="single" w:sz="6" w:space="0" w:color="auto"/>
              <w:left w:val="dashSmallGap" w:sz="4" w:space="0" w:color="595959" w:themeColor="text1" w:themeTint="A6"/>
              <w:bottom w:val="single" w:sz="12" w:space="0" w:color="auto"/>
              <w:right w:val="single" w:sz="18" w:space="0" w:color="auto"/>
            </w:tcBorders>
            <w:shd w:val="clear" w:color="auto" w:fill="auto"/>
            <w:noWrap/>
            <w:vAlign w:val="center"/>
            <w:hideMark/>
          </w:tcPr>
          <w:p w14:paraId="37C59779" w14:textId="77777777" w:rsidR="008B58C4" w:rsidRPr="00B9535B" w:rsidRDefault="008B58C4" w:rsidP="00EC669E">
            <w:pPr>
              <w:jc w:val="center"/>
              <w:rPr>
                <w:rFonts w:ascii="Times New Roman" w:eastAsia="Times New Roman" w:hAnsi="Times New Roman"/>
                <w:bCs/>
                <w:color w:val="000000"/>
                <w:sz w:val="20"/>
                <w:lang w:eastAsia="ko-KR"/>
              </w:rPr>
            </w:pPr>
            <w:r w:rsidRPr="00B9535B">
              <w:rPr>
                <w:rFonts w:ascii="Times New Roman" w:eastAsia="Times New Roman" w:hAnsi="Times New Roman"/>
                <w:bCs/>
                <w:color w:val="000000"/>
                <w:sz w:val="20"/>
                <w:lang w:eastAsia="ko-KR"/>
              </w:rPr>
              <w:t>t-stat</w:t>
            </w:r>
          </w:p>
        </w:tc>
      </w:tr>
      <w:tr w:rsidR="008B58C4" w:rsidRPr="009148F8" w14:paraId="1EDADBDF" w14:textId="77777777" w:rsidTr="00EC669E">
        <w:trPr>
          <w:trHeight w:val="216"/>
        </w:trPr>
        <w:tc>
          <w:tcPr>
            <w:tcW w:w="12900" w:type="dxa"/>
            <w:gridSpan w:val="14"/>
            <w:tcBorders>
              <w:left w:val="single" w:sz="18" w:space="0" w:color="auto"/>
              <w:bottom w:val="single" w:sz="6" w:space="0" w:color="auto"/>
              <w:right w:val="single" w:sz="18" w:space="0" w:color="auto"/>
            </w:tcBorders>
            <w:shd w:val="clear" w:color="auto" w:fill="auto"/>
            <w:noWrap/>
            <w:vAlign w:val="center"/>
          </w:tcPr>
          <w:p w14:paraId="61308E95" w14:textId="77777777" w:rsidR="008B58C4" w:rsidRPr="00762F76" w:rsidRDefault="008B58C4" w:rsidP="00EC669E">
            <w:pPr>
              <w:ind w:left="72"/>
              <w:jc w:val="both"/>
              <w:rPr>
                <w:rFonts w:ascii="Times New Roman" w:eastAsia="Times New Roman" w:hAnsi="Times New Roman"/>
                <w:i/>
                <w:iCs/>
                <w:color w:val="000000"/>
                <w:sz w:val="20"/>
                <w:lang w:eastAsia="ko-KR"/>
              </w:rPr>
            </w:pPr>
            <w:r w:rsidRPr="00762F76">
              <w:rPr>
                <w:rFonts w:ascii="Times New Roman" w:eastAsia="Times New Roman" w:hAnsi="Times New Roman"/>
                <w:i/>
                <w:iCs/>
                <w:color w:val="000000"/>
                <w:sz w:val="20"/>
                <w:lang w:eastAsia="ko-KR"/>
              </w:rPr>
              <w:t xml:space="preserve">Individual </w:t>
            </w:r>
            <w:r>
              <w:rPr>
                <w:rFonts w:ascii="Times New Roman" w:eastAsia="Times New Roman" w:hAnsi="Times New Roman"/>
                <w:i/>
                <w:iCs/>
                <w:color w:val="000000"/>
                <w:sz w:val="20"/>
                <w:lang w:eastAsia="ko-KR"/>
              </w:rPr>
              <w:t>c</w:t>
            </w:r>
            <w:r w:rsidRPr="00762F76">
              <w:rPr>
                <w:rFonts w:ascii="Times New Roman" w:eastAsia="Times New Roman" w:hAnsi="Times New Roman"/>
                <w:i/>
                <w:iCs/>
                <w:color w:val="000000"/>
                <w:sz w:val="20"/>
                <w:lang w:eastAsia="ko-KR"/>
              </w:rPr>
              <w:t>haracteristics</w:t>
            </w:r>
          </w:p>
        </w:tc>
      </w:tr>
      <w:tr w:rsidR="008B58C4" w:rsidRPr="009148F8" w14:paraId="54CA989E" w14:textId="77777777" w:rsidTr="00EC669E">
        <w:trPr>
          <w:trHeight w:val="216"/>
        </w:trPr>
        <w:tc>
          <w:tcPr>
            <w:tcW w:w="2600" w:type="dxa"/>
            <w:vMerge w:val="restart"/>
            <w:tcBorders>
              <w:top w:val="single" w:sz="6" w:space="0" w:color="auto"/>
              <w:left w:val="single" w:sz="18" w:space="0" w:color="auto"/>
              <w:right w:val="single" w:sz="6" w:space="0" w:color="auto"/>
            </w:tcBorders>
            <w:shd w:val="clear" w:color="auto" w:fill="auto"/>
            <w:noWrap/>
            <w:vAlign w:val="center"/>
          </w:tcPr>
          <w:p w14:paraId="4D31C983"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Age ( &lt;50 years)</w:t>
            </w:r>
          </w:p>
        </w:tc>
        <w:tc>
          <w:tcPr>
            <w:tcW w:w="1890" w:type="dxa"/>
            <w:tcBorders>
              <w:top w:val="single" w:sz="6" w:space="0" w:color="auto"/>
              <w:left w:val="single" w:sz="6" w:space="0" w:color="auto"/>
              <w:bottom w:val="dashSmallGap" w:sz="4" w:space="0" w:color="595959" w:themeColor="text1" w:themeTint="A6"/>
              <w:right w:val="single" w:sz="12" w:space="0" w:color="auto"/>
            </w:tcBorders>
            <w:shd w:val="clear" w:color="auto" w:fill="auto"/>
            <w:vAlign w:val="center"/>
          </w:tcPr>
          <w:p w14:paraId="0A0C75B8"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50</w:t>
            </w:r>
            <w:r>
              <w:rPr>
                <w:rFonts w:ascii="Times New Roman" w:eastAsia="Times New Roman" w:hAnsi="Times New Roman"/>
                <w:color w:val="000000"/>
                <w:sz w:val="20"/>
                <w:lang w:eastAsia="ko-KR"/>
              </w:rPr>
              <w:t xml:space="preserve"> to </w:t>
            </w:r>
            <w:r w:rsidRPr="00CC449C">
              <w:rPr>
                <w:rFonts w:ascii="Times New Roman" w:eastAsia="Times New Roman" w:hAnsi="Times New Roman"/>
                <w:color w:val="000000"/>
                <w:sz w:val="20"/>
                <w:lang w:eastAsia="ko-KR"/>
              </w:rPr>
              <w:t>64</w:t>
            </w:r>
            <w:r>
              <w:rPr>
                <w:rFonts w:ascii="Times New Roman" w:eastAsia="Times New Roman" w:hAnsi="Times New Roman"/>
                <w:color w:val="000000"/>
                <w:sz w:val="20"/>
                <w:lang w:eastAsia="ko-KR"/>
              </w:rPr>
              <w:t xml:space="preserve"> years</w:t>
            </w:r>
          </w:p>
        </w:tc>
        <w:tc>
          <w:tcPr>
            <w:tcW w:w="700"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hideMark/>
          </w:tcPr>
          <w:p w14:paraId="1B0CC021"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hideMark/>
          </w:tcPr>
          <w:p w14:paraId="533372E0"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hideMark/>
          </w:tcPr>
          <w:p w14:paraId="77CAE0C0"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hideMark/>
          </w:tcPr>
          <w:p w14:paraId="3D1D1CBD"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hideMark/>
          </w:tcPr>
          <w:p w14:paraId="20E4433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hideMark/>
          </w:tcPr>
          <w:p w14:paraId="6FF39CE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0"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hideMark/>
          </w:tcPr>
          <w:p w14:paraId="6FD7106C"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hideMark/>
          </w:tcPr>
          <w:p w14:paraId="289DFC97"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hideMark/>
          </w:tcPr>
          <w:p w14:paraId="4FF0025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hideMark/>
          </w:tcPr>
          <w:p w14:paraId="4596F3D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hideMark/>
          </w:tcPr>
          <w:p w14:paraId="4B153AF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0.30</w:t>
            </w:r>
          </w:p>
        </w:tc>
        <w:tc>
          <w:tcPr>
            <w:tcW w:w="701" w:type="dxa"/>
            <w:tcBorders>
              <w:top w:val="single" w:sz="6" w:space="0" w:color="auto"/>
              <w:left w:val="dashSmallGap" w:sz="4" w:space="0" w:color="595959" w:themeColor="text1" w:themeTint="A6"/>
              <w:bottom w:val="dashSmallGap" w:sz="4" w:space="0" w:color="595959" w:themeColor="text1" w:themeTint="A6"/>
              <w:right w:val="single" w:sz="18" w:space="0" w:color="auto"/>
            </w:tcBorders>
            <w:shd w:val="clear" w:color="auto" w:fill="auto"/>
            <w:noWrap/>
            <w:vAlign w:val="center"/>
            <w:hideMark/>
          </w:tcPr>
          <w:p w14:paraId="0884415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2.20</w:t>
            </w:r>
          </w:p>
        </w:tc>
      </w:tr>
      <w:tr w:rsidR="008B58C4" w:rsidRPr="009148F8" w14:paraId="42F59B99" w14:textId="77777777" w:rsidTr="00EC669E">
        <w:trPr>
          <w:trHeight w:val="216"/>
        </w:trPr>
        <w:tc>
          <w:tcPr>
            <w:tcW w:w="2600" w:type="dxa"/>
            <w:vMerge/>
            <w:tcBorders>
              <w:left w:val="single" w:sz="18" w:space="0" w:color="auto"/>
              <w:bottom w:val="single" w:sz="6" w:space="0" w:color="auto"/>
              <w:right w:val="single" w:sz="6" w:space="0" w:color="auto"/>
            </w:tcBorders>
            <w:shd w:val="clear" w:color="auto" w:fill="auto"/>
            <w:noWrap/>
            <w:vAlign w:val="center"/>
          </w:tcPr>
          <w:p w14:paraId="7B4DB738" w14:textId="77777777" w:rsidR="008B58C4" w:rsidRPr="00CC449C" w:rsidRDefault="008B58C4" w:rsidP="00EC669E">
            <w:pPr>
              <w:ind w:left="72"/>
              <w:rPr>
                <w:rFonts w:ascii="Times New Roman" w:eastAsia="Times New Roman" w:hAnsi="Times New Roman"/>
                <w:color w:val="000000"/>
                <w:sz w:val="20"/>
                <w:lang w:eastAsia="ko-KR"/>
              </w:rPr>
            </w:pPr>
          </w:p>
        </w:tc>
        <w:tc>
          <w:tcPr>
            <w:tcW w:w="1890" w:type="dxa"/>
            <w:tcBorders>
              <w:top w:val="dashSmallGap" w:sz="4" w:space="0" w:color="595959" w:themeColor="text1" w:themeTint="A6"/>
              <w:left w:val="single" w:sz="6" w:space="0" w:color="auto"/>
              <w:bottom w:val="single" w:sz="6" w:space="0" w:color="auto"/>
              <w:right w:val="single" w:sz="12" w:space="0" w:color="auto"/>
            </w:tcBorders>
            <w:shd w:val="clear" w:color="auto" w:fill="auto"/>
            <w:vAlign w:val="center"/>
          </w:tcPr>
          <w:p w14:paraId="6F7AC6AB"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 xml:space="preserve">65 </w:t>
            </w:r>
            <w:r>
              <w:rPr>
                <w:rFonts w:ascii="Times New Roman" w:eastAsia="Times New Roman" w:hAnsi="Times New Roman"/>
                <w:color w:val="000000"/>
                <w:sz w:val="20"/>
                <w:lang w:eastAsia="ko-KR"/>
              </w:rPr>
              <w:t xml:space="preserve">years </w:t>
            </w:r>
            <w:r w:rsidRPr="00CC449C">
              <w:rPr>
                <w:rFonts w:ascii="Times New Roman" w:eastAsia="Times New Roman" w:hAnsi="Times New Roman"/>
                <w:color w:val="000000"/>
                <w:sz w:val="20"/>
                <w:lang w:eastAsia="ko-KR"/>
              </w:rPr>
              <w:t>or older</w:t>
            </w:r>
          </w:p>
        </w:tc>
        <w:tc>
          <w:tcPr>
            <w:tcW w:w="700"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hideMark/>
          </w:tcPr>
          <w:p w14:paraId="54247A8B"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-0.19</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hideMark/>
          </w:tcPr>
          <w:p w14:paraId="167DFA0B"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-1.59</w:t>
            </w:r>
          </w:p>
        </w:tc>
        <w:tc>
          <w:tcPr>
            <w:tcW w:w="701"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hideMark/>
          </w:tcPr>
          <w:p w14:paraId="79EE3FC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hideMark/>
          </w:tcPr>
          <w:p w14:paraId="44118F95"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hideMark/>
          </w:tcPr>
          <w:p w14:paraId="70BE1C5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hideMark/>
          </w:tcPr>
          <w:p w14:paraId="485163C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0"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hideMark/>
          </w:tcPr>
          <w:p w14:paraId="756DE25E"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0.19</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hideMark/>
          </w:tcPr>
          <w:p w14:paraId="139233E0"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1.68</w:t>
            </w:r>
          </w:p>
        </w:tc>
        <w:tc>
          <w:tcPr>
            <w:tcW w:w="701"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hideMark/>
          </w:tcPr>
          <w:p w14:paraId="6ADCD870"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-0.81</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hideMark/>
          </w:tcPr>
          <w:p w14:paraId="35682624"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-3.65</w:t>
            </w:r>
          </w:p>
        </w:tc>
        <w:tc>
          <w:tcPr>
            <w:tcW w:w="701"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hideMark/>
          </w:tcPr>
          <w:p w14:paraId="778C0AD1"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0.46</w:t>
            </w:r>
          </w:p>
        </w:tc>
        <w:tc>
          <w:tcPr>
            <w:tcW w:w="701" w:type="dxa"/>
            <w:tcBorders>
              <w:top w:val="dashSmallGap" w:sz="4" w:space="0" w:color="595959" w:themeColor="text1" w:themeTint="A6"/>
              <w:left w:val="dashSmallGap" w:sz="4" w:space="0" w:color="595959" w:themeColor="text1" w:themeTint="A6"/>
              <w:bottom w:val="single" w:sz="6" w:space="0" w:color="auto"/>
              <w:right w:val="single" w:sz="18" w:space="0" w:color="auto"/>
            </w:tcBorders>
            <w:shd w:val="clear" w:color="auto" w:fill="auto"/>
            <w:noWrap/>
            <w:vAlign w:val="center"/>
            <w:hideMark/>
          </w:tcPr>
          <w:p w14:paraId="5287E8AA"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2.70</w:t>
            </w:r>
          </w:p>
        </w:tc>
      </w:tr>
      <w:tr w:rsidR="008B58C4" w:rsidRPr="009148F8" w14:paraId="46232E98" w14:textId="77777777" w:rsidTr="00EC669E">
        <w:trPr>
          <w:trHeight w:val="216"/>
        </w:trPr>
        <w:tc>
          <w:tcPr>
            <w:tcW w:w="2600" w:type="dxa"/>
            <w:tcBorders>
              <w:top w:val="single" w:sz="6" w:space="0" w:color="auto"/>
              <w:left w:val="single" w:sz="18" w:space="0" w:color="auto"/>
              <w:bottom w:val="single" w:sz="6" w:space="0" w:color="auto"/>
              <w:right w:val="single" w:sz="6" w:space="0" w:color="auto"/>
            </w:tcBorders>
            <w:shd w:val="clear" w:color="auto" w:fill="auto"/>
            <w:noWrap/>
            <w:vAlign w:val="center"/>
            <w:hideMark/>
          </w:tcPr>
          <w:p w14:paraId="635F0E41"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Gender (male)</w:t>
            </w:r>
          </w:p>
        </w:tc>
        <w:tc>
          <w:tcPr>
            <w:tcW w:w="1890" w:type="dxa"/>
            <w:tcBorders>
              <w:top w:val="single" w:sz="6" w:space="0" w:color="auto"/>
              <w:left w:val="single" w:sz="6" w:space="0" w:color="auto"/>
              <w:bottom w:val="single" w:sz="6" w:space="0" w:color="auto"/>
              <w:right w:val="single" w:sz="12" w:space="0" w:color="auto"/>
            </w:tcBorders>
            <w:shd w:val="clear" w:color="auto" w:fill="auto"/>
            <w:vAlign w:val="center"/>
          </w:tcPr>
          <w:p w14:paraId="50B2AD01"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Female</w:t>
            </w:r>
          </w:p>
        </w:tc>
        <w:tc>
          <w:tcPr>
            <w:tcW w:w="700"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71A3CD9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3412E59C"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53FF5DB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06BB6A10"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5EE091D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684807D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0"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2E61FDC1"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00509A80"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2F43DB9F"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-0.26</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594D224D"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-1.70</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7F29CD65"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8" w:space="0" w:color="auto"/>
            </w:tcBorders>
            <w:shd w:val="clear" w:color="auto" w:fill="auto"/>
            <w:noWrap/>
            <w:vAlign w:val="center"/>
            <w:hideMark/>
          </w:tcPr>
          <w:p w14:paraId="01B98B57"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r>
      <w:tr w:rsidR="008B58C4" w:rsidRPr="009148F8" w14:paraId="1E1C32B8" w14:textId="77777777" w:rsidTr="00EC669E">
        <w:trPr>
          <w:trHeight w:val="216"/>
        </w:trPr>
        <w:tc>
          <w:tcPr>
            <w:tcW w:w="2600"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4EBF5A95"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Education level (≤ bachelor)</w:t>
            </w:r>
          </w:p>
        </w:tc>
        <w:tc>
          <w:tcPr>
            <w:tcW w:w="1890" w:type="dxa"/>
            <w:tcBorders>
              <w:top w:val="single" w:sz="6" w:space="0" w:color="auto"/>
              <w:left w:val="single" w:sz="6" w:space="0" w:color="auto"/>
              <w:bottom w:val="single" w:sz="6" w:space="0" w:color="auto"/>
              <w:right w:val="single" w:sz="12" w:space="0" w:color="auto"/>
            </w:tcBorders>
            <w:shd w:val="clear" w:color="auto" w:fill="auto"/>
            <w:vAlign w:val="center"/>
          </w:tcPr>
          <w:p w14:paraId="1E02DD0C" w14:textId="77777777" w:rsidR="008B58C4" w:rsidRPr="00CC449C" w:rsidRDefault="008B58C4" w:rsidP="00EC669E">
            <w:pPr>
              <w:ind w:left="72"/>
              <w:rPr>
                <w:rFonts w:ascii="Times New Roman" w:eastAsia="Times New Roman" w:hAnsi="Times New Roman"/>
                <w:color w:val="000000"/>
                <w:sz w:val="20"/>
                <w:lang w:eastAsia="ko-KR"/>
              </w:rPr>
            </w:pPr>
            <w:r>
              <w:rPr>
                <w:rFonts w:ascii="Times New Roman" w:eastAsia="Times New Roman" w:hAnsi="Times New Roman"/>
                <w:color w:val="000000"/>
                <w:sz w:val="20"/>
                <w:lang w:eastAsia="ko-KR"/>
              </w:rPr>
              <w:t>Graduate degree</w:t>
            </w:r>
          </w:p>
        </w:tc>
        <w:tc>
          <w:tcPr>
            <w:tcW w:w="700"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6EE6E3CF"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2ABE5CDC"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63FD23AF"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014EE085"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4A081007"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0.27</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325BC1D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1.84</w:t>
            </w:r>
          </w:p>
        </w:tc>
        <w:tc>
          <w:tcPr>
            <w:tcW w:w="700"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052876F4"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-0.13</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7C682F4D"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-1.20</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43EB93CF"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3F92495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6A14399D"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8" w:space="0" w:color="auto"/>
            </w:tcBorders>
            <w:shd w:val="clear" w:color="auto" w:fill="auto"/>
            <w:noWrap/>
            <w:vAlign w:val="center"/>
            <w:hideMark/>
          </w:tcPr>
          <w:p w14:paraId="24F31FEB"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r>
      <w:tr w:rsidR="008B58C4" w:rsidRPr="009148F8" w14:paraId="3995A426" w14:textId="77777777" w:rsidTr="00EC669E">
        <w:trPr>
          <w:trHeight w:val="216"/>
        </w:trPr>
        <w:tc>
          <w:tcPr>
            <w:tcW w:w="12900" w:type="dxa"/>
            <w:gridSpan w:val="14"/>
            <w:tcBorders>
              <w:top w:val="single" w:sz="6" w:space="0" w:color="auto"/>
              <w:left w:val="single" w:sz="18" w:space="0" w:color="auto"/>
              <w:bottom w:val="single" w:sz="6" w:space="0" w:color="auto"/>
              <w:right w:val="single" w:sz="18" w:space="0" w:color="auto"/>
            </w:tcBorders>
            <w:shd w:val="clear" w:color="auto" w:fill="auto"/>
            <w:noWrap/>
            <w:vAlign w:val="center"/>
          </w:tcPr>
          <w:p w14:paraId="3AD28719" w14:textId="77777777" w:rsidR="008B58C4" w:rsidRPr="00762F76" w:rsidRDefault="008B58C4" w:rsidP="00EC669E">
            <w:pPr>
              <w:ind w:left="72"/>
              <w:rPr>
                <w:rFonts w:ascii="Times New Roman" w:eastAsia="Times New Roman" w:hAnsi="Times New Roman"/>
                <w:i/>
                <w:iCs/>
                <w:color w:val="000000"/>
                <w:sz w:val="20"/>
                <w:lang w:eastAsia="ko-KR"/>
              </w:rPr>
            </w:pPr>
            <w:r w:rsidRPr="00762F76">
              <w:rPr>
                <w:rFonts w:ascii="Times New Roman" w:eastAsia="Times New Roman" w:hAnsi="Times New Roman"/>
                <w:i/>
                <w:iCs/>
                <w:color w:val="000000"/>
                <w:sz w:val="20"/>
                <w:lang w:eastAsia="ko-KR"/>
              </w:rPr>
              <w:t xml:space="preserve">Household </w:t>
            </w:r>
            <w:r>
              <w:rPr>
                <w:rFonts w:ascii="Times New Roman" w:eastAsia="Times New Roman" w:hAnsi="Times New Roman"/>
                <w:i/>
                <w:iCs/>
                <w:color w:val="000000"/>
                <w:sz w:val="20"/>
                <w:lang w:eastAsia="ko-KR"/>
              </w:rPr>
              <w:t>c</w:t>
            </w:r>
            <w:r w:rsidRPr="00762F76">
              <w:rPr>
                <w:rFonts w:ascii="Times New Roman" w:eastAsia="Times New Roman" w:hAnsi="Times New Roman"/>
                <w:i/>
                <w:iCs/>
                <w:color w:val="000000"/>
                <w:sz w:val="20"/>
                <w:lang w:eastAsia="ko-KR"/>
              </w:rPr>
              <w:t>haracteristics</w:t>
            </w:r>
          </w:p>
        </w:tc>
      </w:tr>
      <w:tr w:rsidR="008B58C4" w:rsidRPr="009148F8" w14:paraId="4AD1D91B" w14:textId="77777777" w:rsidTr="00EC669E">
        <w:trPr>
          <w:trHeight w:val="216"/>
        </w:trPr>
        <w:tc>
          <w:tcPr>
            <w:tcW w:w="2600" w:type="dxa"/>
            <w:vMerge w:val="restart"/>
            <w:tcBorders>
              <w:top w:val="single" w:sz="6" w:space="0" w:color="auto"/>
              <w:left w:val="single" w:sz="18" w:space="0" w:color="auto"/>
              <w:right w:val="single" w:sz="6" w:space="0" w:color="auto"/>
            </w:tcBorders>
            <w:shd w:val="clear" w:color="auto" w:fill="auto"/>
            <w:noWrap/>
            <w:vAlign w:val="center"/>
          </w:tcPr>
          <w:p w14:paraId="3CC70605"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Household composition (</w:t>
            </w:r>
            <w:r>
              <w:rPr>
                <w:rFonts w:ascii="Times New Roman" w:eastAsia="Times New Roman" w:hAnsi="Times New Roman"/>
                <w:color w:val="000000"/>
                <w:sz w:val="20"/>
                <w:lang w:eastAsia="ko-KR"/>
              </w:rPr>
              <w:t>m</w:t>
            </w:r>
            <w:r w:rsidRPr="00CC449C">
              <w:rPr>
                <w:rFonts w:ascii="Times New Roman" w:eastAsia="Times New Roman" w:hAnsi="Times New Roman"/>
                <w:color w:val="000000"/>
                <w:sz w:val="20"/>
                <w:lang w:eastAsia="ko-KR"/>
              </w:rPr>
              <w:t>ultiple adults with no child)</w:t>
            </w:r>
          </w:p>
        </w:tc>
        <w:tc>
          <w:tcPr>
            <w:tcW w:w="1890" w:type="dxa"/>
            <w:tcBorders>
              <w:top w:val="single" w:sz="6" w:space="0" w:color="auto"/>
              <w:left w:val="single" w:sz="6" w:space="0" w:color="auto"/>
              <w:bottom w:val="dashSmallGap" w:sz="4" w:space="0" w:color="595959" w:themeColor="text1" w:themeTint="A6"/>
              <w:right w:val="single" w:sz="12" w:space="0" w:color="auto"/>
            </w:tcBorders>
            <w:shd w:val="clear" w:color="auto" w:fill="auto"/>
            <w:vAlign w:val="center"/>
          </w:tcPr>
          <w:p w14:paraId="3A3EBAD8"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Liv</w:t>
            </w:r>
            <w:r>
              <w:rPr>
                <w:rFonts w:ascii="Times New Roman" w:eastAsia="Times New Roman" w:hAnsi="Times New Roman"/>
                <w:color w:val="000000"/>
                <w:sz w:val="20"/>
                <w:lang w:eastAsia="ko-KR"/>
              </w:rPr>
              <w:t>ing</w:t>
            </w:r>
            <w:r w:rsidRPr="00CC449C">
              <w:rPr>
                <w:rFonts w:ascii="Times New Roman" w:eastAsia="Times New Roman" w:hAnsi="Times New Roman"/>
                <w:color w:val="000000"/>
                <w:sz w:val="20"/>
                <w:lang w:eastAsia="ko-KR"/>
              </w:rPr>
              <w:t xml:space="preserve"> alone</w:t>
            </w:r>
          </w:p>
        </w:tc>
        <w:tc>
          <w:tcPr>
            <w:tcW w:w="700"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tcPr>
          <w:p w14:paraId="1392BFD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tcPr>
          <w:p w14:paraId="7FD59C7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tcPr>
          <w:p w14:paraId="40E0CF35"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tcPr>
          <w:p w14:paraId="0B7A0AD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tcPr>
          <w:p w14:paraId="63FE5A67"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tcPr>
          <w:p w14:paraId="2FDF172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0"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tcPr>
          <w:p w14:paraId="1C87348B"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tcPr>
          <w:p w14:paraId="09F76D0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tcPr>
          <w:p w14:paraId="741E3F51"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0.31</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tcPr>
          <w:p w14:paraId="476FF2D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1.96</w:t>
            </w:r>
          </w:p>
        </w:tc>
        <w:tc>
          <w:tcPr>
            <w:tcW w:w="701"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tcPr>
          <w:p w14:paraId="2CC44261"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dashSmallGap" w:sz="4" w:space="0" w:color="595959" w:themeColor="text1" w:themeTint="A6"/>
              <w:right w:val="single" w:sz="18" w:space="0" w:color="auto"/>
            </w:tcBorders>
            <w:shd w:val="clear" w:color="auto" w:fill="auto"/>
            <w:noWrap/>
            <w:vAlign w:val="center"/>
          </w:tcPr>
          <w:p w14:paraId="00334B0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r>
      <w:tr w:rsidR="008B58C4" w:rsidRPr="009148F8" w14:paraId="405106C7" w14:textId="77777777" w:rsidTr="00EC669E">
        <w:trPr>
          <w:trHeight w:val="216"/>
        </w:trPr>
        <w:tc>
          <w:tcPr>
            <w:tcW w:w="2600" w:type="dxa"/>
            <w:vMerge/>
            <w:tcBorders>
              <w:left w:val="single" w:sz="18" w:space="0" w:color="auto"/>
              <w:bottom w:val="single" w:sz="6" w:space="0" w:color="auto"/>
              <w:right w:val="single" w:sz="6" w:space="0" w:color="auto"/>
            </w:tcBorders>
            <w:shd w:val="clear" w:color="auto" w:fill="auto"/>
            <w:noWrap/>
            <w:vAlign w:val="center"/>
          </w:tcPr>
          <w:p w14:paraId="6F82B5ED" w14:textId="77777777" w:rsidR="008B58C4" w:rsidRPr="00CC449C" w:rsidRDefault="008B58C4" w:rsidP="00EC669E">
            <w:pPr>
              <w:ind w:left="72"/>
              <w:rPr>
                <w:rFonts w:ascii="Times New Roman" w:eastAsia="Times New Roman" w:hAnsi="Times New Roman"/>
                <w:color w:val="000000"/>
                <w:sz w:val="20"/>
                <w:lang w:eastAsia="ko-KR"/>
              </w:rPr>
            </w:pPr>
          </w:p>
        </w:tc>
        <w:tc>
          <w:tcPr>
            <w:tcW w:w="1890" w:type="dxa"/>
            <w:tcBorders>
              <w:top w:val="dashSmallGap" w:sz="4" w:space="0" w:color="595959" w:themeColor="text1" w:themeTint="A6"/>
              <w:left w:val="single" w:sz="6" w:space="0" w:color="auto"/>
              <w:bottom w:val="single" w:sz="6" w:space="0" w:color="auto"/>
              <w:right w:val="single" w:sz="12" w:space="0" w:color="auto"/>
            </w:tcBorders>
            <w:shd w:val="clear" w:color="auto" w:fill="auto"/>
            <w:vAlign w:val="center"/>
          </w:tcPr>
          <w:p w14:paraId="048A3A84"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Liv</w:t>
            </w:r>
            <w:r>
              <w:rPr>
                <w:rFonts w:ascii="Times New Roman" w:eastAsia="Times New Roman" w:hAnsi="Times New Roman"/>
                <w:color w:val="000000"/>
                <w:sz w:val="20"/>
                <w:lang w:eastAsia="ko-KR"/>
              </w:rPr>
              <w:t>ing</w:t>
            </w:r>
            <w:r w:rsidRPr="00CC449C">
              <w:rPr>
                <w:rFonts w:ascii="Times New Roman" w:eastAsia="Times New Roman" w:hAnsi="Times New Roman"/>
                <w:color w:val="000000"/>
                <w:sz w:val="20"/>
                <w:lang w:eastAsia="ko-KR"/>
              </w:rPr>
              <w:t xml:space="preserve"> with child</w:t>
            </w:r>
          </w:p>
        </w:tc>
        <w:tc>
          <w:tcPr>
            <w:tcW w:w="700"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tcPr>
          <w:p w14:paraId="45F37F58"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0.21</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tcPr>
          <w:p w14:paraId="29691EF3"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1.64</w:t>
            </w:r>
          </w:p>
        </w:tc>
        <w:tc>
          <w:tcPr>
            <w:tcW w:w="701"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tcPr>
          <w:p w14:paraId="40D50ACC"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tcPr>
          <w:p w14:paraId="480C08A1"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tcPr>
          <w:p w14:paraId="10B3DE2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tcPr>
          <w:p w14:paraId="5F5D896E"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0"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tcPr>
          <w:p w14:paraId="226E1AF4"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tcPr>
          <w:p w14:paraId="750CBBE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tcPr>
          <w:p w14:paraId="0490C49E"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tcPr>
          <w:p w14:paraId="40D38A1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tcPr>
          <w:p w14:paraId="0E6539AC"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dashSmallGap" w:sz="4" w:space="0" w:color="595959" w:themeColor="text1" w:themeTint="A6"/>
              <w:bottom w:val="single" w:sz="6" w:space="0" w:color="auto"/>
              <w:right w:val="single" w:sz="18" w:space="0" w:color="auto"/>
            </w:tcBorders>
            <w:shd w:val="clear" w:color="auto" w:fill="auto"/>
            <w:noWrap/>
            <w:vAlign w:val="center"/>
          </w:tcPr>
          <w:p w14:paraId="5C62407E"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r>
      <w:tr w:rsidR="008B58C4" w:rsidRPr="009148F8" w14:paraId="47E3A281" w14:textId="77777777" w:rsidTr="00EC669E">
        <w:trPr>
          <w:trHeight w:val="216"/>
        </w:trPr>
        <w:tc>
          <w:tcPr>
            <w:tcW w:w="2600"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7F7DD46F"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Household vehicles (</w:t>
            </w:r>
            <w:r>
              <w:rPr>
                <w:rFonts w:ascii="Times New Roman" w:eastAsia="Times New Roman" w:hAnsi="Times New Roman"/>
                <w:color w:val="000000"/>
                <w:sz w:val="20"/>
                <w:lang w:eastAsia="ko-KR"/>
              </w:rPr>
              <w:t>n</w:t>
            </w:r>
            <w:r w:rsidRPr="00CC449C">
              <w:rPr>
                <w:rFonts w:ascii="Times New Roman" w:eastAsia="Times New Roman" w:hAnsi="Times New Roman"/>
                <w:color w:val="000000"/>
                <w:sz w:val="20"/>
                <w:lang w:eastAsia="ko-KR"/>
              </w:rPr>
              <w:t>one)</w:t>
            </w:r>
          </w:p>
        </w:tc>
        <w:tc>
          <w:tcPr>
            <w:tcW w:w="1890" w:type="dxa"/>
            <w:tcBorders>
              <w:top w:val="single" w:sz="6" w:space="0" w:color="auto"/>
              <w:left w:val="single" w:sz="6" w:space="0" w:color="auto"/>
              <w:bottom w:val="single" w:sz="6" w:space="0" w:color="auto"/>
              <w:right w:val="single" w:sz="12" w:space="0" w:color="auto"/>
            </w:tcBorders>
            <w:shd w:val="clear" w:color="auto" w:fill="auto"/>
            <w:vAlign w:val="center"/>
          </w:tcPr>
          <w:p w14:paraId="194BA5DB"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 xml:space="preserve">One or more </w:t>
            </w:r>
          </w:p>
        </w:tc>
        <w:tc>
          <w:tcPr>
            <w:tcW w:w="700"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tcPr>
          <w:p w14:paraId="06267C08"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tcPr>
          <w:p w14:paraId="0D70FE9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tcPr>
          <w:p w14:paraId="42E3F63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tcPr>
          <w:p w14:paraId="3E68A1FF"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tcPr>
          <w:p w14:paraId="4F1B9891"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tcPr>
          <w:p w14:paraId="70B8BFD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0"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tcPr>
          <w:p w14:paraId="7AA4EB7A"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tcPr>
          <w:p w14:paraId="23EAAD1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tcPr>
          <w:p w14:paraId="7CFE47DA"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-0.61</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tcPr>
          <w:p w14:paraId="42177EDD"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-2.42</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tcPr>
          <w:p w14:paraId="1A6ACA1E"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8" w:space="0" w:color="auto"/>
            </w:tcBorders>
            <w:shd w:val="clear" w:color="auto" w:fill="auto"/>
            <w:noWrap/>
            <w:vAlign w:val="center"/>
          </w:tcPr>
          <w:p w14:paraId="0DD88E9C"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r>
      <w:tr w:rsidR="008B58C4" w:rsidRPr="009148F8" w14:paraId="1C7F01DD" w14:textId="77777777" w:rsidTr="00EC669E">
        <w:trPr>
          <w:trHeight w:val="216"/>
        </w:trPr>
        <w:tc>
          <w:tcPr>
            <w:tcW w:w="12900" w:type="dxa"/>
            <w:gridSpan w:val="14"/>
            <w:tcBorders>
              <w:top w:val="single" w:sz="6" w:space="0" w:color="auto"/>
              <w:left w:val="single" w:sz="18" w:space="0" w:color="auto"/>
              <w:bottom w:val="single" w:sz="6" w:space="0" w:color="auto"/>
              <w:right w:val="single" w:sz="18" w:space="0" w:color="auto"/>
            </w:tcBorders>
            <w:shd w:val="clear" w:color="auto" w:fill="auto"/>
            <w:noWrap/>
            <w:vAlign w:val="center"/>
          </w:tcPr>
          <w:p w14:paraId="02DE12AC" w14:textId="77777777" w:rsidR="008B58C4" w:rsidRPr="00762F76" w:rsidRDefault="008B58C4" w:rsidP="00EC669E">
            <w:pPr>
              <w:ind w:left="72"/>
              <w:rPr>
                <w:rFonts w:ascii="Times New Roman" w:eastAsia="Times New Roman" w:hAnsi="Times New Roman"/>
                <w:i/>
                <w:iCs/>
                <w:color w:val="000000"/>
                <w:sz w:val="20"/>
                <w:lang w:eastAsia="ko-KR"/>
              </w:rPr>
            </w:pPr>
            <w:r w:rsidRPr="00762F76">
              <w:rPr>
                <w:rFonts w:ascii="Times New Roman" w:eastAsia="Times New Roman" w:hAnsi="Times New Roman"/>
                <w:i/>
                <w:iCs/>
                <w:color w:val="000000"/>
                <w:sz w:val="20"/>
                <w:lang w:eastAsia="ko-KR"/>
              </w:rPr>
              <w:t>Employment status/job characteristics</w:t>
            </w:r>
          </w:p>
        </w:tc>
      </w:tr>
      <w:tr w:rsidR="008B58C4" w:rsidRPr="009148F8" w14:paraId="7D4FFC8E" w14:textId="77777777" w:rsidTr="00EC669E">
        <w:trPr>
          <w:trHeight w:val="216"/>
        </w:trPr>
        <w:tc>
          <w:tcPr>
            <w:tcW w:w="2600" w:type="dxa"/>
            <w:vMerge w:val="restart"/>
            <w:tcBorders>
              <w:top w:val="single" w:sz="6" w:space="0" w:color="auto"/>
              <w:left w:val="single" w:sz="18" w:space="0" w:color="auto"/>
              <w:right w:val="single" w:sz="6" w:space="0" w:color="auto"/>
            </w:tcBorders>
            <w:shd w:val="clear" w:color="auto" w:fill="auto"/>
            <w:noWrap/>
            <w:vAlign w:val="center"/>
          </w:tcPr>
          <w:p w14:paraId="4F7749A9"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WFH availability (</w:t>
            </w:r>
            <w:r>
              <w:rPr>
                <w:rFonts w:ascii="Times New Roman" w:eastAsia="Times New Roman" w:hAnsi="Times New Roman"/>
                <w:color w:val="000000"/>
                <w:sz w:val="20"/>
                <w:lang w:eastAsia="ko-KR"/>
              </w:rPr>
              <w:t>u</w:t>
            </w:r>
            <w:r w:rsidRPr="00CC449C">
              <w:rPr>
                <w:rFonts w:ascii="Times New Roman" w:eastAsia="Times New Roman" w:hAnsi="Times New Roman"/>
                <w:color w:val="000000"/>
                <w:sz w:val="20"/>
                <w:lang w:eastAsia="ko-KR"/>
              </w:rPr>
              <w:t>navailable both pre- and post-C</w:t>
            </w:r>
            <w:r>
              <w:rPr>
                <w:rFonts w:ascii="Times New Roman" w:eastAsia="Times New Roman" w:hAnsi="Times New Roman"/>
                <w:color w:val="000000"/>
                <w:sz w:val="20"/>
                <w:lang w:eastAsia="ko-KR"/>
              </w:rPr>
              <w:t>OVID</w:t>
            </w:r>
            <w:r w:rsidRPr="00CC449C">
              <w:rPr>
                <w:rFonts w:ascii="Times New Roman" w:eastAsia="Times New Roman" w:hAnsi="Times New Roman"/>
                <w:color w:val="000000"/>
                <w:sz w:val="20"/>
                <w:lang w:eastAsia="ko-KR"/>
              </w:rPr>
              <w:t>)</w:t>
            </w:r>
          </w:p>
        </w:tc>
        <w:tc>
          <w:tcPr>
            <w:tcW w:w="1890" w:type="dxa"/>
            <w:tcBorders>
              <w:top w:val="single" w:sz="6" w:space="0" w:color="auto"/>
              <w:left w:val="single" w:sz="6" w:space="0" w:color="auto"/>
              <w:bottom w:val="dashSmallGap" w:sz="4" w:space="0" w:color="595959" w:themeColor="text1" w:themeTint="A6"/>
              <w:right w:val="single" w:sz="12" w:space="0" w:color="auto"/>
            </w:tcBorders>
            <w:shd w:val="clear" w:color="auto" w:fill="auto"/>
            <w:vAlign w:val="center"/>
          </w:tcPr>
          <w:p w14:paraId="2E51C917"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Available post-covid</w:t>
            </w:r>
          </w:p>
        </w:tc>
        <w:tc>
          <w:tcPr>
            <w:tcW w:w="700"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hideMark/>
          </w:tcPr>
          <w:p w14:paraId="129C3207"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hideMark/>
          </w:tcPr>
          <w:p w14:paraId="0D37F2A4"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hideMark/>
          </w:tcPr>
          <w:p w14:paraId="3664249E"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hideMark/>
          </w:tcPr>
          <w:p w14:paraId="3ADD8D3A"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hideMark/>
          </w:tcPr>
          <w:p w14:paraId="607FBD04"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0.18</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hideMark/>
          </w:tcPr>
          <w:p w14:paraId="1F831F37"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1.33</w:t>
            </w:r>
          </w:p>
        </w:tc>
        <w:tc>
          <w:tcPr>
            <w:tcW w:w="700"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hideMark/>
          </w:tcPr>
          <w:p w14:paraId="045155E1"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0.22</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hideMark/>
          </w:tcPr>
          <w:p w14:paraId="3F58447F"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2.03</w:t>
            </w:r>
          </w:p>
        </w:tc>
        <w:tc>
          <w:tcPr>
            <w:tcW w:w="701"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hideMark/>
          </w:tcPr>
          <w:p w14:paraId="384898F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dashSmallGap" w:sz="4" w:space="0" w:color="595959" w:themeColor="text1" w:themeTint="A6"/>
              <w:right w:val="single" w:sz="12" w:space="0" w:color="auto"/>
            </w:tcBorders>
            <w:shd w:val="clear" w:color="auto" w:fill="auto"/>
            <w:noWrap/>
            <w:vAlign w:val="center"/>
            <w:hideMark/>
          </w:tcPr>
          <w:p w14:paraId="54216451"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hideMark/>
          </w:tcPr>
          <w:p w14:paraId="20126BCB"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0.33</w:t>
            </w:r>
          </w:p>
        </w:tc>
        <w:tc>
          <w:tcPr>
            <w:tcW w:w="701" w:type="dxa"/>
            <w:tcBorders>
              <w:top w:val="single" w:sz="6" w:space="0" w:color="auto"/>
              <w:left w:val="dashSmallGap" w:sz="4" w:space="0" w:color="595959" w:themeColor="text1" w:themeTint="A6"/>
              <w:bottom w:val="dashSmallGap" w:sz="4" w:space="0" w:color="595959" w:themeColor="text1" w:themeTint="A6"/>
              <w:right w:val="single" w:sz="18" w:space="0" w:color="auto"/>
            </w:tcBorders>
            <w:shd w:val="clear" w:color="auto" w:fill="auto"/>
            <w:noWrap/>
            <w:vAlign w:val="center"/>
            <w:hideMark/>
          </w:tcPr>
          <w:p w14:paraId="7DBE0197"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1.80</w:t>
            </w:r>
          </w:p>
        </w:tc>
      </w:tr>
      <w:tr w:rsidR="008B58C4" w:rsidRPr="009148F8" w14:paraId="74EB1D4B" w14:textId="77777777" w:rsidTr="00EC669E">
        <w:trPr>
          <w:trHeight w:val="216"/>
        </w:trPr>
        <w:tc>
          <w:tcPr>
            <w:tcW w:w="2600" w:type="dxa"/>
            <w:vMerge/>
            <w:tcBorders>
              <w:left w:val="single" w:sz="18" w:space="0" w:color="auto"/>
              <w:bottom w:val="single" w:sz="6" w:space="0" w:color="auto"/>
              <w:right w:val="single" w:sz="6" w:space="0" w:color="auto"/>
            </w:tcBorders>
            <w:shd w:val="clear" w:color="auto" w:fill="auto"/>
            <w:noWrap/>
            <w:vAlign w:val="center"/>
          </w:tcPr>
          <w:p w14:paraId="0098D9C9" w14:textId="77777777" w:rsidR="008B58C4" w:rsidRPr="00CC449C" w:rsidRDefault="008B58C4" w:rsidP="00EC669E">
            <w:pPr>
              <w:ind w:left="72"/>
              <w:rPr>
                <w:rFonts w:ascii="Times New Roman" w:eastAsia="Times New Roman" w:hAnsi="Times New Roman"/>
                <w:color w:val="000000"/>
                <w:sz w:val="20"/>
                <w:lang w:eastAsia="ko-KR"/>
              </w:rPr>
            </w:pPr>
          </w:p>
        </w:tc>
        <w:tc>
          <w:tcPr>
            <w:tcW w:w="1890" w:type="dxa"/>
            <w:tcBorders>
              <w:top w:val="dashSmallGap" w:sz="4" w:space="0" w:color="595959" w:themeColor="text1" w:themeTint="A6"/>
              <w:left w:val="single" w:sz="6" w:space="0" w:color="auto"/>
              <w:bottom w:val="single" w:sz="6" w:space="0" w:color="auto"/>
              <w:right w:val="single" w:sz="12" w:space="0" w:color="auto"/>
            </w:tcBorders>
            <w:shd w:val="clear" w:color="auto" w:fill="auto"/>
            <w:vAlign w:val="center"/>
          </w:tcPr>
          <w:p w14:paraId="02E7B3CA"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Available pre-covid</w:t>
            </w:r>
          </w:p>
        </w:tc>
        <w:tc>
          <w:tcPr>
            <w:tcW w:w="700"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hideMark/>
          </w:tcPr>
          <w:p w14:paraId="0DE8EF9B"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hideMark/>
          </w:tcPr>
          <w:p w14:paraId="3C3CB428"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hideMark/>
          </w:tcPr>
          <w:p w14:paraId="7FD83F7A"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hideMark/>
          </w:tcPr>
          <w:p w14:paraId="260824DB"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hideMark/>
          </w:tcPr>
          <w:p w14:paraId="217AB103"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hideMark/>
          </w:tcPr>
          <w:p w14:paraId="7AE5968E"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0"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hideMark/>
          </w:tcPr>
          <w:p w14:paraId="54CDB6F4"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hideMark/>
          </w:tcPr>
          <w:p w14:paraId="72F081BC"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hideMark/>
          </w:tcPr>
          <w:p w14:paraId="0FADF3FF"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dashSmallGap" w:sz="4" w:space="0" w:color="595959" w:themeColor="text1" w:themeTint="A6"/>
              <w:bottom w:val="single" w:sz="6" w:space="0" w:color="auto"/>
              <w:right w:val="single" w:sz="12" w:space="0" w:color="auto"/>
            </w:tcBorders>
            <w:shd w:val="clear" w:color="auto" w:fill="auto"/>
            <w:noWrap/>
            <w:vAlign w:val="center"/>
            <w:hideMark/>
          </w:tcPr>
          <w:p w14:paraId="1F764A4A"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single" w:sz="12" w:space="0" w:color="auto"/>
              <w:bottom w:val="single" w:sz="6" w:space="0" w:color="auto"/>
              <w:right w:val="dashSmallGap" w:sz="4" w:space="0" w:color="595959" w:themeColor="text1" w:themeTint="A6"/>
            </w:tcBorders>
            <w:shd w:val="clear" w:color="auto" w:fill="auto"/>
            <w:noWrap/>
            <w:vAlign w:val="center"/>
            <w:hideMark/>
          </w:tcPr>
          <w:p w14:paraId="180CCBC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-0.36</w:t>
            </w:r>
          </w:p>
        </w:tc>
        <w:tc>
          <w:tcPr>
            <w:tcW w:w="701" w:type="dxa"/>
            <w:tcBorders>
              <w:top w:val="dashSmallGap" w:sz="4" w:space="0" w:color="595959" w:themeColor="text1" w:themeTint="A6"/>
              <w:left w:val="dashSmallGap" w:sz="4" w:space="0" w:color="595959" w:themeColor="text1" w:themeTint="A6"/>
              <w:bottom w:val="single" w:sz="6" w:space="0" w:color="auto"/>
              <w:right w:val="single" w:sz="18" w:space="0" w:color="auto"/>
            </w:tcBorders>
            <w:shd w:val="clear" w:color="auto" w:fill="auto"/>
            <w:noWrap/>
            <w:vAlign w:val="center"/>
            <w:hideMark/>
          </w:tcPr>
          <w:p w14:paraId="3DF180E8"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-1.95</w:t>
            </w:r>
          </w:p>
        </w:tc>
      </w:tr>
      <w:tr w:rsidR="008B58C4" w:rsidRPr="009148F8" w14:paraId="1661CA83" w14:textId="77777777" w:rsidTr="00EC669E">
        <w:trPr>
          <w:trHeight w:val="216"/>
        </w:trPr>
        <w:tc>
          <w:tcPr>
            <w:tcW w:w="2600"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7ACFBE5A"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Commute time (≥</w:t>
            </w:r>
            <w:r>
              <w:rPr>
                <w:rFonts w:ascii="Times New Roman" w:eastAsia="Times New Roman" w:hAnsi="Times New Roman"/>
                <w:color w:val="000000"/>
                <w:sz w:val="20"/>
                <w:lang w:eastAsia="ko-KR"/>
              </w:rPr>
              <w:t xml:space="preserve"> </w:t>
            </w:r>
            <w:r w:rsidRPr="00CC449C">
              <w:rPr>
                <w:rFonts w:ascii="Times New Roman" w:eastAsia="Times New Roman" w:hAnsi="Times New Roman"/>
                <w:color w:val="000000"/>
                <w:sz w:val="20"/>
                <w:lang w:eastAsia="ko-KR"/>
              </w:rPr>
              <w:t>15</w:t>
            </w:r>
            <w:r>
              <w:rPr>
                <w:rFonts w:ascii="Times New Roman" w:eastAsia="Times New Roman" w:hAnsi="Times New Roman"/>
                <w:color w:val="000000"/>
                <w:sz w:val="20"/>
                <w:lang w:eastAsia="ko-KR"/>
              </w:rPr>
              <w:t xml:space="preserve"> </w:t>
            </w:r>
            <w:r w:rsidRPr="00CC449C">
              <w:rPr>
                <w:rFonts w:ascii="Times New Roman" w:eastAsia="Times New Roman" w:hAnsi="Times New Roman"/>
                <w:color w:val="000000"/>
                <w:sz w:val="20"/>
                <w:lang w:eastAsia="ko-KR"/>
              </w:rPr>
              <w:t>min)</w:t>
            </w:r>
          </w:p>
        </w:tc>
        <w:tc>
          <w:tcPr>
            <w:tcW w:w="1890" w:type="dxa"/>
            <w:tcBorders>
              <w:top w:val="single" w:sz="6" w:space="0" w:color="auto"/>
              <w:left w:val="single" w:sz="6" w:space="0" w:color="auto"/>
              <w:bottom w:val="single" w:sz="6" w:space="0" w:color="auto"/>
              <w:right w:val="single" w:sz="12" w:space="0" w:color="auto"/>
            </w:tcBorders>
            <w:shd w:val="clear" w:color="auto" w:fill="auto"/>
            <w:vAlign w:val="center"/>
          </w:tcPr>
          <w:p w14:paraId="0EC6897F"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&lt;15</w:t>
            </w:r>
            <w:r>
              <w:rPr>
                <w:rFonts w:ascii="Times New Roman" w:eastAsia="Times New Roman" w:hAnsi="Times New Roman"/>
                <w:color w:val="000000"/>
                <w:sz w:val="20"/>
                <w:lang w:eastAsia="ko-KR"/>
              </w:rPr>
              <w:t xml:space="preserve"> </w:t>
            </w:r>
            <w:r w:rsidRPr="00CC449C">
              <w:rPr>
                <w:rFonts w:ascii="Times New Roman" w:eastAsia="Times New Roman" w:hAnsi="Times New Roman"/>
                <w:color w:val="000000"/>
                <w:sz w:val="20"/>
                <w:lang w:eastAsia="ko-KR"/>
              </w:rPr>
              <w:t>min</w:t>
            </w:r>
          </w:p>
        </w:tc>
        <w:tc>
          <w:tcPr>
            <w:tcW w:w="700"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719577EB"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0E2667B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726575F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-0.15</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396BCEE3"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-1.15</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77ECB700"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4F35615A"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0"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4DE49854"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55B4B82A"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110A017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47E63241"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6522B829"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right w:val="single" w:sz="18" w:space="0" w:color="auto"/>
            </w:tcBorders>
            <w:shd w:val="clear" w:color="auto" w:fill="auto"/>
            <w:noWrap/>
            <w:vAlign w:val="center"/>
            <w:hideMark/>
          </w:tcPr>
          <w:p w14:paraId="7FFFE0D8"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r>
      <w:tr w:rsidR="008B58C4" w:rsidRPr="009148F8" w14:paraId="40247884" w14:textId="77777777" w:rsidTr="00EC669E">
        <w:trPr>
          <w:trHeight w:val="216"/>
        </w:trPr>
        <w:tc>
          <w:tcPr>
            <w:tcW w:w="12900" w:type="dxa"/>
            <w:gridSpan w:val="14"/>
            <w:tcBorders>
              <w:top w:val="single" w:sz="6" w:space="0" w:color="auto"/>
              <w:left w:val="single" w:sz="18" w:space="0" w:color="auto"/>
              <w:bottom w:val="single" w:sz="6" w:space="0" w:color="auto"/>
              <w:right w:val="single" w:sz="18" w:space="0" w:color="auto"/>
            </w:tcBorders>
            <w:shd w:val="clear" w:color="auto" w:fill="auto"/>
            <w:noWrap/>
            <w:vAlign w:val="center"/>
          </w:tcPr>
          <w:p w14:paraId="40A2C9CC" w14:textId="77777777" w:rsidR="008B58C4" w:rsidRPr="00762F76" w:rsidRDefault="008B58C4" w:rsidP="00EC669E">
            <w:pPr>
              <w:ind w:left="72"/>
              <w:rPr>
                <w:rFonts w:ascii="Times New Roman" w:eastAsia="Times New Roman" w:hAnsi="Times New Roman"/>
                <w:i/>
                <w:iCs/>
                <w:color w:val="000000"/>
                <w:sz w:val="20"/>
                <w:lang w:eastAsia="ko-KR"/>
              </w:rPr>
            </w:pPr>
            <w:r w:rsidRPr="00762F76">
              <w:rPr>
                <w:rFonts w:ascii="Times New Roman" w:eastAsia="Times New Roman" w:hAnsi="Times New Roman"/>
                <w:i/>
                <w:iCs/>
                <w:color w:val="000000"/>
                <w:sz w:val="20"/>
                <w:lang w:eastAsia="ko-KR"/>
              </w:rPr>
              <w:t>Built-environment</w:t>
            </w:r>
            <w:r w:rsidRPr="00762F76" w:rsidDel="00C2344B">
              <w:rPr>
                <w:rFonts w:ascii="Times New Roman" w:eastAsia="Times New Roman" w:hAnsi="Times New Roman"/>
                <w:i/>
                <w:iCs/>
                <w:color w:val="000000"/>
                <w:sz w:val="20"/>
                <w:lang w:eastAsia="ko-KR"/>
              </w:rPr>
              <w:t xml:space="preserve"> </w:t>
            </w:r>
            <w:r w:rsidRPr="00762F76">
              <w:rPr>
                <w:rFonts w:ascii="Times New Roman" w:eastAsia="Times New Roman" w:hAnsi="Times New Roman"/>
                <w:i/>
                <w:iCs/>
                <w:color w:val="000000"/>
                <w:sz w:val="20"/>
                <w:lang w:eastAsia="ko-KR"/>
              </w:rPr>
              <w:t>attributes</w:t>
            </w:r>
          </w:p>
        </w:tc>
      </w:tr>
      <w:tr w:rsidR="008B58C4" w:rsidRPr="009148F8" w14:paraId="0AF238E7" w14:textId="77777777" w:rsidTr="00EC669E">
        <w:trPr>
          <w:trHeight w:val="216"/>
        </w:trPr>
        <w:tc>
          <w:tcPr>
            <w:tcW w:w="4490" w:type="dxa"/>
            <w:gridSpan w:val="2"/>
            <w:tcBorders>
              <w:top w:val="single" w:sz="6" w:space="0" w:color="auto"/>
              <w:left w:val="single" w:sz="18" w:space="0" w:color="auto"/>
              <w:bottom w:val="single" w:sz="6" w:space="0" w:color="auto"/>
              <w:right w:val="single" w:sz="12" w:space="0" w:color="auto"/>
            </w:tcBorders>
            <w:shd w:val="clear" w:color="auto" w:fill="auto"/>
            <w:noWrap/>
            <w:vAlign w:val="center"/>
            <w:hideMark/>
          </w:tcPr>
          <w:p w14:paraId="52303EE3"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Walkability index/100</w:t>
            </w:r>
            <w:r>
              <w:rPr>
                <w:rFonts w:ascii="Times New Roman" w:eastAsia="Times New Roman" w:hAnsi="Times New Roman"/>
                <w:color w:val="000000"/>
                <w:sz w:val="20"/>
                <w:lang w:eastAsia="ko-KR"/>
              </w:rPr>
              <w:t xml:space="preserve"> </w:t>
            </w:r>
            <w:r w:rsidRPr="00CC449C">
              <w:rPr>
                <w:rFonts w:ascii="Times New Roman" w:eastAsia="Times New Roman" w:hAnsi="Times New Roman"/>
                <w:color w:val="000000"/>
                <w:sz w:val="20"/>
                <w:lang w:eastAsia="ko-KR"/>
              </w:rPr>
              <w:t>(range: 0.015-0.186)</w:t>
            </w:r>
          </w:p>
        </w:tc>
        <w:tc>
          <w:tcPr>
            <w:tcW w:w="700"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1FE969A0"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5885ECD3"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24DB425B"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2.39</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0A8D5F8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1.18</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6C964F93"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5D77A79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0"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52647EE7"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74654F3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6D9CCF03"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10.02</w:t>
            </w:r>
          </w:p>
        </w:tc>
        <w:tc>
          <w:tcPr>
            <w:tcW w:w="701" w:type="dxa"/>
            <w:tcBorders>
              <w:top w:val="single" w:sz="6" w:space="0" w:color="auto"/>
              <w:left w:val="dashSmallGap" w:sz="4" w:space="0" w:color="595959" w:themeColor="text1" w:themeTint="A6"/>
              <w:bottom w:val="single" w:sz="6" w:space="0" w:color="auto"/>
              <w:right w:val="single" w:sz="12" w:space="0" w:color="auto"/>
            </w:tcBorders>
            <w:shd w:val="clear" w:color="auto" w:fill="auto"/>
            <w:noWrap/>
            <w:vAlign w:val="center"/>
            <w:hideMark/>
          </w:tcPr>
          <w:p w14:paraId="33BEA4CB"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4.10</w:t>
            </w:r>
          </w:p>
        </w:tc>
        <w:tc>
          <w:tcPr>
            <w:tcW w:w="701" w:type="dxa"/>
            <w:tcBorders>
              <w:top w:val="single" w:sz="6" w:space="0" w:color="auto"/>
              <w:left w:val="single" w:sz="12" w:space="0" w:color="auto"/>
              <w:bottom w:val="single" w:sz="6" w:space="0" w:color="auto"/>
              <w:right w:val="dashSmallGap" w:sz="4" w:space="0" w:color="595959" w:themeColor="text1" w:themeTint="A6"/>
            </w:tcBorders>
            <w:shd w:val="clear" w:color="auto" w:fill="auto"/>
            <w:noWrap/>
            <w:vAlign w:val="center"/>
            <w:hideMark/>
          </w:tcPr>
          <w:p w14:paraId="33C4DF95"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-2.95</w:t>
            </w:r>
          </w:p>
        </w:tc>
        <w:tc>
          <w:tcPr>
            <w:tcW w:w="701" w:type="dxa"/>
            <w:tcBorders>
              <w:top w:val="single" w:sz="6" w:space="0" w:color="auto"/>
              <w:left w:val="dashSmallGap" w:sz="4" w:space="0" w:color="595959" w:themeColor="text1" w:themeTint="A6"/>
              <w:bottom w:val="single" w:sz="6" w:space="0" w:color="auto"/>
              <w:right w:val="single" w:sz="18" w:space="0" w:color="auto"/>
            </w:tcBorders>
            <w:shd w:val="clear" w:color="auto" w:fill="auto"/>
            <w:noWrap/>
            <w:vAlign w:val="center"/>
            <w:hideMark/>
          </w:tcPr>
          <w:p w14:paraId="22C216D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-1.57</w:t>
            </w:r>
          </w:p>
        </w:tc>
      </w:tr>
      <w:tr w:rsidR="008B58C4" w:rsidRPr="009148F8" w14:paraId="36FAA3D2" w14:textId="77777777" w:rsidTr="00EC669E">
        <w:trPr>
          <w:trHeight w:val="216"/>
        </w:trPr>
        <w:tc>
          <w:tcPr>
            <w:tcW w:w="2600" w:type="dxa"/>
            <w:tcBorders>
              <w:top w:val="single" w:sz="6" w:space="0" w:color="auto"/>
              <w:left w:val="single" w:sz="18" w:space="0" w:color="auto"/>
              <w:bottom w:val="single" w:sz="12" w:space="0" w:color="auto"/>
              <w:right w:val="single" w:sz="4" w:space="0" w:color="595959" w:themeColor="text1" w:themeTint="A6"/>
            </w:tcBorders>
            <w:shd w:val="clear" w:color="auto" w:fill="auto"/>
            <w:noWrap/>
            <w:vAlign w:val="center"/>
          </w:tcPr>
          <w:p w14:paraId="097DBBC1" w14:textId="77777777" w:rsidR="008B58C4" w:rsidRPr="00CC449C" w:rsidRDefault="008B58C4" w:rsidP="00EC669E">
            <w:pPr>
              <w:ind w:left="72"/>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Housing type (</w:t>
            </w:r>
            <w:r>
              <w:rPr>
                <w:rFonts w:ascii="Times New Roman" w:eastAsia="Times New Roman" w:hAnsi="Times New Roman"/>
                <w:color w:val="000000"/>
                <w:sz w:val="20"/>
                <w:lang w:eastAsia="ko-KR"/>
              </w:rPr>
              <w:t>n</w:t>
            </w:r>
            <w:r w:rsidRPr="00CC449C">
              <w:rPr>
                <w:rFonts w:ascii="Times New Roman" w:eastAsia="Times New Roman" w:hAnsi="Times New Roman"/>
                <w:color w:val="000000"/>
                <w:sz w:val="20"/>
                <w:lang w:eastAsia="ko-KR"/>
              </w:rPr>
              <w:t>on-apartment)</w:t>
            </w:r>
          </w:p>
        </w:tc>
        <w:tc>
          <w:tcPr>
            <w:tcW w:w="1890" w:type="dxa"/>
            <w:tcBorders>
              <w:top w:val="single" w:sz="6" w:space="0" w:color="auto"/>
              <w:left w:val="single" w:sz="4" w:space="0" w:color="595959" w:themeColor="text1" w:themeTint="A6"/>
              <w:bottom w:val="single" w:sz="12" w:space="0" w:color="auto"/>
              <w:right w:val="single" w:sz="12" w:space="0" w:color="auto"/>
            </w:tcBorders>
            <w:shd w:val="clear" w:color="auto" w:fill="auto"/>
            <w:vAlign w:val="center"/>
          </w:tcPr>
          <w:p w14:paraId="379899AE" w14:textId="77777777" w:rsidR="008B58C4" w:rsidRPr="00CC449C" w:rsidRDefault="008B58C4" w:rsidP="00EC669E">
            <w:pPr>
              <w:ind w:left="72"/>
              <w:rPr>
                <w:rFonts w:ascii="Times New Roman" w:eastAsia="Times New Roman" w:hAnsi="Times New Roman"/>
                <w:color w:val="000000"/>
                <w:sz w:val="20"/>
                <w:lang w:eastAsia="ko-KR"/>
              </w:rPr>
            </w:pPr>
            <w:r>
              <w:rPr>
                <w:rFonts w:ascii="Times New Roman" w:eastAsia="Times New Roman" w:hAnsi="Times New Roman"/>
                <w:color w:val="000000"/>
                <w:sz w:val="20"/>
                <w:lang w:eastAsia="ko-KR"/>
              </w:rPr>
              <w:t>Apartment</w:t>
            </w:r>
          </w:p>
        </w:tc>
        <w:tc>
          <w:tcPr>
            <w:tcW w:w="700" w:type="dxa"/>
            <w:tcBorders>
              <w:top w:val="single" w:sz="6"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744C756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34403440"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1E215AA3"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009EDB7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6955F2D7"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-0.25</w:t>
            </w:r>
          </w:p>
        </w:tc>
        <w:tc>
          <w:tcPr>
            <w:tcW w:w="701" w:type="dxa"/>
            <w:tcBorders>
              <w:top w:val="single" w:sz="6"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21520C0F"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-1.31</w:t>
            </w:r>
          </w:p>
        </w:tc>
        <w:tc>
          <w:tcPr>
            <w:tcW w:w="700" w:type="dxa"/>
            <w:tcBorders>
              <w:top w:val="single" w:sz="6"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63A5543E"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589DC296"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373EDC3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01922CA1"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5FC6D462"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c>
          <w:tcPr>
            <w:tcW w:w="701" w:type="dxa"/>
            <w:tcBorders>
              <w:top w:val="single" w:sz="6" w:space="0" w:color="auto"/>
              <w:left w:val="dashSmallGap" w:sz="4" w:space="0" w:color="595959" w:themeColor="text1" w:themeTint="A6"/>
              <w:bottom w:val="single" w:sz="12" w:space="0" w:color="auto"/>
              <w:right w:val="single" w:sz="18" w:space="0" w:color="auto"/>
            </w:tcBorders>
            <w:shd w:val="clear" w:color="auto" w:fill="auto"/>
            <w:noWrap/>
            <w:vAlign w:val="center"/>
            <w:hideMark/>
          </w:tcPr>
          <w:p w14:paraId="69CEA0C5" w14:textId="77777777" w:rsidR="008B58C4" w:rsidRPr="00CC449C" w:rsidRDefault="008B58C4" w:rsidP="00EC669E">
            <w:pPr>
              <w:jc w:val="right"/>
              <w:rPr>
                <w:rFonts w:ascii="Times New Roman" w:eastAsia="Times New Roman" w:hAnsi="Times New Roman"/>
                <w:color w:val="000000"/>
                <w:sz w:val="20"/>
                <w:lang w:eastAsia="ko-KR"/>
              </w:rPr>
            </w:pPr>
            <w:r w:rsidRPr="00CC449C">
              <w:rPr>
                <w:rFonts w:ascii="Times New Roman" w:eastAsia="Times New Roman" w:hAnsi="Times New Roman"/>
                <w:color w:val="000000"/>
                <w:sz w:val="20"/>
                <w:lang w:eastAsia="ko-KR"/>
              </w:rPr>
              <w:t>--</w:t>
            </w:r>
          </w:p>
        </w:tc>
      </w:tr>
      <w:tr w:rsidR="008B58C4" w:rsidRPr="009148F8" w14:paraId="7CE08FA0" w14:textId="77777777" w:rsidTr="00EC669E">
        <w:trPr>
          <w:trHeight w:val="216"/>
        </w:trPr>
        <w:tc>
          <w:tcPr>
            <w:tcW w:w="2600" w:type="dxa"/>
            <w:tcBorders>
              <w:top w:val="single" w:sz="12" w:space="0" w:color="auto"/>
              <w:left w:val="single" w:sz="18" w:space="0" w:color="auto"/>
              <w:bottom w:val="single" w:sz="12" w:space="0" w:color="auto"/>
              <w:right w:val="single" w:sz="4" w:space="0" w:color="595959" w:themeColor="text1" w:themeTint="A6"/>
            </w:tcBorders>
            <w:shd w:val="clear" w:color="auto" w:fill="auto"/>
            <w:noWrap/>
            <w:vAlign w:val="center"/>
            <w:hideMark/>
          </w:tcPr>
          <w:p w14:paraId="486B8B9A" w14:textId="77777777" w:rsidR="008B58C4" w:rsidRPr="00BE4192" w:rsidRDefault="008B58C4" w:rsidP="00EC669E">
            <w:pPr>
              <w:ind w:left="72"/>
              <w:rPr>
                <w:rFonts w:ascii="Times New Roman" w:eastAsia="Times New Roman" w:hAnsi="Times New Roman"/>
                <w:b/>
                <w:bCs/>
                <w:color w:val="000000"/>
                <w:sz w:val="20"/>
                <w:lang w:eastAsia="ko-KR"/>
              </w:rPr>
            </w:pPr>
            <w:r w:rsidRPr="00BE4192">
              <w:rPr>
                <w:rFonts w:ascii="Times New Roman" w:eastAsia="Times New Roman" w:hAnsi="Times New Roman"/>
                <w:b/>
                <w:bCs/>
                <w:color w:val="000000"/>
                <w:sz w:val="20"/>
                <w:lang w:eastAsia="ko-KR"/>
              </w:rPr>
              <w:t>Thresholds</w:t>
            </w:r>
          </w:p>
        </w:tc>
        <w:tc>
          <w:tcPr>
            <w:tcW w:w="1890" w:type="dxa"/>
            <w:tcBorders>
              <w:top w:val="single" w:sz="12" w:space="0" w:color="auto"/>
              <w:left w:val="single" w:sz="4" w:space="0" w:color="595959" w:themeColor="text1" w:themeTint="A6"/>
              <w:bottom w:val="single" w:sz="12" w:space="0" w:color="auto"/>
              <w:right w:val="single" w:sz="12" w:space="0" w:color="auto"/>
            </w:tcBorders>
            <w:shd w:val="clear" w:color="auto" w:fill="auto"/>
            <w:vAlign w:val="center"/>
          </w:tcPr>
          <w:p w14:paraId="60D76464" w14:textId="77777777" w:rsidR="008B58C4" w:rsidRPr="006F301D" w:rsidRDefault="008B58C4" w:rsidP="00EC669E">
            <w:pPr>
              <w:ind w:left="72"/>
              <w:rPr>
                <w:rFonts w:ascii="Times New Roman" w:eastAsia="Times New Roman" w:hAnsi="Times New Roman"/>
                <w:color w:val="000000"/>
                <w:sz w:val="20"/>
                <w:lang w:eastAsia="ko-KR"/>
              </w:rPr>
            </w:pPr>
            <w:r w:rsidRPr="006F301D">
              <w:rPr>
                <w:rFonts w:ascii="Times New Roman" w:eastAsia="Times New Roman" w:hAnsi="Times New Roman"/>
                <w:color w:val="000000"/>
                <w:sz w:val="20"/>
                <w:lang w:eastAsia="ko-KR"/>
              </w:rPr>
              <w:t>1|2</w:t>
            </w:r>
          </w:p>
        </w:tc>
        <w:tc>
          <w:tcPr>
            <w:tcW w:w="700" w:type="dxa"/>
            <w:tcBorders>
              <w:top w:val="single" w:sz="12"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42333B2D"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0.45</w:t>
            </w:r>
          </w:p>
        </w:tc>
        <w:tc>
          <w:tcPr>
            <w:tcW w:w="701" w:type="dxa"/>
            <w:tcBorders>
              <w:top w:val="single" w:sz="12"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427207F0"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6.46</w:t>
            </w:r>
          </w:p>
        </w:tc>
        <w:tc>
          <w:tcPr>
            <w:tcW w:w="701" w:type="dxa"/>
            <w:tcBorders>
              <w:top w:val="single" w:sz="12"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2BA74CD1"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1.43</w:t>
            </w:r>
          </w:p>
        </w:tc>
        <w:tc>
          <w:tcPr>
            <w:tcW w:w="701" w:type="dxa"/>
            <w:tcBorders>
              <w:top w:val="single" w:sz="12"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4C3AC478"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5.75</w:t>
            </w:r>
          </w:p>
        </w:tc>
        <w:tc>
          <w:tcPr>
            <w:tcW w:w="701" w:type="dxa"/>
            <w:tcBorders>
              <w:top w:val="single" w:sz="12"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05900192"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1.38</w:t>
            </w:r>
          </w:p>
        </w:tc>
        <w:tc>
          <w:tcPr>
            <w:tcW w:w="701" w:type="dxa"/>
            <w:tcBorders>
              <w:top w:val="single" w:sz="12"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0098E694"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12.44</w:t>
            </w:r>
          </w:p>
        </w:tc>
        <w:tc>
          <w:tcPr>
            <w:tcW w:w="700" w:type="dxa"/>
            <w:tcBorders>
              <w:top w:val="single" w:sz="12"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04D27983"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0.17</w:t>
            </w:r>
          </w:p>
        </w:tc>
        <w:tc>
          <w:tcPr>
            <w:tcW w:w="701" w:type="dxa"/>
            <w:tcBorders>
              <w:top w:val="single" w:sz="12"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198C3D7B"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2.06</w:t>
            </w:r>
          </w:p>
        </w:tc>
        <w:tc>
          <w:tcPr>
            <w:tcW w:w="701" w:type="dxa"/>
            <w:tcBorders>
              <w:top w:val="single" w:sz="12"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341F6112"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1.73</w:t>
            </w:r>
          </w:p>
        </w:tc>
        <w:tc>
          <w:tcPr>
            <w:tcW w:w="701" w:type="dxa"/>
            <w:tcBorders>
              <w:top w:val="single" w:sz="12" w:space="0" w:color="auto"/>
              <w:left w:val="dashSmallGap" w:sz="4" w:space="0" w:color="595959" w:themeColor="text1" w:themeTint="A6"/>
              <w:bottom w:val="single" w:sz="12" w:space="0" w:color="auto"/>
              <w:right w:val="single" w:sz="12" w:space="0" w:color="auto"/>
            </w:tcBorders>
            <w:shd w:val="clear" w:color="auto" w:fill="auto"/>
            <w:noWrap/>
            <w:vAlign w:val="center"/>
            <w:hideMark/>
          </w:tcPr>
          <w:p w14:paraId="32DBD1C1"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3.91</w:t>
            </w:r>
          </w:p>
        </w:tc>
        <w:tc>
          <w:tcPr>
            <w:tcW w:w="701" w:type="dxa"/>
            <w:tcBorders>
              <w:top w:val="single" w:sz="12" w:space="0" w:color="auto"/>
              <w:left w:val="single" w:sz="12" w:space="0" w:color="auto"/>
              <w:bottom w:val="single" w:sz="12" w:space="0" w:color="auto"/>
              <w:right w:val="dashSmallGap" w:sz="4" w:space="0" w:color="595959" w:themeColor="text1" w:themeTint="A6"/>
            </w:tcBorders>
            <w:shd w:val="clear" w:color="auto" w:fill="auto"/>
            <w:noWrap/>
            <w:vAlign w:val="center"/>
            <w:hideMark/>
          </w:tcPr>
          <w:p w14:paraId="360A997A"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-1.12</w:t>
            </w:r>
          </w:p>
        </w:tc>
        <w:tc>
          <w:tcPr>
            <w:tcW w:w="701" w:type="dxa"/>
            <w:tcBorders>
              <w:top w:val="single" w:sz="12" w:space="0" w:color="auto"/>
              <w:left w:val="dashSmallGap" w:sz="4" w:space="0" w:color="595959" w:themeColor="text1" w:themeTint="A6"/>
              <w:bottom w:val="single" w:sz="12" w:space="0" w:color="auto"/>
              <w:right w:val="single" w:sz="18" w:space="0" w:color="auto"/>
            </w:tcBorders>
            <w:shd w:val="clear" w:color="auto" w:fill="auto"/>
            <w:noWrap/>
            <w:vAlign w:val="center"/>
            <w:hideMark/>
          </w:tcPr>
          <w:p w14:paraId="4FAEB848"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-4.62</w:t>
            </w:r>
          </w:p>
        </w:tc>
      </w:tr>
      <w:tr w:rsidR="008B58C4" w:rsidRPr="009148F8" w14:paraId="77F28A70" w14:textId="77777777" w:rsidTr="00EC669E">
        <w:trPr>
          <w:trHeight w:val="216"/>
        </w:trPr>
        <w:tc>
          <w:tcPr>
            <w:tcW w:w="12900" w:type="dxa"/>
            <w:gridSpan w:val="14"/>
            <w:tcBorders>
              <w:top w:val="single" w:sz="12" w:space="0" w:color="auto"/>
              <w:left w:val="single" w:sz="18" w:space="0" w:color="auto"/>
              <w:bottom w:val="single" w:sz="12" w:space="0" w:color="auto"/>
              <w:right w:val="single" w:sz="18" w:space="0" w:color="auto"/>
            </w:tcBorders>
            <w:shd w:val="clear" w:color="auto" w:fill="auto"/>
            <w:noWrap/>
            <w:vAlign w:val="center"/>
          </w:tcPr>
          <w:p w14:paraId="4DF2D56D" w14:textId="77777777" w:rsidR="008B58C4" w:rsidRPr="00BE4192" w:rsidRDefault="008B58C4" w:rsidP="00EC669E">
            <w:pPr>
              <w:ind w:left="72"/>
              <w:rPr>
                <w:rFonts w:ascii="Times New Roman" w:eastAsia="Times New Roman" w:hAnsi="Times New Roman"/>
                <w:color w:val="000000"/>
                <w:sz w:val="20"/>
                <w:lang w:eastAsia="ko-KR"/>
              </w:rPr>
            </w:pPr>
            <w:r w:rsidRPr="00BE4192">
              <w:rPr>
                <w:rFonts w:ascii="Times New Roman" w:eastAsia="Times New Roman" w:hAnsi="Times New Roman"/>
                <w:b/>
                <w:bCs/>
                <w:color w:val="000000"/>
                <w:sz w:val="20"/>
                <w:lang w:eastAsia="ko-KR"/>
              </w:rPr>
              <w:t>Correlations</w:t>
            </w:r>
          </w:p>
        </w:tc>
      </w:tr>
      <w:tr w:rsidR="008B58C4" w:rsidRPr="009148F8" w14:paraId="2365A3E8" w14:textId="77777777" w:rsidTr="00EC669E">
        <w:trPr>
          <w:trHeight w:val="216"/>
        </w:trPr>
        <w:tc>
          <w:tcPr>
            <w:tcW w:w="4490" w:type="dxa"/>
            <w:gridSpan w:val="2"/>
            <w:tcBorders>
              <w:top w:val="single" w:sz="12" w:space="0" w:color="auto"/>
              <w:left w:val="single" w:sz="18" w:space="0" w:color="auto"/>
              <w:bottom w:val="dashSmallGap" w:sz="4" w:space="0" w:color="595959" w:themeColor="text1" w:themeTint="A6"/>
              <w:right w:val="single" w:sz="12" w:space="0" w:color="auto"/>
            </w:tcBorders>
            <w:shd w:val="clear" w:color="auto" w:fill="auto"/>
            <w:noWrap/>
            <w:vAlign w:val="center"/>
          </w:tcPr>
          <w:p w14:paraId="2EB5F4B5" w14:textId="77777777" w:rsidR="008B58C4" w:rsidRPr="00BE4192" w:rsidRDefault="008B58C4" w:rsidP="00EC669E">
            <w:pPr>
              <w:ind w:left="72"/>
              <w:rPr>
                <w:rFonts w:ascii="Times New Roman" w:eastAsia="Times New Roman" w:hAnsi="Times New Roman"/>
                <w:b/>
                <w:bCs/>
                <w:color w:val="000000"/>
                <w:sz w:val="20"/>
                <w:lang w:eastAsia="ko-KR"/>
              </w:rPr>
            </w:pPr>
            <w:r w:rsidRPr="00BE4192">
              <w:rPr>
                <w:rFonts w:ascii="Times New Roman" w:eastAsia="Times New Roman" w:hAnsi="Times New Roman"/>
                <w:color w:val="000000"/>
                <w:sz w:val="20"/>
                <w:lang w:eastAsia="ko-KR"/>
              </w:rPr>
              <w:t xml:space="preserve">Recognized </w:t>
            </w:r>
            <w:r>
              <w:rPr>
                <w:rFonts w:ascii="Times New Roman" w:eastAsia="Times New Roman" w:hAnsi="Times New Roman"/>
                <w:color w:val="000000"/>
                <w:sz w:val="20"/>
                <w:lang w:eastAsia="ko-KR"/>
              </w:rPr>
              <w:t>e</w:t>
            </w:r>
            <w:r w:rsidRPr="00BE4192">
              <w:rPr>
                <w:rFonts w:ascii="Times New Roman" w:eastAsia="Times New Roman" w:hAnsi="Times New Roman"/>
                <w:color w:val="000000"/>
                <w:sz w:val="20"/>
                <w:lang w:eastAsia="ko-KR"/>
              </w:rPr>
              <w:t>njoyment</w:t>
            </w:r>
          </w:p>
        </w:tc>
        <w:tc>
          <w:tcPr>
            <w:tcW w:w="700" w:type="dxa"/>
            <w:tcBorders>
              <w:top w:val="single" w:sz="12" w:space="0" w:color="auto"/>
              <w:left w:val="single" w:sz="12" w:space="0" w:color="auto"/>
              <w:bottom w:val="dashSmallGap" w:sz="4" w:space="0" w:color="595959" w:themeColor="text1" w:themeTint="A6"/>
              <w:right w:val="dashSmallGap" w:sz="4" w:space="0" w:color="595959" w:themeColor="text1" w:themeTint="A6"/>
            </w:tcBorders>
            <w:shd w:val="clear" w:color="auto" w:fill="auto"/>
            <w:noWrap/>
            <w:vAlign w:val="center"/>
          </w:tcPr>
          <w:p w14:paraId="15798DB6"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1.00</w:t>
            </w:r>
          </w:p>
        </w:tc>
        <w:tc>
          <w:tcPr>
            <w:tcW w:w="701" w:type="dxa"/>
            <w:tcBorders>
              <w:top w:val="single" w:sz="12" w:space="0" w:color="auto"/>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733E3D4E" w14:textId="77777777" w:rsidR="008B58C4" w:rsidRPr="00BE4192" w:rsidRDefault="008B58C4" w:rsidP="00EC669E">
            <w:pPr>
              <w:jc w:val="right"/>
              <w:rPr>
                <w:rFonts w:ascii="Times New Roman" w:eastAsia="Times New Roman" w:hAnsi="Times New Roman"/>
                <w:color w:val="000000"/>
                <w:sz w:val="20"/>
                <w:lang w:eastAsia="ko-KR"/>
              </w:rPr>
            </w:pPr>
            <w:r>
              <w:rPr>
                <w:rFonts w:ascii="Times New Roman" w:eastAsia="Times New Roman" w:hAnsi="Times New Roman"/>
                <w:color w:val="000000"/>
                <w:sz w:val="20"/>
                <w:lang w:eastAsia="ko-KR"/>
              </w:rPr>
              <w:t>--</w:t>
            </w:r>
          </w:p>
        </w:tc>
        <w:tc>
          <w:tcPr>
            <w:tcW w:w="701" w:type="dxa"/>
            <w:tcBorders>
              <w:top w:val="single" w:sz="12" w:space="0" w:color="auto"/>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35C2D066"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single" w:sz="12" w:space="0" w:color="auto"/>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0DC1A4A9"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single" w:sz="12" w:space="0" w:color="auto"/>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58D6A56F"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single" w:sz="12" w:space="0" w:color="auto"/>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3D957C73" w14:textId="77777777" w:rsidR="008B58C4" w:rsidRPr="00BE4192" w:rsidRDefault="008B58C4" w:rsidP="00EC669E">
            <w:pPr>
              <w:jc w:val="right"/>
              <w:rPr>
                <w:rFonts w:ascii="Times New Roman" w:eastAsia="Times New Roman" w:hAnsi="Times New Roman"/>
                <w:color w:val="000000"/>
                <w:sz w:val="20"/>
                <w:lang w:eastAsia="ko-KR"/>
              </w:rPr>
            </w:pPr>
          </w:p>
        </w:tc>
        <w:tc>
          <w:tcPr>
            <w:tcW w:w="700" w:type="dxa"/>
            <w:tcBorders>
              <w:top w:val="single" w:sz="12" w:space="0" w:color="auto"/>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2AD41B8C"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single" w:sz="12" w:space="0" w:color="auto"/>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2631A68C"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single" w:sz="12" w:space="0" w:color="auto"/>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59CF16C9"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single" w:sz="12" w:space="0" w:color="auto"/>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78A9F342"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single" w:sz="12" w:space="0" w:color="auto"/>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2AE62DCE"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single" w:sz="12" w:space="0" w:color="auto"/>
              <w:left w:val="dashSmallGap" w:sz="4" w:space="0" w:color="595959" w:themeColor="text1" w:themeTint="A6"/>
              <w:bottom w:val="dashSmallGap" w:sz="4" w:space="0" w:color="595959" w:themeColor="text1" w:themeTint="A6"/>
              <w:right w:val="single" w:sz="18" w:space="0" w:color="auto"/>
            </w:tcBorders>
            <w:shd w:val="clear" w:color="auto" w:fill="auto"/>
            <w:vAlign w:val="center"/>
          </w:tcPr>
          <w:p w14:paraId="5B77F101" w14:textId="77777777" w:rsidR="008B58C4" w:rsidRPr="00BE4192" w:rsidRDefault="008B58C4" w:rsidP="00EC669E">
            <w:pPr>
              <w:jc w:val="right"/>
              <w:rPr>
                <w:rFonts w:ascii="Times New Roman" w:eastAsia="Times New Roman" w:hAnsi="Times New Roman"/>
                <w:color w:val="000000"/>
                <w:sz w:val="20"/>
                <w:lang w:eastAsia="ko-KR"/>
              </w:rPr>
            </w:pPr>
          </w:p>
        </w:tc>
      </w:tr>
      <w:tr w:rsidR="008B58C4" w:rsidRPr="009148F8" w14:paraId="1D9CFF7B" w14:textId="77777777" w:rsidTr="00EC669E">
        <w:trPr>
          <w:trHeight w:val="216"/>
        </w:trPr>
        <w:tc>
          <w:tcPr>
            <w:tcW w:w="4490" w:type="dxa"/>
            <w:gridSpan w:val="2"/>
            <w:tcBorders>
              <w:top w:val="dashSmallGap" w:sz="4" w:space="0" w:color="595959" w:themeColor="text1" w:themeTint="A6"/>
              <w:left w:val="single" w:sz="18" w:space="0" w:color="auto"/>
              <w:bottom w:val="dashSmallGap" w:sz="4" w:space="0" w:color="595959" w:themeColor="text1" w:themeTint="A6"/>
              <w:right w:val="single" w:sz="12" w:space="0" w:color="auto"/>
            </w:tcBorders>
            <w:shd w:val="clear" w:color="auto" w:fill="auto"/>
            <w:noWrap/>
            <w:vAlign w:val="center"/>
          </w:tcPr>
          <w:p w14:paraId="0D4DCE61" w14:textId="77777777" w:rsidR="008B58C4" w:rsidRPr="00BE4192" w:rsidRDefault="008B58C4" w:rsidP="00EC669E">
            <w:pPr>
              <w:ind w:left="72"/>
              <w:rPr>
                <w:rFonts w:ascii="Times New Roman" w:eastAsia="Times New Roman" w:hAnsi="Times New Roman"/>
                <w:b/>
                <w:bCs/>
                <w:color w:val="000000"/>
                <w:sz w:val="20"/>
                <w:lang w:eastAsia="ko-KR"/>
              </w:rPr>
            </w:pPr>
            <w:r w:rsidRPr="00BE4192">
              <w:rPr>
                <w:rFonts w:ascii="Times New Roman" w:eastAsia="Times New Roman" w:hAnsi="Times New Roman"/>
                <w:color w:val="000000"/>
                <w:sz w:val="20"/>
                <w:lang w:eastAsia="ko-KR"/>
              </w:rPr>
              <w:t xml:space="preserve">Environmental </w:t>
            </w:r>
            <w:r>
              <w:rPr>
                <w:rFonts w:ascii="Times New Roman" w:eastAsia="Times New Roman" w:hAnsi="Times New Roman"/>
                <w:color w:val="000000"/>
                <w:sz w:val="20"/>
                <w:lang w:eastAsia="ko-KR"/>
              </w:rPr>
              <w:t>i</w:t>
            </w:r>
            <w:r w:rsidRPr="00BE4192">
              <w:rPr>
                <w:rFonts w:ascii="Times New Roman" w:eastAsia="Times New Roman" w:hAnsi="Times New Roman"/>
                <w:color w:val="000000"/>
                <w:sz w:val="20"/>
                <w:lang w:eastAsia="ko-KR"/>
              </w:rPr>
              <w:t>mprovement</w:t>
            </w:r>
          </w:p>
        </w:tc>
        <w:tc>
          <w:tcPr>
            <w:tcW w:w="700"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noWrap/>
            <w:vAlign w:val="center"/>
          </w:tcPr>
          <w:p w14:paraId="7CF32392"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0.15</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16A88B0F"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0.81</w:t>
            </w: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5AEB6B08"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1.00</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1475EEAC" w14:textId="77777777" w:rsidR="008B58C4" w:rsidRPr="00BE4192" w:rsidRDefault="008B58C4" w:rsidP="00EC669E">
            <w:pPr>
              <w:jc w:val="right"/>
              <w:rPr>
                <w:rFonts w:ascii="Times New Roman" w:eastAsia="Times New Roman" w:hAnsi="Times New Roman"/>
                <w:color w:val="000000"/>
                <w:sz w:val="20"/>
                <w:lang w:eastAsia="ko-KR"/>
              </w:rPr>
            </w:pPr>
            <w:r>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0B51EB05"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60B1CA93" w14:textId="77777777" w:rsidR="008B58C4" w:rsidRPr="00BE4192" w:rsidRDefault="008B58C4" w:rsidP="00EC669E">
            <w:pPr>
              <w:jc w:val="right"/>
              <w:rPr>
                <w:rFonts w:ascii="Times New Roman" w:eastAsia="Times New Roman" w:hAnsi="Times New Roman"/>
                <w:color w:val="000000"/>
                <w:sz w:val="20"/>
                <w:lang w:eastAsia="ko-KR"/>
              </w:rPr>
            </w:pPr>
          </w:p>
        </w:tc>
        <w:tc>
          <w:tcPr>
            <w:tcW w:w="700"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1FB5463E"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08546E07"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2A0DAA2F"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694683EB"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513FCD13"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8" w:space="0" w:color="auto"/>
            </w:tcBorders>
            <w:shd w:val="clear" w:color="auto" w:fill="auto"/>
            <w:vAlign w:val="center"/>
          </w:tcPr>
          <w:p w14:paraId="17AB31AA" w14:textId="77777777" w:rsidR="008B58C4" w:rsidRPr="00BE4192" w:rsidRDefault="008B58C4" w:rsidP="00EC669E">
            <w:pPr>
              <w:jc w:val="right"/>
              <w:rPr>
                <w:rFonts w:ascii="Times New Roman" w:eastAsia="Times New Roman" w:hAnsi="Times New Roman"/>
                <w:color w:val="000000"/>
                <w:sz w:val="20"/>
                <w:lang w:eastAsia="ko-KR"/>
              </w:rPr>
            </w:pPr>
          </w:p>
        </w:tc>
      </w:tr>
      <w:tr w:rsidR="008B58C4" w:rsidRPr="009148F8" w14:paraId="39F21E61" w14:textId="77777777" w:rsidTr="00EC669E">
        <w:trPr>
          <w:trHeight w:val="216"/>
        </w:trPr>
        <w:tc>
          <w:tcPr>
            <w:tcW w:w="4490" w:type="dxa"/>
            <w:gridSpan w:val="2"/>
            <w:tcBorders>
              <w:top w:val="dashSmallGap" w:sz="4" w:space="0" w:color="595959" w:themeColor="text1" w:themeTint="A6"/>
              <w:left w:val="single" w:sz="18" w:space="0" w:color="auto"/>
              <w:bottom w:val="dashSmallGap" w:sz="4" w:space="0" w:color="595959" w:themeColor="text1" w:themeTint="A6"/>
              <w:right w:val="single" w:sz="12" w:space="0" w:color="auto"/>
            </w:tcBorders>
            <w:shd w:val="clear" w:color="auto" w:fill="auto"/>
            <w:noWrap/>
            <w:vAlign w:val="center"/>
          </w:tcPr>
          <w:p w14:paraId="2B01D86B" w14:textId="77777777" w:rsidR="008B58C4" w:rsidRPr="00BE4192" w:rsidRDefault="008B58C4" w:rsidP="00EC669E">
            <w:pPr>
              <w:ind w:left="72"/>
              <w:rPr>
                <w:rFonts w:ascii="Times New Roman" w:eastAsia="Times New Roman" w:hAnsi="Times New Roman"/>
                <w:b/>
                <w:bCs/>
                <w:color w:val="000000"/>
                <w:sz w:val="20"/>
                <w:lang w:eastAsia="ko-KR"/>
              </w:rPr>
            </w:pPr>
            <w:r w:rsidRPr="00BE4192">
              <w:rPr>
                <w:rFonts w:ascii="Times New Roman" w:eastAsia="Times New Roman" w:hAnsi="Times New Roman"/>
                <w:color w:val="000000"/>
                <w:sz w:val="20"/>
                <w:lang w:eastAsia="ko-KR"/>
              </w:rPr>
              <w:t xml:space="preserve">Dog </w:t>
            </w:r>
            <w:r>
              <w:rPr>
                <w:rFonts w:ascii="Times New Roman" w:eastAsia="Times New Roman" w:hAnsi="Times New Roman"/>
                <w:color w:val="000000"/>
                <w:sz w:val="20"/>
                <w:lang w:eastAsia="ko-KR"/>
              </w:rPr>
              <w:t>a</w:t>
            </w:r>
            <w:r w:rsidRPr="00BE4192">
              <w:rPr>
                <w:rFonts w:ascii="Times New Roman" w:eastAsia="Times New Roman" w:hAnsi="Times New Roman"/>
                <w:color w:val="000000"/>
                <w:sz w:val="20"/>
                <w:lang w:eastAsia="ko-KR"/>
              </w:rPr>
              <w:t>cquisition</w:t>
            </w:r>
          </w:p>
        </w:tc>
        <w:tc>
          <w:tcPr>
            <w:tcW w:w="700"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noWrap/>
            <w:vAlign w:val="center"/>
          </w:tcPr>
          <w:p w14:paraId="00D84655"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0.11</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040EECF8"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0.61</w:t>
            </w: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4BA5A183"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0.03</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2C320580"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0.10</w:t>
            </w: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1609D11A"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1.00</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11A77E82" w14:textId="77777777" w:rsidR="008B58C4" w:rsidRPr="00BE4192" w:rsidRDefault="008B58C4" w:rsidP="00EC669E">
            <w:pPr>
              <w:jc w:val="right"/>
              <w:rPr>
                <w:rFonts w:ascii="Times New Roman" w:eastAsia="Times New Roman" w:hAnsi="Times New Roman"/>
                <w:color w:val="000000"/>
                <w:sz w:val="20"/>
                <w:lang w:eastAsia="ko-KR"/>
              </w:rPr>
            </w:pPr>
            <w:r>
              <w:rPr>
                <w:rFonts w:ascii="Times New Roman" w:eastAsia="Times New Roman" w:hAnsi="Times New Roman"/>
                <w:color w:val="000000"/>
                <w:sz w:val="20"/>
                <w:lang w:eastAsia="ko-KR"/>
              </w:rPr>
              <w:t>--</w:t>
            </w:r>
          </w:p>
        </w:tc>
        <w:tc>
          <w:tcPr>
            <w:tcW w:w="700"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61ACED35"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4214FBFF"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3A143523"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34474ED7"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2EA860C1"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8" w:space="0" w:color="auto"/>
            </w:tcBorders>
            <w:shd w:val="clear" w:color="auto" w:fill="auto"/>
            <w:vAlign w:val="center"/>
          </w:tcPr>
          <w:p w14:paraId="0C948D01" w14:textId="77777777" w:rsidR="008B58C4" w:rsidRPr="00BE4192" w:rsidRDefault="008B58C4" w:rsidP="00EC669E">
            <w:pPr>
              <w:jc w:val="right"/>
              <w:rPr>
                <w:rFonts w:ascii="Times New Roman" w:eastAsia="Times New Roman" w:hAnsi="Times New Roman"/>
                <w:color w:val="000000"/>
                <w:sz w:val="20"/>
                <w:lang w:eastAsia="ko-KR"/>
              </w:rPr>
            </w:pPr>
          </w:p>
        </w:tc>
      </w:tr>
      <w:tr w:rsidR="008B58C4" w:rsidRPr="009148F8" w14:paraId="22335073" w14:textId="77777777" w:rsidTr="00EC669E">
        <w:trPr>
          <w:trHeight w:val="216"/>
        </w:trPr>
        <w:tc>
          <w:tcPr>
            <w:tcW w:w="4490" w:type="dxa"/>
            <w:gridSpan w:val="2"/>
            <w:tcBorders>
              <w:top w:val="dashSmallGap" w:sz="4" w:space="0" w:color="595959" w:themeColor="text1" w:themeTint="A6"/>
              <w:left w:val="single" w:sz="18" w:space="0" w:color="auto"/>
              <w:bottom w:val="dashSmallGap" w:sz="4" w:space="0" w:color="595959" w:themeColor="text1" w:themeTint="A6"/>
              <w:right w:val="single" w:sz="12" w:space="0" w:color="auto"/>
            </w:tcBorders>
            <w:shd w:val="clear" w:color="auto" w:fill="auto"/>
            <w:noWrap/>
            <w:vAlign w:val="center"/>
          </w:tcPr>
          <w:p w14:paraId="18843FDD" w14:textId="77777777" w:rsidR="008B58C4" w:rsidRPr="00BE4192" w:rsidRDefault="008B58C4" w:rsidP="00EC669E">
            <w:pPr>
              <w:ind w:left="72"/>
              <w:rPr>
                <w:rFonts w:ascii="Times New Roman" w:eastAsia="Times New Roman" w:hAnsi="Times New Roman"/>
                <w:b/>
                <w:bCs/>
                <w:color w:val="000000"/>
                <w:sz w:val="20"/>
                <w:lang w:eastAsia="ko-KR"/>
              </w:rPr>
            </w:pPr>
            <w:r w:rsidRPr="00BE4192">
              <w:rPr>
                <w:rFonts w:ascii="Times New Roman" w:eastAsia="Times New Roman" w:hAnsi="Times New Roman"/>
                <w:color w:val="000000"/>
                <w:sz w:val="20"/>
                <w:lang w:eastAsia="ko-KR"/>
              </w:rPr>
              <w:t xml:space="preserve">Social </w:t>
            </w:r>
            <w:r>
              <w:rPr>
                <w:rFonts w:ascii="Times New Roman" w:eastAsia="Times New Roman" w:hAnsi="Times New Roman"/>
                <w:color w:val="000000"/>
                <w:sz w:val="20"/>
                <w:lang w:eastAsia="ko-KR"/>
              </w:rPr>
              <w:t>n</w:t>
            </w:r>
            <w:r w:rsidRPr="00BE4192">
              <w:rPr>
                <w:rFonts w:ascii="Times New Roman" w:eastAsia="Times New Roman" w:hAnsi="Times New Roman"/>
                <w:color w:val="000000"/>
                <w:sz w:val="20"/>
                <w:lang w:eastAsia="ko-KR"/>
              </w:rPr>
              <w:t>eeds</w:t>
            </w:r>
          </w:p>
        </w:tc>
        <w:tc>
          <w:tcPr>
            <w:tcW w:w="700"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noWrap/>
            <w:vAlign w:val="center"/>
          </w:tcPr>
          <w:p w14:paraId="2492C5D9"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0.30</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2DBCD107"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2.27</w:t>
            </w: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3FABC00D"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0.04</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3AF389A4"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0.17</w:t>
            </w: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2BF42708"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0.17</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508A1833"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0.90</w:t>
            </w:r>
          </w:p>
        </w:tc>
        <w:tc>
          <w:tcPr>
            <w:tcW w:w="700"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5CCF4281"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1.00</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163730DF" w14:textId="77777777" w:rsidR="008B58C4" w:rsidRPr="00BE4192" w:rsidRDefault="008B58C4" w:rsidP="00EC669E">
            <w:pPr>
              <w:jc w:val="right"/>
              <w:rPr>
                <w:rFonts w:ascii="Times New Roman" w:eastAsia="Times New Roman" w:hAnsi="Times New Roman"/>
                <w:color w:val="000000"/>
                <w:sz w:val="20"/>
                <w:lang w:eastAsia="ko-KR"/>
              </w:rPr>
            </w:pPr>
            <w:r>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5E5AA4F7"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56777C48"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40E7CD38"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8" w:space="0" w:color="auto"/>
            </w:tcBorders>
            <w:shd w:val="clear" w:color="auto" w:fill="auto"/>
            <w:vAlign w:val="center"/>
          </w:tcPr>
          <w:p w14:paraId="17B8A8E0" w14:textId="77777777" w:rsidR="008B58C4" w:rsidRPr="00BE4192" w:rsidRDefault="008B58C4" w:rsidP="00EC669E">
            <w:pPr>
              <w:jc w:val="right"/>
              <w:rPr>
                <w:rFonts w:ascii="Times New Roman" w:eastAsia="Times New Roman" w:hAnsi="Times New Roman"/>
                <w:color w:val="000000"/>
                <w:sz w:val="20"/>
                <w:lang w:eastAsia="ko-KR"/>
              </w:rPr>
            </w:pPr>
          </w:p>
        </w:tc>
      </w:tr>
      <w:tr w:rsidR="008B58C4" w:rsidRPr="009148F8" w14:paraId="7686F18E" w14:textId="77777777" w:rsidTr="00EC669E">
        <w:trPr>
          <w:trHeight w:val="216"/>
        </w:trPr>
        <w:tc>
          <w:tcPr>
            <w:tcW w:w="4490" w:type="dxa"/>
            <w:gridSpan w:val="2"/>
            <w:tcBorders>
              <w:top w:val="dashSmallGap" w:sz="4" w:space="0" w:color="595959" w:themeColor="text1" w:themeTint="A6"/>
              <w:left w:val="single" w:sz="18" w:space="0" w:color="auto"/>
              <w:bottom w:val="dashSmallGap" w:sz="4" w:space="0" w:color="595959" w:themeColor="text1" w:themeTint="A6"/>
              <w:right w:val="single" w:sz="12" w:space="0" w:color="auto"/>
            </w:tcBorders>
            <w:shd w:val="clear" w:color="auto" w:fill="auto"/>
            <w:noWrap/>
            <w:vAlign w:val="center"/>
          </w:tcPr>
          <w:p w14:paraId="25A212A9" w14:textId="77777777" w:rsidR="008B58C4" w:rsidRPr="00BE4192" w:rsidRDefault="008B58C4" w:rsidP="00EC669E">
            <w:pPr>
              <w:ind w:left="72"/>
              <w:rPr>
                <w:rFonts w:ascii="Times New Roman" w:eastAsia="Times New Roman" w:hAnsi="Times New Roman"/>
                <w:b/>
                <w:bCs/>
                <w:color w:val="000000"/>
                <w:sz w:val="20"/>
                <w:lang w:eastAsia="ko-KR"/>
              </w:rPr>
            </w:pPr>
            <w:r w:rsidRPr="00BE4192">
              <w:rPr>
                <w:rFonts w:ascii="Times New Roman" w:eastAsia="Times New Roman" w:hAnsi="Times New Roman"/>
                <w:color w:val="000000"/>
                <w:sz w:val="20"/>
                <w:lang w:eastAsia="ko-KR"/>
              </w:rPr>
              <w:t xml:space="preserve">Replace </w:t>
            </w:r>
            <w:r>
              <w:rPr>
                <w:rFonts w:ascii="Times New Roman" w:eastAsia="Times New Roman" w:hAnsi="Times New Roman"/>
                <w:color w:val="000000"/>
                <w:sz w:val="20"/>
                <w:lang w:eastAsia="ko-KR"/>
              </w:rPr>
              <w:t>o</w:t>
            </w:r>
            <w:r w:rsidRPr="00BE4192">
              <w:rPr>
                <w:rFonts w:ascii="Times New Roman" w:eastAsia="Times New Roman" w:hAnsi="Times New Roman"/>
                <w:color w:val="000000"/>
                <w:sz w:val="20"/>
                <w:lang w:eastAsia="ko-KR"/>
              </w:rPr>
              <w:t xml:space="preserve">ther </w:t>
            </w:r>
            <w:r>
              <w:rPr>
                <w:rFonts w:ascii="Times New Roman" w:eastAsia="Times New Roman" w:hAnsi="Times New Roman"/>
                <w:color w:val="000000"/>
                <w:sz w:val="20"/>
                <w:lang w:eastAsia="ko-KR"/>
              </w:rPr>
              <w:t>m</w:t>
            </w:r>
            <w:r w:rsidRPr="00BE4192">
              <w:rPr>
                <w:rFonts w:ascii="Times New Roman" w:eastAsia="Times New Roman" w:hAnsi="Times New Roman"/>
                <w:color w:val="000000"/>
                <w:sz w:val="20"/>
                <w:lang w:eastAsia="ko-KR"/>
              </w:rPr>
              <w:t>odes</w:t>
            </w:r>
          </w:p>
        </w:tc>
        <w:tc>
          <w:tcPr>
            <w:tcW w:w="700"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noWrap/>
            <w:vAlign w:val="center"/>
          </w:tcPr>
          <w:p w14:paraId="55B2B0CA"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0.28</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43351597"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1.39</w:t>
            </w: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668A2462"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0.27</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5CA2BE55"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0.81</w:t>
            </w: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6A6CB0F2"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-0.15</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66CD2D98"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-0.36</w:t>
            </w:r>
          </w:p>
        </w:tc>
        <w:tc>
          <w:tcPr>
            <w:tcW w:w="700"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685B1FD2"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0.16</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0AE0A1F2"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0.67</w:t>
            </w: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66B16E8B"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1.00</w:t>
            </w: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2" w:space="0" w:color="auto"/>
            </w:tcBorders>
            <w:shd w:val="clear" w:color="auto" w:fill="auto"/>
            <w:vAlign w:val="center"/>
          </w:tcPr>
          <w:p w14:paraId="3FEABC16" w14:textId="77777777" w:rsidR="008B58C4" w:rsidRPr="00BE4192" w:rsidRDefault="008B58C4" w:rsidP="00EC669E">
            <w:pPr>
              <w:jc w:val="right"/>
              <w:rPr>
                <w:rFonts w:ascii="Times New Roman" w:eastAsia="Times New Roman" w:hAnsi="Times New Roman"/>
                <w:color w:val="000000"/>
                <w:sz w:val="20"/>
                <w:lang w:eastAsia="ko-KR"/>
              </w:rPr>
            </w:pPr>
            <w:r>
              <w:rPr>
                <w:rFonts w:ascii="Times New Roman" w:eastAsia="Times New Roman" w:hAnsi="Times New Roman"/>
                <w:color w:val="000000"/>
                <w:sz w:val="20"/>
                <w:lang w:eastAsia="ko-KR"/>
              </w:rPr>
              <w:t>--</w:t>
            </w:r>
          </w:p>
        </w:tc>
        <w:tc>
          <w:tcPr>
            <w:tcW w:w="701" w:type="dxa"/>
            <w:tcBorders>
              <w:top w:val="dashSmallGap" w:sz="4" w:space="0" w:color="595959" w:themeColor="text1" w:themeTint="A6"/>
              <w:left w:val="single" w:sz="12" w:space="0" w:color="auto"/>
              <w:bottom w:val="dashSmallGap" w:sz="4" w:space="0" w:color="595959" w:themeColor="text1" w:themeTint="A6"/>
              <w:right w:val="dashSmallGap" w:sz="4" w:space="0" w:color="595959" w:themeColor="text1" w:themeTint="A6"/>
            </w:tcBorders>
            <w:shd w:val="clear" w:color="auto" w:fill="auto"/>
            <w:vAlign w:val="center"/>
          </w:tcPr>
          <w:p w14:paraId="2B3E7FEB" w14:textId="77777777" w:rsidR="008B58C4" w:rsidRPr="00BE4192" w:rsidRDefault="008B58C4" w:rsidP="00EC669E">
            <w:pPr>
              <w:jc w:val="right"/>
              <w:rPr>
                <w:rFonts w:ascii="Times New Roman" w:eastAsia="Times New Roman" w:hAnsi="Times New Roman"/>
                <w:color w:val="000000"/>
                <w:sz w:val="20"/>
                <w:lang w:eastAsia="ko-KR"/>
              </w:rPr>
            </w:pPr>
          </w:p>
        </w:tc>
        <w:tc>
          <w:tcPr>
            <w:tcW w:w="701" w:type="dxa"/>
            <w:tcBorders>
              <w:top w:val="dashSmallGap" w:sz="4" w:space="0" w:color="595959" w:themeColor="text1" w:themeTint="A6"/>
              <w:left w:val="dashSmallGap" w:sz="4" w:space="0" w:color="595959" w:themeColor="text1" w:themeTint="A6"/>
              <w:bottom w:val="dashSmallGap" w:sz="4" w:space="0" w:color="595959" w:themeColor="text1" w:themeTint="A6"/>
              <w:right w:val="single" w:sz="18" w:space="0" w:color="auto"/>
            </w:tcBorders>
            <w:shd w:val="clear" w:color="auto" w:fill="auto"/>
            <w:vAlign w:val="center"/>
          </w:tcPr>
          <w:p w14:paraId="17BE31BE" w14:textId="77777777" w:rsidR="008B58C4" w:rsidRPr="00BE4192" w:rsidRDefault="008B58C4" w:rsidP="00EC669E">
            <w:pPr>
              <w:jc w:val="right"/>
              <w:rPr>
                <w:rFonts w:ascii="Times New Roman" w:eastAsia="Times New Roman" w:hAnsi="Times New Roman"/>
                <w:color w:val="000000"/>
                <w:sz w:val="20"/>
                <w:lang w:eastAsia="ko-KR"/>
              </w:rPr>
            </w:pPr>
          </w:p>
        </w:tc>
      </w:tr>
      <w:tr w:rsidR="008B58C4" w:rsidRPr="009148F8" w14:paraId="69E45F06" w14:textId="77777777" w:rsidTr="00EC669E">
        <w:trPr>
          <w:trHeight w:val="216"/>
        </w:trPr>
        <w:tc>
          <w:tcPr>
            <w:tcW w:w="4490" w:type="dxa"/>
            <w:gridSpan w:val="2"/>
            <w:tcBorders>
              <w:top w:val="dashSmallGap" w:sz="4" w:space="0" w:color="595959" w:themeColor="text1" w:themeTint="A6"/>
              <w:left w:val="single" w:sz="18" w:space="0" w:color="auto"/>
              <w:bottom w:val="single" w:sz="12" w:space="0" w:color="auto"/>
              <w:right w:val="single" w:sz="12" w:space="0" w:color="auto"/>
            </w:tcBorders>
            <w:shd w:val="clear" w:color="auto" w:fill="auto"/>
            <w:noWrap/>
            <w:vAlign w:val="center"/>
          </w:tcPr>
          <w:p w14:paraId="31EDC2E2" w14:textId="77777777" w:rsidR="008B58C4" w:rsidRPr="00BE4192" w:rsidRDefault="008B58C4" w:rsidP="00EC669E">
            <w:pPr>
              <w:ind w:left="72"/>
              <w:rPr>
                <w:rFonts w:ascii="Times New Roman" w:eastAsia="Times New Roman" w:hAnsi="Times New Roman"/>
                <w:b/>
                <w:bCs/>
                <w:color w:val="000000"/>
                <w:sz w:val="20"/>
                <w:lang w:eastAsia="ko-KR"/>
              </w:rPr>
            </w:pPr>
            <w:r w:rsidRPr="00BE4192">
              <w:rPr>
                <w:rFonts w:ascii="Times New Roman" w:eastAsia="Times New Roman" w:hAnsi="Times New Roman"/>
                <w:color w:val="000000"/>
                <w:sz w:val="20"/>
                <w:lang w:eastAsia="ko-KR"/>
              </w:rPr>
              <w:t>Exercise</w:t>
            </w:r>
          </w:p>
        </w:tc>
        <w:tc>
          <w:tcPr>
            <w:tcW w:w="700" w:type="dxa"/>
            <w:tcBorders>
              <w:top w:val="dashSmallGap" w:sz="4" w:space="0" w:color="595959" w:themeColor="text1" w:themeTint="A6"/>
              <w:left w:val="single" w:sz="12" w:space="0" w:color="auto"/>
              <w:bottom w:val="single" w:sz="12" w:space="0" w:color="auto"/>
              <w:right w:val="dashSmallGap" w:sz="4" w:space="0" w:color="595959" w:themeColor="text1" w:themeTint="A6"/>
            </w:tcBorders>
            <w:shd w:val="clear" w:color="auto" w:fill="auto"/>
            <w:noWrap/>
            <w:vAlign w:val="center"/>
          </w:tcPr>
          <w:p w14:paraId="095A19F8"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-0.11</w:t>
            </w:r>
          </w:p>
        </w:tc>
        <w:tc>
          <w:tcPr>
            <w:tcW w:w="701" w:type="dxa"/>
            <w:tcBorders>
              <w:top w:val="dashSmallGap" w:sz="4" w:space="0" w:color="595959" w:themeColor="text1" w:themeTint="A6"/>
              <w:left w:val="dashSmallGap" w:sz="4" w:space="0" w:color="595959" w:themeColor="text1" w:themeTint="A6"/>
              <w:bottom w:val="single" w:sz="12" w:space="0" w:color="auto"/>
              <w:right w:val="single" w:sz="12" w:space="0" w:color="auto"/>
            </w:tcBorders>
            <w:shd w:val="clear" w:color="auto" w:fill="auto"/>
            <w:vAlign w:val="center"/>
          </w:tcPr>
          <w:p w14:paraId="60A2E59B"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-0.57</w:t>
            </w:r>
          </w:p>
        </w:tc>
        <w:tc>
          <w:tcPr>
            <w:tcW w:w="701" w:type="dxa"/>
            <w:tcBorders>
              <w:top w:val="dashSmallGap" w:sz="4" w:space="0" w:color="595959" w:themeColor="text1" w:themeTint="A6"/>
              <w:left w:val="single" w:sz="12" w:space="0" w:color="auto"/>
              <w:bottom w:val="single" w:sz="12" w:space="0" w:color="auto"/>
              <w:right w:val="dashSmallGap" w:sz="4" w:space="0" w:color="595959" w:themeColor="text1" w:themeTint="A6"/>
            </w:tcBorders>
            <w:shd w:val="clear" w:color="auto" w:fill="auto"/>
            <w:vAlign w:val="center"/>
          </w:tcPr>
          <w:p w14:paraId="644F5315"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-0.46</w:t>
            </w:r>
          </w:p>
        </w:tc>
        <w:tc>
          <w:tcPr>
            <w:tcW w:w="701" w:type="dxa"/>
            <w:tcBorders>
              <w:top w:val="dashSmallGap" w:sz="4" w:space="0" w:color="595959" w:themeColor="text1" w:themeTint="A6"/>
              <w:left w:val="dashSmallGap" w:sz="4" w:space="0" w:color="595959" w:themeColor="text1" w:themeTint="A6"/>
              <w:bottom w:val="single" w:sz="12" w:space="0" w:color="auto"/>
              <w:right w:val="single" w:sz="12" w:space="0" w:color="auto"/>
            </w:tcBorders>
            <w:shd w:val="clear" w:color="auto" w:fill="auto"/>
            <w:vAlign w:val="center"/>
          </w:tcPr>
          <w:p w14:paraId="52333C6C"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-2.08</w:t>
            </w:r>
          </w:p>
        </w:tc>
        <w:tc>
          <w:tcPr>
            <w:tcW w:w="701" w:type="dxa"/>
            <w:tcBorders>
              <w:top w:val="dashSmallGap" w:sz="4" w:space="0" w:color="595959" w:themeColor="text1" w:themeTint="A6"/>
              <w:left w:val="single" w:sz="12" w:space="0" w:color="auto"/>
              <w:bottom w:val="single" w:sz="12" w:space="0" w:color="auto"/>
              <w:right w:val="dashSmallGap" w:sz="4" w:space="0" w:color="595959" w:themeColor="text1" w:themeTint="A6"/>
            </w:tcBorders>
            <w:shd w:val="clear" w:color="auto" w:fill="auto"/>
            <w:vAlign w:val="center"/>
          </w:tcPr>
          <w:p w14:paraId="12A1D560"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-0.28</w:t>
            </w:r>
          </w:p>
        </w:tc>
        <w:tc>
          <w:tcPr>
            <w:tcW w:w="701" w:type="dxa"/>
            <w:tcBorders>
              <w:top w:val="dashSmallGap" w:sz="4" w:space="0" w:color="595959" w:themeColor="text1" w:themeTint="A6"/>
              <w:left w:val="dashSmallGap" w:sz="4" w:space="0" w:color="595959" w:themeColor="text1" w:themeTint="A6"/>
              <w:bottom w:val="single" w:sz="12" w:space="0" w:color="auto"/>
              <w:right w:val="single" w:sz="12" w:space="0" w:color="auto"/>
            </w:tcBorders>
            <w:shd w:val="clear" w:color="auto" w:fill="auto"/>
            <w:vAlign w:val="center"/>
          </w:tcPr>
          <w:p w14:paraId="65838B0E"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-1.05</w:t>
            </w:r>
          </w:p>
        </w:tc>
        <w:tc>
          <w:tcPr>
            <w:tcW w:w="700" w:type="dxa"/>
            <w:tcBorders>
              <w:top w:val="dashSmallGap" w:sz="4" w:space="0" w:color="595959" w:themeColor="text1" w:themeTint="A6"/>
              <w:left w:val="single" w:sz="12" w:space="0" w:color="auto"/>
              <w:bottom w:val="single" w:sz="12" w:space="0" w:color="auto"/>
              <w:right w:val="dashSmallGap" w:sz="4" w:space="0" w:color="595959" w:themeColor="text1" w:themeTint="A6"/>
            </w:tcBorders>
            <w:shd w:val="clear" w:color="auto" w:fill="auto"/>
            <w:vAlign w:val="center"/>
          </w:tcPr>
          <w:p w14:paraId="027A875C"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0.13</w:t>
            </w:r>
          </w:p>
        </w:tc>
        <w:tc>
          <w:tcPr>
            <w:tcW w:w="701" w:type="dxa"/>
            <w:tcBorders>
              <w:top w:val="dashSmallGap" w:sz="4" w:space="0" w:color="595959" w:themeColor="text1" w:themeTint="A6"/>
              <w:left w:val="dashSmallGap" w:sz="4" w:space="0" w:color="595959" w:themeColor="text1" w:themeTint="A6"/>
              <w:bottom w:val="single" w:sz="12" w:space="0" w:color="auto"/>
              <w:right w:val="single" w:sz="12" w:space="0" w:color="auto"/>
            </w:tcBorders>
            <w:shd w:val="clear" w:color="auto" w:fill="auto"/>
            <w:vAlign w:val="center"/>
          </w:tcPr>
          <w:p w14:paraId="31A77DC9"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0.64</w:t>
            </w:r>
          </w:p>
        </w:tc>
        <w:tc>
          <w:tcPr>
            <w:tcW w:w="701" w:type="dxa"/>
            <w:tcBorders>
              <w:top w:val="dashSmallGap" w:sz="4" w:space="0" w:color="595959" w:themeColor="text1" w:themeTint="A6"/>
              <w:left w:val="single" w:sz="12" w:space="0" w:color="auto"/>
              <w:bottom w:val="single" w:sz="12" w:space="0" w:color="auto"/>
              <w:right w:val="dashSmallGap" w:sz="4" w:space="0" w:color="595959" w:themeColor="text1" w:themeTint="A6"/>
            </w:tcBorders>
            <w:shd w:val="clear" w:color="auto" w:fill="auto"/>
            <w:vAlign w:val="center"/>
          </w:tcPr>
          <w:p w14:paraId="019145B1"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0.09</w:t>
            </w:r>
          </w:p>
        </w:tc>
        <w:tc>
          <w:tcPr>
            <w:tcW w:w="701" w:type="dxa"/>
            <w:tcBorders>
              <w:top w:val="dashSmallGap" w:sz="4" w:space="0" w:color="595959" w:themeColor="text1" w:themeTint="A6"/>
              <w:left w:val="dashSmallGap" w:sz="4" w:space="0" w:color="595959" w:themeColor="text1" w:themeTint="A6"/>
              <w:bottom w:val="single" w:sz="12" w:space="0" w:color="auto"/>
              <w:right w:val="single" w:sz="12" w:space="0" w:color="auto"/>
            </w:tcBorders>
            <w:shd w:val="clear" w:color="auto" w:fill="auto"/>
            <w:vAlign w:val="center"/>
          </w:tcPr>
          <w:p w14:paraId="3D2B4E39"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0.34</w:t>
            </w:r>
          </w:p>
        </w:tc>
        <w:tc>
          <w:tcPr>
            <w:tcW w:w="701" w:type="dxa"/>
            <w:tcBorders>
              <w:top w:val="dashSmallGap" w:sz="4" w:space="0" w:color="595959" w:themeColor="text1" w:themeTint="A6"/>
              <w:left w:val="single" w:sz="12" w:space="0" w:color="auto"/>
              <w:bottom w:val="single" w:sz="12" w:space="0" w:color="auto"/>
              <w:right w:val="dashSmallGap" w:sz="4" w:space="0" w:color="595959" w:themeColor="text1" w:themeTint="A6"/>
            </w:tcBorders>
            <w:shd w:val="clear" w:color="auto" w:fill="auto"/>
            <w:vAlign w:val="center"/>
          </w:tcPr>
          <w:p w14:paraId="4164C004" w14:textId="77777777" w:rsidR="008B58C4" w:rsidRPr="00BE4192" w:rsidRDefault="008B58C4" w:rsidP="00EC669E">
            <w:pPr>
              <w:jc w:val="right"/>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1.00</w:t>
            </w:r>
          </w:p>
        </w:tc>
        <w:tc>
          <w:tcPr>
            <w:tcW w:w="701" w:type="dxa"/>
            <w:tcBorders>
              <w:top w:val="dashSmallGap" w:sz="4" w:space="0" w:color="595959" w:themeColor="text1" w:themeTint="A6"/>
              <w:left w:val="dashSmallGap" w:sz="4" w:space="0" w:color="595959" w:themeColor="text1" w:themeTint="A6"/>
              <w:bottom w:val="single" w:sz="12" w:space="0" w:color="auto"/>
              <w:right w:val="single" w:sz="18" w:space="0" w:color="auto"/>
            </w:tcBorders>
            <w:shd w:val="clear" w:color="auto" w:fill="auto"/>
            <w:vAlign w:val="center"/>
          </w:tcPr>
          <w:p w14:paraId="5127408E" w14:textId="77777777" w:rsidR="008B58C4" w:rsidRPr="00BE4192" w:rsidRDefault="008B58C4" w:rsidP="00EC669E">
            <w:pPr>
              <w:jc w:val="right"/>
              <w:rPr>
                <w:rFonts w:ascii="Times New Roman" w:eastAsia="Times New Roman" w:hAnsi="Times New Roman"/>
                <w:color w:val="000000"/>
                <w:sz w:val="20"/>
                <w:lang w:eastAsia="ko-KR"/>
              </w:rPr>
            </w:pPr>
            <w:r>
              <w:rPr>
                <w:rFonts w:ascii="Times New Roman" w:eastAsia="Times New Roman" w:hAnsi="Times New Roman"/>
                <w:color w:val="000000"/>
                <w:sz w:val="20"/>
                <w:lang w:eastAsia="ko-KR"/>
              </w:rPr>
              <w:t>--</w:t>
            </w:r>
          </w:p>
        </w:tc>
      </w:tr>
      <w:tr w:rsidR="008B58C4" w:rsidRPr="009148F8" w14:paraId="1E9847F5" w14:textId="77777777" w:rsidTr="00EC669E">
        <w:trPr>
          <w:trHeight w:val="216"/>
        </w:trPr>
        <w:tc>
          <w:tcPr>
            <w:tcW w:w="12900" w:type="dxa"/>
            <w:gridSpan w:val="14"/>
            <w:tcBorders>
              <w:top w:val="single" w:sz="12" w:space="0" w:color="auto"/>
              <w:left w:val="single" w:sz="18" w:space="0" w:color="auto"/>
              <w:bottom w:val="single" w:sz="12" w:space="0" w:color="auto"/>
              <w:right w:val="single" w:sz="18" w:space="0" w:color="auto"/>
            </w:tcBorders>
            <w:shd w:val="clear" w:color="auto" w:fill="auto"/>
            <w:noWrap/>
            <w:vAlign w:val="center"/>
          </w:tcPr>
          <w:p w14:paraId="791E6868" w14:textId="77777777" w:rsidR="008B58C4" w:rsidRPr="00BE4192" w:rsidRDefault="008B58C4" w:rsidP="00EC669E">
            <w:pPr>
              <w:ind w:left="72"/>
              <w:rPr>
                <w:rFonts w:ascii="Times New Roman" w:eastAsia="Times New Roman" w:hAnsi="Times New Roman"/>
                <w:color w:val="000000"/>
                <w:sz w:val="20"/>
                <w:lang w:eastAsia="ko-KR"/>
              </w:rPr>
            </w:pPr>
            <w:r w:rsidRPr="00BE4192">
              <w:rPr>
                <w:rFonts w:ascii="Times New Roman" w:eastAsia="Times New Roman" w:hAnsi="Times New Roman"/>
                <w:b/>
                <w:color w:val="000000"/>
                <w:sz w:val="20"/>
                <w:lang w:eastAsia="ko-KR"/>
              </w:rPr>
              <w:t>Data fit measures</w:t>
            </w:r>
          </w:p>
        </w:tc>
      </w:tr>
      <w:tr w:rsidR="008B58C4" w:rsidRPr="009148F8" w14:paraId="2C9E6727" w14:textId="77777777" w:rsidTr="00EC669E">
        <w:trPr>
          <w:trHeight w:val="216"/>
        </w:trPr>
        <w:tc>
          <w:tcPr>
            <w:tcW w:w="4490" w:type="dxa"/>
            <w:gridSpan w:val="2"/>
            <w:tcBorders>
              <w:top w:val="single" w:sz="12" w:space="0" w:color="auto"/>
              <w:left w:val="single" w:sz="18" w:space="0" w:color="auto"/>
              <w:bottom w:val="single" w:sz="4" w:space="0" w:color="595959" w:themeColor="text1" w:themeTint="A6"/>
              <w:right w:val="single" w:sz="12" w:space="0" w:color="auto"/>
            </w:tcBorders>
            <w:shd w:val="clear" w:color="auto" w:fill="auto"/>
            <w:noWrap/>
            <w:vAlign w:val="center"/>
          </w:tcPr>
          <w:p w14:paraId="530D4451" w14:textId="77777777" w:rsidR="008B58C4" w:rsidRPr="00BE4192" w:rsidRDefault="008B58C4" w:rsidP="00EC669E">
            <w:pPr>
              <w:ind w:left="72"/>
              <w:rPr>
                <w:rFonts w:ascii="Times New Roman" w:hAnsi="Times New Roman"/>
                <w:sz w:val="20"/>
              </w:rPr>
            </w:pPr>
            <w:r>
              <w:rPr>
                <w:rFonts w:ascii="Times New Roman" w:hAnsi="Times New Roman"/>
                <w:sz w:val="20"/>
              </w:rPr>
              <w:t>Model</w:t>
            </w:r>
          </w:p>
        </w:tc>
        <w:tc>
          <w:tcPr>
            <w:tcW w:w="4205" w:type="dxa"/>
            <w:gridSpan w:val="6"/>
            <w:tcBorders>
              <w:top w:val="single" w:sz="12" w:space="0" w:color="auto"/>
              <w:left w:val="single" w:sz="12" w:space="0" w:color="auto"/>
              <w:bottom w:val="single" w:sz="4" w:space="0" w:color="595959" w:themeColor="text1" w:themeTint="A6"/>
            </w:tcBorders>
            <w:shd w:val="clear" w:color="auto" w:fill="auto"/>
            <w:noWrap/>
            <w:vAlign w:val="center"/>
          </w:tcPr>
          <w:p w14:paraId="3F02A7C0" w14:textId="77777777" w:rsidR="008B58C4" w:rsidRPr="00BE4192" w:rsidRDefault="008B58C4" w:rsidP="00EC669E">
            <w:pPr>
              <w:jc w:val="center"/>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Multivariate model</w:t>
            </w:r>
          </w:p>
        </w:tc>
        <w:tc>
          <w:tcPr>
            <w:tcW w:w="4205" w:type="dxa"/>
            <w:gridSpan w:val="6"/>
            <w:tcBorders>
              <w:top w:val="single" w:sz="12" w:space="0" w:color="auto"/>
              <w:bottom w:val="single" w:sz="4" w:space="0" w:color="595959" w:themeColor="text1" w:themeTint="A6"/>
              <w:right w:val="single" w:sz="18" w:space="0" w:color="auto"/>
            </w:tcBorders>
            <w:shd w:val="clear" w:color="auto" w:fill="auto"/>
            <w:vAlign w:val="center"/>
          </w:tcPr>
          <w:p w14:paraId="63EA3FCC" w14:textId="77777777" w:rsidR="008B58C4" w:rsidRPr="00BE4192" w:rsidRDefault="008B58C4" w:rsidP="00EC669E">
            <w:pPr>
              <w:jc w:val="center"/>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Independent model</w:t>
            </w:r>
          </w:p>
        </w:tc>
      </w:tr>
      <w:tr w:rsidR="008B58C4" w:rsidRPr="009148F8" w14:paraId="3C264445" w14:textId="77777777" w:rsidTr="00EC669E">
        <w:trPr>
          <w:trHeight w:val="216"/>
        </w:trPr>
        <w:tc>
          <w:tcPr>
            <w:tcW w:w="4490" w:type="dxa"/>
            <w:gridSpan w:val="2"/>
            <w:tcBorders>
              <w:top w:val="single" w:sz="4" w:space="0" w:color="595959" w:themeColor="text1" w:themeTint="A6"/>
              <w:left w:val="single" w:sz="18" w:space="0" w:color="auto"/>
              <w:bottom w:val="dashSmallGap" w:sz="4" w:space="0" w:color="595959" w:themeColor="text1" w:themeTint="A6"/>
              <w:right w:val="single" w:sz="12" w:space="0" w:color="auto"/>
            </w:tcBorders>
            <w:shd w:val="clear" w:color="auto" w:fill="auto"/>
            <w:noWrap/>
            <w:vAlign w:val="center"/>
          </w:tcPr>
          <w:p w14:paraId="53E8082D" w14:textId="77777777" w:rsidR="008B58C4" w:rsidRPr="00BE4192" w:rsidRDefault="008B58C4" w:rsidP="00EC669E">
            <w:pPr>
              <w:ind w:left="72"/>
              <w:rPr>
                <w:rFonts w:ascii="Times New Roman" w:hAnsi="Times New Roman"/>
                <w:sz w:val="20"/>
              </w:rPr>
            </w:pPr>
            <w:r w:rsidRPr="00BE4192">
              <w:rPr>
                <w:rFonts w:ascii="Times New Roman" w:hAnsi="Times New Roman"/>
                <w:sz w:val="20"/>
              </w:rPr>
              <w:t>Log-likelihood at convergence</w:t>
            </w:r>
          </w:p>
        </w:tc>
        <w:tc>
          <w:tcPr>
            <w:tcW w:w="4205" w:type="dxa"/>
            <w:gridSpan w:val="6"/>
            <w:tcBorders>
              <w:top w:val="single" w:sz="4" w:space="0" w:color="595959" w:themeColor="text1" w:themeTint="A6"/>
              <w:left w:val="single" w:sz="12" w:space="0" w:color="auto"/>
              <w:bottom w:val="dashSmallGap" w:sz="4" w:space="0" w:color="595959" w:themeColor="text1" w:themeTint="A6"/>
            </w:tcBorders>
            <w:shd w:val="clear" w:color="auto" w:fill="auto"/>
            <w:noWrap/>
            <w:vAlign w:val="center"/>
          </w:tcPr>
          <w:p w14:paraId="078E8B5B" w14:textId="77777777" w:rsidR="008B58C4" w:rsidRPr="00BE4192" w:rsidRDefault="008B58C4" w:rsidP="00EC669E">
            <w:pPr>
              <w:jc w:val="center"/>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-1893.07</w:t>
            </w:r>
          </w:p>
        </w:tc>
        <w:tc>
          <w:tcPr>
            <w:tcW w:w="4205" w:type="dxa"/>
            <w:gridSpan w:val="6"/>
            <w:tcBorders>
              <w:top w:val="single" w:sz="4" w:space="0" w:color="595959" w:themeColor="text1" w:themeTint="A6"/>
              <w:bottom w:val="dashSmallGap" w:sz="4" w:space="0" w:color="595959" w:themeColor="text1" w:themeTint="A6"/>
              <w:right w:val="single" w:sz="18" w:space="0" w:color="auto"/>
            </w:tcBorders>
            <w:shd w:val="clear" w:color="auto" w:fill="auto"/>
            <w:vAlign w:val="center"/>
          </w:tcPr>
          <w:p w14:paraId="0284CFD8" w14:textId="77777777" w:rsidR="008B58C4" w:rsidRPr="00BE4192" w:rsidRDefault="008B58C4" w:rsidP="00EC669E">
            <w:pPr>
              <w:jc w:val="center"/>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-1945.27</w:t>
            </w:r>
          </w:p>
        </w:tc>
      </w:tr>
      <w:tr w:rsidR="008B58C4" w:rsidRPr="009148F8" w14:paraId="7A034ACC" w14:textId="77777777" w:rsidTr="00EC669E">
        <w:trPr>
          <w:trHeight w:val="216"/>
        </w:trPr>
        <w:tc>
          <w:tcPr>
            <w:tcW w:w="4490" w:type="dxa"/>
            <w:gridSpan w:val="2"/>
            <w:tcBorders>
              <w:top w:val="dashSmallGap" w:sz="4" w:space="0" w:color="595959" w:themeColor="text1" w:themeTint="A6"/>
              <w:left w:val="single" w:sz="18" w:space="0" w:color="auto"/>
              <w:bottom w:val="dashSmallGap" w:sz="4" w:space="0" w:color="595959" w:themeColor="text1" w:themeTint="A6"/>
              <w:right w:val="single" w:sz="12" w:space="0" w:color="auto"/>
            </w:tcBorders>
            <w:shd w:val="clear" w:color="auto" w:fill="auto"/>
            <w:noWrap/>
            <w:vAlign w:val="center"/>
          </w:tcPr>
          <w:p w14:paraId="2315EAC1" w14:textId="77777777" w:rsidR="008B58C4" w:rsidRPr="00BE4192" w:rsidRDefault="008B58C4" w:rsidP="00EC669E">
            <w:pPr>
              <w:ind w:left="72"/>
              <w:rPr>
                <w:rFonts w:ascii="Times New Roman" w:hAnsi="Times New Roman"/>
                <w:sz w:val="20"/>
              </w:rPr>
            </w:pPr>
            <w:r w:rsidRPr="00BE4192">
              <w:rPr>
                <w:rFonts w:ascii="Times New Roman" w:hAnsi="Times New Roman"/>
                <w:sz w:val="20"/>
              </w:rPr>
              <w:t>Log-likelihood at constants</w:t>
            </w:r>
          </w:p>
        </w:tc>
        <w:tc>
          <w:tcPr>
            <w:tcW w:w="8410" w:type="dxa"/>
            <w:gridSpan w:val="12"/>
            <w:tcBorders>
              <w:top w:val="dashSmallGap" w:sz="4" w:space="0" w:color="595959" w:themeColor="text1" w:themeTint="A6"/>
              <w:left w:val="single" w:sz="12" w:space="0" w:color="auto"/>
              <w:bottom w:val="dashSmallGap" w:sz="4" w:space="0" w:color="595959" w:themeColor="text1" w:themeTint="A6"/>
              <w:right w:val="single" w:sz="18" w:space="0" w:color="auto"/>
            </w:tcBorders>
            <w:shd w:val="clear" w:color="auto" w:fill="auto"/>
            <w:noWrap/>
            <w:vAlign w:val="center"/>
          </w:tcPr>
          <w:p w14:paraId="1ADBB6DF" w14:textId="77777777" w:rsidR="008B58C4" w:rsidRPr="00BE4192" w:rsidRDefault="008B58C4" w:rsidP="00EC669E">
            <w:pPr>
              <w:jc w:val="center"/>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-1998.67</w:t>
            </w:r>
          </w:p>
        </w:tc>
      </w:tr>
      <w:tr w:rsidR="008B58C4" w:rsidRPr="009148F8" w14:paraId="70B8F4FC" w14:textId="77777777" w:rsidTr="00EC669E">
        <w:trPr>
          <w:trHeight w:val="216"/>
        </w:trPr>
        <w:tc>
          <w:tcPr>
            <w:tcW w:w="4490" w:type="dxa"/>
            <w:gridSpan w:val="2"/>
            <w:tcBorders>
              <w:top w:val="dashSmallGap" w:sz="4" w:space="0" w:color="595959" w:themeColor="text1" w:themeTint="A6"/>
              <w:left w:val="single" w:sz="18" w:space="0" w:color="auto"/>
              <w:bottom w:val="dashSmallGap" w:sz="4" w:space="0" w:color="595959" w:themeColor="text1" w:themeTint="A6"/>
              <w:right w:val="single" w:sz="12" w:space="0" w:color="auto"/>
            </w:tcBorders>
            <w:shd w:val="clear" w:color="auto" w:fill="auto"/>
            <w:noWrap/>
            <w:vAlign w:val="center"/>
          </w:tcPr>
          <w:p w14:paraId="6B596061" w14:textId="77777777" w:rsidR="008B58C4" w:rsidRPr="00BE4192" w:rsidRDefault="008B58C4" w:rsidP="00EC669E">
            <w:pPr>
              <w:ind w:left="72"/>
              <w:rPr>
                <w:rFonts w:ascii="Times New Roman" w:hAnsi="Times New Roman"/>
                <w:sz w:val="20"/>
              </w:rPr>
            </w:pPr>
            <w:r w:rsidRPr="00BE4192">
              <w:rPr>
                <w:rFonts w:ascii="Times New Roman" w:hAnsi="Times New Roman"/>
                <w:sz w:val="20"/>
              </w:rPr>
              <w:t>Number of parameters</w:t>
            </w:r>
          </w:p>
        </w:tc>
        <w:tc>
          <w:tcPr>
            <w:tcW w:w="4205" w:type="dxa"/>
            <w:gridSpan w:val="6"/>
            <w:tcBorders>
              <w:top w:val="dashSmallGap" w:sz="4" w:space="0" w:color="595959" w:themeColor="text1" w:themeTint="A6"/>
              <w:left w:val="single" w:sz="12" w:space="0" w:color="auto"/>
              <w:bottom w:val="dashSmallGap" w:sz="4" w:space="0" w:color="595959" w:themeColor="text1" w:themeTint="A6"/>
            </w:tcBorders>
            <w:shd w:val="clear" w:color="auto" w:fill="auto"/>
            <w:noWrap/>
            <w:vAlign w:val="center"/>
          </w:tcPr>
          <w:p w14:paraId="5ED35535" w14:textId="77777777" w:rsidR="008B58C4" w:rsidRPr="00BE4192" w:rsidRDefault="008B58C4" w:rsidP="00EC669E">
            <w:pPr>
              <w:jc w:val="center"/>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35</w:t>
            </w:r>
          </w:p>
        </w:tc>
        <w:tc>
          <w:tcPr>
            <w:tcW w:w="4205" w:type="dxa"/>
            <w:gridSpan w:val="6"/>
            <w:tcBorders>
              <w:top w:val="dashSmallGap" w:sz="4" w:space="0" w:color="595959" w:themeColor="text1" w:themeTint="A6"/>
              <w:right w:val="single" w:sz="18" w:space="0" w:color="auto"/>
            </w:tcBorders>
            <w:shd w:val="clear" w:color="auto" w:fill="auto"/>
            <w:vAlign w:val="center"/>
          </w:tcPr>
          <w:p w14:paraId="6C78C8B7" w14:textId="77777777" w:rsidR="008B58C4" w:rsidRPr="00BE4192" w:rsidRDefault="008B58C4" w:rsidP="00EC669E">
            <w:pPr>
              <w:jc w:val="center"/>
              <w:rPr>
                <w:rFonts w:ascii="Times New Roman" w:eastAsia="Times New Roman" w:hAnsi="Times New Roman"/>
                <w:color w:val="000000"/>
                <w:sz w:val="20"/>
                <w:lang w:eastAsia="ko-KR"/>
              </w:rPr>
            </w:pPr>
            <w:r w:rsidRPr="00BE4192">
              <w:rPr>
                <w:rFonts w:ascii="Times New Roman" w:eastAsia="Times New Roman" w:hAnsi="Times New Roman"/>
                <w:color w:val="000000"/>
                <w:sz w:val="20"/>
                <w:lang w:eastAsia="ko-KR"/>
              </w:rPr>
              <w:t>20</w:t>
            </w:r>
          </w:p>
        </w:tc>
      </w:tr>
      <w:tr w:rsidR="008B58C4" w:rsidRPr="009148F8" w14:paraId="6F1AB51E" w14:textId="77777777" w:rsidTr="00EC669E">
        <w:trPr>
          <w:trHeight w:val="216"/>
        </w:trPr>
        <w:tc>
          <w:tcPr>
            <w:tcW w:w="4490" w:type="dxa"/>
            <w:gridSpan w:val="2"/>
            <w:tcBorders>
              <w:top w:val="dashSmallGap" w:sz="4" w:space="0" w:color="595959" w:themeColor="text1" w:themeTint="A6"/>
              <w:left w:val="single" w:sz="18" w:space="0" w:color="auto"/>
              <w:bottom w:val="single" w:sz="18" w:space="0" w:color="auto"/>
              <w:right w:val="single" w:sz="12" w:space="0" w:color="auto"/>
            </w:tcBorders>
            <w:shd w:val="clear" w:color="auto" w:fill="auto"/>
            <w:noWrap/>
            <w:vAlign w:val="center"/>
          </w:tcPr>
          <w:p w14:paraId="029B65F4" w14:textId="77777777" w:rsidR="008B58C4" w:rsidRPr="00BE4192" w:rsidRDefault="008B58C4" w:rsidP="00EC669E">
            <w:pPr>
              <w:ind w:left="72"/>
              <w:rPr>
                <w:rFonts w:ascii="Times New Roman" w:hAnsi="Times New Roman"/>
                <w:sz w:val="20"/>
              </w:rPr>
            </w:pPr>
            <w:r w:rsidRPr="00BE4192">
              <w:rPr>
                <w:rFonts w:ascii="Times New Roman" w:hAnsi="Times New Roman"/>
                <w:sz w:val="20"/>
              </w:rPr>
              <w:t>Likelihood ratio test</w:t>
            </w:r>
            <w:r>
              <w:rPr>
                <w:rFonts w:ascii="Times New Roman" w:hAnsi="Times New Roman"/>
                <w:sz w:val="20"/>
              </w:rPr>
              <w:t xml:space="preserve"> (between joint/</w:t>
            </w:r>
            <w:proofErr w:type="spellStart"/>
            <w:r>
              <w:rPr>
                <w:rFonts w:ascii="Times New Roman" w:hAnsi="Times New Roman"/>
                <w:sz w:val="20"/>
              </w:rPr>
              <w:t>indep</w:t>
            </w:r>
            <w:proofErr w:type="spellEnd"/>
            <w:r>
              <w:rPr>
                <w:rFonts w:ascii="Times New Roman" w:hAnsi="Times New Roman"/>
                <w:sz w:val="20"/>
              </w:rPr>
              <w:t>. models)</w:t>
            </w:r>
          </w:p>
        </w:tc>
        <w:tc>
          <w:tcPr>
            <w:tcW w:w="8410" w:type="dxa"/>
            <w:gridSpan w:val="12"/>
            <w:tcBorders>
              <w:top w:val="dashSmallGap" w:sz="4" w:space="0" w:color="595959" w:themeColor="text1" w:themeTint="A6"/>
              <w:left w:val="single" w:sz="12" w:space="0" w:color="auto"/>
              <w:bottom w:val="single" w:sz="18" w:space="0" w:color="auto"/>
              <w:right w:val="single" w:sz="18" w:space="0" w:color="auto"/>
            </w:tcBorders>
            <w:shd w:val="clear" w:color="auto" w:fill="auto"/>
            <w:noWrap/>
            <w:vAlign w:val="center"/>
          </w:tcPr>
          <w:p w14:paraId="1EA3059A" w14:textId="77777777" w:rsidR="008B58C4" w:rsidRPr="00BE4192" w:rsidRDefault="008B58C4" w:rsidP="00EC669E">
            <w:pPr>
              <w:jc w:val="center"/>
              <w:rPr>
                <w:rFonts w:ascii="Times New Roman" w:eastAsia="Times New Roman" w:hAnsi="Times New Roman"/>
                <w:color w:val="000000"/>
                <w:sz w:val="20"/>
                <w:lang w:eastAsia="ko-KR"/>
              </w:rPr>
            </w:pPr>
            <m:oMathPara>
              <m:oMath>
                <m:r>
                  <m:rPr>
                    <m:sty m:val="p"/>
                  </m:rPr>
                  <w:rPr>
                    <w:rFonts w:ascii="Cambria Math" w:hAnsi="Cambria Math"/>
                    <w:color w:val="000000" w:themeColor="text1"/>
                    <w:sz w:val="20"/>
                  </w:rPr>
                  <m:t>LR=104.4 &gt; </m:t>
                </m:r>
                <m:sSup>
                  <m:sSupPr>
                    <m:ctrlPr>
                      <w:rPr>
                        <w:rFonts w:ascii="Cambria Math" w:eastAsia="Cambria Math" w:hAnsi="Cambria Math"/>
                        <w:color w:val="000000" w:themeColor="text1"/>
                        <w:sz w:val="20"/>
                      </w:rPr>
                    </m:ctrlPr>
                  </m:sSupPr>
                  <m:e>
                    <m:r>
                      <m:rPr>
                        <m:sty m:val="p"/>
                      </m:rPr>
                      <w:rPr>
                        <w:rFonts w:ascii="Cambria Math" w:eastAsia="Cambria Math" w:hAnsi="Cambria Math"/>
                        <w:color w:val="000000" w:themeColor="text1"/>
                        <w:sz w:val="20"/>
                      </w:rPr>
                      <m:t>χ</m:t>
                    </m:r>
                  </m:e>
                  <m:sup>
                    <m:r>
                      <m:rPr>
                        <m:sty m:val="p"/>
                      </m:rPr>
                      <w:rPr>
                        <w:rFonts w:ascii="Cambria Math" w:eastAsia="Cambria Math" w:hAnsi="Cambria Math"/>
                        <w:color w:val="000000" w:themeColor="text1"/>
                        <w:sz w:val="20"/>
                      </w:rPr>
                      <m:t>2</m:t>
                    </m:r>
                  </m:sup>
                </m:sSup>
                <m:sSub>
                  <m:sSubPr>
                    <m:ctrlPr>
                      <w:rPr>
                        <w:rFonts w:ascii="Cambria Math" w:eastAsia="Cambria Math" w:hAnsi="Cambria Math"/>
                        <w:color w:val="000000" w:themeColor="text1"/>
                        <w:sz w:val="20"/>
                      </w:rPr>
                    </m:ctrlPr>
                  </m:sSubPr>
                  <m:e>
                    <m:r>
                      <m:rPr>
                        <m:sty m:val="p"/>
                      </m:rPr>
                      <w:rPr>
                        <w:rFonts w:ascii="Cambria Math" w:eastAsia="Cambria Math" w:hAnsi="Cambria Math"/>
                        <w:color w:val="000000" w:themeColor="text1"/>
                        <w:sz w:val="20"/>
                      </w:rPr>
                      <m:t> </m:t>
                    </m:r>
                  </m:e>
                  <m:sub>
                    <m:d>
                      <m:dPr>
                        <m:ctrlPr>
                          <w:rPr>
                            <w:rFonts w:ascii="Cambria Math" w:eastAsia="Cambria Math" w:hAnsi="Cambria Math"/>
                            <w:color w:val="000000" w:themeColor="text1"/>
                            <w:sz w:val="20"/>
                          </w:rPr>
                        </m:ctrlPr>
                      </m:dPr>
                      <m:e>
                        <m:r>
                          <m:rPr>
                            <m:sty m:val="p"/>
                          </m:rPr>
                          <w:rPr>
                            <w:rFonts w:ascii="Cambria Math" w:eastAsia="Cambria Math" w:hAnsi="Cambria Math"/>
                            <w:color w:val="000000" w:themeColor="text1"/>
                            <w:sz w:val="20"/>
                          </w:rPr>
                          <m:t>15,0.01</m:t>
                        </m:r>
                      </m:e>
                    </m:d>
                  </m:sub>
                </m:sSub>
                <m:r>
                  <m:rPr>
                    <m:sty m:val="p"/>
                  </m:rPr>
                  <w:rPr>
                    <w:rFonts w:ascii="Cambria Math" w:eastAsia="Cambria Math" w:hAnsi="Cambria Math"/>
                    <w:color w:val="000000" w:themeColor="text1"/>
                    <w:sz w:val="20"/>
                  </w:rPr>
                  <m:t>=30.58</m:t>
                </m:r>
              </m:oMath>
            </m:oMathPara>
          </w:p>
        </w:tc>
      </w:tr>
    </w:tbl>
    <w:p w14:paraId="6EA33E60" w14:textId="77777777" w:rsidR="008B58C4" w:rsidRDefault="008B58C4" w:rsidP="008B58C4">
      <w:pPr>
        <w:jc w:val="both"/>
        <w:rPr>
          <w:rFonts w:ascii="Times New Roman" w:hAnsi="Times New Roman"/>
        </w:rPr>
      </w:pPr>
    </w:p>
    <w:p w14:paraId="079CDA18" w14:textId="77777777" w:rsidR="008B58C4" w:rsidRDefault="008B58C4" w:rsidP="008B58C4">
      <w:pPr>
        <w:jc w:val="both"/>
        <w:rPr>
          <w:rFonts w:ascii="Times New Roman" w:hAnsi="Times New Roman"/>
        </w:rPr>
        <w:sectPr w:rsidR="008B58C4" w:rsidSect="00693165">
          <w:pgSz w:w="15840" w:h="12240" w:orient="landscape"/>
          <w:pgMar w:top="1440" w:right="1440" w:bottom="1440" w:left="1440" w:header="720" w:footer="720" w:gutter="0"/>
          <w:cols w:space="720"/>
          <w:docGrid w:linePitch="360"/>
        </w:sectPr>
      </w:pPr>
    </w:p>
    <w:p w14:paraId="27678FE1" w14:textId="572B55DF" w:rsidR="008B58C4" w:rsidRPr="001B10A9" w:rsidRDefault="008B58C4" w:rsidP="008B58C4">
      <w:pPr>
        <w:ind w:firstLine="720"/>
        <w:jc w:val="both"/>
        <w:rPr>
          <w:rFonts w:ascii="Times New Roman" w:eastAsiaTheme="minorEastAsia" w:hAnsi="Times New Roman"/>
          <w:lang w:eastAsia="ko-KR"/>
        </w:rPr>
      </w:pPr>
      <w:r w:rsidRPr="00341E8E">
        <w:rPr>
          <w:rFonts w:ascii="Times New Roman" w:hAnsi="Times New Roman"/>
        </w:rPr>
        <w:lastRenderedPageBreak/>
        <w:t xml:space="preserve">  Among BE attributes, the walking environment played a key role. An improved walking environment and the desire to replace other modes motivated an increase in walking frequency for those in areas with higher walkability indices. However, those in more walkable neighborhoods </w:t>
      </w:r>
      <w:r w:rsidR="00443932">
        <w:rPr>
          <w:rFonts w:ascii="Times New Roman" w:hAnsi="Times New Roman"/>
        </w:rPr>
        <w:t>are</w:t>
      </w:r>
      <w:r w:rsidR="00443932" w:rsidRPr="00341E8E">
        <w:rPr>
          <w:rFonts w:ascii="Times New Roman" w:hAnsi="Times New Roman"/>
        </w:rPr>
        <w:t xml:space="preserve"> </w:t>
      </w:r>
      <w:r w:rsidRPr="00341E8E">
        <w:rPr>
          <w:rFonts w:ascii="Times New Roman" w:hAnsi="Times New Roman"/>
        </w:rPr>
        <w:t xml:space="preserve">less likely to walk more for exercise; it is likely that individuals in walkable areas already walked for utilitarian purposes (and derived exercise as a secondary benefit) and hence they did not feel the need to increase walking frequency for exercise. Those living in an apartment </w:t>
      </w:r>
      <w:r w:rsidR="00443932">
        <w:rPr>
          <w:rFonts w:ascii="Times New Roman" w:hAnsi="Times New Roman"/>
        </w:rPr>
        <w:t xml:space="preserve">are </w:t>
      </w:r>
      <w:r w:rsidRPr="00341E8E">
        <w:rPr>
          <w:rFonts w:ascii="Times New Roman" w:hAnsi="Times New Roman"/>
        </w:rPr>
        <w:t>less likely to increase walking due to the acquisition of a dog, presumably because of pet restrictions in apartments.</w:t>
      </w:r>
    </w:p>
    <w:p w14:paraId="4B077751" w14:textId="77777777" w:rsidR="008B58C4" w:rsidRDefault="008B58C4" w:rsidP="008B58C4">
      <w:pPr>
        <w:jc w:val="both"/>
        <w:rPr>
          <w:rFonts w:ascii="Times New Roman" w:hAnsi="Times New Roman"/>
        </w:rPr>
      </w:pPr>
      <w:r w:rsidRPr="00341E8E">
        <w:rPr>
          <w:rFonts w:ascii="Times New Roman" w:hAnsi="Times New Roman"/>
        </w:rPr>
        <w:tab/>
        <w:t xml:space="preserve">The table also presents error correlations of the multivariate binary </w:t>
      </w:r>
      <w:proofErr w:type="spellStart"/>
      <w:r w:rsidRPr="00341E8E">
        <w:rPr>
          <w:rFonts w:ascii="Times New Roman" w:hAnsi="Times New Roman"/>
        </w:rPr>
        <w:t>probit</w:t>
      </w:r>
      <w:proofErr w:type="spellEnd"/>
      <w:r w:rsidRPr="00341E8E">
        <w:rPr>
          <w:rFonts w:ascii="Times New Roman" w:hAnsi="Times New Roman"/>
        </w:rPr>
        <w:t xml:space="preserve"> model. It is found that most error correlations are statistically insignificant, perhaps suggesting that the factors contributing to the choice of different reasons for increased walking frequency are largely uncorrelated and are captured by the observed variables included in the model specification.  However, there are a few statistically significant error correlations. First, the error correlation corresponding to “Social Needs” and “Recognized Enjoyment” is positive and significant, suggesting the presence of correlated unobserved factors affecting both. This is consistent with expectations as personality traits and attitudes (e.g., desire for social interactions and active lifestyle) may motivate the selection of these reasons for increased walking (but are unobserved in the model specification). Also, the error correlation between “Exercise” and “Environment Improvement” is significant and negative. Those who increase walking for exercise (i.e., engage in recreational walking as opposed to utilitarian walking) are likely to do so regardless of any improvements to the walking environment. The walking environment is likely to have a greater impact on the frequency of utilitarian walking trips. The presence of significant error correlations calls for the estimation of a multivariate model formulation as opposed to an independent model system that ignores error correlations. Indeed, the data fit measures show that the joint multivariate model provides a statistically significant superior goodness-of-fit compared to the independent model. </w:t>
      </w:r>
    </w:p>
    <w:p w14:paraId="78792A53" w14:textId="77777777" w:rsidR="008B58C4" w:rsidRPr="00341E8E" w:rsidRDefault="008B58C4" w:rsidP="008B58C4">
      <w:pPr>
        <w:jc w:val="both"/>
        <w:rPr>
          <w:rFonts w:ascii="Times New Roman" w:hAnsi="Times New Roman"/>
        </w:rPr>
      </w:pPr>
    </w:p>
    <w:p w14:paraId="5B59B26E" w14:textId="77777777" w:rsidR="008B58C4" w:rsidRPr="003C329C" w:rsidRDefault="008B58C4" w:rsidP="008B58C4">
      <w:pPr>
        <w:pStyle w:val="Heading1"/>
        <w:rPr>
          <w:caps/>
        </w:rPr>
      </w:pPr>
      <w:r w:rsidRPr="003C329C">
        <w:rPr>
          <w:caps/>
        </w:rPr>
        <w:t>A Closer Look into Shifting Walking Habits</w:t>
      </w:r>
    </w:p>
    <w:p w14:paraId="1B1EFE9B" w14:textId="6BA7A792" w:rsidR="008B58C4" w:rsidRPr="00DE3C4D" w:rsidRDefault="008B58C4" w:rsidP="008B58C4">
      <w:pPr>
        <w:jc w:val="both"/>
        <w:rPr>
          <w:rFonts w:ascii="Times New Roman" w:hAnsi="Times New Roman"/>
        </w:rPr>
      </w:pPr>
      <w:r>
        <w:t xml:space="preserve">The estimation results for the bivariate ordered response model in the previous section do not provide information on the direction and magnitude of actual effects of the variables on the ordinal walking frequency decision before and after COVID, </w:t>
      </w:r>
      <w:r w:rsidRPr="006E6711">
        <w:t xml:space="preserve">primarily </w:t>
      </w:r>
      <w:r>
        <w:t xml:space="preserve">due to the non-linear and ordinal nature of the model. To determine the directionality and magnitude of these effects, the estimated underlying propensities for walking frequency need to be translated to actual outcome effects. This transformation considers that the effect of any variable change on outcomes will vary based on the current level of the variable as well as the levels of other variables but an average effect of a change in the variable on the frequency of walking in the before- and after-COVID period can be computed, using average treatment effects or ATEs. Specifically, for each exogenous variable, we consider all sample individuals to be at a particular state of the exogenous variable (e.g., under 29 years old), then compute </w:t>
      </w:r>
      <w:r w:rsidRPr="006E6711">
        <w:t>the probability of each individual having a specific level of walking frequency</w:t>
      </w:r>
      <w:r>
        <w:t xml:space="preserve"> (Level 1=Never; Level 2=A few times a year; Level 3=A few times a month; Level 4=A few times a week; Level 5=Every</w:t>
      </w:r>
      <w:r w:rsidR="003C329C">
        <w:t xml:space="preserve"> </w:t>
      </w:r>
      <w:r>
        <w:t>day).</w:t>
      </w:r>
      <w:r w:rsidR="003C329C">
        <w:t xml:space="preserve"> </w:t>
      </w:r>
      <w:r w:rsidRPr="006E6711">
        <w:t>By averaging the results for each level across all individuals, we obtain the expected population distribution associated with each level of walking frequency. Subsequently, we repeat the same process by assuming that all individuals ar</w:t>
      </w:r>
      <w:r>
        <w:t>e</w:t>
      </w:r>
      <w:r w:rsidRPr="006E6711">
        <w:t xml:space="preserve"> </w:t>
      </w:r>
      <w:r>
        <w:t>50</w:t>
      </w:r>
      <w:r w:rsidRPr="006E6711">
        <w:t xml:space="preserve"> years </w:t>
      </w:r>
      <w:r>
        <w:t xml:space="preserve">or </w:t>
      </w:r>
      <w:r w:rsidRPr="006E6711">
        <w:t>old</w:t>
      </w:r>
      <w:r>
        <w:t xml:space="preserve">er. </w:t>
      </w:r>
      <w:r w:rsidRPr="006E6711">
        <w:t>The final step involves computing the Percentage</w:t>
      </w:r>
      <w:r>
        <w:t xml:space="preserve"> </w:t>
      </w:r>
      <w:r w:rsidRPr="006E6711">
        <w:t xml:space="preserve">ATE change in walking frequency. This is determined by calculating the difference in the population distribution of walking frequency across the two age groups and dividing it by the distribution of the youngest age group for each </w:t>
      </w:r>
      <w:r w:rsidRPr="006E6711">
        <w:lastRenderedPageBreak/>
        <w:t>level of walking.</w:t>
      </w:r>
      <w:r>
        <w:t xml:space="preserve"> Overall, the ATE procedure can be </w:t>
      </w:r>
      <w:r w:rsidRPr="00DE3C4D">
        <w:rPr>
          <w:rFonts w:ascii="Times New Roman" w:hAnsi="Times New Roman"/>
        </w:rPr>
        <w:t>applied to compute the impact of altering an antecedent variable's state on downstream variables of interest</w:t>
      </w:r>
      <w:r>
        <w:rPr>
          <w:rFonts w:ascii="Times New Roman" w:hAnsi="Times New Roman"/>
        </w:rPr>
        <w:t xml:space="preserve">. </w:t>
      </w:r>
    </w:p>
    <w:p w14:paraId="0F1A2F38" w14:textId="77777777" w:rsidR="008B58C4" w:rsidRPr="00DE3C4D" w:rsidRDefault="008B58C4" w:rsidP="008B58C4">
      <w:pPr>
        <w:ind w:firstLine="720"/>
        <w:jc w:val="both"/>
        <w:rPr>
          <w:rFonts w:ascii="Times New Roman" w:hAnsi="Times New Roman"/>
        </w:rPr>
      </w:pPr>
      <w:r>
        <w:rPr>
          <w:rFonts w:ascii="Times New Roman" w:hAnsi="Times New Roman"/>
        </w:rPr>
        <w:t xml:space="preserve">Additionally, </w:t>
      </w:r>
      <w:r w:rsidRPr="00DE3C4D">
        <w:rPr>
          <w:rFonts w:ascii="Times New Roman" w:hAnsi="Times New Roman"/>
        </w:rPr>
        <w:t xml:space="preserve">we </w:t>
      </w:r>
      <w:r>
        <w:rPr>
          <w:rFonts w:ascii="Times New Roman" w:hAnsi="Times New Roman"/>
        </w:rPr>
        <w:t>use a similar procedure to</w:t>
      </w:r>
      <w:r w:rsidRPr="00DE3C4D">
        <w:rPr>
          <w:rFonts w:ascii="Times New Roman" w:hAnsi="Times New Roman"/>
        </w:rPr>
        <w:t xml:space="preserve"> evaluate how such changes affect consonance levels. </w:t>
      </w:r>
      <w:r>
        <w:rPr>
          <w:rFonts w:ascii="Times New Roman" w:hAnsi="Times New Roman"/>
        </w:rPr>
        <w:t>The consonance levels are calculated as follows</w:t>
      </w:r>
      <w:r w:rsidRPr="00DE3C4D">
        <w:rPr>
          <w:rFonts w:ascii="Times New Roman" w:hAnsi="Times New Roman"/>
        </w:rPr>
        <w:t>:</w:t>
      </w:r>
    </w:p>
    <w:p w14:paraId="7A921F94" w14:textId="77777777" w:rsidR="008B58C4" w:rsidRPr="00DE3C4D" w:rsidRDefault="008B58C4" w:rsidP="008B58C4">
      <w:pPr>
        <w:spacing w:before="120" w:after="120"/>
        <w:jc w:val="both"/>
        <w:rPr>
          <w:rFonts w:ascii="Times New Roman" w:hAnsi="Times New Roman"/>
        </w:rPr>
      </w:pPr>
      <w:r w:rsidRPr="00DE3C4D">
        <w:rPr>
          <w:rFonts w:ascii="Times New Roman" w:hAnsi="Times New Roman"/>
          <w:position w:val="-30"/>
        </w:rPr>
        <w:object w:dxaOrig="4040" w:dyaOrig="700" w14:anchorId="046C2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85pt;height:34.7pt" o:ole="">
            <v:imagedata r:id="rId25" o:title=""/>
          </v:shape>
          <o:OLEObject Type="Embed" ProgID="Equation.DSMT4" ShapeID="_x0000_i1025" DrawAspect="Content" ObjectID="_1775642895" r:id="rId26"/>
        </w:object>
      </w:r>
      <w:r w:rsidRPr="00DE3C4D">
        <w:rPr>
          <w:rFonts w:ascii="Times New Roman" w:hAnsi="Times New Roman"/>
        </w:rPr>
        <w:t>,</w:t>
      </w:r>
      <w:r w:rsidRPr="00DE3C4D">
        <w:rPr>
          <w:rFonts w:ascii="Times New Roman" w:hAnsi="Times New Roman"/>
        </w:rPr>
        <w:tab/>
      </w:r>
      <w:r w:rsidRPr="00DE3C4D">
        <w:rPr>
          <w:rFonts w:ascii="Times New Roman" w:hAnsi="Times New Roman"/>
        </w:rPr>
        <w:tab/>
      </w:r>
      <w:r w:rsidRPr="00DE3C4D">
        <w:rPr>
          <w:rFonts w:ascii="Times New Roman" w:hAnsi="Times New Roman"/>
        </w:rPr>
        <w:tab/>
      </w:r>
      <w:r w:rsidRPr="00DE3C4D">
        <w:rPr>
          <w:rFonts w:ascii="Times New Roman" w:hAnsi="Times New Roman"/>
        </w:rPr>
        <w:tab/>
      </w:r>
      <w:r w:rsidRPr="00DE3C4D">
        <w:rPr>
          <w:rFonts w:ascii="Times New Roman" w:hAnsi="Times New Roman"/>
        </w:rPr>
        <w:tab/>
      </w:r>
      <w:r w:rsidRPr="00DE3C4D">
        <w:rPr>
          <w:rFonts w:ascii="Times New Roman" w:hAnsi="Times New Roman"/>
        </w:rPr>
        <w:tab/>
      </w:r>
      <w:r w:rsidRPr="00DE3C4D">
        <w:rPr>
          <w:rFonts w:ascii="Times New Roman" w:hAnsi="Times New Roman"/>
        </w:rPr>
        <w:tab/>
        <w:t xml:space="preserve">       (1)</w:t>
      </w:r>
    </w:p>
    <w:p w14:paraId="52D25F5C" w14:textId="77777777" w:rsidR="008B58C4" w:rsidRPr="00DE3C4D" w:rsidRDefault="008B58C4" w:rsidP="008B58C4">
      <w:pPr>
        <w:jc w:val="both"/>
        <w:rPr>
          <w:rFonts w:ascii="Times New Roman" w:hAnsi="Times New Roman"/>
        </w:rPr>
      </w:pPr>
      <w:r w:rsidRPr="00DE3C4D">
        <w:rPr>
          <w:rFonts w:ascii="Times New Roman" w:hAnsi="Times New Roman"/>
        </w:rPr>
        <w:t xml:space="preserve">where </w:t>
      </w:r>
      <w:r w:rsidRPr="00DE3C4D">
        <w:rPr>
          <w:rFonts w:ascii="Times New Roman" w:hAnsi="Times New Roman"/>
          <w:position w:val="-14"/>
        </w:rPr>
        <w:object w:dxaOrig="340" w:dyaOrig="380" w14:anchorId="43FE2150">
          <v:shape id="_x0000_i1026" type="#_x0000_t75" style="width:18pt;height:18pt" o:ole="" o:preferrelative="f">
            <v:imagedata r:id="rId27" o:title=""/>
            <o:lock v:ext="edit" aspectratio="f"/>
          </v:shape>
          <o:OLEObject Type="Embed" ProgID="Equation.DSMT4" ShapeID="_x0000_i1026" DrawAspect="Content" ObjectID="_1775642896" r:id="rId28"/>
        </w:object>
      </w:r>
      <w:r w:rsidRPr="00DE3C4D">
        <w:rPr>
          <w:rFonts w:ascii="Times New Roman" w:hAnsi="Times New Roman"/>
        </w:rPr>
        <w:t xml:space="preserve"> </w:t>
      </w:r>
      <w:bookmarkStart w:id="4" w:name="_Hlk150338633"/>
      <w:r w:rsidRPr="00DE3C4D">
        <w:rPr>
          <w:rFonts w:ascii="Times New Roman" w:hAnsi="Times New Roman"/>
        </w:rPr>
        <w:t xml:space="preserve">and </w:t>
      </w:r>
      <w:r w:rsidRPr="00DE3C4D">
        <w:rPr>
          <w:rFonts w:ascii="Times New Roman" w:hAnsi="Times New Roman"/>
          <w:position w:val="-14"/>
        </w:rPr>
        <w:object w:dxaOrig="360" w:dyaOrig="380" w14:anchorId="0750D58E">
          <v:shape id="_x0000_i1027" type="#_x0000_t75" style="width:18pt;height:18pt" o:ole="" o:preferrelative="f">
            <v:imagedata r:id="rId29" o:title=""/>
            <o:lock v:ext="edit" aspectratio="f"/>
          </v:shape>
          <o:OLEObject Type="Embed" ProgID="Equation.DSMT4" ShapeID="_x0000_i1027" DrawAspect="Content" ObjectID="_1775642897" r:id="rId30"/>
        </w:object>
      </w:r>
      <w:r w:rsidRPr="00DE3C4D">
        <w:rPr>
          <w:rFonts w:ascii="Times New Roman" w:hAnsi="Times New Roman"/>
        </w:rPr>
        <w:t xml:space="preserve"> reflect </w:t>
      </w:r>
      <w:bookmarkEnd w:id="4"/>
      <w:r w:rsidRPr="00DE3C4D">
        <w:rPr>
          <w:rFonts w:ascii="Times New Roman" w:hAnsi="Times New Roman"/>
        </w:rPr>
        <w:t xml:space="preserve">the walking level of individual </w:t>
      </w:r>
      <w:r w:rsidRPr="00DE3C4D">
        <w:rPr>
          <w:rFonts w:ascii="Times New Roman" w:hAnsi="Times New Roman"/>
          <w:i/>
          <w:iCs/>
        </w:rPr>
        <w:t>q</w:t>
      </w:r>
      <w:r w:rsidRPr="00DE3C4D">
        <w:rPr>
          <w:rFonts w:ascii="Times New Roman" w:hAnsi="Times New Roman"/>
        </w:rPr>
        <w:t xml:space="preserve"> in the period before and after COVID, respectively. </w:t>
      </w:r>
      <w:r w:rsidRPr="00DE3C4D">
        <w:rPr>
          <w:rFonts w:ascii="Times New Roman" w:hAnsi="Times New Roman"/>
          <w:i/>
          <w:iCs/>
        </w:rPr>
        <w:t>Q</w:t>
      </w:r>
      <w:r w:rsidRPr="00DE3C4D">
        <w:rPr>
          <w:rFonts w:ascii="Times New Roman" w:hAnsi="Times New Roman"/>
        </w:rPr>
        <w:t xml:space="preserve"> is the total sample size, and </w:t>
      </w:r>
      <w:r w:rsidRPr="00DE3C4D">
        <w:rPr>
          <w:rFonts w:ascii="Times New Roman" w:hAnsi="Times New Roman"/>
          <w:i/>
          <w:iCs/>
        </w:rPr>
        <w:t>K</w:t>
      </w:r>
      <w:r w:rsidRPr="00DE3C4D">
        <w:rPr>
          <w:rFonts w:ascii="Times New Roman" w:hAnsi="Times New Roman"/>
        </w:rPr>
        <w:t xml:space="preserve"> represents the five levels </w:t>
      </w:r>
      <w:r>
        <w:rPr>
          <w:rFonts w:ascii="Times New Roman" w:hAnsi="Times New Roman"/>
        </w:rPr>
        <w:t>of</w:t>
      </w:r>
      <w:r w:rsidRPr="00DE3C4D">
        <w:rPr>
          <w:rFonts w:ascii="Times New Roman" w:hAnsi="Times New Roman"/>
        </w:rPr>
        <w:t xml:space="preserve"> walking frequency. The percentage ATE value corresponding to consonance is calculated as the percentage change in the overall consonance value between the base and treatment levels of the exogenous variable of interest.</w:t>
      </w:r>
    </w:p>
    <w:p w14:paraId="6BA12A28" w14:textId="45483F1D" w:rsidR="008B58C4" w:rsidRDefault="008B58C4" w:rsidP="008B58C4">
      <w:pPr>
        <w:ind w:firstLine="720"/>
        <w:jc w:val="both"/>
        <w:rPr>
          <w:rFonts w:ascii="Times New Roman" w:hAnsi="Times New Roman"/>
        </w:rPr>
      </w:pPr>
      <w:bookmarkStart w:id="5" w:name="_Hlk150338732"/>
      <w:r w:rsidRPr="00DE3C4D">
        <w:rPr>
          <w:rFonts w:ascii="Times New Roman" w:hAnsi="Times New Roman"/>
        </w:rPr>
        <w:t>The results of the ATE analysis are presented in Table 5. The table is organized into several broad columns for clarity. The first three broad columns display the variable name and base and treatment levels. The fourth broad column labeled “%ATE” presents the percent ATE values for each of the five walking frequency levels and the consonance measure. For a more detailed interpretation, each exogenous variable’s ATE evaluation is presented in two rows, separated by a dotted line. The upper row represents the %ATE values before the pandemic, while the lower row represents the %ATE values after the pandemic. For example, consider the first numeric row corresponding to the age variable: Before the pandemic (upper sub-row), if all sample individuals transitioned from the “less than 30 years old” category to the “50 years or more” category, the percentage of individuals who never walked (Level 1) would increase by 15.5%, those who walked a few times a year (Level 2) would increase by 7.5%, those who walked a few times a month (Level 3) would increase by 3.2%, those who walked a few times a week (Level 4) would decrease by 2.5%, and those who walked every day (Level 5) would decrease by 11.3%. In the post-COVID period (lower sub-row), if all sample individuals transitioned from the “less than 30 years old” category to the “50 years or more” category, the percentage of individuals who walk at Level 1 would increase by 23.7% (higher than the pre-COVID %ATE of 15.5%), Level 2 would increase by 11.8%, Level 3 would increase by 6</w:t>
      </w:r>
      <w:r w:rsidR="00443932">
        <w:rPr>
          <w:rFonts w:ascii="Times New Roman" w:hAnsi="Times New Roman"/>
        </w:rPr>
        <w:t>.0</w:t>
      </w:r>
      <w:r w:rsidRPr="00DE3C4D">
        <w:rPr>
          <w:rFonts w:ascii="Times New Roman" w:hAnsi="Times New Roman"/>
        </w:rPr>
        <w:t>%, Level 4 would decrease by 3.1%, and Level 5 would decrease by 16.4%. Furthermore, in the consonance column, it is noted that if all sample individuals were moved from the “less than 30 years old” category to the “50 years or more” category, the percentage of the population walking at the same frequency before and after COVID would decrease by</w:t>
      </w:r>
      <w:bookmarkEnd w:id="5"/>
      <w:r w:rsidRPr="00DE3C4D">
        <w:rPr>
          <w:rFonts w:ascii="Times New Roman" w:hAnsi="Times New Roman"/>
        </w:rPr>
        <w:t xml:space="preserve"> 1.6%. </w:t>
      </w:r>
    </w:p>
    <w:p w14:paraId="20DB234A" w14:textId="77777777" w:rsidR="008B58C4" w:rsidRDefault="008B58C4" w:rsidP="008B58C4">
      <w:pPr>
        <w:ind w:firstLine="720"/>
        <w:jc w:val="both"/>
        <w:rPr>
          <w:rFonts w:ascii="Times New Roman" w:hAnsi="Times New Roman"/>
        </w:rPr>
      </w:pPr>
    </w:p>
    <w:p w14:paraId="11E590F2" w14:textId="77777777" w:rsidR="008B58C4" w:rsidRDefault="008B58C4" w:rsidP="008B58C4">
      <w:pPr>
        <w:rPr>
          <w:rFonts w:ascii="Times New Roman" w:eastAsiaTheme="minorHAnsi" w:hAnsi="Times New Roman"/>
          <w:b/>
          <w:bCs/>
          <w:noProof/>
          <w:szCs w:val="24"/>
        </w:rPr>
      </w:pPr>
      <w:r>
        <w:rPr>
          <w:rFonts w:ascii="Times New Roman" w:eastAsiaTheme="minorHAnsi" w:hAnsi="Times New Roman"/>
          <w:b/>
          <w:bCs/>
          <w:noProof/>
          <w:szCs w:val="24"/>
        </w:rPr>
        <w:br w:type="page"/>
      </w:r>
    </w:p>
    <w:p w14:paraId="2EF65D32" w14:textId="19D46BA6" w:rsidR="008B58C4" w:rsidRPr="00256ED0" w:rsidRDefault="008B58C4" w:rsidP="008B58C4">
      <w:pPr>
        <w:jc w:val="both"/>
        <w:rPr>
          <w:rFonts w:ascii="Times New Roman" w:eastAsiaTheme="minorHAnsi" w:hAnsi="Times New Roman"/>
          <w:b/>
          <w:bCs/>
          <w:noProof/>
          <w:szCs w:val="24"/>
        </w:rPr>
      </w:pPr>
      <w:r w:rsidRPr="00256ED0">
        <w:rPr>
          <w:rFonts w:ascii="Times New Roman" w:eastAsiaTheme="minorHAnsi" w:hAnsi="Times New Roman"/>
          <w:b/>
          <w:bCs/>
          <w:noProof/>
          <w:szCs w:val="24"/>
        </w:rPr>
        <w:lastRenderedPageBreak/>
        <w:t xml:space="preserve">Table </w:t>
      </w:r>
      <w:r>
        <w:rPr>
          <w:rFonts w:ascii="Times New Roman" w:eastAsiaTheme="minorHAnsi" w:hAnsi="Times New Roman"/>
          <w:b/>
          <w:bCs/>
          <w:noProof/>
          <w:szCs w:val="24"/>
        </w:rPr>
        <w:t>5</w:t>
      </w:r>
      <w:r w:rsidR="003C329C">
        <w:rPr>
          <w:rFonts w:ascii="Times New Roman" w:eastAsiaTheme="minorHAnsi" w:hAnsi="Times New Roman"/>
          <w:b/>
          <w:bCs/>
          <w:noProof/>
          <w:szCs w:val="24"/>
        </w:rPr>
        <w:t>.</w:t>
      </w:r>
      <w:r w:rsidRPr="00256ED0">
        <w:rPr>
          <w:rFonts w:ascii="Times New Roman" w:eastAsiaTheme="minorHAnsi" w:hAnsi="Times New Roman"/>
          <w:b/>
          <w:bCs/>
          <w:noProof/>
          <w:szCs w:val="24"/>
        </w:rPr>
        <w:t xml:space="preserve"> Average Treatment Effect (ATE) </w:t>
      </w:r>
      <w:r>
        <w:rPr>
          <w:rFonts w:ascii="Times New Roman" w:eastAsiaTheme="minorHAnsi" w:hAnsi="Times New Roman"/>
          <w:b/>
          <w:bCs/>
          <w:noProof/>
          <w:szCs w:val="24"/>
        </w:rPr>
        <w:t>on</w:t>
      </w:r>
      <w:r w:rsidRPr="00256ED0">
        <w:rPr>
          <w:rFonts w:ascii="Times New Roman" w:eastAsiaTheme="minorHAnsi" w:hAnsi="Times New Roman"/>
          <w:b/>
          <w:bCs/>
          <w:noProof/>
          <w:szCs w:val="24"/>
        </w:rPr>
        <w:t xml:space="preserve"> </w:t>
      </w:r>
      <w:r>
        <w:rPr>
          <w:rFonts w:ascii="Times New Roman" w:eastAsiaTheme="minorHAnsi" w:hAnsi="Times New Roman"/>
          <w:b/>
          <w:bCs/>
          <w:noProof/>
          <w:szCs w:val="24"/>
        </w:rPr>
        <w:t>E</w:t>
      </w:r>
      <w:r w:rsidRPr="00256ED0">
        <w:rPr>
          <w:rFonts w:ascii="Times New Roman" w:eastAsiaTheme="minorHAnsi" w:hAnsi="Times New Roman"/>
          <w:b/>
          <w:bCs/>
          <w:noProof/>
          <w:szCs w:val="24"/>
        </w:rPr>
        <w:t xml:space="preserve">ndogenous </w:t>
      </w:r>
      <w:r>
        <w:rPr>
          <w:rFonts w:ascii="Times New Roman" w:eastAsiaTheme="minorHAnsi" w:hAnsi="Times New Roman"/>
          <w:b/>
          <w:bCs/>
          <w:noProof/>
          <w:szCs w:val="24"/>
        </w:rPr>
        <w:t>V</w:t>
      </w:r>
      <w:r w:rsidRPr="00256ED0">
        <w:rPr>
          <w:rFonts w:ascii="Times New Roman" w:eastAsiaTheme="minorHAnsi" w:hAnsi="Times New Roman"/>
          <w:b/>
          <w:bCs/>
          <w:noProof/>
          <w:szCs w:val="24"/>
        </w:rPr>
        <w:t>ariables</w:t>
      </w:r>
    </w:p>
    <w:tbl>
      <w:tblPr>
        <w:tblW w:w="9612" w:type="dxa"/>
        <w:tblLayout w:type="fixed"/>
        <w:tblLook w:val="04A0" w:firstRow="1" w:lastRow="0" w:firstColumn="1" w:lastColumn="0" w:noHBand="0" w:noVBand="1"/>
      </w:tblPr>
      <w:tblGrid>
        <w:gridCol w:w="1596"/>
        <w:gridCol w:w="2071"/>
        <w:gridCol w:w="1980"/>
        <w:gridCol w:w="631"/>
        <w:gridCol w:w="698"/>
        <w:gridCol w:w="631"/>
        <w:gridCol w:w="654"/>
        <w:gridCol w:w="627"/>
        <w:gridCol w:w="724"/>
      </w:tblGrid>
      <w:tr w:rsidR="008B58C4" w:rsidRPr="00B14024" w14:paraId="198A4904" w14:textId="77777777" w:rsidTr="00EC669E">
        <w:trPr>
          <w:trHeight w:val="144"/>
          <w:tblHeader/>
        </w:trPr>
        <w:tc>
          <w:tcPr>
            <w:tcW w:w="1596" w:type="dxa"/>
            <w:vMerge w:val="restart"/>
            <w:tcBorders>
              <w:top w:val="single" w:sz="18" w:space="0" w:color="auto"/>
              <w:left w:val="single" w:sz="18" w:space="0" w:color="auto"/>
              <w:right w:val="single" w:sz="4" w:space="0" w:color="auto"/>
            </w:tcBorders>
            <w:shd w:val="clear" w:color="auto" w:fill="auto"/>
            <w:noWrap/>
            <w:tcMar>
              <w:left w:w="43" w:type="dxa"/>
              <w:right w:w="43" w:type="dxa"/>
            </w:tcMar>
            <w:vAlign w:val="center"/>
            <w:hideMark/>
          </w:tcPr>
          <w:p w14:paraId="3C62135E" w14:textId="77777777" w:rsidR="008B58C4" w:rsidRPr="00B14024" w:rsidRDefault="008B58C4" w:rsidP="00EC669E">
            <w:pPr>
              <w:rPr>
                <w:rFonts w:ascii="Times New Roman" w:eastAsia="Times New Roman" w:hAnsi="Times New Roman"/>
                <w:b/>
                <w:bCs/>
                <w:color w:val="000000"/>
                <w:sz w:val="20"/>
              </w:rPr>
            </w:pPr>
            <w:r w:rsidRPr="00B14024">
              <w:rPr>
                <w:rFonts w:ascii="Times New Roman" w:eastAsia="Times New Roman" w:hAnsi="Times New Roman"/>
                <w:b/>
                <w:bCs/>
                <w:color w:val="000000"/>
                <w:sz w:val="20"/>
              </w:rPr>
              <w:t>Variable</w:t>
            </w:r>
          </w:p>
          <w:p w14:paraId="198DCC93" w14:textId="77777777" w:rsidR="008B58C4" w:rsidRPr="00B14024" w:rsidRDefault="008B58C4" w:rsidP="00EC669E">
            <w:pPr>
              <w:rPr>
                <w:rFonts w:ascii="Times New Roman" w:eastAsia="Times New Roman" w:hAnsi="Times New Roman"/>
                <w:b/>
                <w:bCs/>
                <w:color w:val="000000"/>
                <w:sz w:val="20"/>
              </w:rPr>
            </w:pPr>
          </w:p>
        </w:tc>
        <w:tc>
          <w:tcPr>
            <w:tcW w:w="2071" w:type="dxa"/>
            <w:vMerge w:val="restart"/>
            <w:tcBorders>
              <w:top w:val="single" w:sz="18" w:space="0" w:color="auto"/>
              <w:left w:val="nil"/>
              <w:right w:val="single" w:sz="4" w:space="0" w:color="auto"/>
            </w:tcBorders>
            <w:shd w:val="clear" w:color="auto" w:fill="auto"/>
            <w:noWrap/>
            <w:tcMar>
              <w:left w:w="43" w:type="dxa"/>
              <w:right w:w="43" w:type="dxa"/>
            </w:tcMar>
            <w:vAlign w:val="center"/>
            <w:hideMark/>
          </w:tcPr>
          <w:p w14:paraId="6FEDEB8E" w14:textId="77777777" w:rsidR="008B58C4" w:rsidRPr="00B14024" w:rsidRDefault="008B58C4" w:rsidP="00EC669E">
            <w:pPr>
              <w:rPr>
                <w:rFonts w:ascii="Times New Roman" w:eastAsia="Times New Roman" w:hAnsi="Times New Roman"/>
                <w:b/>
                <w:bCs/>
                <w:color w:val="000000"/>
                <w:sz w:val="20"/>
              </w:rPr>
            </w:pPr>
            <w:r w:rsidRPr="00B14024">
              <w:rPr>
                <w:rFonts w:ascii="Times New Roman" w:eastAsia="Times New Roman" w:hAnsi="Times New Roman"/>
                <w:b/>
                <w:bCs/>
                <w:color w:val="000000"/>
                <w:sz w:val="20"/>
              </w:rPr>
              <w:t>Base Level</w:t>
            </w:r>
          </w:p>
          <w:p w14:paraId="1572A3B8" w14:textId="77777777" w:rsidR="008B58C4" w:rsidRPr="00B14024" w:rsidRDefault="008B58C4" w:rsidP="00EC669E">
            <w:pPr>
              <w:rPr>
                <w:rFonts w:ascii="Times New Roman" w:eastAsia="Times New Roman" w:hAnsi="Times New Roman"/>
                <w:b/>
                <w:bCs/>
                <w:color w:val="000000"/>
                <w:sz w:val="20"/>
              </w:rPr>
            </w:pPr>
          </w:p>
        </w:tc>
        <w:tc>
          <w:tcPr>
            <w:tcW w:w="1980" w:type="dxa"/>
            <w:vMerge w:val="restart"/>
            <w:tcBorders>
              <w:top w:val="single" w:sz="18" w:space="0" w:color="auto"/>
              <w:left w:val="nil"/>
              <w:right w:val="single" w:sz="8" w:space="0" w:color="auto"/>
            </w:tcBorders>
            <w:shd w:val="clear" w:color="auto" w:fill="auto"/>
            <w:noWrap/>
            <w:tcMar>
              <w:left w:w="43" w:type="dxa"/>
              <w:right w:w="43" w:type="dxa"/>
            </w:tcMar>
            <w:vAlign w:val="center"/>
            <w:hideMark/>
          </w:tcPr>
          <w:p w14:paraId="69FF8A81" w14:textId="77777777" w:rsidR="008B58C4" w:rsidRPr="00B14024" w:rsidRDefault="008B58C4" w:rsidP="00EC669E">
            <w:pPr>
              <w:rPr>
                <w:rFonts w:ascii="Times New Roman" w:eastAsia="Times New Roman" w:hAnsi="Times New Roman"/>
                <w:b/>
                <w:bCs/>
                <w:color w:val="000000"/>
                <w:sz w:val="20"/>
              </w:rPr>
            </w:pPr>
            <w:r w:rsidRPr="00B14024">
              <w:rPr>
                <w:rFonts w:ascii="Times New Roman" w:eastAsia="Times New Roman" w:hAnsi="Times New Roman"/>
                <w:b/>
                <w:bCs/>
                <w:color w:val="000000"/>
                <w:sz w:val="20"/>
              </w:rPr>
              <w:t>Treatment Level</w:t>
            </w:r>
          </w:p>
        </w:tc>
        <w:tc>
          <w:tcPr>
            <w:tcW w:w="3965" w:type="dxa"/>
            <w:gridSpan w:val="6"/>
            <w:tcBorders>
              <w:top w:val="single" w:sz="18" w:space="0" w:color="auto"/>
              <w:left w:val="nil"/>
              <w:bottom w:val="single" w:sz="4" w:space="0" w:color="auto"/>
              <w:right w:val="single" w:sz="18" w:space="0" w:color="auto"/>
            </w:tcBorders>
            <w:shd w:val="clear" w:color="auto" w:fill="auto"/>
            <w:noWrap/>
            <w:tcMar>
              <w:left w:w="43" w:type="dxa"/>
              <w:right w:w="43" w:type="dxa"/>
            </w:tcMar>
            <w:vAlign w:val="center"/>
            <w:hideMark/>
          </w:tcPr>
          <w:p w14:paraId="0B716DB4" w14:textId="77777777" w:rsidR="008B58C4" w:rsidRPr="00B14024" w:rsidRDefault="008B58C4" w:rsidP="00EC669E">
            <w:pPr>
              <w:jc w:val="center"/>
              <w:rPr>
                <w:rFonts w:ascii="Times New Roman" w:eastAsia="Times New Roman" w:hAnsi="Times New Roman"/>
                <w:b/>
                <w:bCs/>
                <w:color w:val="000000"/>
                <w:sz w:val="20"/>
              </w:rPr>
            </w:pPr>
            <w:r w:rsidRPr="00B14024">
              <w:rPr>
                <w:rFonts w:ascii="Times New Roman" w:eastAsia="Times New Roman" w:hAnsi="Times New Roman"/>
                <w:b/>
                <w:bCs/>
                <w:color w:val="000000"/>
                <w:sz w:val="20"/>
              </w:rPr>
              <w:t>%ATE</w:t>
            </w:r>
          </w:p>
        </w:tc>
      </w:tr>
      <w:tr w:rsidR="008B58C4" w:rsidRPr="00B14024" w14:paraId="32EB2705" w14:textId="77777777" w:rsidTr="00EC669E">
        <w:trPr>
          <w:trHeight w:val="144"/>
          <w:tblHeader/>
        </w:trPr>
        <w:tc>
          <w:tcPr>
            <w:tcW w:w="1596" w:type="dxa"/>
            <w:vMerge/>
            <w:tcBorders>
              <w:left w:val="single" w:sz="18" w:space="0" w:color="auto"/>
              <w:right w:val="single" w:sz="4" w:space="0" w:color="auto"/>
            </w:tcBorders>
            <w:shd w:val="clear" w:color="auto" w:fill="auto"/>
            <w:noWrap/>
            <w:tcMar>
              <w:left w:w="43" w:type="dxa"/>
              <w:right w:w="43" w:type="dxa"/>
            </w:tcMar>
            <w:vAlign w:val="bottom"/>
            <w:hideMark/>
          </w:tcPr>
          <w:p w14:paraId="691FE1E3" w14:textId="77777777" w:rsidR="008B58C4" w:rsidRPr="00B14024" w:rsidRDefault="008B58C4" w:rsidP="00EC669E">
            <w:pPr>
              <w:jc w:val="both"/>
              <w:rPr>
                <w:rFonts w:ascii="Times New Roman" w:eastAsia="Times New Roman" w:hAnsi="Times New Roman"/>
                <w:b/>
                <w:bCs/>
                <w:color w:val="000000"/>
                <w:sz w:val="20"/>
              </w:rPr>
            </w:pPr>
          </w:p>
        </w:tc>
        <w:tc>
          <w:tcPr>
            <w:tcW w:w="2071" w:type="dxa"/>
            <w:vMerge/>
            <w:tcBorders>
              <w:left w:val="nil"/>
              <w:right w:val="single" w:sz="4" w:space="0" w:color="auto"/>
            </w:tcBorders>
            <w:shd w:val="clear" w:color="auto" w:fill="auto"/>
            <w:noWrap/>
            <w:tcMar>
              <w:left w:w="43" w:type="dxa"/>
              <w:right w:w="43" w:type="dxa"/>
            </w:tcMar>
            <w:vAlign w:val="bottom"/>
            <w:hideMark/>
          </w:tcPr>
          <w:p w14:paraId="0729AD97" w14:textId="77777777" w:rsidR="008B58C4" w:rsidRPr="00B14024" w:rsidRDefault="008B58C4" w:rsidP="00EC669E">
            <w:pPr>
              <w:jc w:val="both"/>
              <w:rPr>
                <w:rFonts w:ascii="Times New Roman" w:eastAsia="Times New Roman" w:hAnsi="Times New Roman"/>
                <w:b/>
                <w:bCs/>
                <w:color w:val="000000"/>
                <w:sz w:val="20"/>
              </w:rPr>
            </w:pPr>
          </w:p>
        </w:tc>
        <w:tc>
          <w:tcPr>
            <w:tcW w:w="1980" w:type="dxa"/>
            <w:vMerge/>
            <w:tcBorders>
              <w:left w:val="nil"/>
              <w:right w:val="single" w:sz="8" w:space="0" w:color="auto"/>
            </w:tcBorders>
            <w:shd w:val="clear" w:color="auto" w:fill="auto"/>
            <w:noWrap/>
            <w:tcMar>
              <w:left w:w="43" w:type="dxa"/>
              <w:right w:w="43" w:type="dxa"/>
            </w:tcMar>
            <w:vAlign w:val="bottom"/>
            <w:hideMark/>
          </w:tcPr>
          <w:p w14:paraId="64F53173" w14:textId="77777777" w:rsidR="008B58C4" w:rsidRPr="00B14024" w:rsidRDefault="008B58C4" w:rsidP="00EC669E">
            <w:pPr>
              <w:jc w:val="both"/>
              <w:rPr>
                <w:rFonts w:ascii="Times New Roman" w:eastAsia="Times New Roman" w:hAnsi="Times New Roman"/>
                <w:b/>
                <w:bCs/>
                <w:color w:val="000000"/>
                <w:sz w:val="20"/>
              </w:rPr>
            </w:pPr>
          </w:p>
        </w:tc>
        <w:tc>
          <w:tcPr>
            <w:tcW w:w="631"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14:paraId="2D770070" w14:textId="77777777" w:rsidR="008B58C4" w:rsidRPr="00B14024" w:rsidRDefault="008B58C4" w:rsidP="00EC669E">
            <w:pPr>
              <w:jc w:val="center"/>
              <w:rPr>
                <w:rFonts w:ascii="Times New Roman" w:eastAsia="Times New Roman" w:hAnsi="Times New Roman"/>
                <w:b/>
                <w:bCs/>
                <w:color w:val="000000"/>
                <w:sz w:val="20"/>
              </w:rPr>
            </w:pPr>
            <w:r w:rsidRPr="00B14024">
              <w:rPr>
                <w:rFonts w:ascii="Times New Roman" w:eastAsia="Times New Roman" w:hAnsi="Times New Roman"/>
                <w:b/>
                <w:bCs/>
                <w:color w:val="000000"/>
                <w:sz w:val="20"/>
              </w:rPr>
              <w:t>1*</w:t>
            </w:r>
          </w:p>
        </w:tc>
        <w:tc>
          <w:tcPr>
            <w:tcW w:w="698"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14:paraId="4958A599" w14:textId="77777777" w:rsidR="008B58C4" w:rsidRPr="00B14024" w:rsidRDefault="008B58C4" w:rsidP="00EC669E">
            <w:pPr>
              <w:jc w:val="center"/>
              <w:rPr>
                <w:rFonts w:ascii="Times New Roman" w:eastAsia="Times New Roman" w:hAnsi="Times New Roman"/>
                <w:b/>
                <w:bCs/>
                <w:color w:val="000000"/>
                <w:sz w:val="20"/>
              </w:rPr>
            </w:pPr>
            <w:r w:rsidRPr="00B14024">
              <w:rPr>
                <w:rFonts w:ascii="Times New Roman" w:eastAsia="Times New Roman" w:hAnsi="Times New Roman"/>
                <w:b/>
                <w:bCs/>
                <w:color w:val="000000"/>
                <w:sz w:val="20"/>
              </w:rPr>
              <w:t>2*</w:t>
            </w:r>
          </w:p>
        </w:tc>
        <w:tc>
          <w:tcPr>
            <w:tcW w:w="631"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14:paraId="68D5C169" w14:textId="77777777" w:rsidR="008B58C4" w:rsidRPr="00B14024" w:rsidRDefault="008B58C4" w:rsidP="00EC669E">
            <w:pPr>
              <w:jc w:val="center"/>
              <w:rPr>
                <w:rFonts w:ascii="Times New Roman" w:eastAsia="Times New Roman" w:hAnsi="Times New Roman"/>
                <w:b/>
                <w:bCs/>
                <w:color w:val="000000"/>
                <w:sz w:val="20"/>
              </w:rPr>
            </w:pPr>
            <w:r w:rsidRPr="00B14024">
              <w:rPr>
                <w:rFonts w:ascii="Times New Roman" w:eastAsia="Times New Roman" w:hAnsi="Times New Roman"/>
                <w:b/>
                <w:bCs/>
                <w:color w:val="000000"/>
                <w:sz w:val="20"/>
              </w:rPr>
              <w:t>3*</w:t>
            </w:r>
          </w:p>
        </w:tc>
        <w:tc>
          <w:tcPr>
            <w:tcW w:w="654"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14:paraId="6B69C963" w14:textId="77777777" w:rsidR="008B58C4" w:rsidRPr="00B14024" w:rsidRDefault="008B58C4" w:rsidP="00EC669E">
            <w:pPr>
              <w:jc w:val="center"/>
              <w:rPr>
                <w:rFonts w:ascii="Times New Roman" w:eastAsia="Times New Roman" w:hAnsi="Times New Roman"/>
                <w:b/>
                <w:bCs/>
                <w:color w:val="000000"/>
                <w:sz w:val="20"/>
              </w:rPr>
            </w:pPr>
            <w:r w:rsidRPr="00B14024">
              <w:rPr>
                <w:rFonts w:ascii="Times New Roman" w:eastAsia="Times New Roman" w:hAnsi="Times New Roman"/>
                <w:b/>
                <w:bCs/>
                <w:color w:val="000000"/>
                <w:sz w:val="20"/>
              </w:rPr>
              <w:t>4*</w:t>
            </w:r>
          </w:p>
        </w:tc>
        <w:tc>
          <w:tcPr>
            <w:tcW w:w="627" w:type="dxa"/>
            <w:tcBorders>
              <w:top w:val="nil"/>
              <w:left w:val="nil"/>
              <w:bottom w:val="single" w:sz="4" w:space="0" w:color="auto"/>
              <w:right w:val="single" w:sz="4" w:space="0" w:color="auto"/>
            </w:tcBorders>
            <w:shd w:val="clear" w:color="auto" w:fill="auto"/>
            <w:noWrap/>
            <w:tcMar>
              <w:left w:w="43" w:type="dxa"/>
              <w:right w:w="43" w:type="dxa"/>
            </w:tcMar>
            <w:vAlign w:val="bottom"/>
            <w:hideMark/>
          </w:tcPr>
          <w:p w14:paraId="545FB88D" w14:textId="77777777" w:rsidR="008B58C4" w:rsidRPr="00B14024" w:rsidRDefault="008B58C4" w:rsidP="00EC669E">
            <w:pPr>
              <w:jc w:val="center"/>
              <w:rPr>
                <w:rFonts w:ascii="Times New Roman" w:eastAsia="Times New Roman" w:hAnsi="Times New Roman"/>
                <w:b/>
                <w:bCs/>
                <w:color w:val="000000"/>
                <w:sz w:val="20"/>
              </w:rPr>
            </w:pPr>
            <w:r w:rsidRPr="00B14024">
              <w:rPr>
                <w:rFonts w:ascii="Times New Roman" w:eastAsia="Times New Roman" w:hAnsi="Times New Roman"/>
                <w:b/>
                <w:bCs/>
                <w:color w:val="000000"/>
                <w:sz w:val="20"/>
              </w:rPr>
              <w:t>5*</w:t>
            </w:r>
          </w:p>
        </w:tc>
        <w:tc>
          <w:tcPr>
            <w:tcW w:w="724" w:type="dxa"/>
            <w:vMerge w:val="restart"/>
            <w:tcBorders>
              <w:top w:val="nil"/>
              <w:left w:val="nil"/>
              <w:right w:val="single" w:sz="18" w:space="0" w:color="auto"/>
            </w:tcBorders>
            <w:shd w:val="clear" w:color="auto" w:fill="auto"/>
            <w:noWrap/>
            <w:tcMar>
              <w:left w:w="43" w:type="dxa"/>
              <w:right w:w="43" w:type="dxa"/>
            </w:tcMar>
            <w:vAlign w:val="center"/>
            <w:hideMark/>
          </w:tcPr>
          <w:p w14:paraId="7737CE1D" w14:textId="77777777" w:rsidR="008B58C4" w:rsidRPr="00B14024" w:rsidRDefault="008B58C4" w:rsidP="00EC669E">
            <w:pPr>
              <w:ind w:right="43"/>
              <w:jc w:val="center"/>
              <w:rPr>
                <w:rFonts w:ascii="Times New Roman" w:eastAsia="Times New Roman" w:hAnsi="Times New Roman"/>
                <w:b/>
                <w:bCs/>
                <w:color w:val="000000"/>
                <w:sz w:val="20"/>
              </w:rPr>
            </w:pPr>
            <w:r w:rsidRPr="00B14024">
              <w:rPr>
                <w:rFonts w:ascii="Times New Roman" w:eastAsia="Times New Roman" w:hAnsi="Times New Roman"/>
                <w:b/>
                <w:bCs/>
                <w:color w:val="000000"/>
                <w:sz w:val="20"/>
              </w:rPr>
              <w:t>Consonance</w:t>
            </w:r>
          </w:p>
        </w:tc>
      </w:tr>
      <w:tr w:rsidR="008B58C4" w:rsidRPr="00B14024" w14:paraId="580CD53A" w14:textId="77777777" w:rsidTr="00EC669E">
        <w:trPr>
          <w:trHeight w:val="144"/>
          <w:tblHeader/>
        </w:trPr>
        <w:tc>
          <w:tcPr>
            <w:tcW w:w="1596" w:type="dxa"/>
            <w:vMerge/>
            <w:tcBorders>
              <w:left w:val="single" w:sz="18" w:space="0" w:color="auto"/>
              <w:right w:val="single" w:sz="4" w:space="0" w:color="auto"/>
            </w:tcBorders>
            <w:shd w:val="clear" w:color="auto" w:fill="auto"/>
            <w:noWrap/>
            <w:tcMar>
              <w:left w:w="43" w:type="dxa"/>
              <w:right w:w="43" w:type="dxa"/>
            </w:tcMar>
            <w:vAlign w:val="bottom"/>
          </w:tcPr>
          <w:p w14:paraId="0244C7A8" w14:textId="77777777" w:rsidR="008B58C4" w:rsidRPr="00B14024" w:rsidRDefault="008B58C4" w:rsidP="00EC669E">
            <w:pPr>
              <w:jc w:val="both"/>
              <w:rPr>
                <w:rFonts w:ascii="Times New Roman" w:eastAsia="Times New Roman" w:hAnsi="Times New Roman"/>
                <w:b/>
                <w:bCs/>
                <w:color w:val="000000"/>
                <w:sz w:val="20"/>
              </w:rPr>
            </w:pPr>
          </w:p>
        </w:tc>
        <w:tc>
          <w:tcPr>
            <w:tcW w:w="2071" w:type="dxa"/>
            <w:vMerge/>
            <w:tcBorders>
              <w:left w:val="nil"/>
              <w:right w:val="single" w:sz="4" w:space="0" w:color="auto"/>
            </w:tcBorders>
            <w:shd w:val="clear" w:color="auto" w:fill="auto"/>
            <w:noWrap/>
            <w:tcMar>
              <w:left w:w="43" w:type="dxa"/>
              <w:right w:w="43" w:type="dxa"/>
            </w:tcMar>
            <w:vAlign w:val="bottom"/>
          </w:tcPr>
          <w:p w14:paraId="23AC2D88" w14:textId="77777777" w:rsidR="008B58C4" w:rsidRPr="00B14024" w:rsidRDefault="008B58C4" w:rsidP="00EC669E">
            <w:pPr>
              <w:jc w:val="both"/>
              <w:rPr>
                <w:rFonts w:ascii="Times New Roman" w:eastAsia="Times New Roman" w:hAnsi="Times New Roman"/>
                <w:b/>
                <w:bCs/>
                <w:color w:val="000000"/>
                <w:sz w:val="20"/>
              </w:rPr>
            </w:pPr>
          </w:p>
        </w:tc>
        <w:tc>
          <w:tcPr>
            <w:tcW w:w="1980" w:type="dxa"/>
            <w:vMerge/>
            <w:tcBorders>
              <w:left w:val="nil"/>
              <w:right w:val="single" w:sz="8" w:space="0" w:color="auto"/>
            </w:tcBorders>
            <w:shd w:val="clear" w:color="auto" w:fill="auto"/>
            <w:noWrap/>
            <w:tcMar>
              <w:left w:w="43" w:type="dxa"/>
              <w:right w:w="43" w:type="dxa"/>
            </w:tcMar>
            <w:vAlign w:val="bottom"/>
          </w:tcPr>
          <w:p w14:paraId="1F5B8869" w14:textId="77777777" w:rsidR="008B58C4" w:rsidRPr="00B14024" w:rsidRDefault="008B58C4" w:rsidP="00EC669E">
            <w:pPr>
              <w:jc w:val="both"/>
              <w:rPr>
                <w:rFonts w:ascii="Times New Roman" w:eastAsia="Times New Roman" w:hAnsi="Times New Roman"/>
                <w:b/>
                <w:bCs/>
                <w:color w:val="000000"/>
                <w:sz w:val="20"/>
              </w:rPr>
            </w:pPr>
          </w:p>
        </w:tc>
        <w:tc>
          <w:tcPr>
            <w:tcW w:w="3241" w:type="dxa"/>
            <w:gridSpan w:val="5"/>
            <w:tcBorders>
              <w:top w:val="single" w:sz="4" w:space="0" w:color="auto"/>
              <w:left w:val="single" w:sz="8" w:space="0" w:color="auto"/>
              <w:bottom w:val="dotted" w:sz="4" w:space="0" w:color="auto"/>
              <w:right w:val="single" w:sz="4" w:space="0" w:color="auto"/>
            </w:tcBorders>
            <w:shd w:val="clear" w:color="auto" w:fill="auto"/>
            <w:noWrap/>
            <w:tcMar>
              <w:left w:w="43" w:type="dxa"/>
              <w:right w:w="43" w:type="dxa"/>
            </w:tcMar>
            <w:vAlign w:val="bottom"/>
          </w:tcPr>
          <w:p w14:paraId="158CF1FF" w14:textId="77777777" w:rsidR="008B58C4" w:rsidRPr="00B14024" w:rsidRDefault="008B58C4" w:rsidP="00EC669E">
            <w:pPr>
              <w:jc w:val="center"/>
              <w:rPr>
                <w:rFonts w:ascii="Times New Roman" w:eastAsia="Times New Roman" w:hAnsi="Times New Roman"/>
                <w:b/>
                <w:bCs/>
                <w:color w:val="000000"/>
                <w:sz w:val="20"/>
              </w:rPr>
            </w:pPr>
            <w:r w:rsidRPr="00B14024">
              <w:rPr>
                <w:rFonts w:ascii="Times New Roman" w:eastAsia="Times New Roman" w:hAnsi="Times New Roman"/>
                <w:b/>
                <w:bCs/>
                <w:color w:val="000000"/>
                <w:sz w:val="20"/>
              </w:rPr>
              <w:t>Before the pandemic</w:t>
            </w:r>
          </w:p>
        </w:tc>
        <w:tc>
          <w:tcPr>
            <w:tcW w:w="724" w:type="dxa"/>
            <w:vMerge/>
            <w:tcBorders>
              <w:left w:val="nil"/>
              <w:right w:val="single" w:sz="18" w:space="0" w:color="auto"/>
            </w:tcBorders>
            <w:shd w:val="clear" w:color="auto" w:fill="auto"/>
            <w:noWrap/>
            <w:tcMar>
              <w:left w:w="43" w:type="dxa"/>
              <w:right w:w="43" w:type="dxa"/>
            </w:tcMar>
            <w:vAlign w:val="bottom"/>
          </w:tcPr>
          <w:p w14:paraId="5B2C92E9" w14:textId="77777777" w:rsidR="008B58C4" w:rsidRPr="00B14024" w:rsidRDefault="008B58C4" w:rsidP="00EC669E">
            <w:pPr>
              <w:jc w:val="both"/>
              <w:rPr>
                <w:rFonts w:ascii="Times New Roman" w:eastAsia="Times New Roman" w:hAnsi="Times New Roman"/>
                <w:b/>
                <w:bCs/>
                <w:color w:val="000000"/>
                <w:sz w:val="20"/>
              </w:rPr>
            </w:pPr>
          </w:p>
        </w:tc>
      </w:tr>
      <w:tr w:rsidR="008B58C4" w:rsidRPr="00B14024" w14:paraId="0BDBD076" w14:textId="77777777" w:rsidTr="00EC669E">
        <w:trPr>
          <w:trHeight w:val="144"/>
          <w:tblHeader/>
        </w:trPr>
        <w:tc>
          <w:tcPr>
            <w:tcW w:w="1596" w:type="dxa"/>
            <w:vMerge/>
            <w:tcBorders>
              <w:left w:val="single" w:sz="18" w:space="0" w:color="auto"/>
              <w:bottom w:val="single" w:sz="8" w:space="0" w:color="auto"/>
              <w:right w:val="single" w:sz="4" w:space="0" w:color="auto"/>
            </w:tcBorders>
            <w:shd w:val="clear" w:color="auto" w:fill="auto"/>
            <w:noWrap/>
            <w:tcMar>
              <w:left w:w="43" w:type="dxa"/>
              <w:right w:w="43" w:type="dxa"/>
            </w:tcMar>
            <w:vAlign w:val="bottom"/>
          </w:tcPr>
          <w:p w14:paraId="7F5CF113" w14:textId="77777777" w:rsidR="008B58C4" w:rsidRPr="00B14024" w:rsidRDefault="008B58C4" w:rsidP="00EC669E">
            <w:pPr>
              <w:jc w:val="both"/>
              <w:rPr>
                <w:rFonts w:ascii="Times New Roman" w:eastAsia="Times New Roman" w:hAnsi="Times New Roman"/>
                <w:b/>
                <w:bCs/>
                <w:color w:val="000000"/>
                <w:sz w:val="20"/>
              </w:rPr>
            </w:pPr>
          </w:p>
        </w:tc>
        <w:tc>
          <w:tcPr>
            <w:tcW w:w="2071" w:type="dxa"/>
            <w:vMerge/>
            <w:tcBorders>
              <w:left w:val="nil"/>
              <w:bottom w:val="single" w:sz="8" w:space="0" w:color="auto"/>
              <w:right w:val="single" w:sz="4" w:space="0" w:color="auto"/>
            </w:tcBorders>
            <w:shd w:val="clear" w:color="auto" w:fill="auto"/>
            <w:noWrap/>
            <w:tcMar>
              <w:left w:w="43" w:type="dxa"/>
              <w:right w:w="43" w:type="dxa"/>
            </w:tcMar>
            <w:vAlign w:val="bottom"/>
          </w:tcPr>
          <w:p w14:paraId="2B997265" w14:textId="77777777" w:rsidR="008B58C4" w:rsidRPr="00B14024" w:rsidRDefault="008B58C4" w:rsidP="00EC669E">
            <w:pPr>
              <w:jc w:val="both"/>
              <w:rPr>
                <w:rFonts w:ascii="Times New Roman" w:eastAsia="Times New Roman" w:hAnsi="Times New Roman"/>
                <w:b/>
                <w:bCs/>
                <w:color w:val="000000"/>
                <w:sz w:val="20"/>
              </w:rPr>
            </w:pPr>
          </w:p>
        </w:tc>
        <w:tc>
          <w:tcPr>
            <w:tcW w:w="1980" w:type="dxa"/>
            <w:vMerge/>
            <w:tcBorders>
              <w:left w:val="nil"/>
              <w:bottom w:val="single" w:sz="8" w:space="0" w:color="auto"/>
              <w:right w:val="single" w:sz="8" w:space="0" w:color="auto"/>
            </w:tcBorders>
            <w:shd w:val="clear" w:color="auto" w:fill="auto"/>
            <w:noWrap/>
            <w:tcMar>
              <w:left w:w="43" w:type="dxa"/>
              <w:right w:w="43" w:type="dxa"/>
            </w:tcMar>
            <w:vAlign w:val="bottom"/>
          </w:tcPr>
          <w:p w14:paraId="38C65659" w14:textId="77777777" w:rsidR="008B58C4" w:rsidRPr="00B14024" w:rsidRDefault="008B58C4" w:rsidP="00EC669E">
            <w:pPr>
              <w:jc w:val="both"/>
              <w:rPr>
                <w:rFonts w:ascii="Times New Roman" w:eastAsia="Times New Roman" w:hAnsi="Times New Roman"/>
                <w:b/>
                <w:bCs/>
                <w:color w:val="000000"/>
                <w:sz w:val="20"/>
              </w:rPr>
            </w:pPr>
          </w:p>
        </w:tc>
        <w:tc>
          <w:tcPr>
            <w:tcW w:w="3241" w:type="dxa"/>
            <w:gridSpan w:val="5"/>
            <w:tcBorders>
              <w:top w:val="dotted" w:sz="4" w:space="0" w:color="auto"/>
              <w:left w:val="single" w:sz="8" w:space="0" w:color="auto"/>
              <w:bottom w:val="single" w:sz="8" w:space="0" w:color="auto"/>
              <w:right w:val="single" w:sz="4" w:space="0" w:color="auto"/>
            </w:tcBorders>
            <w:shd w:val="clear" w:color="auto" w:fill="auto"/>
            <w:noWrap/>
            <w:tcMar>
              <w:left w:w="43" w:type="dxa"/>
              <w:right w:w="43" w:type="dxa"/>
            </w:tcMar>
            <w:vAlign w:val="bottom"/>
          </w:tcPr>
          <w:p w14:paraId="2BEB5D04" w14:textId="77777777" w:rsidR="008B58C4" w:rsidRPr="00B14024" w:rsidRDefault="008B58C4" w:rsidP="00EC669E">
            <w:pPr>
              <w:jc w:val="center"/>
              <w:rPr>
                <w:rFonts w:ascii="Times New Roman" w:eastAsia="Times New Roman" w:hAnsi="Times New Roman"/>
                <w:b/>
                <w:bCs/>
                <w:color w:val="000000"/>
                <w:sz w:val="20"/>
              </w:rPr>
            </w:pPr>
            <w:r w:rsidRPr="00B14024">
              <w:rPr>
                <w:rFonts w:ascii="Times New Roman" w:eastAsia="Times New Roman" w:hAnsi="Times New Roman"/>
                <w:b/>
                <w:bCs/>
                <w:color w:val="000000"/>
                <w:sz w:val="20"/>
              </w:rPr>
              <w:t>After the pandemic</w:t>
            </w:r>
          </w:p>
        </w:tc>
        <w:tc>
          <w:tcPr>
            <w:tcW w:w="724" w:type="dxa"/>
            <w:vMerge/>
            <w:tcBorders>
              <w:left w:val="nil"/>
              <w:bottom w:val="single" w:sz="8" w:space="0" w:color="auto"/>
              <w:right w:val="single" w:sz="18" w:space="0" w:color="auto"/>
            </w:tcBorders>
            <w:shd w:val="clear" w:color="auto" w:fill="auto"/>
            <w:noWrap/>
            <w:tcMar>
              <w:left w:w="43" w:type="dxa"/>
              <w:right w:w="43" w:type="dxa"/>
            </w:tcMar>
            <w:vAlign w:val="bottom"/>
          </w:tcPr>
          <w:p w14:paraId="7F5C1D45" w14:textId="77777777" w:rsidR="008B58C4" w:rsidRPr="00B14024" w:rsidRDefault="008B58C4" w:rsidP="00EC669E">
            <w:pPr>
              <w:jc w:val="both"/>
              <w:rPr>
                <w:rFonts w:ascii="Times New Roman" w:eastAsia="Times New Roman" w:hAnsi="Times New Roman"/>
                <w:b/>
                <w:bCs/>
                <w:color w:val="000000"/>
                <w:sz w:val="20"/>
              </w:rPr>
            </w:pPr>
          </w:p>
        </w:tc>
      </w:tr>
      <w:tr w:rsidR="008B58C4" w:rsidRPr="00B14024" w14:paraId="427C4D1F" w14:textId="77777777" w:rsidTr="00EC669E">
        <w:trPr>
          <w:trHeight w:val="245"/>
        </w:trPr>
        <w:tc>
          <w:tcPr>
            <w:tcW w:w="9612" w:type="dxa"/>
            <w:gridSpan w:val="9"/>
            <w:tcBorders>
              <w:top w:val="nil"/>
              <w:left w:val="single" w:sz="18" w:space="0" w:color="auto"/>
              <w:bottom w:val="single" w:sz="4" w:space="0" w:color="auto"/>
              <w:right w:val="single" w:sz="18" w:space="0" w:color="auto"/>
            </w:tcBorders>
            <w:shd w:val="clear" w:color="auto" w:fill="auto"/>
            <w:noWrap/>
            <w:tcMar>
              <w:left w:w="43" w:type="dxa"/>
              <w:right w:w="43" w:type="dxa"/>
            </w:tcMar>
            <w:vAlign w:val="center"/>
          </w:tcPr>
          <w:p w14:paraId="0AD90408" w14:textId="77777777" w:rsidR="008B58C4" w:rsidRPr="00B14024" w:rsidRDefault="008B58C4" w:rsidP="00EC669E">
            <w:pPr>
              <w:jc w:val="both"/>
              <w:rPr>
                <w:rFonts w:ascii="Times New Roman" w:eastAsia="Times New Roman" w:hAnsi="Times New Roman"/>
                <w:i/>
                <w:iCs/>
                <w:color w:val="000000"/>
                <w:sz w:val="20"/>
              </w:rPr>
            </w:pPr>
            <w:r w:rsidRPr="00B14024">
              <w:rPr>
                <w:rFonts w:ascii="Times New Roman" w:eastAsia="Times New Roman" w:hAnsi="Times New Roman"/>
                <w:b/>
                <w:bCs/>
                <w:i/>
                <w:iCs/>
                <w:color w:val="000000"/>
                <w:sz w:val="20"/>
              </w:rPr>
              <w:t xml:space="preserve">Individual Characteristics </w:t>
            </w:r>
          </w:p>
        </w:tc>
      </w:tr>
      <w:tr w:rsidR="008B58C4" w:rsidRPr="00B14024" w14:paraId="477FE94D" w14:textId="77777777" w:rsidTr="00EC669E">
        <w:trPr>
          <w:trHeight w:val="245"/>
        </w:trPr>
        <w:tc>
          <w:tcPr>
            <w:tcW w:w="1596" w:type="dxa"/>
            <w:vMerge w:val="restart"/>
            <w:tcBorders>
              <w:top w:val="single" w:sz="4" w:space="0" w:color="auto"/>
              <w:left w:val="single" w:sz="18" w:space="0" w:color="auto"/>
              <w:right w:val="single" w:sz="4" w:space="0" w:color="auto"/>
            </w:tcBorders>
            <w:shd w:val="clear" w:color="auto" w:fill="auto"/>
            <w:noWrap/>
            <w:tcMar>
              <w:left w:w="43" w:type="dxa"/>
              <w:right w:w="43" w:type="dxa"/>
            </w:tcMar>
            <w:vAlign w:val="center"/>
            <w:hideMark/>
          </w:tcPr>
          <w:p w14:paraId="35A76A2A" w14:textId="77777777" w:rsidR="008B58C4" w:rsidRPr="00B14024" w:rsidRDefault="008B58C4" w:rsidP="00EC669E">
            <w:pPr>
              <w:jc w:val="both"/>
              <w:rPr>
                <w:rFonts w:ascii="Times New Roman" w:eastAsia="Times New Roman" w:hAnsi="Times New Roman"/>
                <w:b/>
                <w:bCs/>
                <w:color w:val="000000"/>
                <w:sz w:val="20"/>
              </w:rPr>
            </w:pPr>
            <w:r w:rsidRPr="00B14024">
              <w:rPr>
                <w:rFonts w:ascii="Times New Roman" w:eastAsia="Times New Roman" w:hAnsi="Times New Roman"/>
                <w:b/>
                <w:bCs/>
                <w:color w:val="000000"/>
                <w:sz w:val="20"/>
              </w:rPr>
              <w:t>Age</w:t>
            </w:r>
          </w:p>
        </w:tc>
        <w:tc>
          <w:tcPr>
            <w:tcW w:w="2071" w:type="dxa"/>
            <w:vMerge w:val="restart"/>
            <w:tcBorders>
              <w:top w:val="single" w:sz="4" w:space="0" w:color="auto"/>
              <w:left w:val="nil"/>
              <w:right w:val="single" w:sz="4" w:space="0" w:color="auto"/>
            </w:tcBorders>
            <w:shd w:val="clear" w:color="auto" w:fill="auto"/>
            <w:noWrap/>
            <w:tcMar>
              <w:left w:w="43" w:type="dxa"/>
              <w:right w:w="43" w:type="dxa"/>
            </w:tcMar>
            <w:vAlign w:val="center"/>
            <w:hideMark/>
          </w:tcPr>
          <w:p w14:paraId="72A0A72B"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Less than 30 years</w:t>
            </w:r>
          </w:p>
        </w:tc>
        <w:tc>
          <w:tcPr>
            <w:tcW w:w="1980" w:type="dxa"/>
            <w:vMerge w:val="restart"/>
            <w:tcBorders>
              <w:top w:val="single" w:sz="4" w:space="0" w:color="auto"/>
              <w:left w:val="nil"/>
              <w:right w:val="single" w:sz="8" w:space="0" w:color="auto"/>
            </w:tcBorders>
            <w:shd w:val="clear" w:color="auto" w:fill="auto"/>
            <w:noWrap/>
            <w:tcMar>
              <w:left w:w="43" w:type="dxa"/>
              <w:right w:w="43" w:type="dxa"/>
            </w:tcMar>
            <w:vAlign w:val="center"/>
            <w:hideMark/>
          </w:tcPr>
          <w:p w14:paraId="183A1BA1"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50 years or more</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hideMark/>
          </w:tcPr>
          <w:p w14:paraId="08429E79"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15.5</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7EC63729"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7.5</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153F0A5F"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3.2</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2E7D9656"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-2.5</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hideMark/>
          </w:tcPr>
          <w:p w14:paraId="22FD2115"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-11.3</w:t>
            </w:r>
          </w:p>
        </w:tc>
        <w:tc>
          <w:tcPr>
            <w:tcW w:w="724" w:type="dxa"/>
            <w:vMerge w:val="restart"/>
            <w:tcBorders>
              <w:top w:val="single" w:sz="4" w:space="0" w:color="auto"/>
              <w:left w:val="nil"/>
              <w:right w:val="single" w:sz="18" w:space="0" w:color="auto"/>
            </w:tcBorders>
            <w:shd w:val="clear" w:color="auto" w:fill="auto"/>
            <w:noWrap/>
            <w:tcMar>
              <w:left w:w="43" w:type="dxa"/>
              <w:right w:w="43" w:type="dxa"/>
            </w:tcMar>
            <w:vAlign w:val="center"/>
            <w:hideMark/>
          </w:tcPr>
          <w:p w14:paraId="63EAF32D"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-1.6</w:t>
            </w:r>
          </w:p>
        </w:tc>
      </w:tr>
      <w:tr w:rsidR="008B58C4" w:rsidRPr="00B14024" w14:paraId="19DAC440" w14:textId="77777777" w:rsidTr="00EC669E">
        <w:trPr>
          <w:trHeight w:val="245"/>
        </w:trPr>
        <w:tc>
          <w:tcPr>
            <w:tcW w:w="1596" w:type="dxa"/>
            <w:vMerge/>
            <w:tcBorders>
              <w:left w:val="single" w:sz="18" w:space="0" w:color="auto"/>
              <w:bottom w:val="single" w:sz="4" w:space="0" w:color="auto"/>
              <w:right w:val="single" w:sz="4" w:space="0" w:color="auto"/>
            </w:tcBorders>
            <w:shd w:val="clear" w:color="auto" w:fill="auto"/>
            <w:noWrap/>
            <w:tcMar>
              <w:left w:w="43" w:type="dxa"/>
              <w:right w:w="43" w:type="dxa"/>
            </w:tcMar>
            <w:vAlign w:val="center"/>
            <w:hideMark/>
          </w:tcPr>
          <w:p w14:paraId="112614A7"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hideMark/>
          </w:tcPr>
          <w:p w14:paraId="7CF310CC"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hideMark/>
          </w:tcPr>
          <w:p w14:paraId="13D862EA"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hideMark/>
          </w:tcPr>
          <w:p w14:paraId="6F5767C6"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23.7</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0734FCB0"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11.8</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16CE92D4"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6.0</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0DE38CE9"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-3.1</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hideMark/>
          </w:tcPr>
          <w:p w14:paraId="6DA17B77"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-16.4</w:t>
            </w:r>
          </w:p>
        </w:tc>
        <w:tc>
          <w:tcPr>
            <w:tcW w:w="724" w:type="dxa"/>
            <w:vMerge/>
            <w:tcBorders>
              <w:top w:val="single" w:sz="4" w:space="0" w:color="auto"/>
              <w:left w:val="nil"/>
              <w:right w:val="single" w:sz="18" w:space="0" w:color="auto"/>
            </w:tcBorders>
            <w:shd w:val="clear" w:color="auto" w:fill="auto"/>
            <w:noWrap/>
            <w:tcMar>
              <w:left w:w="43" w:type="dxa"/>
              <w:right w:w="43" w:type="dxa"/>
            </w:tcMar>
            <w:vAlign w:val="center"/>
            <w:hideMark/>
          </w:tcPr>
          <w:p w14:paraId="670A869B"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22E46785" w14:textId="77777777" w:rsidTr="00EC669E">
        <w:trPr>
          <w:trHeight w:val="245"/>
        </w:trPr>
        <w:tc>
          <w:tcPr>
            <w:tcW w:w="1596" w:type="dxa"/>
            <w:vMerge w:val="restart"/>
            <w:tcBorders>
              <w:top w:val="nil"/>
              <w:left w:val="single" w:sz="18" w:space="0" w:color="auto"/>
              <w:right w:val="single" w:sz="4" w:space="0" w:color="auto"/>
            </w:tcBorders>
            <w:shd w:val="clear" w:color="auto" w:fill="auto"/>
            <w:noWrap/>
            <w:tcMar>
              <w:left w:w="43" w:type="dxa"/>
              <w:right w:w="43" w:type="dxa"/>
            </w:tcMar>
            <w:vAlign w:val="center"/>
            <w:hideMark/>
          </w:tcPr>
          <w:p w14:paraId="78A779DA" w14:textId="77777777" w:rsidR="008B58C4" w:rsidRPr="00B14024" w:rsidRDefault="008B58C4" w:rsidP="00EC669E">
            <w:pPr>
              <w:jc w:val="both"/>
              <w:rPr>
                <w:rFonts w:ascii="Times New Roman" w:eastAsia="Times New Roman" w:hAnsi="Times New Roman"/>
                <w:b/>
                <w:bCs/>
                <w:color w:val="000000"/>
                <w:sz w:val="20"/>
              </w:rPr>
            </w:pPr>
            <w:r w:rsidRPr="00B14024">
              <w:rPr>
                <w:rFonts w:ascii="Times New Roman" w:eastAsia="Times New Roman" w:hAnsi="Times New Roman"/>
                <w:b/>
                <w:bCs/>
                <w:color w:val="000000"/>
                <w:sz w:val="20"/>
              </w:rPr>
              <w:t>Gender</w:t>
            </w:r>
          </w:p>
        </w:tc>
        <w:tc>
          <w:tcPr>
            <w:tcW w:w="2071" w:type="dxa"/>
            <w:vMerge w:val="restart"/>
            <w:tcBorders>
              <w:top w:val="nil"/>
              <w:left w:val="nil"/>
              <w:right w:val="single" w:sz="4" w:space="0" w:color="auto"/>
            </w:tcBorders>
            <w:shd w:val="clear" w:color="auto" w:fill="auto"/>
            <w:noWrap/>
            <w:tcMar>
              <w:left w:w="43" w:type="dxa"/>
              <w:right w:w="43" w:type="dxa"/>
            </w:tcMar>
            <w:vAlign w:val="center"/>
            <w:hideMark/>
          </w:tcPr>
          <w:p w14:paraId="4BFA9FA6"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Male</w:t>
            </w:r>
          </w:p>
        </w:tc>
        <w:tc>
          <w:tcPr>
            <w:tcW w:w="1980" w:type="dxa"/>
            <w:vMerge w:val="restart"/>
            <w:tcBorders>
              <w:top w:val="nil"/>
              <w:left w:val="nil"/>
              <w:right w:val="single" w:sz="8" w:space="0" w:color="auto"/>
            </w:tcBorders>
            <w:shd w:val="clear" w:color="auto" w:fill="auto"/>
            <w:noWrap/>
            <w:tcMar>
              <w:left w:w="43" w:type="dxa"/>
              <w:right w:w="43" w:type="dxa"/>
            </w:tcMar>
            <w:vAlign w:val="center"/>
            <w:hideMark/>
          </w:tcPr>
          <w:p w14:paraId="68CB7C18" w14:textId="77777777" w:rsidR="008B58C4" w:rsidRPr="00B14024" w:rsidRDefault="008B58C4" w:rsidP="00EC669E">
            <w:pPr>
              <w:ind w:right="110"/>
              <w:rPr>
                <w:rFonts w:ascii="Times New Roman" w:eastAsia="Times New Roman" w:hAnsi="Times New Roman"/>
                <w:color w:val="000000"/>
                <w:sz w:val="20"/>
              </w:rPr>
            </w:pPr>
            <w:r w:rsidRPr="00B14024">
              <w:rPr>
                <w:rFonts w:ascii="Times New Roman" w:eastAsia="Times New Roman" w:hAnsi="Times New Roman"/>
                <w:color w:val="000000"/>
                <w:sz w:val="20"/>
              </w:rPr>
              <w:t>Female</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hideMark/>
          </w:tcPr>
          <w:p w14:paraId="616487EC"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24.3</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68BF5574"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11.0</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0F3E327D"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4.2</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602395BD"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-4.7</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hideMark/>
          </w:tcPr>
          <w:p w14:paraId="50345391"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-17.7</w:t>
            </w:r>
          </w:p>
        </w:tc>
        <w:tc>
          <w:tcPr>
            <w:tcW w:w="724" w:type="dxa"/>
            <w:vMerge w:val="restart"/>
            <w:tcBorders>
              <w:top w:val="single" w:sz="4" w:space="0" w:color="auto"/>
              <w:left w:val="nil"/>
              <w:right w:val="single" w:sz="18" w:space="0" w:color="auto"/>
            </w:tcBorders>
            <w:shd w:val="clear" w:color="auto" w:fill="auto"/>
            <w:noWrap/>
            <w:tcMar>
              <w:left w:w="43" w:type="dxa"/>
              <w:right w:w="43" w:type="dxa"/>
            </w:tcMar>
            <w:vAlign w:val="center"/>
            <w:hideMark/>
          </w:tcPr>
          <w:p w14:paraId="0276CEB3"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-1.4</w:t>
            </w:r>
          </w:p>
        </w:tc>
      </w:tr>
      <w:tr w:rsidR="008B58C4" w:rsidRPr="00B14024" w14:paraId="4D975E95" w14:textId="77777777" w:rsidTr="00EC669E">
        <w:trPr>
          <w:trHeight w:val="245"/>
        </w:trPr>
        <w:tc>
          <w:tcPr>
            <w:tcW w:w="1596" w:type="dxa"/>
            <w:vMerge/>
            <w:tcBorders>
              <w:left w:val="single" w:sz="18" w:space="0" w:color="auto"/>
              <w:bottom w:val="single" w:sz="4" w:space="0" w:color="auto"/>
              <w:right w:val="single" w:sz="4" w:space="0" w:color="auto"/>
            </w:tcBorders>
            <w:shd w:val="clear" w:color="auto" w:fill="auto"/>
            <w:noWrap/>
            <w:tcMar>
              <w:left w:w="43" w:type="dxa"/>
              <w:right w:w="43" w:type="dxa"/>
            </w:tcMar>
            <w:vAlign w:val="center"/>
            <w:hideMark/>
          </w:tcPr>
          <w:p w14:paraId="2F641F87"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hideMark/>
          </w:tcPr>
          <w:p w14:paraId="2F1A5017"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hideMark/>
          </w:tcPr>
          <w:p w14:paraId="1F7F583A"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hideMark/>
          </w:tcPr>
          <w:p w14:paraId="736862B0"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24.3</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069EEDEE"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11.5</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1A1A7DD5"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4.7</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055A1AF7"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-4.3</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hideMark/>
          </w:tcPr>
          <w:p w14:paraId="6CC92D40"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-17.4</w:t>
            </w:r>
          </w:p>
        </w:tc>
        <w:tc>
          <w:tcPr>
            <w:tcW w:w="724" w:type="dxa"/>
            <w:vMerge/>
            <w:tcBorders>
              <w:top w:val="single" w:sz="4" w:space="0" w:color="auto"/>
              <w:left w:val="nil"/>
              <w:right w:val="single" w:sz="18" w:space="0" w:color="auto"/>
            </w:tcBorders>
            <w:shd w:val="clear" w:color="auto" w:fill="auto"/>
            <w:noWrap/>
            <w:tcMar>
              <w:left w:w="43" w:type="dxa"/>
              <w:right w:w="43" w:type="dxa"/>
            </w:tcMar>
            <w:vAlign w:val="center"/>
            <w:hideMark/>
          </w:tcPr>
          <w:p w14:paraId="7CD9E0F0"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51A23EFA" w14:textId="77777777" w:rsidTr="00EC669E">
        <w:trPr>
          <w:trHeight w:val="245"/>
        </w:trPr>
        <w:tc>
          <w:tcPr>
            <w:tcW w:w="1596" w:type="dxa"/>
            <w:vMerge w:val="restart"/>
            <w:tcBorders>
              <w:top w:val="nil"/>
              <w:left w:val="single" w:sz="18" w:space="0" w:color="auto"/>
              <w:right w:val="single" w:sz="4" w:space="0" w:color="auto"/>
            </w:tcBorders>
            <w:shd w:val="clear" w:color="auto" w:fill="auto"/>
            <w:noWrap/>
            <w:tcMar>
              <w:left w:w="43" w:type="dxa"/>
              <w:right w:w="43" w:type="dxa"/>
            </w:tcMar>
            <w:vAlign w:val="center"/>
            <w:hideMark/>
          </w:tcPr>
          <w:p w14:paraId="43145CA9" w14:textId="77777777" w:rsidR="008B58C4" w:rsidRPr="00B14024" w:rsidRDefault="008B58C4" w:rsidP="00EC669E">
            <w:pPr>
              <w:jc w:val="both"/>
              <w:rPr>
                <w:rFonts w:ascii="Times New Roman" w:eastAsia="Times New Roman" w:hAnsi="Times New Roman"/>
                <w:b/>
                <w:bCs/>
                <w:color w:val="000000"/>
                <w:sz w:val="20"/>
              </w:rPr>
            </w:pPr>
            <w:r w:rsidRPr="00B14024">
              <w:rPr>
                <w:rFonts w:ascii="Times New Roman" w:eastAsia="Times New Roman" w:hAnsi="Times New Roman"/>
                <w:b/>
                <w:bCs/>
                <w:color w:val="000000"/>
                <w:sz w:val="20"/>
              </w:rPr>
              <w:t>Education Level</w:t>
            </w:r>
          </w:p>
        </w:tc>
        <w:tc>
          <w:tcPr>
            <w:tcW w:w="2071" w:type="dxa"/>
            <w:vMerge w:val="restart"/>
            <w:tcBorders>
              <w:top w:val="nil"/>
              <w:left w:val="nil"/>
              <w:right w:val="single" w:sz="4" w:space="0" w:color="auto"/>
            </w:tcBorders>
            <w:shd w:val="clear" w:color="auto" w:fill="auto"/>
            <w:noWrap/>
            <w:tcMar>
              <w:left w:w="43" w:type="dxa"/>
              <w:right w:w="43" w:type="dxa"/>
            </w:tcMar>
            <w:vAlign w:val="center"/>
            <w:hideMark/>
          </w:tcPr>
          <w:p w14:paraId="7F3393C3"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Lower than college</w:t>
            </w:r>
          </w:p>
        </w:tc>
        <w:tc>
          <w:tcPr>
            <w:tcW w:w="1980" w:type="dxa"/>
            <w:vMerge w:val="restart"/>
            <w:tcBorders>
              <w:top w:val="nil"/>
              <w:left w:val="nil"/>
              <w:right w:val="single" w:sz="8" w:space="0" w:color="auto"/>
            </w:tcBorders>
            <w:shd w:val="clear" w:color="auto" w:fill="auto"/>
            <w:noWrap/>
            <w:tcMar>
              <w:left w:w="43" w:type="dxa"/>
              <w:right w:w="43" w:type="dxa"/>
            </w:tcMar>
            <w:vAlign w:val="center"/>
            <w:hideMark/>
          </w:tcPr>
          <w:p w14:paraId="78B88DE8"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Higher than bachelor</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hideMark/>
          </w:tcPr>
          <w:p w14:paraId="5B28F70A"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-58.2</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4D9A1AEA"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-24.1</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2C076C82"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1.8</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33DA877A"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53.8</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hideMark/>
          </w:tcPr>
          <w:p w14:paraId="618C1B66"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196.1</w:t>
            </w:r>
          </w:p>
        </w:tc>
        <w:tc>
          <w:tcPr>
            <w:tcW w:w="724" w:type="dxa"/>
            <w:vMerge w:val="restart"/>
            <w:tcBorders>
              <w:top w:val="single" w:sz="4" w:space="0" w:color="auto"/>
              <w:left w:val="nil"/>
              <w:right w:val="single" w:sz="18" w:space="0" w:color="auto"/>
            </w:tcBorders>
            <w:shd w:val="clear" w:color="auto" w:fill="auto"/>
            <w:noWrap/>
            <w:tcMar>
              <w:left w:w="43" w:type="dxa"/>
              <w:right w:w="43" w:type="dxa"/>
            </w:tcMar>
            <w:vAlign w:val="center"/>
            <w:hideMark/>
          </w:tcPr>
          <w:p w14:paraId="57040E37"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-4.6</w:t>
            </w:r>
          </w:p>
        </w:tc>
      </w:tr>
      <w:tr w:rsidR="008B58C4" w:rsidRPr="00B14024" w14:paraId="2D450A61" w14:textId="77777777" w:rsidTr="00EC669E">
        <w:trPr>
          <w:trHeight w:val="245"/>
        </w:trPr>
        <w:tc>
          <w:tcPr>
            <w:tcW w:w="1596" w:type="dxa"/>
            <w:vMerge/>
            <w:tcBorders>
              <w:left w:val="single" w:sz="18" w:space="0" w:color="auto"/>
              <w:bottom w:val="single" w:sz="4" w:space="0" w:color="auto"/>
              <w:right w:val="single" w:sz="4" w:space="0" w:color="auto"/>
            </w:tcBorders>
            <w:shd w:val="clear" w:color="auto" w:fill="auto"/>
            <w:noWrap/>
            <w:tcMar>
              <w:left w:w="43" w:type="dxa"/>
              <w:right w:w="43" w:type="dxa"/>
            </w:tcMar>
            <w:vAlign w:val="center"/>
            <w:hideMark/>
          </w:tcPr>
          <w:p w14:paraId="5856E558"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hideMark/>
          </w:tcPr>
          <w:p w14:paraId="18A949B9" w14:textId="77777777" w:rsidR="008B58C4" w:rsidRPr="00B14024" w:rsidRDefault="008B58C4" w:rsidP="00EC669E">
            <w:pPr>
              <w:jc w:val="both"/>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hideMark/>
          </w:tcPr>
          <w:p w14:paraId="317DEF23" w14:textId="77777777" w:rsidR="008B58C4" w:rsidRPr="00B14024" w:rsidRDefault="008B58C4" w:rsidP="00EC669E">
            <w:pPr>
              <w:jc w:val="both"/>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hideMark/>
          </w:tcPr>
          <w:p w14:paraId="474BDCA5"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-60.6</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445C71FE"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-30.3</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298E0520"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-7.4</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48676D06"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43.5</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hideMark/>
          </w:tcPr>
          <w:p w14:paraId="42CE5533"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111.8</w:t>
            </w:r>
          </w:p>
        </w:tc>
        <w:tc>
          <w:tcPr>
            <w:tcW w:w="724" w:type="dxa"/>
            <w:vMerge/>
            <w:tcBorders>
              <w:top w:val="single" w:sz="4" w:space="0" w:color="auto"/>
              <w:left w:val="nil"/>
              <w:right w:val="single" w:sz="18" w:space="0" w:color="auto"/>
            </w:tcBorders>
            <w:shd w:val="clear" w:color="auto" w:fill="auto"/>
            <w:noWrap/>
            <w:tcMar>
              <w:left w:w="43" w:type="dxa"/>
              <w:right w:w="43" w:type="dxa"/>
            </w:tcMar>
            <w:vAlign w:val="center"/>
            <w:hideMark/>
          </w:tcPr>
          <w:p w14:paraId="00A74D17" w14:textId="77777777" w:rsidR="008B58C4" w:rsidRPr="00B14024" w:rsidRDefault="008B58C4" w:rsidP="00EC669E">
            <w:pPr>
              <w:jc w:val="both"/>
              <w:rPr>
                <w:rFonts w:ascii="Times New Roman" w:eastAsia="Times New Roman" w:hAnsi="Times New Roman"/>
                <w:color w:val="000000"/>
                <w:sz w:val="20"/>
              </w:rPr>
            </w:pPr>
          </w:p>
        </w:tc>
      </w:tr>
      <w:tr w:rsidR="008B58C4" w:rsidRPr="00B14024" w14:paraId="79B12276" w14:textId="77777777" w:rsidTr="00EC669E">
        <w:trPr>
          <w:trHeight w:val="245"/>
        </w:trPr>
        <w:tc>
          <w:tcPr>
            <w:tcW w:w="9612" w:type="dxa"/>
            <w:gridSpan w:val="9"/>
            <w:tcBorders>
              <w:top w:val="single" w:sz="4" w:space="0" w:color="auto"/>
              <w:left w:val="single" w:sz="18" w:space="0" w:color="auto"/>
              <w:bottom w:val="single" w:sz="4" w:space="0" w:color="auto"/>
              <w:right w:val="single" w:sz="18" w:space="0" w:color="auto"/>
            </w:tcBorders>
            <w:shd w:val="clear" w:color="auto" w:fill="auto"/>
            <w:noWrap/>
            <w:tcMar>
              <w:left w:w="43" w:type="dxa"/>
              <w:right w:w="43" w:type="dxa"/>
            </w:tcMar>
            <w:vAlign w:val="center"/>
          </w:tcPr>
          <w:p w14:paraId="4CABE65C" w14:textId="77777777" w:rsidR="008B58C4" w:rsidRPr="00B14024" w:rsidRDefault="008B58C4" w:rsidP="00EC669E">
            <w:pPr>
              <w:jc w:val="both"/>
              <w:rPr>
                <w:rFonts w:ascii="Times New Roman" w:eastAsia="Times New Roman" w:hAnsi="Times New Roman"/>
                <w:i/>
                <w:iCs/>
                <w:color w:val="000000"/>
                <w:sz w:val="20"/>
              </w:rPr>
            </w:pPr>
            <w:r w:rsidRPr="00B14024">
              <w:rPr>
                <w:rFonts w:ascii="Times New Roman" w:eastAsia="Times New Roman" w:hAnsi="Times New Roman"/>
                <w:b/>
                <w:bCs/>
                <w:i/>
                <w:iCs/>
                <w:color w:val="000000"/>
                <w:sz w:val="20"/>
              </w:rPr>
              <w:t>Household Characteristics</w:t>
            </w:r>
          </w:p>
        </w:tc>
      </w:tr>
      <w:tr w:rsidR="008B58C4" w:rsidRPr="00B14024" w14:paraId="720D6B77" w14:textId="77777777" w:rsidTr="00EC669E">
        <w:trPr>
          <w:trHeight w:val="245"/>
        </w:trPr>
        <w:tc>
          <w:tcPr>
            <w:tcW w:w="1596" w:type="dxa"/>
            <w:vMerge w:val="restart"/>
            <w:tcBorders>
              <w:top w:val="single" w:sz="4" w:space="0" w:color="auto"/>
              <w:left w:val="single" w:sz="18" w:space="0" w:color="auto"/>
              <w:right w:val="single" w:sz="4" w:space="0" w:color="auto"/>
            </w:tcBorders>
            <w:shd w:val="clear" w:color="auto" w:fill="auto"/>
            <w:noWrap/>
            <w:tcMar>
              <w:left w:w="43" w:type="dxa"/>
              <w:right w:w="43" w:type="dxa"/>
            </w:tcMar>
            <w:vAlign w:val="center"/>
            <w:hideMark/>
          </w:tcPr>
          <w:p w14:paraId="1B83F285" w14:textId="77777777" w:rsidR="008B58C4" w:rsidRPr="00B14024" w:rsidRDefault="008B58C4" w:rsidP="00EC669E">
            <w:pPr>
              <w:rPr>
                <w:rFonts w:ascii="Times New Roman" w:eastAsia="Times New Roman" w:hAnsi="Times New Roman"/>
                <w:b/>
                <w:bCs/>
                <w:color w:val="000000"/>
                <w:sz w:val="20"/>
              </w:rPr>
            </w:pPr>
            <w:r w:rsidRPr="00B14024">
              <w:rPr>
                <w:rFonts w:ascii="Times New Roman" w:eastAsia="Times New Roman" w:hAnsi="Times New Roman"/>
                <w:b/>
                <w:bCs/>
                <w:color w:val="000000"/>
                <w:sz w:val="20"/>
              </w:rPr>
              <w:t>Household Composition</w:t>
            </w:r>
          </w:p>
          <w:p w14:paraId="2FFB904A" w14:textId="77777777" w:rsidR="008B58C4" w:rsidRPr="00B14024" w:rsidRDefault="008B58C4" w:rsidP="00EC669E">
            <w:pPr>
              <w:rPr>
                <w:rFonts w:ascii="Times New Roman" w:eastAsia="Times New Roman" w:hAnsi="Times New Roman"/>
                <w:b/>
                <w:bCs/>
                <w:color w:val="000000"/>
                <w:sz w:val="20"/>
              </w:rPr>
            </w:pPr>
          </w:p>
        </w:tc>
        <w:tc>
          <w:tcPr>
            <w:tcW w:w="2071" w:type="dxa"/>
            <w:vMerge w:val="restart"/>
            <w:tcBorders>
              <w:top w:val="single" w:sz="4" w:space="0" w:color="auto"/>
              <w:left w:val="nil"/>
              <w:right w:val="single" w:sz="4" w:space="0" w:color="auto"/>
            </w:tcBorders>
            <w:shd w:val="clear" w:color="auto" w:fill="auto"/>
            <w:noWrap/>
            <w:tcMar>
              <w:left w:w="43" w:type="dxa"/>
              <w:right w:w="43" w:type="dxa"/>
            </w:tcMar>
            <w:vAlign w:val="center"/>
            <w:hideMark/>
          </w:tcPr>
          <w:p w14:paraId="60DB34A8"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Single adult</w:t>
            </w:r>
          </w:p>
        </w:tc>
        <w:tc>
          <w:tcPr>
            <w:tcW w:w="1980" w:type="dxa"/>
            <w:vMerge w:val="restart"/>
            <w:tcBorders>
              <w:top w:val="single" w:sz="4" w:space="0" w:color="auto"/>
              <w:left w:val="nil"/>
              <w:right w:val="single" w:sz="8" w:space="0" w:color="auto"/>
            </w:tcBorders>
            <w:shd w:val="clear" w:color="auto" w:fill="auto"/>
            <w:noWrap/>
            <w:tcMar>
              <w:left w:w="43" w:type="dxa"/>
              <w:right w:w="43" w:type="dxa"/>
            </w:tcMar>
            <w:vAlign w:val="center"/>
            <w:hideMark/>
          </w:tcPr>
          <w:p w14:paraId="547FFFB3"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Couple, no children</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hideMark/>
          </w:tcPr>
          <w:p w14:paraId="4D815ABB"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-15.3</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76829691"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-7.8</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0AD72254"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-3.3</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7A4CA87C"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3.8</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hideMark/>
          </w:tcPr>
          <w:p w14:paraId="69E8912F"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16.7</w:t>
            </w:r>
          </w:p>
        </w:tc>
        <w:tc>
          <w:tcPr>
            <w:tcW w:w="724" w:type="dxa"/>
            <w:vMerge w:val="restart"/>
            <w:tcBorders>
              <w:top w:val="single" w:sz="4" w:space="0" w:color="auto"/>
              <w:left w:val="nil"/>
              <w:bottom w:val="single" w:sz="4" w:space="0" w:color="auto"/>
              <w:right w:val="single" w:sz="18" w:space="0" w:color="auto"/>
            </w:tcBorders>
            <w:shd w:val="clear" w:color="auto" w:fill="auto"/>
            <w:noWrap/>
            <w:tcMar>
              <w:left w:w="43" w:type="dxa"/>
              <w:right w:w="43" w:type="dxa"/>
            </w:tcMar>
            <w:vAlign w:val="center"/>
            <w:hideMark/>
          </w:tcPr>
          <w:p w14:paraId="1A16A6E5"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0.9</w:t>
            </w:r>
          </w:p>
        </w:tc>
      </w:tr>
      <w:tr w:rsidR="008B58C4" w:rsidRPr="00B14024" w14:paraId="6727CF01" w14:textId="77777777" w:rsidTr="00EC669E">
        <w:trPr>
          <w:trHeight w:val="245"/>
        </w:trPr>
        <w:tc>
          <w:tcPr>
            <w:tcW w:w="1596" w:type="dxa"/>
            <w:vMerge/>
            <w:tcBorders>
              <w:left w:val="single" w:sz="18" w:space="0" w:color="auto"/>
              <w:right w:val="single" w:sz="4" w:space="0" w:color="auto"/>
            </w:tcBorders>
            <w:shd w:val="clear" w:color="auto" w:fill="auto"/>
            <w:noWrap/>
            <w:tcMar>
              <w:left w:w="43" w:type="dxa"/>
              <w:right w:w="43" w:type="dxa"/>
            </w:tcMar>
            <w:vAlign w:val="center"/>
            <w:hideMark/>
          </w:tcPr>
          <w:p w14:paraId="07E0B0FD" w14:textId="77777777" w:rsidR="008B58C4" w:rsidRPr="00B14024" w:rsidRDefault="008B58C4" w:rsidP="00EC669E">
            <w:pPr>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hideMark/>
          </w:tcPr>
          <w:p w14:paraId="51F29E05"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hideMark/>
          </w:tcPr>
          <w:p w14:paraId="63A503ED"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hideMark/>
          </w:tcPr>
          <w:p w14:paraId="4C947A55"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-4.0</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7725E38B"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-2.1</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03975571"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0.2</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5FB592F6"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1.1</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hideMark/>
          </w:tcPr>
          <w:p w14:paraId="53D3C913"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2.7</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hideMark/>
          </w:tcPr>
          <w:p w14:paraId="7ED5B258"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796E19A7" w14:textId="77777777" w:rsidTr="00EC669E">
        <w:trPr>
          <w:trHeight w:val="245"/>
        </w:trPr>
        <w:tc>
          <w:tcPr>
            <w:tcW w:w="1596" w:type="dxa"/>
            <w:vMerge/>
            <w:tcBorders>
              <w:left w:val="single" w:sz="18" w:space="0" w:color="auto"/>
              <w:right w:val="single" w:sz="4" w:space="0" w:color="auto"/>
            </w:tcBorders>
            <w:shd w:val="clear" w:color="auto" w:fill="auto"/>
            <w:noWrap/>
            <w:tcMar>
              <w:left w:w="43" w:type="dxa"/>
              <w:right w:w="43" w:type="dxa"/>
            </w:tcMar>
            <w:vAlign w:val="center"/>
            <w:hideMark/>
          </w:tcPr>
          <w:p w14:paraId="7D3D4F12" w14:textId="77777777" w:rsidR="008B58C4" w:rsidRPr="00B14024" w:rsidRDefault="008B58C4" w:rsidP="00EC669E">
            <w:pPr>
              <w:rPr>
                <w:rFonts w:ascii="Times New Roman" w:eastAsia="Times New Roman" w:hAnsi="Times New Roman"/>
                <w:color w:val="000000"/>
                <w:sz w:val="20"/>
              </w:rPr>
            </w:pPr>
          </w:p>
        </w:tc>
        <w:tc>
          <w:tcPr>
            <w:tcW w:w="2071" w:type="dxa"/>
            <w:vMerge w:val="restart"/>
            <w:tcBorders>
              <w:top w:val="nil"/>
              <w:left w:val="nil"/>
              <w:right w:val="single" w:sz="4" w:space="0" w:color="auto"/>
            </w:tcBorders>
            <w:shd w:val="clear" w:color="auto" w:fill="auto"/>
            <w:noWrap/>
            <w:tcMar>
              <w:left w:w="43" w:type="dxa"/>
              <w:right w:w="43" w:type="dxa"/>
            </w:tcMar>
            <w:vAlign w:val="center"/>
            <w:hideMark/>
          </w:tcPr>
          <w:p w14:paraId="340F7374"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Single Adult</w:t>
            </w:r>
          </w:p>
        </w:tc>
        <w:tc>
          <w:tcPr>
            <w:tcW w:w="1980" w:type="dxa"/>
            <w:vMerge w:val="restart"/>
            <w:tcBorders>
              <w:top w:val="nil"/>
              <w:left w:val="nil"/>
              <w:right w:val="single" w:sz="8" w:space="0" w:color="auto"/>
            </w:tcBorders>
            <w:shd w:val="clear" w:color="auto" w:fill="auto"/>
            <w:noWrap/>
            <w:tcMar>
              <w:left w:w="43" w:type="dxa"/>
              <w:right w:w="43" w:type="dxa"/>
            </w:tcMar>
            <w:vAlign w:val="center"/>
            <w:hideMark/>
          </w:tcPr>
          <w:p w14:paraId="4FCD042E"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Adults &gt; 3</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hideMark/>
          </w:tcPr>
          <w:p w14:paraId="072626CA"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-4.1</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5DAAD132"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-1.6</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7D2865BE"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-0.3</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11D43086"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1.4</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hideMark/>
          </w:tcPr>
          <w:p w14:paraId="145639F5"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3.7</w:t>
            </w:r>
          </w:p>
        </w:tc>
        <w:tc>
          <w:tcPr>
            <w:tcW w:w="724" w:type="dxa"/>
            <w:vMerge w:val="restart"/>
            <w:tcBorders>
              <w:top w:val="single" w:sz="4" w:space="0" w:color="auto"/>
              <w:left w:val="nil"/>
              <w:bottom w:val="single" w:sz="4" w:space="0" w:color="auto"/>
              <w:right w:val="single" w:sz="18" w:space="0" w:color="auto"/>
            </w:tcBorders>
            <w:shd w:val="clear" w:color="auto" w:fill="auto"/>
            <w:noWrap/>
            <w:tcMar>
              <w:left w:w="43" w:type="dxa"/>
              <w:right w:w="43" w:type="dxa"/>
            </w:tcMar>
            <w:vAlign w:val="center"/>
            <w:hideMark/>
          </w:tcPr>
          <w:p w14:paraId="4AFA2519"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-1.4</w:t>
            </w:r>
          </w:p>
        </w:tc>
      </w:tr>
      <w:tr w:rsidR="008B58C4" w:rsidRPr="00B14024" w14:paraId="5E6F63EC" w14:textId="77777777" w:rsidTr="00EC669E">
        <w:trPr>
          <w:trHeight w:val="245"/>
        </w:trPr>
        <w:tc>
          <w:tcPr>
            <w:tcW w:w="1596" w:type="dxa"/>
            <w:vMerge/>
            <w:tcBorders>
              <w:left w:val="single" w:sz="18" w:space="0" w:color="auto"/>
              <w:right w:val="single" w:sz="4" w:space="0" w:color="auto"/>
            </w:tcBorders>
            <w:shd w:val="clear" w:color="auto" w:fill="auto"/>
            <w:noWrap/>
            <w:tcMar>
              <w:left w:w="43" w:type="dxa"/>
              <w:right w:w="43" w:type="dxa"/>
            </w:tcMar>
            <w:vAlign w:val="center"/>
            <w:hideMark/>
          </w:tcPr>
          <w:p w14:paraId="0FDB1940" w14:textId="77777777" w:rsidR="008B58C4" w:rsidRPr="00B14024" w:rsidRDefault="008B58C4" w:rsidP="00EC669E">
            <w:pPr>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hideMark/>
          </w:tcPr>
          <w:p w14:paraId="63647035"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hideMark/>
          </w:tcPr>
          <w:p w14:paraId="1F3197CB"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hideMark/>
          </w:tcPr>
          <w:p w14:paraId="4C9907DC"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-26.6</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25CF56D8"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-15.5</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1E4360BB"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-10.0</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19E2AB9F"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3.4</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hideMark/>
          </w:tcPr>
          <w:p w14:paraId="27DEA364"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30.7</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hideMark/>
          </w:tcPr>
          <w:p w14:paraId="232F08C0"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0EC84714" w14:textId="77777777" w:rsidTr="00EC669E">
        <w:trPr>
          <w:trHeight w:val="245"/>
        </w:trPr>
        <w:tc>
          <w:tcPr>
            <w:tcW w:w="1596" w:type="dxa"/>
            <w:vMerge/>
            <w:tcBorders>
              <w:left w:val="single" w:sz="18" w:space="0" w:color="auto"/>
              <w:right w:val="single" w:sz="4" w:space="0" w:color="auto"/>
            </w:tcBorders>
            <w:shd w:val="clear" w:color="auto" w:fill="auto"/>
            <w:noWrap/>
            <w:tcMar>
              <w:left w:w="43" w:type="dxa"/>
              <w:right w:w="43" w:type="dxa"/>
            </w:tcMar>
            <w:vAlign w:val="center"/>
            <w:hideMark/>
          </w:tcPr>
          <w:p w14:paraId="72593B15" w14:textId="77777777" w:rsidR="008B58C4" w:rsidRPr="00B14024" w:rsidRDefault="008B58C4" w:rsidP="00EC669E">
            <w:pPr>
              <w:rPr>
                <w:rFonts w:ascii="Times New Roman" w:eastAsia="Times New Roman" w:hAnsi="Times New Roman"/>
                <w:color w:val="000000"/>
                <w:sz w:val="20"/>
              </w:rPr>
            </w:pPr>
          </w:p>
        </w:tc>
        <w:tc>
          <w:tcPr>
            <w:tcW w:w="2071" w:type="dxa"/>
            <w:vMerge w:val="restart"/>
            <w:tcBorders>
              <w:top w:val="nil"/>
              <w:left w:val="nil"/>
              <w:right w:val="single" w:sz="4" w:space="0" w:color="auto"/>
            </w:tcBorders>
            <w:shd w:val="clear" w:color="auto" w:fill="auto"/>
            <w:noWrap/>
            <w:tcMar>
              <w:left w:w="43" w:type="dxa"/>
              <w:right w:w="43" w:type="dxa"/>
            </w:tcMar>
            <w:vAlign w:val="center"/>
            <w:hideMark/>
          </w:tcPr>
          <w:p w14:paraId="643C997A"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Couple, no children</w:t>
            </w:r>
          </w:p>
        </w:tc>
        <w:tc>
          <w:tcPr>
            <w:tcW w:w="1980" w:type="dxa"/>
            <w:vMerge w:val="restart"/>
            <w:tcBorders>
              <w:top w:val="nil"/>
              <w:left w:val="nil"/>
              <w:right w:val="single" w:sz="8" w:space="0" w:color="auto"/>
            </w:tcBorders>
            <w:shd w:val="clear" w:color="auto" w:fill="auto"/>
            <w:noWrap/>
            <w:tcMar>
              <w:left w:w="43" w:type="dxa"/>
              <w:right w:w="43" w:type="dxa"/>
            </w:tcMar>
            <w:vAlign w:val="center"/>
            <w:hideMark/>
          </w:tcPr>
          <w:p w14:paraId="03D8B91D"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Couple, with children</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hideMark/>
          </w:tcPr>
          <w:p w14:paraId="2C422E35"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16.1</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01F3623A"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7.7</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710BFCAC"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3.1</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73E935C4"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-3.2</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hideMark/>
          </w:tcPr>
          <w:p w14:paraId="54C08488"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-12.9</w:t>
            </w:r>
          </w:p>
        </w:tc>
        <w:tc>
          <w:tcPr>
            <w:tcW w:w="724" w:type="dxa"/>
            <w:vMerge w:val="restart"/>
            <w:tcBorders>
              <w:top w:val="single" w:sz="4" w:space="0" w:color="auto"/>
              <w:left w:val="nil"/>
              <w:bottom w:val="single" w:sz="4" w:space="0" w:color="auto"/>
              <w:right w:val="single" w:sz="18" w:space="0" w:color="auto"/>
            </w:tcBorders>
            <w:shd w:val="clear" w:color="auto" w:fill="auto"/>
            <w:noWrap/>
            <w:tcMar>
              <w:left w:w="43" w:type="dxa"/>
              <w:right w:w="43" w:type="dxa"/>
            </w:tcMar>
            <w:vAlign w:val="center"/>
            <w:hideMark/>
          </w:tcPr>
          <w:p w14:paraId="78A937A2"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0.1</w:t>
            </w:r>
          </w:p>
        </w:tc>
      </w:tr>
      <w:tr w:rsidR="008B58C4" w:rsidRPr="00B14024" w14:paraId="47F190F1" w14:textId="77777777" w:rsidTr="00EC669E">
        <w:trPr>
          <w:trHeight w:val="245"/>
        </w:trPr>
        <w:tc>
          <w:tcPr>
            <w:tcW w:w="1596" w:type="dxa"/>
            <w:vMerge/>
            <w:tcBorders>
              <w:left w:val="single" w:sz="18" w:space="0" w:color="auto"/>
              <w:bottom w:val="single" w:sz="4" w:space="0" w:color="auto"/>
              <w:right w:val="single" w:sz="4" w:space="0" w:color="auto"/>
            </w:tcBorders>
            <w:shd w:val="clear" w:color="auto" w:fill="auto"/>
            <w:noWrap/>
            <w:tcMar>
              <w:left w:w="43" w:type="dxa"/>
              <w:right w:w="43" w:type="dxa"/>
            </w:tcMar>
            <w:vAlign w:val="center"/>
            <w:hideMark/>
          </w:tcPr>
          <w:p w14:paraId="345B7C3E" w14:textId="77777777" w:rsidR="008B58C4" w:rsidRPr="00B14024" w:rsidRDefault="008B58C4" w:rsidP="00EC669E">
            <w:pPr>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hideMark/>
          </w:tcPr>
          <w:p w14:paraId="34BA3648"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hideMark/>
          </w:tcPr>
          <w:p w14:paraId="66C1473D"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hideMark/>
          </w:tcPr>
          <w:p w14:paraId="1FD6DC42"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19.9</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10CC9570"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9.0</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138DABC7"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3.6</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3D03ACB6"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-4.3</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hideMark/>
          </w:tcPr>
          <w:p w14:paraId="51059D87"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-16.1</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hideMark/>
          </w:tcPr>
          <w:p w14:paraId="5F7934F5"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4D654451" w14:textId="77777777" w:rsidTr="00EC669E">
        <w:trPr>
          <w:trHeight w:val="245"/>
        </w:trPr>
        <w:tc>
          <w:tcPr>
            <w:tcW w:w="1596" w:type="dxa"/>
            <w:vMerge w:val="restart"/>
            <w:tcBorders>
              <w:top w:val="nil"/>
              <w:left w:val="single" w:sz="18" w:space="0" w:color="auto"/>
              <w:right w:val="single" w:sz="4" w:space="0" w:color="auto"/>
            </w:tcBorders>
            <w:shd w:val="clear" w:color="auto" w:fill="auto"/>
            <w:noWrap/>
            <w:tcMar>
              <w:left w:w="43" w:type="dxa"/>
              <w:right w:w="43" w:type="dxa"/>
            </w:tcMar>
            <w:vAlign w:val="center"/>
            <w:hideMark/>
          </w:tcPr>
          <w:p w14:paraId="195243A5" w14:textId="77777777" w:rsidR="008B58C4" w:rsidRPr="00B14024" w:rsidRDefault="008B58C4" w:rsidP="00EC669E">
            <w:pPr>
              <w:rPr>
                <w:rFonts w:ascii="Times New Roman" w:eastAsia="Times New Roman" w:hAnsi="Times New Roman"/>
                <w:b/>
                <w:bCs/>
                <w:color w:val="000000"/>
                <w:sz w:val="20"/>
              </w:rPr>
            </w:pPr>
            <w:r w:rsidRPr="00B14024">
              <w:rPr>
                <w:rFonts w:ascii="Times New Roman" w:eastAsia="Times New Roman" w:hAnsi="Times New Roman"/>
                <w:b/>
                <w:bCs/>
                <w:color w:val="000000"/>
                <w:sz w:val="20"/>
              </w:rPr>
              <w:t>Number of Vehicles</w:t>
            </w:r>
          </w:p>
        </w:tc>
        <w:tc>
          <w:tcPr>
            <w:tcW w:w="2071" w:type="dxa"/>
            <w:vMerge w:val="restart"/>
            <w:tcBorders>
              <w:top w:val="nil"/>
              <w:left w:val="nil"/>
              <w:right w:val="single" w:sz="4" w:space="0" w:color="auto"/>
            </w:tcBorders>
            <w:shd w:val="clear" w:color="auto" w:fill="auto"/>
            <w:noWrap/>
            <w:tcMar>
              <w:left w:w="43" w:type="dxa"/>
              <w:right w:w="43" w:type="dxa"/>
            </w:tcMar>
            <w:vAlign w:val="center"/>
            <w:hideMark/>
          </w:tcPr>
          <w:p w14:paraId="03F9DF78"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0</w:t>
            </w:r>
          </w:p>
        </w:tc>
        <w:tc>
          <w:tcPr>
            <w:tcW w:w="1980" w:type="dxa"/>
            <w:vMerge w:val="restart"/>
            <w:tcBorders>
              <w:top w:val="nil"/>
              <w:left w:val="nil"/>
              <w:right w:val="single" w:sz="8" w:space="0" w:color="auto"/>
            </w:tcBorders>
            <w:shd w:val="clear" w:color="auto" w:fill="auto"/>
            <w:noWrap/>
            <w:tcMar>
              <w:left w:w="43" w:type="dxa"/>
              <w:right w:w="43" w:type="dxa"/>
            </w:tcMar>
            <w:vAlign w:val="center"/>
            <w:hideMark/>
          </w:tcPr>
          <w:p w14:paraId="23FEBFDC"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2 or more</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hideMark/>
          </w:tcPr>
          <w:p w14:paraId="7F131669"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300.2</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1A4FC2E4"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77.8</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00F46B57"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-38.5</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3BC69929"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-36.8</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hideMark/>
          </w:tcPr>
          <w:p w14:paraId="4CEE8858"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-76.5</w:t>
            </w:r>
          </w:p>
        </w:tc>
        <w:tc>
          <w:tcPr>
            <w:tcW w:w="724" w:type="dxa"/>
            <w:vMerge w:val="restart"/>
            <w:tcBorders>
              <w:top w:val="single" w:sz="4" w:space="0" w:color="auto"/>
              <w:left w:val="nil"/>
              <w:bottom w:val="single" w:sz="4" w:space="0" w:color="auto"/>
              <w:right w:val="single" w:sz="18" w:space="0" w:color="auto"/>
            </w:tcBorders>
            <w:shd w:val="clear" w:color="auto" w:fill="auto"/>
            <w:noWrap/>
            <w:tcMar>
              <w:left w:w="43" w:type="dxa"/>
              <w:right w:w="43" w:type="dxa"/>
            </w:tcMar>
            <w:vAlign w:val="center"/>
            <w:hideMark/>
          </w:tcPr>
          <w:p w14:paraId="75F18416"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-2.6</w:t>
            </w:r>
          </w:p>
        </w:tc>
      </w:tr>
      <w:tr w:rsidR="008B58C4" w:rsidRPr="00B14024" w14:paraId="419E8DCA" w14:textId="77777777" w:rsidTr="00EC669E">
        <w:trPr>
          <w:trHeight w:val="245"/>
        </w:trPr>
        <w:tc>
          <w:tcPr>
            <w:tcW w:w="1596" w:type="dxa"/>
            <w:vMerge/>
            <w:tcBorders>
              <w:left w:val="single" w:sz="18" w:space="0" w:color="auto"/>
              <w:bottom w:val="single" w:sz="4" w:space="0" w:color="auto"/>
              <w:right w:val="single" w:sz="4" w:space="0" w:color="auto"/>
            </w:tcBorders>
            <w:shd w:val="clear" w:color="auto" w:fill="auto"/>
            <w:noWrap/>
            <w:tcMar>
              <w:left w:w="43" w:type="dxa"/>
              <w:right w:w="43" w:type="dxa"/>
            </w:tcMar>
            <w:vAlign w:val="center"/>
            <w:hideMark/>
          </w:tcPr>
          <w:p w14:paraId="40FAA8E0" w14:textId="77777777" w:rsidR="008B58C4" w:rsidRPr="00B14024" w:rsidRDefault="008B58C4" w:rsidP="00EC669E">
            <w:pPr>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hideMark/>
          </w:tcPr>
          <w:p w14:paraId="6B2D5DDB"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hideMark/>
          </w:tcPr>
          <w:p w14:paraId="46769B83"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hideMark/>
          </w:tcPr>
          <w:p w14:paraId="4F38BB4B"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192.7</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4E7609C2"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62.2</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21612554"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14.9</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26E1D6CB"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-23.9</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hideMark/>
          </w:tcPr>
          <w:p w14:paraId="40F9E3F7"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-61.5</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hideMark/>
          </w:tcPr>
          <w:p w14:paraId="4DAB59BD"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7EEF0CB8" w14:textId="77777777" w:rsidTr="00EC669E">
        <w:trPr>
          <w:trHeight w:val="245"/>
        </w:trPr>
        <w:tc>
          <w:tcPr>
            <w:tcW w:w="1596" w:type="dxa"/>
            <w:vMerge w:val="restart"/>
            <w:tcBorders>
              <w:top w:val="single" w:sz="4" w:space="0" w:color="auto"/>
              <w:left w:val="single" w:sz="18" w:space="0" w:color="auto"/>
              <w:bottom w:val="single" w:sz="18" w:space="0" w:color="auto"/>
              <w:right w:val="single" w:sz="4" w:space="0" w:color="auto"/>
            </w:tcBorders>
            <w:shd w:val="clear" w:color="auto" w:fill="auto"/>
            <w:noWrap/>
            <w:tcMar>
              <w:left w:w="43" w:type="dxa"/>
              <w:right w:w="43" w:type="dxa"/>
            </w:tcMar>
            <w:vAlign w:val="center"/>
            <w:hideMark/>
          </w:tcPr>
          <w:p w14:paraId="7AB247F6" w14:textId="77777777" w:rsidR="008B58C4" w:rsidRPr="00B14024" w:rsidRDefault="008B58C4" w:rsidP="00EC669E">
            <w:pPr>
              <w:rPr>
                <w:rFonts w:ascii="Times New Roman" w:eastAsia="Times New Roman" w:hAnsi="Times New Roman"/>
                <w:b/>
                <w:bCs/>
                <w:color w:val="000000"/>
                <w:sz w:val="20"/>
              </w:rPr>
            </w:pPr>
            <w:r w:rsidRPr="00B14024">
              <w:rPr>
                <w:rFonts w:ascii="Times New Roman" w:eastAsia="Times New Roman" w:hAnsi="Times New Roman"/>
                <w:b/>
                <w:bCs/>
                <w:color w:val="000000"/>
                <w:sz w:val="20"/>
              </w:rPr>
              <w:t>Income</w:t>
            </w:r>
          </w:p>
          <w:p w14:paraId="247F9072"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Low: &lt;$50,000</w:t>
            </w:r>
          </w:p>
          <w:p w14:paraId="4CD5246E"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High: &gt;$100,000</w:t>
            </w:r>
          </w:p>
        </w:tc>
        <w:tc>
          <w:tcPr>
            <w:tcW w:w="2071" w:type="dxa"/>
            <w:vMerge w:val="restart"/>
            <w:tcBorders>
              <w:top w:val="nil"/>
              <w:left w:val="nil"/>
              <w:right w:val="single" w:sz="4" w:space="0" w:color="auto"/>
            </w:tcBorders>
            <w:shd w:val="clear" w:color="auto" w:fill="auto"/>
            <w:noWrap/>
            <w:tcMar>
              <w:left w:w="43" w:type="dxa"/>
              <w:right w:w="43" w:type="dxa"/>
            </w:tcMar>
            <w:vAlign w:val="center"/>
            <w:hideMark/>
          </w:tcPr>
          <w:p w14:paraId="27E36096"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Remains at low</w:t>
            </w:r>
          </w:p>
        </w:tc>
        <w:tc>
          <w:tcPr>
            <w:tcW w:w="1980" w:type="dxa"/>
            <w:vMerge w:val="restart"/>
            <w:tcBorders>
              <w:top w:val="nil"/>
              <w:left w:val="nil"/>
              <w:right w:val="single" w:sz="8" w:space="0" w:color="auto"/>
            </w:tcBorders>
            <w:shd w:val="clear" w:color="auto" w:fill="auto"/>
            <w:noWrap/>
            <w:tcMar>
              <w:left w:w="43" w:type="dxa"/>
              <w:right w:w="43" w:type="dxa"/>
            </w:tcMar>
            <w:vAlign w:val="center"/>
            <w:hideMark/>
          </w:tcPr>
          <w:p w14:paraId="58FD1F0D"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Remains at high</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hideMark/>
          </w:tcPr>
          <w:p w14:paraId="019D1749"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-21.9</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0292EBAB"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-11.2</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5967AFAD"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-4.7</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79CB59CB"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5.5</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hideMark/>
          </w:tcPr>
          <w:p w14:paraId="0940BF74"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24.5</w:t>
            </w:r>
          </w:p>
        </w:tc>
        <w:tc>
          <w:tcPr>
            <w:tcW w:w="724" w:type="dxa"/>
            <w:vMerge w:val="restart"/>
            <w:tcBorders>
              <w:top w:val="single" w:sz="4" w:space="0" w:color="auto"/>
              <w:left w:val="nil"/>
              <w:bottom w:val="single" w:sz="4" w:space="0" w:color="auto"/>
              <w:right w:val="single" w:sz="18" w:space="0" w:color="auto"/>
            </w:tcBorders>
            <w:shd w:val="clear" w:color="auto" w:fill="auto"/>
            <w:noWrap/>
            <w:tcMar>
              <w:left w:w="43" w:type="dxa"/>
              <w:right w:w="43" w:type="dxa"/>
            </w:tcMar>
            <w:vAlign w:val="center"/>
            <w:hideMark/>
          </w:tcPr>
          <w:p w14:paraId="13FD7E9D"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-0.5</w:t>
            </w:r>
          </w:p>
        </w:tc>
      </w:tr>
      <w:tr w:rsidR="008B58C4" w:rsidRPr="00B14024" w14:paraId="4AFD6B84" w14:textId="77777777" w:rsidTr="00EC669E">
        <w:trPr>
          <w:trHeight w:val="245"/>
        </w:trPr>
        <w:tc>
          <w:tcPr>
            <w:tcW w:w="1596" w:type="dxa"/>
            <w:vMerge/>
            <w:tcBorders>
              <w:left w:val="single" w:sz="18" w:space="0" w:color="auto"/>
              <w:bottom w:val="single" w:sz="18" w:space="0" w:color="auto"/>
              <w:right w:val="single" w:sz="4" w:space="0" w:color="auto"/>
            </w:tcBorders>
            <w:shd w:val="clear" w:color="auto" w:fill="auto"/>
            <w:noWrap/>
            <w:tcMar>
              <w:left w:w="43" w:type="dxa"/>
              <w:right w:w="43" w:type="dxa"/>
            </w:tcMar>
            <w:vAlign w:val="center"/>
            <w:hideMark/>
          </w:tcPr>
          <w:p w14:paraId="33C7FE2F"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hideMark/>
          </w:tcPr>
          <w:p w14:paraId="1A6F16FC"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hideMark/>
          </w:tcPr>
          <w:p w14:paraId="32D18715"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hideMark/>
          </w:tcPr>
          <w:p w14:paraId="2B37F9B0"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-26.3</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1D728C3D"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-10.9</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4E7AB595"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-4.1</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54950286"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-1.1</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hideMark/>
          </w:tcPr>
          <w:p w14:paraId="738EB002"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40.7</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hideMark/>
          </w:tcPr>
          <w:p w14:paraId="44033B0E"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16F899C1" w14:textId="77777777" w:rsidTr="00EC669E">
        <w:trPr>
          <w:trHeight w:val="245"/>
        </w:trPr>
        <w:tc>
          <w:tcPr>
            <w:tcW w:w="1596" w:type="dxa"/>
            <w:vMerge/>
            <w:tcBorders>
              <w:left w:val="single" w:sz="18" w:space="0" w:color="auto"/>
              <w:bottom w:val="single" w:sz="18" w:space="0" w:color="auto"/>
              <w:right w:val="single" w:sz="4" w:space="0" w:color="auto"/>
            </w:tcBorders>
            <w:shd w:val="clear" w:color="auto" w:fill="auto"/>
            <w:noWrap/>
            <w:tcMar>
              <w:left w:w="43" w:type="dxa"/>
              <w:right w:w="43" w:type="dxa"/>
            </w:tcMar>
            <w:vAlign w:val="center"/>
            <w:hideMark/>
          </w:tcPr>
          <w:p w14:paraId="77128236" w14:textId="77777777" w:rsidR="008B58C4" w:rsidRPr="00B14024" w:rsidRDefault="008B58C4" w:rsidP="00EC669E">
            <w:pPr>
              <w:jc w:val="both"/>
              <w:rPr>
                <w:rFonts w:ascii="Times New Roman" w:eastAsia="Times New Roman" w:hAnsi="Times New Roman"/>
                <w:color w:val="000000"/>
                <w:sz w:val="20"/>
              </w:rPr>
            </w:pPr>
          </w:p>
        </w:tc>
        <w:tc>
          <w:tcPr>
            <w:tcW w:w="2071" w:type="dxa"/>
            <w:vMerge w:val="restart"/>
            <w:tcBorders>
              <w:top w:val="nil"/>
              <w:left w:val="nil"/>
              <w:right w:val="single" w:sz="4" w:space="0" w:color="auto"/>
            </w:tcBorders>
            <w:shd w:val="clear" w:color="auto" w:fill="auto"/>
            <w:noWrap/>
            <w:tcMar>
              <w:left w:w="43" w:type="dxa"/>
              <w:right w:w="43" w:type="dxa"/>
            </w:tcMar>
            <w:vAlign w:val="center"/>
            <w:hideMark/>
          </w:tcPr>
          <w:p w14:paraId="1C1A5AF7"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Remains at low</w:t>
            </w:r>
          </w:p>
        </w:tc>
        <w:tc>
          <w:tcPr>
            <w:tcW w:w="1980" w:type="dxa"/>
            <w:vMerge w:val="restart"/>
            <w:tcBorders>
              <w:top w:val="nil"/>
              <w:left w:val="nil"/>
              <w:right w:val="single" w:sz="8" w:space="0" w:color="auto"/>
            </w:tcBorders>
            <w:shd w:val="clear" w:color="auto" w:fill="auto"/>
            <w:noWrap/>
            <w:tcMar>
              <w:left w:w="43" w:type="dxa"/>
              <w:right w:w="43" w:type="dxa"/>
            </w:tcMar>
            <w:vAlign w:val="center"/>
            <w:hideMark/>
          </w:tcPr>
          <w:p w14:paraId="3A206742"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Increase</w:t>
            </w:r>
            <w:r>
              <w:rPr>
                <w:rFonts w:ascii="Times New Roman" w:eastAsia="Times New Roman" w:hAnsi="Times New Roman"/>
                <w:color w:val="000000"/>
                <w:sz w:val="20"/>
              </w:rPr>
              <w:t>s</w:t>
            </w:r>
            <w:r w:rsidRPr="00B14024">
              <w:rPr>
                <w:rFonts w:ascii="Times New Roman" w:eastAsia="Times New Roman" w:hAnsi="Times New Roman"/>
                <w:color w:val="000000"/>
                <w:sz w:val="20"/>
              </w:rPr>
              <w:t xml:space="preserve"> from low to high</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hideMark/>
          </w:tcPr>
          <w:p w14:paraId="08262B4B"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0.0</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3B578755"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0.0</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27EF8C5D"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0.0</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2BE8A660"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0.0</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hideMark/>
          </w:tcPr>
          <w:p w14:paraId="17437B82"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0.0</w:t>
            </w:r>
          </w:p>
        </w:tc>
        <w:tc>
          <w:tcPr>
            <w:tcW w:w="724" w:type="dxa"/>
            <w:vMerge w:val="restart"/>
            <w:tcBorders>
              <w:top w:val="single" w:sz="4" w:space="0" w:color="auto"/>
              <w:left w:val="nil"/>
              <w:bottom w:val="single" w:sz="4" w:space="0" w:color="auto"/>
              <w:right w:val="single" w:sz="18" w:space="0" w:color="auto"/>
            </w:tcBorders>
            <w:shd w:val="clear" w:color="auto" w:fill="auto"/>
            <w:noWrap/>
            <w:tcMar>
              <w:left w:w="43" w:type="dxa"/>
              <w:right w:w="43" w:type="dxa"/>
            </w:tcMar>
            <w:vAlign w:val="center"/>
            <w:hideMark/>
          </w:tcPr>
          <w:p w14:paraId="12E5DA69"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-4.8</w:t>
            </w:r>
          </w:p>
        </w:tc>
      </w:tr>
      <w:tr w:rsidR="008B58C4" w:rsidRPr="00B14024" w14:paraId="5565C026" w14:textId="77777777" w:rsidTr="00EC669E">
        <w:trPr>
          <w:trHeight w:val="245"/>
        </w:trPr>
        <w:tc>
          <w:tcPr>
            <w:tcW w:w="1596" w:type="dxa"/>
            <w:vMerge/>
            <w:tcBorders>
              <w:left w:val="single" w:sz="18" w:space="0" w:color="auto"/>
              <w:bottom w:val="single" w:sz="18" w:space="0" w:color="auto"/>
              <w:right w:val="single" w:sz="4" w:space="0" w:color="auto"/>
            </w:tcBorders>
            <w:shd w:val="clear" w:color="auto" w:fill="auto"/>
            <w:noWrap/>
            <w:tcMar>
              <w:left w:w="43" w:type="dxa"/>
              <w:right w:w="43" w:type="dxa"/>
            </w:tcMar>
            <w:vAlign w:val="center"/>
            <w:hideMark/>
          </w:tcPr>
          <w:p w14:paraId="5A2F5003"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hideMark/>
          </w:tcPr>
          <w:p w14:paraId="641D6731"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hideMark/>
          </w:tcPr>
          <w:p w14:paraId="570CB66A"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hideMark/>
          </w:tcPr>
          <w:p w14:paraId="1DBEE4C4"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-37.9</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3F5AE807"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-18.9</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1D84308F"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-11.8</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73479385"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-1.1</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hideMark/>
          </w:tcPr>
          <w:p w14:paraId="1BF350A7"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63.8</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hideMark/>
          </w:tcPr>
          <w:p w14:paraId="6069C98B"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0711A69F" w14:textId="77777777" w:rsidTr="00EC669E">
        <w:trPr>
          <w:trHeight w:val="245"/>
        </w:trPr>
        <w:tc>
          <w:tcPr>
            <w:tcW w:w="1596" w:type="dxa"/>
            <w:vMerge/>
            <w:tcBorders>
              <w:left w:val="single" w:sz="18" w:space="0" w:color="auto"/>
              <w:bottom w:val="single" w:sz="18" w:space="0" w:color="auto"/>
              <w:right w:val="single" w:sz="4" w:space="0" w:color="auto"/>
            </w:tcBorders>
            <w:shd w:val="clear" w:color="auto" w:fill="auto"/>
            <w:noWrap/>
            <w:tcMar>
              <w:left w:w="43" w:type="dxa"/>
              <w:right w:w="43" w:type="dxa"/>
            </w:tcMar>
            <w:vAlign w:val="center"/>
            <w:hideMark/>
          </w:tcPr>
          <w:p w14:paraId="3B8945CD" w14:textId="77777777" w:rsidR="008B58C4" w:rsidRPr="00B14024" w:rsidRDefault="008B58C4" w:rsidP="00EC669E">
            <w:pPr>
              <w:jc w:val="both"/>
              <w:rPr>
                <w:rFonts w:ascii="Times New Roman" w:eastAsia="Times New Roman" w:hAnsi="Times New Roman"/>
                <w:color w:val="000000"/>
                <w:sz w:val="20"/>
              </w:rPr>
            </w:pPr>
          </w:p>
        </w:tc>
        <w:tc>
          <w:tcPr>
            <w:tcW w:w="2071" w:type="dxa"/>
            <w:vMerge w:val="restart"/>
            <w:tcBorders>
              <w:top w:val="single" w:sz="4" w:space="0" w:color="auto"/>
              <w:left w:val="nil"/>
              <w:bottom w:val="single" w:sz="18" w:space="0" w:color="auto"/>
              <w:right w:val="single" w:sz="4" w:space="0" w:color="auto"/>
            </w:tcBorders>
            <w:shd w:val="clear" w:color="auto" w:fill="auto"/>
            <w:noWrap/>
            <w:tcMar>
              <w:left w:w="43" w:type="dxa"/>
              <w:right w:w="43" w:type="dxa"/>
            </w:tcMar>
            <w:vAlign w:val="center"/>
            <w:hideMark/>
          </w:tcPr>
          <w:p w14:paraId="1C4794B4"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Remains at high</w:t>
            </w:r>
          </w:p>
        </w:tc>
        <w:tc>
          <w:tcPr>
            <w:tcW w:w="1980" w:type="dxa"/>
            <w:vMerge w:val="restart"/>
            <w:tcBorders>
              <w:top w:val="single" w:sz="4" w:space="0" w:color="auto"/>
              <w:left w:val="nil"/>
              <w:bottom w:val="single" w:sz="18" w:space="0" w:color="auto"/>
              <w:right w:val="single" w:sz="8" w:space="0" w:color="auto"/>
            </w:tcBorders>
            <w:shd w:val="clear" w:color="auto" w:fill="auto"/>
            <w:noWrap/>
            <w:tcMar>
              <w:left w:w="43" w:type="dxa"/>
              <w:right w:w="43" w:type="dxa"/>
            </w:tcMar>
            <w:vAlign w:val="center"/>
            <w:hideMark/>
          </w:tcPr>
          <w:p w14:paraId="01207EF5" w14:textId="77777777" w:rsidR="008B58C4" w:rsidRPr="00B14024" w:rsidRDefault="008B58C4" w:rsidP="00EC669E">
            <w:pPr>
              <w:rPr>
                <w:rFonts w:ascii="Times New Roman" w:eastAsia="Times New Roman" w:hAnsi="Times New Roman"/>
                <w:color w:val="000000"/>
                <w:sz w:val="20"/>
              </w:rPr>
            </w:pPr>
            <w:r w:rsidRPr="00B14024">
              <w:rPr>
                <w:rFonts w:ascii="Times New Roman" w:eastAsia="Times New Roman" w:hAnsi="Times New Roman"/>
                <w:color w:val="000000"/>
                <w:sz w:val="20"/>
              </w:rPr>
              <w:t>Decreas</w:t>
            </w:r>
            <w:r>
              <w:rPr>
                <w:rFonts w:ascii="Times New Roman" w:eastAsia="Times New Roman" w:hAnsi="Times New Roman"/>
                <w:color w:val="000000"/>
                <w:sz w:val="20"/>
              </w:rPr>
              <w:t>es</w:t>
            </w:r>
            <w:r w:rsidRPr="00B14024">
              <w:rPr>
                <w:rFonts w:ascii="Times New Roman" w:eastAsia="Times New Roman" w:hAnsi="Times New Roman"/>
                <w:color w:val="000000"/>
                <w:sz w:val="20"/>
              </w:rPr>
              <w:t xml:space="preserve"> from high to low</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hideMark/>
          </w:tcPr>
          <w:p w14:paraId="56B32E02"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0.0</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32F8D4A0"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0.0</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0F01D186"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0.0</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hideMark/>
          </w:tcPr>
          <w:p w14:paraId="53CFBB86"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0.0</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hideMark/>
          </w:tcPr>
          <w:p w14:paraId="6359E635"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0.0</w:t>
            </w:r>
          </w:p>
        </w:tc>
        <w:tc>
          <w:tcPr>
            <w:tcW w:w="724" w:type="dxa"/>
            <w:vMerge w:val="restart"/>
            <w:tcBorders>
              <w:top w:val="single" w:sz="4" w:space="0" w:color="auto"/>
              <w:left w:val="nil"/>
              <w:bottom w:val="single" w:sz="18" w:space="0" w:color="auto"/>
              <w:right w:val="single" w:sz="18" w:space="0" w:color="auto"/>
            </w:tcBorders>
            <w:shd w:val="clear" w:color="auto" w:fill="auto"/>
            <w:noWrap/>
            <w:tcMar>
              <w:left w:w="43" w:type="dxa"/>
              <w:right w:w="43" w:type="dxa"/>
            </w:tcMar>
            <w:vAlign w:val="center"/>
            <w:hideMark/>
          </w:tcPr>
          <w:p w14:paraId="0AE179FD"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2.4</w:t>
            </w:r>
          </w:p>
        </w:tc>
      </w:tr>
      <w:tr w:rsidR="008B58C4" w:rsidRPr="00B14024" w14:paraId="412830C0" w14:textId="77777777" w:rsidTr="00EC669E">
        <w:trPr>
          <w:trHeight w:val="245"/>
        </w:trPr>
        <w:tc>
          <w:tcPr>
            <w:tcW w:w="1596" w:type="dxa"/>
            <w:vMerge/>
            <w:tcBorders>
              <w:left w:val="single" w:sz="18" w:space="0" w:color="auto"/>
              <w:bottom w:val="single" w:sz="4" w:space="0" w:color="auto"/>
              <w:right w:val="single" w:sz="4" w:space="0" w:color="auto"/>
            </w:tcBorders>
            <w:shd w:val="clear" w:color="auto" w:fill="auto"/>
            <w:noWrap/>
            <w:tcMar>
              <w:left w:w="43" w:type="dxa"/>
              <w:right w:w="43" w:type="dxa"/>
            </w:tcMar>
            <w:vAlign w:val="center"/>
            <w:hideMark/>
          </w:tcPr>
          <w:p w14:paraId="4B31CEB8"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hideMark/>
          </w:tcPr>
          <w:p w14:paraId="50D44215" w14:textId="77777777" w:rsidR="008B58C4" w:rsidRPr="00B14024" w:rsidRDefault="008B58C4" w:rsidP="00EC669E">
            <w:pPr>
              <w:jc w:val="both"/>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hideMark/>
          </w:tcPr>
          <w:p w14:paraId="79F80647" w14:textId="77777777" w:rsidR="008B58C4" w:rsidRPr="00B14024" w:rsidRDefault="008B58C4" w:rsidP="00EC669E">
            <w:pPr>
              <w:jc w:val="both"/>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hideMark/>
          </w:tcPr>
          <w:p w14:paraId="3B15CC27"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-4.4</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4E45BF78"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-6.0</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64CF4D7C"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-4.3</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hideMark/>
          </w:tcPr>
          <w:p w14:paraId="7FDC87A7"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8.0</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hideMark/>
          </w:tcPr>
          <w:p w14:paraId="4A4D0A4D" w14:textId="77777777" w:rsidR="008B58C4" w:rsidRPr="00B14024" w:rsidRDefault="008B58C4" w:rsidP="00EC669E">
            <w:pPr>
              <w:jc w:val="right"/>
              <w:rPr>
                <w:rFonts w:ascii="Times New Roman" w:eastAsia="Times New Roman" w:hAnsi="Times New Roman"/>
                <w:color w:val="000000"/>
                <w:sz w:val="20"/>
              </w:rPr>
            </w:pPr>
            <w:r w:rsidRPr="00B14024">
              <w:rPr>
                <w:rFonts w:ascii="Times New Roman" w:eastAsia="Times New Roman" w:hAnsi="Times New Roman"/>
                <w:color w:val="000000"/>
                <w:sz w:val="20"/>
              </w:rPr>
              <w:t>-2.2</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hideMark/>
          </w:tcPr>
          <w:p w14:paraId="089116E6" w14:textId="77777777" w:rsidR="008B58C4" w:rsidRPr="00B14024" w:rsidRDefault="008B58C4" w:rsidP="00EC669E">
            <w:pPr>
              <w:jc w:val="both"/>
              <w:rPr>
                <w:rFonts w:ascii="Times New Roman" w:eastAsia="Times New Roman" w:hAnsi="Times New Roman"/>
                <w:color w:val="000000"/>
                <w:sz w:val="20"/>
              </w:rPr>
            </w:pPr>
          </w:p>
        </w:tc>
      </w:tr>
      <w:tr w:rsidR="008B58C4" w:rsidRPr="00B14024" w14:paraId="47F446E5" w14:textId="77777777" w:rsidTr="00EC669E">
        <w:trPr>
          <w:trHeight w:val="245"/>
        </w:trPr>
        <w:tc>
          <w:tcPr>
            <w:tcW w:w="9612" w:type="dxa"/>
            <w:gridSpan w:val="9"/>
            <w:tcBorders>
              <w:top w:val="single" w:sz="4" w:space="0" w:color="auto"/>
              <w:left w:val="single" w:sz="18" w:space="0" w:color="auto"/>
              <w:bottom w:val="single" w:sz="4" w:space="0" w:color="auto"/>
              <w:right w:val="single" w:sz="18" w:space="0" w:color="auto"/>
            </w:tcBorders>
            <w:shd w:val="clear" w:color="auto" w:fill="auto"/>
            <w:noWrap/>
            <w:tcMar>
              <w:left w:w="43" w:type="dxa"/>
              <w:right w:w="43" w:type="dxa"/>
            </w:tcMar>
            <w:vAlign w:val="center"/>
          </w:tcPr>
          <w:p w14:paraId="3DE2FC42" w14:textId="77777777" w:rsidR="008B58C4" w:rsidRPr="00B14024" w:rsidRDefault="008B58C4" w:rsidP="00EC669E">
            <w:pPr>
              <w:jc w:val="both"/>
              <w:rPr>
                <w:rFonts w:ascii="Times New Roman" w:eastAsia="Times New Roman" w:hAnsi="Times New Roman"/>
                <w:color w:val="000000"/>
                <w:sz w:val="20"/>
              </w:rPr>
            </w:pPr>
            <w:r w:rsidRPr="004F1E70">
              <w:rPr>
                <w:rFonts w:ascii="Times New Roman" w:eastAsia="Times New Roman" w:hAnsi="Times New Roman"/>
                <w:b/>
                <w:bCs/>
                <w:i/>
                <w:iCs/>
                <w:color w:val="000000"/>
                <w:sz w:val="20"/>
              </w:rPr>
              <w:t>Employment Status/Job Characteristics</w:t>
            </w:r>
          </w:p>
        </w:tc>
      </w:tr>
      <w:tr w:rsidR="008B58C4" w:rsidRPr="00B14024" w14:paraId="3A939DCE" w14:textId="77777777" w:rsidTr="00EC669E">
        <w:trPr>
          <w:trHeight w:val="245"/>
        </w:trPr>
        <w:tc>
          <w:tcPr>
            <w:tcW w:w="1596" w:type="dxa"/>
            <w:vMerge w:val="restart"/>
            <w:tcBorders>
              <w:top w:val="single" w:sz="4" w:space="0" w:color="auto"/>
              <w:left w:val="single" w:sz="18" w:space="0" w:color="auto"/>
              <w:bottom w:val="single" w:sz="4" w:space="0" w:color="auto"/>
              <w:right w:val="single" w:sz="4" w:space="0" w:color="auto"/>
            </w:tcBorders>
            <w:shd w:val="clear" w:color="auto" w:fill="auto"/>
            <w:noWrap/>
            <w:tcMar>
              <w:left w:w="43" w:type="dxa"/>
              <w:right w:w="43" w:type="dxa"/>
            </w:tcMar>
            <w:vAlign w:val="center"/>
          </w:tcPr>
          <w:p w14:paraId="01508DA5" w14:textId="77777777" w:rsidR="008B58C4" w:rsidRDefault="008B58C4" w:rsidP="00EC669E">
            <w:pPr>
              <w:rPr>
                <w:rFonts w:ascii="Times New Roman" w:eastAsia="Times New Roman" w:hAnsi="Times New Roman"/>
                <w:b/>
                <w:bCs/>
                <w:color w:val="000000"/>
                <w:sz w:val="20"/>
              </w:rPr>
            </w:pPr>
            <w:r w:rsidRPr="004F1E70">
              <w:rPr>
                <w:rFonts w:ascii="Times New Roman" w:eastAsia="Times New Roman" w:hAnsi="Times New Roman"/>
                <w:b/>
                <w:bCs/>
                <w:color w:val="000000"/>
                <w:sz w:val="20"/>
              </w:rPr>
              <w:t>Employment Status/</w:t>
            </w:r>
          </w:p>
          <w:p w14:paraId="0A56AD3D" w14:textId="77777777" w:rsidR="008B58C4" w:rsidRPr="00B14024" w:rsidRDefault="008B58C4" w:rsidP="00EC669E">
            <w:pPr>
              <w:jc w:val="both"/>
              <w:rPr>
                <w:rFonts w:ascii="Times New Roman" w:eastAsia="Times New Roman" w:hAnsi="Times New Roman"/>
                <w:color w:val="000000"/>
                <w:sz w:val="20"/>
              </w:rPr>
            </w:pPr>
            <w:r w:rsidRPr="004F1E70">
              <w:rPr>
                <w:rFonts w:ascii="Times New Roman" w:eastAsia="Times New Roman" w:hAnsi="Times New Roman"/>
                <w:b/>
                <w:bCs/>
                <w:color w:val="000000"/>
                <w:sz w:val="20"/>
              </w:rPr>
              <w:t>Commute time</w:t>
            </w:r>
          </w:p>
        </w:tc>
        <w:tc>
          <w:tcPr>
            <w:tcW w:w="2071" w:type="dxa"/>
            <w:vMerge w:val="restart"/>
            <w:tcBorders>
              <w:top w:val="single" w:sz="4" w:space="0" w:color="auto"/>
              <w:left w:val="nil"/>
              <w:right w:val="single" w:sz="4" w:space="0" w:color="auto"/>
            </w:tcBorders>
            <w:shd w:val="clear" w:color="auto" w:fill="auto"/>
            <w:noWrap/>
            <w:tcMar>
              <w:left w:w="43" w:type="dxa"/>
              <w:right w:w="43" w:type="dxa"/>
            </w:tcMar>
            <w:vAlign w:val="center"/>
          </w:tcPr>
          <w:p w14:paraId="3A40BCC7"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Unemployed</w:t>
            </w:r>
          </w:p>
        </w:tc>
        <w:tc>
          <w:tcPr>
            <w:tcW w:w="1980" w:type="dxa"/>
            <w:vMerge w:val="restart"/>
            <w:tcBorders>
              <w:top w:val="single" w:sz="4" w:space="0" w:color="auto"/>
              <w:left w:val="nil"/>
              <w:right w:val="single" w:sz="8" w:space="0" w:color="auto"/>
            </w:tcBorders>
            <w:shd w:val="clear" w:color="auto" w:fill="auto"/>
            <w:noWrap/>
            <w:tcMar>
              <w:left w:w="43" w:type="dxa"/>
              <w:right w:w="43" w:type="dxa"/>
            </w:tcMar>
            <w:vAlign w:val="center"/>
          </w:tcPr>
          <w:p w14:paraId="6096E570"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 xml:space="preserve">Employed and </w:t>
            </w:r>
            <w:r>
              <w:rPr>
                <w:rFonts w:ascii="Times New Roman" w:eastAsia="Times New Roman" w:hAnsi="Times New Roman"/>
                <w:color w:val="000000"/>
                <w:sz w:val="20"/>
              </w:rPr>
              <w:t>c</w:t>
            </w:r>
            <w:r w:rsidRPr="004F1E70">
              <w:rPr>
                <w:rFonts w:ascii="Times New Roman" w:eastAsia="Times New Roman" w:hAnsi="Times New Roman"/>
                <w:color w:val="000000"/>
                <w:sz w:val="20"/>
              </w:rPr>
              <w:t>ommute Time &lt;50</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tcPr>
          <w:p w14:paraId="17ECD241"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13.9</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734AD5E9"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6.2</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18FD44BB"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2.2</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474281CA"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-3.2</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tcPr>
          <w:p w14:paraId="5D7A03A3"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-11.4</w:t>
            </w:r>
          </w:p>
        </w:tc>
        <w:tc>
          <w:tcPr>
            <w:tcW w:w="724" w:type="dxa"/>
            <w:vMerge w:val="restart"/>
            <w:tcBorders>
              <w:top w:val="single" w:sz="4" w:space="0" w:color="auto"/>
              <w:left w:val="nil"/>
              <w:bottom w:val="single" w:sz="4" w:space="0" w:color="auto"/>
              <w:right w:val="single" w:sz="18" w:space="0" w:color="auto"/>
            </w:tcBorders>
            <w:shd w:val="clear" w:color="auto" w:fill="auto"/>
            <w:noWrap/>
            <w:tcMar>
              <w:left w:w="43" w:type="dxa"/>
              <w:right w:w="43" w:type="dxa"/>
            </w:tcMar>
            <w:vAlign w:val="center"/>
          </w:tcPr>
          <w:p w14:paraId="2CEA7B94"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-0.6</w:t>
            </w:r>
          </w:p>
        </w:tc>
      </w:tr>
      <w:tr w:rsidR="008B58C4" w:rsidRPr="00B14024" w14:paraId="2D1F63F3" w14:textId="77777777" w:rsidTr="00EC669E">
        <w:trPr>
          <w:trHeight w:val="245"/>
        </w:trPr>
        <w:tc>
          <w:tcPr>
            <w:tcW w:w="1596" w:type="dxa"/>
            <w:vMerge/>
            <w:tcBorders>
              <w:top w:val="single" w:sz="4" w:space="0" w:color="auto"/>
              <w:left w:val="single" w:sz="18" w:space="0" w:color="auto"/>
              <w:bottom w:val="single" w:sz="4" w:space="0" w:color="auto"/>
              <w:right w:val="single" w:sz="4" w:space="0" w:color="auto"/>
            </w:tcBorders>
            <w:shd w:val="clear" w:color="auto" w:fill="auto"/>
            <w:noWrap/>
            <w:tcMar>
              <w:left w:w="43" w:type="dxa"/>
              <w:right w:w="43" w:type="dxa"/>
            </w:tcMar>
            <w:vAlign w:val="center"/>
          </w:tcPr>
          <w:p w14:paraId="4C19B4C9"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tcPr>
          <w:p w14:paraId="113971C4"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tcPr>
          <w:p w14:paraId="63CE3183"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tcPr>
          <w:p w14:paraId="784E491A"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8.2</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6E575477"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2.5</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27505A55"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-0.5</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50A64785"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-3.0</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tcPr>
          <w:p w14:paraId="16128E96"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-4.0</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tcPr>
          <w:p w14:paraId="60F4DF17"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4ED3B29E" w14:textId="77777777" w:rsidTr="00EC669E">
        <w:trPr>
          <w:trHeight w:val="245"/>
        </w:trPr>
        <w:tc>
          <w:tcPr>
            <w:tcW w:w="1596" w:type="dxa"/>
            <w:vMerge/>
            <w:tcBorders>
              <w:top w:val="single" w:sz="4" w:space="0" w:color="auto"/>
              <w:left w:val="single" w:sz="18" w:space="0" w:color="auto"/>
              <w:bottom w:val="single" w:sz="4" w:space="0" w:color="auto"/>
              <w:right w:val="single" w:sz="4" w:space="0" w:color="auto"/>
            </w:tcBorders>
            <w:shd w:val="clear" w:color="auto" w:fill="auto"/>
            <w:noWrap/>
            <w:tcMar>
              <w:left w:w="43" w:type="dxa"/>
              <w:right w:w="43" w:type="dxa"/>
            </w:tcMar>
            <w:vAlign w:val="center"/>
          </w:tcPr>
          <w:p w14:paraId="284A3F04" w14:textId="77777777" w:rsidR="008B58C4" w:rsidRPr="00B14024" w:rsidRDefault="008B58C4" w:rsidP="00EC669E">
            <w:pPr>
              <w:jc w:val="both"/>
              <w:rPr>
                <w:rFonts w:ascii="Times New Roman" w:eastAsia="Times New Roman" w:hAnsi="Times New Roman"/>
                <w:color w:val="000000"/>
                <w:sz w:val="20"/>
              </w:rPr>
            </w:pPr>
          </w:p>
        </w:tc>
        <w:tc>
          <w:tcPr>
            <w:tcW w:w="2071" w:type="dxa"/>
            <w:vMerge w:val="restart"/>
            <w:tcBorders>
              <w:top w:val="single" w:sz="4" w:space="0" w:color="auto"/>
              <w:left w:val="nil"/>
              <w:right w:val="single" w:sz="4" w:space="0" w:color="auto"/>
            </w:tcBorders>
            <w:shd w:val="clear" w:color="auto" w:fill="auto"/>
            <w:noWrap/>
            <w:tcMar>
              <w:left w:w="43" w:type="dxa"/>
              <w:right w:w="43" w:type="dxa"/>
            </w:tcMar>
            <w:vAlign w:val="center"/>
          </w:tcPr>
          <w:p w14:paraId="436038D8"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Unemployed</w:t>
            </w:r>
          </w:p>
        </w:tc>
        <w:tc>
          <w:tcPr>
            <w:tcW w:w="1980" w:type="dxa"/>
            <w:vMerge w:val="restart"/>
            <w:tcBorders>
              <w:top w:val="single" w:sz="4" w:space="0" w:color="auto"/>
              <w:left w:val="nil"/>
              <w:right w:val="single" w:sz="8" w:space="0" w:color="auto"/>
            </w:tcBorders>
            <w:shd w:val="clear" w:color="auto" w:fill="auto"/>
            <w:noWrap/>
            <w:tcMar>
              <w:left w:w="43" w:type="dxa"/>
              <w:right w:w="43" w:type="dxa"/>
            </w:tcMar>
            <w:vAlign w:val="center"/>
          </w:tcPr>
          <w:p w14:paraId="5D719FBE"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Employed, commute time &gt;50</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tcPr>
          <w:p w14:paraId="6B0A1DBA"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-40.4</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7E236360"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-24.6</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2EA84EFD"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-13.7</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09EB1628"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4.9</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tcPr>
          <w:p w14:paraId="1ABDB2A2"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45.8</w:t>
            </w:r>
          </w:p>
        </w:tc>
        <w:tc>
          <w:tcPr>
            <w:tcW w:w="724" w:type="dxa"/>
            <w:vMerge w:val="restart"/>
            <w:tcBorders>
              <w:left w:val="nil"/>
              <w:bottom w:val="single" w:sz="4" w:space="0" w:color="auto"/>
              <w:right w:val="single" w:sz="18" w:space="0" w:color="auto"/>
            </w:tcBorders>
            <w:shd w:val="clear" w:color="auto" w:fill="auto"/>
            <w:noWrap/>
            <w:tcMar>
              <w:left w:w="43" w:type="dxa"/>
              <w:right w:w="43" w:type="dxa"/>
            </w:tcMar>
            <w:vAlign w:val="center"/>
          </w:tcPr>
          <w:p w14:paraId="7A7AA9DE"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-2.1</w:t>
            </w:r>
          </w:p>
        </w:tc>
      </w:tr>
      <w:tr w:rsidR="008B58C4" w:rsidRPr="00B14024" w14:paraId="359590F8" w14:textId="77777777" w:rsidTr="00EC669E">
        <w:trPr>
          <w:trHeight w:val="245"/>
        </w:trPr>
        <w:tc>
          <w:tcPr>
            <w:tcW w:w="1596" w:type="dxa"/>
            <w:vMerge/>
            <w:tcBorders>
              <w:top w:val="single" w:sz="4" w:space="0" w:color="auto"/>
              <w:left w:val="single" w:sz="18" w:space="0" w:color="auto"/>
              <w:bottom w:val="single" w:sz="4" w:space="0" w:color="auto"/>
              <w:right w:val="single" w:sz="4" w:space="0" w:color="auto"/>
            </w:tcBorders>
            <w:shd w:val="clear" w:color="auto" w:fill="auto"/>
            <w:noWrap/>
            <w:tcMar>
              <w:left w:w="43" w:type="dxa"/>
              <w:right w:w="43" w:type="dxa"/>
            </w:tcMar>
            <w:vAlign w:val="center"/>
          </w:tcPr>
          <w:p w14:paraId="2A7832BD"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tcPr>
          <w:p w14:paraId="603F403E"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tcPr>
          <w:p w14:paraId="75908494"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tcPr>
          <w:p w14:paraId="443B1DD9"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-3.6</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2AF4DFE1"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-4.8</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0F3D909C"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-0.1</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47E16A4B"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0.2</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tcPr>
          <w:p w14:paraId="2DB78CE0"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4.7</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tcPr>
          <w:p w14:paraId="75A427BE"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4781F2FF" w14:textId="77777777" w:rsidTr="00EC669E">
        <w:trPr>
          <w:trHeight w:val="245"/>
        </w:trPr>
        <w:tc>
          <w:tcPr>
            <w:tcW w:w="1596" w:type="dxa"/>
            <w:vMerge/>
            <w:tcBorders>
              <w:top w:val="single" w:sz="4" w:space="0" w:color="auto"/>
              <w:left w:val="single" w:sz="18" w:space="0" w:color="auto"/>
              <w:bottom w:val="single" w:sz="4" w:space="0" w:color="auto"/>
              <w:right w:val="single" w:sz="4" w:space="0" w:color="auto"/>
            </w:tcBorders>
            <w:shd w:val="clear" w:color="auto" w:fill="auto"/>
            <w:noWrap/>
            <w:tcMar>
              <w:left w:w="43" w:type="dxa"/>
              <w:right w:w="43" w:type="dxa"/>
            </w:tcMar>
            <w:vAlign w:val="center"/>
          </w:tcPr>
          <w:p w14:paraId="45E75821" w14:textId="77777777" w:rsidR="008B58C4" w:rsidRPr="00B14024" w:rsidRDefault="008B58C4" w:rsidP="00EC669E">
            <w:pPr>
              <w:jc w:val="both"/>
              <w:rPr>
                <w:rFonts w:ascii="Times New Roman" w:eastAsia="Times New Roman" w:hAnsi="Times New Roman"/>
                <w:color w:val="000000"/>
                <w:sz w:val="20"/>
              </w:rPr>
            </w:pPr>
          </w:p>
        </w:tc>
        <w:tc>
          <w:tcPr>
            <w:tcW w:w="2071" w:type="dxa"/>
            <w:vMerge w:val="restart"/>
            <w:tcBorders>
              <w:top w:val="single" w:sz="4" w:space="0" w:color="auto"/>
              <w:left w:val="nil"/>
              <w:right w:val="single" w:sz="4" w:space="0" w:color="auto"/>
            </w:tcBorders>
            <w:shd w:val="clear" w:color="auto" w:fill="auto"/>
            <w:noWrap/>
            <w:tcMar>
              <w:left w:w="43" w:type="dxa"/>
              <w:right w:w="43" w:type="dxa"/>
            </w:tcMar>
            <w:vAlign w:val="center"/>
          </w:tcPr>
          <w:p w14:paraId="572CC241"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Employed, commute time &lt;50 before COVID</w:t>
            </w:r>
          </w:p>
        </w:tc>
        <w:tc>
          <w:tcPr>
            <w:tcW w:w="1980" w:type="dxa"/>
            <w:vMerge w:val="restart"/>
            <w:tcBorders>
              <w:top w:val="single" w:sz="4" w:space="0" w:color="auto"/>
              <w:left w:val="nil"/>
              <w:right w:val="single" w:sz="8" w:space="0" w:color="auto"/>
            </w:tcBorders>
            <w:shd w:val="clear" w:color="auto" w:fill="auto"/>
            <w:noWrap/>
            <w:tcMar>
              <w:left w:w="43" w:type="dxa"/>
              <w:right w:w="43" w:type="dxa"/>
            </w:tcMar>
            <w:vAlign w:val="center"/>
          </w:tcPr>
          <w:p w14:paraId="6B251067"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Employed, commute time &gt;50 after COVID</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tcPr>
          <w:p w14:paraId="07F322A0"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15841A7C"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07F8D008"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6F51733C"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tcPr>
          <w:p w14:paraId="22BEA4B5"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724" w:type="dxa"/>
            <w:vMerge w:val="restart"/>
            <w:tcBorders>
              <w:left w:val="nil"/>
              <w:bottom w:val="single" w:sz="4" w:space="0" w:color="auto"/>
              <w:right w:val="single" w:sz="18" w:space="0" w:color="auto"/>
            </w:tcBorders>
            <w:shd w:val="clear" w:color="auto" w:fill="auto"/>
            <w:noWrap/>
            <w:tcMar>
              <w:left w:w="43" w:type="dxa"/>
              <w:right w:w="43" w:type="dxa"/>
            </w:tcMar>
            <w:vAlign w:val="center"/>
          </w:tcPr>
          <w:p w14:paraId="06C17A6A"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r>
      <w:tr w:rsidR="008B58C4" w:rsidRPr="00B14024" w14:paraId="643BC119" w14:textId="77777777" w:rsidTr="00EC669E">
        <w:trPr>
          <w:trHeight w:val="245"/>
        </w:trPr>
        <w:tc>
          <w:tcPr>
            <w:tcW w:w="1596" w:type="dxa"/>
            <w:vMerge/>
            <w:tcBorders>
              <w:top w:val="single" w:sz="4" w:space="0" w:color="auto"/>
              <w:left w:val="single" w:sz="18" w:space="0" w:color="auto"/>
              <w:bottom w:val="single" w:sz="4" w:space="0" w:color="auto"/>
              <w:right w:val="single" w:sz="4" w:space="0" w:color="auto"/>
            </w:tcBorders>
            <w:shd w:val="clear" w:color="auto" w:fill="auto"/>
            <w:noWrap/>
            <w:tcMar>
              <w:left w:w="43" w:type="dxa"/>
              <w:right w:w="43" w:type="dxa"/>
            </w:tcMar>
            <w:vAlign w:val="center"/>
          </w:tcPr>
          <w:p w14:paraId="5F540D35"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tcPr>
          <w:p w14:paraId="368B8BA9"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tcPr>
          <w:p w14:paraId="2279B155"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tcPr>
          <w:p w14:paraId="3194C2AD"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-5.4</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32FD348D"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-2.6</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36D5C690"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-1.5</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422F44C6"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1.2</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tcPr>
          <w:p w14:paraId="2A6E3E31"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5.9</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tcPr>
          <w:p w14:paraId="6254A49B"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09B499A6" w14:textId="77777777" w:rsidTr="00EC669E">
        <w:trPr>
          <w:trHeight w:val="245"/>
        </w:trPr>
        <w:tc>
          <w:tcPr>
            <w:tcW w:w="1596" w:type="dxa"/>
            <w:vMerge w:val="restart"/>
            <w:tcBorders>
              <w:top w:val="single" w:sz="4" w:space="0" w:color="auto"/>
              <w:left w:val="single" w:sz="18" w:space="0" w:color="auto"/>
              <w:bottom w:val="single" w:sz="4" w:space="0" w:color="auto"/>
              <w:right w:val="single" w:sz="4" w:space="0" w:color="auto"/>
            </w:tcBorders>
            <w:shd w:val="clear" w:color="auto" w:fill="auto"/>
            <w:noWrap/>
            <w:tcMar>
              <w:left w:w="43" w:type="dxa"/>
              <w:right w:w="43" w:type="dxa"/>
            </w:tcMar>
            <w:vAlign w:val="center"/>
          </w:tcPr>
          <w:p w14:paraId="636BC069" w14:textId="77777777" w:rsidR="008B58C4" w:rsidRDefault="008B58C4" w:rsidP="00EC669E">
            <w:pPr>
              <w:rPr>
                <w:rFonts w:ascii="Times New Roman" w:eastAsia="Times New Roman" w:hAnsi="Times New Roman"/>
                <w:b/>
                <w:bCs/>
                <w:color w:val="000000"/>
                <w:sz w:val="20"/>
              </w:rPr>
            </w:pPr>
            <w:r w:rsidRPr="004F1E70">
              <w:rPr>
                <w:rFonts w:ascii="Times New Roman" w:eastAsia="Times New Roman" w:hAnsi="Times New Roman"/>
                <w:b/>
                <w:bCs/>
                <w:color w:val="000000"/>
                <w:sz w:val="20"/>
              </w:rPr>
              <w:t xml:space="preserve">Employment Status/ </w:t>
            </w:r>
          </w:p>
          <w:p w14:paraId="37C15E4D"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b/>
                <w:bCs/>
                <w:color w:val="000000"/>
                <w:sz w:val="20"/>
              </w:rPr>
              <w:t>Work</w:t>
            </w:r>
            <w:r>
              <w:rPr>
                <w:rFonts w:ascii="Times New Roman" w:eastAsia="Times New Roman" w:hAnsi="Times New Roman"/>
                <w:b/>
                <w:bCs/>
                <w:color w:val="000000"/>
                <w:sz w:val="20"/>
              </w:rPr>
              <w:t xml:space="preserve"> </w:t>
            </w:r>
            <w:r w:rsidRPr="004F1E70">
              <w:rPr>
                <w:rFonts w:ascii="Times New Roman" w:eastAsia="Times New Roman" w:hAnsi="Times New Roman"/>
                <w:b/>
                <w:bCs/>
                <w:color w:val="000000"/>
                <w:sz w:val="20"/>
              </w:rPr>
              <w:t>From Home Frequency</w:t>
            </w:r>
          </w:p>
        </w:tc>
        <w:tc>
          <w:tcPr>
            <w:tcW w:w="2071" w:type="dxa"/>
            <w:vMerge w:val="restart"/>
            <w:tcBorders>
              <w:top w:val="single" w:sz="4" w:space="0" w:color="auto"/>
              <w:left w:val="nil"/>
              <w:right w:val="single" w:sz="4" w:space="0" w:color="auto"/>
            </w:tcBorders>
            <w:shd w:val="clear" w:color="auto" w:fill="auto"/>
            <w:noWrap/>
            <w:tcMar>
              <w:left w:w="43" w:type="dxa"/>
              <w:right w:w="43" w:type="dxa"/>
            </w:tcMar>
            <w:vAlign w:val="center"/>
          </w:tcPr>
          <w:p w14:paraId="104B87DE"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Unemployed</w:t>
            </w:r>
          </w:p>
        </w:tc>
        <w:tc>
          <w:tcPr>
            <w:tcW w:w="1980" w:type="dxa"/>
            <w:vMerge w:val="restart"/>
            <w:tcBorders>
              <w:top w:val="single" w:sz="4" w:space="0" w:color="auto"/>
              <w:left w:val="nil"/>
              <w:right w:val="single" w:sz="8" w:space="0" w:color="auto"/>
            </w:tcBorders>
            <w:shd w:val="clear" w:color="auto" w:fill="auto"/>
            <w:noWrap/>
            <w:tcMar>
              <w:left w:w="43" w:type="dxa"/>
              <w:right w:w="43" w:type="dxa"/>
            </w:tcMar>
            <w:vAlign w:val="center"/>
          </w:tcPr>
          <w:p w14:paraId="3CA80599"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Employed, no work from home</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tcPr>
          <w:p w14:paraId="14EB9008"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11.8</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2C014764"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4.9</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481CA1EB"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1.4</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0D7C7F01"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-3.0</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tcPr>
          <w:p w14:paraId="7C20F98A"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-8.8</w:t>
            </w:r>
          </w:p>
        </w:tc>
        <w:tc>
          <w:tcPr>
            <w:tcW w:w="724" w:type="dxa"/>
            <w:vMerge w:val="restart"/>
            <w:tcBorders>
              <w:left w:val="nil"/>
              <w:bottom w:val="single" w:sz="4" w:space="0" w:color="auto"/>
              <w:right w:val="single" w:sz="18" w:space="0" w:color="auto"/>
            </w:tcBorders>
            <w:shd w:val="clear" w:color="auto" w:fill="auto"/>
            <w:noWrap/>
            <w:tcMar>
              <w:left w:w="43" w:type="dxa"/>
              <w:right w:w="43" w:type="dxa"/>
            </w:tcMar>
            <w:vAlign w:val="center"/>
          </w:tcPr>
          <w:p w14:paraId="18121B78"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-0.5</w:t>
            </w:r>
          </w:p>
        </w:tc>
      </w:tr>
      <w:tr w:rsidR="008B58C4" w:rsidRPr="00B14024" w14:paraId="08E5B568" w14:textId="77777777" w:rsidTr="00EC669E">
        <w:trPr>
          <w:trHeight w:val="245"/>
        </w:trPr>
        <w:tc>
          <w:tcPr>
            <w:tcW w:w="1596" w:type="dxa"/>
            <w:vMerge/>
            <w:tcBorders>
              <w:top w:val="single" w:sz="4" w:space="0" w:color="auto"/>
              <w:left w:val="single" w:sz="18" w:space="0" w:color="auto"/>
              <w:bottom w:val="single" w:sz="4" w:space="0" w:color="auto"/>
              <w:right w:val="single" w:sz="4" w:space="0" w:color="auto"/>
            </w:tcBorders>
            <w:shd w:val="clear" w:color="auto" w:fill="auto"/>
            <w:noWrap/>
            <w:tcMar>
              <w:left w:w="43" w:type="dxa"/>
              <w:right w:w="43" w:type="dxa"/>
            </w:tcMar>
            <w:vAlign w:val="center"/>
          </w:tcPr>
          <w:p w14:paraId="70771A9E"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tcPr>
          <w:p w14:paraId="24450AC6"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tcPr>
          <w:p w14:paraId="07BB0CA6"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tcPr>
          <w:p w14:paraId="2DE0F10E"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13.3</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298C7B22"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5.9</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0D5C810D"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2.2</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30CF7DF4"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-3.1</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tcPr>
          <w:p w14:paraId="231FD641"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-11.2</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tcPr>
          <w:p w14:paraId="176B4293"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5C913CE8" w14:textId="77777777" w:rsidTr="00EC669E">
        <w:trPr>
          <w:trHeight w:val="245"/>
        </w:trPr>
        <w:tc>
          <w:tcPr>
            <w:tcW w:w="1596" w:type="dxa"/>
            <w:vMerge/>
            <w:tcBorders>
              <w:top w:val="single" w:sz="4" w:space="0" w:color="auto"/>
              <w:left w:val="single" w:sz="18" w:space="0" w:color="auto"/>
              <w:bottom w:val="single" w:sz="4" w:space="0" w:color="auto"/>
              <w:right w:val="single" w:sz="4" w:space="0" w:color="auto"/>
            </w:tcBorders>
            <w:shd w:val="clear" w:color="auto" w:fill="auto"/>
            <w:noWrap/>
            <w:tcMar>
              <w:left w:w="43" w:type="dxa"/>
              <w:right w:w="43" w:type="dxa"/>
            </w:tcMar>
            <w:vAlign w:val="center"/>
          </w:tcPr>
          <w:p w14:paraId="6F6D0C81" w14:textId="77777777" w:rsidR="008B58C4" w:rsidRPr="00B14024" w:rsidRDefault="008B58C4" w:rsidP="00EC669E">
            <w:pPr>
              <w:jc w:val="both"/>
              <w:rPr>
                <w:rFonts w:ascii="Times New Roman" w:eastAsia="Times New Roman" w:hAnsi="Times New Roman"/>
                <w:color w:val="000000"/>
                <w:sz w:val="20"/>
              </w:rPr>
            </w:pPr>
          </w:p>
        </w:tc>
        <w:tc>
          <w:tcPr>
            <w:tcW w:w="2071" w:type="dxa"/>
            <w:vMerge w:val="restart"/>
            <w:tcBorders>
              <w:top w:val="single" w:sz="4" w:space="0" w:color="auto"/>
              <w:left w:val="nil"/>
              <w:right w:val="single" w:sz="4" w:space="0" w:color="auto"/>
            </w:tcBorders>
            <w:shd w:val="clear" w:color="auto" w:fill="auto"/>
            <w:noWrap/>
            <w:tcMar>
              <w:left w:w="43" w:type="dxa"/>
              <w:right w:w="43" w:type="dxa"/>
            </w:tcMar>
            <w:vAlign w:val="center"/>
          </w:tcPr>
          <w:p w14:paraId="458593C5"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Employed, no work from home</w:t>
            </w:r>
          </w:p>
        </w:tc>
        <w:tc>
          <w:tcPr>
            <w:tcW w:w="1980" w:type="dxa"/>
            <w:vMerge w:val="restart"/>
            <w:tcBorders>
              <w:top w:val="single" w:sz="4" w:space="0" w:color="auto"/>
              <w:left w:val="nil"/>
              <w:right w:val="single" w:sz="8" w:space="0" w:color="auto"/>
            </w:tcBorders>
            <w:shd w:val="clear" w:color="auto" w:fill="auto"/>
            <w:noWrap/>
            <w:tcMar>
              <w:left w:w="43" w:type="dxa"/>
              <w:right w:w="43" w:type="dxa"/>
            </w:tcMar>
            <w:vAlign w:val="center"/>
          </w:tcPr>
          <w:p w14:paraId="3082BD6A"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Employed, work from home for 3 days</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tcPr>
          <w:p w14:paraId="22A964F9"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579379A6"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4FAEC34C"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7E872D52"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tcPr>
          <w:p w14:paraId="22E2A684"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724" w:type="dxa"/>
            <w:vMerge w:val="restart"/>
            <w:tcBorders>
              <w:left w:val="nil"/>
              <w:bottom w:val="single" w:sz="4" w:space="0" w:color="auto"/>
              <w:right w:val="single" w:sz="18" w:space="0" w:color="auto"/>
            </w:tcBorders>
            <w:shd w:val="clear" w:color="auto" w:fill="auto"/>
            <w:noWrap/>
            <w:tcMar>
              <w:left w:w="43" w:type="dxa"/>
              <w:right w:w="43" w:type="dxa"/>
            </w:tcMar>
            <w:vAlign w:val="center"/>
          </w:tcPr>
          <w:p w14:paraId="6C1AD604"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0.2</w:t>
            </w:r>
          </w:p>
        </w:tc>
      </w:tr>
      <w:tr w:rsidR="008B58C4" w:rsidRPr="00B14024" w14:paraId="11F207E0" w14:textId="77777777" w:rsidTr="00EC669E">
        <w:trPr>
          <w:trHeight w:val="245"/>
        </w:trPr>
        <w:tc>
          <w:tcPr>
            <w:tcW w:w="1596" w:type="dxa"/>
            <w:vMerge/>
            <w:tcBorders>
              <w:top w:val="single" w:sz="4" w:space="0" w:color="auto"/>
              <w:left w:val="single" w:sz="18" w:space="0" w:color="auto"/>
              <w:bottom w:val="single" w:sz="4" w:space="0" w:color="auto"/>
              <w:right w:val="single" w:sz="4" w:space="0" w:color="auto"/>
            </w:tcBorders>
            <w:shd w:val="clear" w:color="auto" w:fill="auto"/>
            <w:noWrap/>
            <w:tcMar>
              <w:left w:w="43" w:type="dxa"/>
              <w:right w:w="43" w:type="dxa"/>
            </w:tcMar>
            <w:vAlign w:val="center"/>
          </w:tcPr>
          <w:p w14:paraId="4ADA6806"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tcPr>
          <w:p w14:paraId="37D57C8E"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tcPr>
          <w:p w14:paraId="14182D47"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tcPr>
          <w:p w14:paraId="7E8DC086"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-18.0</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1F1FDCAD"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-9.2</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2461A667"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-5.5</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513970D1"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4.3</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tcPr>
          <w:p w14:paraId="23A9F2FF"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22.4</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tcPr>
          <w:p w14:paraId="49DBD7C9"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58B5E5FE" w14:textId="77777777" w:rsidTr="00EC669E">
        <w:trPr>
          <w:trHeight w:val="245"/>
        </w:trPr>
        <w:tc>
          <w:tcPr>
            <w:tcW w:w="1596" w:type="dxa"/>
            <w:vMerge/>
            <w:tcBorders>
              <w:top w:val="single" w:sz="4" w:space="0" w:color="auto"/>
              <w:left w:val="single" w:sz="18" w:space="0" w:color="auto"/>
              <w:bottom w:val="single" w:sz="4" w:space="0" w:color="auto"/>
              <w:right w:val="single" w:sz="4" w:space="0" w:color="auto"/>
            </w:tcBorders>
            <w:shd w:val="clear" w:color="auto" w:fill="auto"/>
            <w:noWrap/>
            <w:tcMar>
              <w:left w:w="43" w:type="dxa"/>
              <w:right w:w="43" w:type="dxa"/>
            </w:tcMar>
            <w:vAlign w:val="center"/>
          </w:tcPr>
          <w:p w14:paraId="0D24C54A" w14:textId="77777777" w:rsidR="008B58C4" w:rsidRPr="00B14024" w:rsidRDefault="008B58C4" w:rsidP="00EC669E">
            <w:pPr>
              <w:jc w:val="both"/>
              <w:rPr>
                <w:rFonts w:ascii="Times New Roman" w:eastAsia="Times New Roman" w:hAnsi="Times New Roman"/>
                <w:color w:val="000000"/>
                <w:sz w:val="20"/>
              </w:rPr>
            </w:pPr>
          </w:p>
        </w:tc>
        <w:tc>
          <w:tcPr>
            <w:tcW w:w="2071" w:type="dxa"/>
            <w:vMerge w:val="restart"/>
            <w:tcBorders>
              <w:top w:val="single" w:sz="4" w:space="0" w:color="auto"/>
              <w:left w:val="nil"/>
              <w:right w:val="single" w:sz="4" w:space="0" w:color="auto"/>
            </w:tcBorders>
            <w:shd w:val="clear" w:color="auto" w:fill="auto"/>
            <w:noWrap/>
            <w:tcMar>
              <w:left w:w="43" w:type="dxa"/>
              <w:right w:w="43" w:type="dxa"/>
            </w:tcMar>
            <w:vAlign w:val="center"/>
          </w:tcPr>
          <w:p w14:paraId="56B1621A"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Employed, no work from home</w:t>
            </w:r>
          </w:p>
        </w:tc>
        <w:tc>
          <w:tcPr>
            <w:tcW w:w="1980" w:type="dxa"/>
            <w:vMerge w:val="restart"/>
            <w:tcBorders>
              <w:top w:val="single" w:sz="4" w:space="0" w:color="auto"/>
              <w:left w:val="nil"/>
              <w:right w:val="single" w:sz="8" w:space="0" w:color="auto"/>
            </w:tcBorders>
            <w:shd w:val="clear" w:color="auto" w:fill="auto"/>
            <w:noWrap/>
            <w:tcMar>
              <w:left w:w="43" w:type="dxa"/>
              <w:right w:w="43" w:type="dxa"/>
            </w:tcMar>
            <w:vAlign w:val="center"/>
          </w:tcPr>
          <w:p w14:paraId="6E0D5E74"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Employed, work from home for 5 days</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tcPr>
          <w:p w14:paraId="11ED6E45"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5CAC16B8"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50F07FE3"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356708A6"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tcPr>
          <w:p w14:paraId="4CC39255"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0.0</w:t>
            </w:r>
          </w:p>
        </w:tc>
        <w:tc>
          <w:tcPr>
            <w:tcW w:w="724" w:type="dxa"/>
            <w:vMerge w:val="restart"/>
            <w:tcBorders>
              <w:top w:val="single" w:sz="4" w:space="0" w:color="auto"/>
              <w:left w:val="nil"/>
              <w:right w:val="single" w:sz="18" w:space="0" w:color="auto"/>
            </w:tcBorders>
            <w:shd w:val="clear" w:color="auto" w:fill="auto"/>
            <w:noWrap/>
            <w:tcMar>
              <w:left w:w="43" w:type="dxa"/>
              <w:right w:w="43" w:type="dxa"/>
            </w:tcMar>
            <w:vAlign w:val="center"/>
          </w:tcPr>
          <w:p w14:paraId="05D1B268"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-0.6</w:t>
            </w:r>
          </w:p>
        </w:tc>
      </w:tr>
      <w:tr w:rsidR="008B58C4" w:rsidRPr="00B14024" w14:paraId="77DB2CE4" w14:textId="77777777" w:rsidTr="00EC669E">
        <w:trPr>
          <w:trHeight w:val="245"/>
        </w:trPr>
        <w:tc>
          <w:tcPr>
            <w:tcW w:w="1596" w:type="dxa"/>
            <w:vMerge/>
            <w:tcBorders>
              <w:top w:val="single" w:sz="4" w:space="0" w:color="auto"/>
              <w:left w:val="single" w:sz="18" w:space="0" w:color="auto"/>
              <w:bottom w:val="single" w:sz="4" w:space="0" w:color="auto"/>
              <w:right w:val="single" w:sz="4" w:space="0" w:color="auto"/>
            </w:tcBorders>
            <w:shd w:val="clear" w:color="auto" w:fill="auto"/>
            <w:noWrap/>
            <w:tcMar>
              <w:left w:w="43" w:type="dxa"/>
              <w:right w:w="43" w:type="dxa"/>
            </w:tcMar>
            <w:vAlign w:val="center"/>
          </w:tcPr>
          <w:p w14:paraId="5545338A"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tcPr>
          <w:p w14:paraId="5AD70F0C" w14:textId="77777777" w:rsidR="008B58C4" w:rsidRPr="00B14024" w:rsidRDefault="008B58C4" w:rsidP="00EC669E">
            <w:pPr>
              <w:jc w:val="both"/>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tcPr>
          <w:p w14:paraId="07691801" w14:textId="77777777" w:rsidR="008B58C4" w:rsidRPr="00B14024" w:rsidRDefault="008B58C4" w:rsidP="00EC669E">
            <w:pPr>
              <w:jc w:val="both"/>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tcPr>
          <w:p w14:paraId="65CA8D44"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-28.8</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269A5EAB"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-16.0</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0B2E8E5B"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-10.1</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1417F06F"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5.9</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tcPr>
          <w:p w14:paraId="756F8EB7"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38.8</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tcPr>
          <w:p w14:paraId="53C2EBC1" w14:textId="77777777" w:rsidR="008B58C4" w:rsidRPr="00B14024" w:rsidRDefault="008B58C4" w:rsidP="00EC669E">
            <w:pPr>
              <w:jc w:val="both"/>
              <w:rPr>
                <w:rFonts w:ascii="Times New Roman" w:eastAsia="Times New Roman" w:hAnsi="Times New Roman"/>
                <w:color w:val="000000"/>
                <w:sz w:val="20"/>
              </w:rPr>
            </w:pPr>
          </w:p>
        </w:tc>
      </w:tr>
      <w:tr w:rsidR="008B58C4" w:rsidRPr="00B14024" w14:paraId="3A608CDD" w14:textId="77777777" w:rsidTr="00EC669E">
        <w:trPr>
          <w:trHeight w:val="245"/>
        </w:trPr>
        <w:tc>
          <w:tcPr>
            <w:tcW w:w="9612" w:type="dxa"/>
            <w:gridSpan w:val="9"/>
            <w:tcBorders>
              <w:top w:val="single" w:sz="4" w:space="0" w:color="auto"/>
              <w:left w:val="single" w:sz="18" w:space="0" w:color="auto"/>
              <w:bottom w:val="single" w:sz="4" w:space="0" w:color="auto"/>
              <w:right w:val="single" w:sz="18" w:space="0" w:color="auto"/>
            </w:tcBorders>
            <w:shd w:val="clear" w:color="auto" w:fill="auto"/>
            <w:noWrap/>
            <w:tcMar>
              <w:left w:w="43" w:type="dxa"/>
              <w:right w:w="43" w:type="dxa"/>
            </w:tcMar>
            <w:vAlign w:val="center"/>
          </w:tcPr>
          <w:p w14:paraId="2E56289B" w14:textId="77777777" w:rsidR="008B58C4" w:rsidRPr="00B14024" w:rsidRDefault="008B58C4" w:rsidP="00EC669E">
            <w:pPr>
              <w:jc w:val="both"/>
              <w:rPr>
                <w:rFonts w:ascii="Times New Roman" w:eastAsia="Times New Roman" w:hAnsi="Times New Roman"/>
                <w:color w:val="000000"/>
                <w:sz w:val="20"/>
              </w:rPr>
            </w:pPr>
            <w:r w:rsidRPr="004F1E70">
              <w:rPr>
                <w:rFonts w:ascii="Times New Roman" w:eastAsia="Times New Roman" w:hAnsi="Times New Roman"/>
                <w:b/>
                <w:bCs/>
                <w:i/>
                <w:iCs/>
                <w:color w:val="000000"/>
                <w:sz w:val="20"/>
              </w:rPr>
              <w:t>Built-environment Attributes</w:t>
            </w:r>
          </w:p>
        </w:tc>
      </w:tr>
      <w:tr w:rsidR="008B58C4" w:rsidRPr="00B14024" w14:paraId="296CCB60" w14:textId="77777777" w:rsidTr="00EC669E">
        <w:trPr>
          <w:trHeight w:val="245"/>
        </w:trPr>
        <w:tc>
          <w:tcPr>
            <w:tcW w:w="1596" w:type="dxa"/>
            <w:vMerge w:val="restart"/>
            <w:tcBorders>
              <w:top w:val="single" w:sz="4" w:space="0" w:color="auto"/>
              <w:left w:val="single" w:sz="18" w:space="0" w:color="auto"/>
              <w:right w:val="single" w:sz="4" w:space="0" w:color="auto"/>
            </w:tcBorders>
            <w:shd w:val="clear" w:color="auto" w:fill="auto"/>
            <w:noWrap/>
            <w:tcMar>
              <w:left w:w="43" w:type="dxa"/>
              <w:right w:w="43" w:type="dxa"/>
            </w:tcMar>
            <w:vAlign w:val="center"/>
          </w:tcPr>
          <w:p w14:paraId="2508C9DC" w14:textId="77777777" w:rsidR="008B58C4" w:rsidRPr="00B14024" w:rsidRDefault="008B58C4" w:rsidP="00EC669E">
            <w:pPr>
              <w:jc w:val="both"/>
              <w:rPr>
                <w:rFonts w:ascii="Times New Roman" w:eastAsia="Times New Roman" w:hAnsi="Times New Roman"/>
                <w:color w:val="000000"/>
                <w:sz w:val="20"/>
              </w:rPr>
            </w:pPr>
            <w:r w:rsidRPr="004F1E70">
              <w:rPr>
                <w:rFonts w:ascii="Times New Roman" w:eastAsia="Times New Roman" w:hAnsi="Times New Roman"/>
                <w:b/>
                <w:bCs/>
                <w:color w:val="000000"/>
                <w:sz w:val="20"/>
              </w:rPr>
              <w:t>Walkability</w:t>
            </w:r>
          </w:p>
        </w:tc>
        <w:tc>
          <w:tcPr>
            <w:tcW w:w="2071" w:type="dxa"/>
            <w:vMerge w:val="restart"/>
            <w:tcBorders>
              <w:top w:val="single" w:sz="4" w:space="0" w:color="auto"/>
              <w:left w:val="nil"/>
              <w:right w:val="single" w:sz="4" w:space="0" w:color="auto"/>
            </w:tcBorders>
            <w:shd w:val="clear" w:color="auto" w:fill="auto"/>
            <w:noWrap/>
            <w:tcMar>
              <w:left w:w="43" w:type="dxa"/>
              <w:right w:w="43" w:type="dxa"/>
            </w:tcMar>
            <w:vAlign w:val="center"/>
          </w:tcPr>
          <w:p w14:paraId="5D34D303"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Low (≤ 0.08)</w:t>
            </w:r>
          </w:p>
        </w:tc>
        <w:tc>
          <w:tcPr>
            <w:tcW w:w="1980" w:type="dxa"/>
            <w:vMerge w:val="restart"/>
            <w:tcBorders>
              <w:top w:val="single" w:sz="4" w:space="0" w:color="auto"/>
              <w:left w:val="nil"/>
              <w:right w:val="single" w:sz="8" w:space="0" w:color="auto"/>
            </w:tcBorders>
            <w:shd w:val="clear" w:color="auto" w:fill="auto"/>
            <w:noWrap/>
            <w:tcMar>
              <w:left w:w="43" w:type="dxa"/>
              <w:right w:w="43" w:type="dxa"/>
            </w:tcMar>
            <w:vAlign w:val="center"/>
          </w:tcPr>
          <w:p w14:paraId="4E900EFA"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High (&gt;</w:t>
            </w:r>
            <w:r>
              <w:rPr>
                <w:rFonts w:ascii="Times New Roman" w:eastAsia="Times New Roman" w:hAnsi="Times New Roman"/>
                <w:color w:val="000000"/>
                <w:sz w:val="20"/>
              </w:rPr>
              <w:t xml:space="preserve"> </w:t>
            </w:r>
            <w:r w:rsidRPr="004F1E70">
              <w:rPr>
                <w:rFonts w:ascii="Times New Roman" w:eastAsia="Times New Roman" w:hAnsi="Times New Roman"/>
                <w:color w:val="000000"/>
                <w:sz w:val="20"/>
              </w:rPr>
              <w:t>0.12)</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tcPr>
          <w:p w14:paraId="079B7473"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-25.6</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71CF1B45"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-12.6</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31560873"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-4.6</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4C8EEA49"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8.3</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tcPr>
          <w:p w14:paraId="21BEC970"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32.8</w:t>
            </w:r>
          </w:p>
        </w:tc>
        <w:tc>
          <w:tcPr>
            <w:tcW w:w="724" w:type="dxa"/>
            <w:vMerge w:val="restart"/>
            <w:tcBorders>
              <w:top w:val="single" w:sz="4" w:space="0" w:color="auto"/>
              <w:left w:val="nil"/>
              <w:right w:val="single" w:sz="18" w:space="0" w:color="auto"/>
            </w:tcBorders>
            <w:shd w:val="clear" w:color="auto" w:fill="auto"/>
            <w:noWrap/>
            <w:tcMar>
              <w:left w:w="43" w:type="dxa"/>
              <w:right w:w="43" w:type="dxa"/>
            </w:tcMar>
            <w:vAlign w:val="center"/>
          </w:tcPr>
          <w:p w14:paraId="2F429C24"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1.2</w:t>
            </w:r>
          </w:p>
        </w:tc>
      </w:tr>
      <w:tr w:rsidR="008B58C4" w:rsidRPr="00B14024" w14:paraId="55C87CEE" w14:textId="77777777" w:rsidTr="00EC669E">
        <w:trPr>
          <w:trHeight w:val="245"/>
        </w:trPr>
        <w:tc>
          <w:tcPr>
            <w:tcW w:w="1596" w:type="dxa"/>
            <w:vMerge/>
            <w:tcBorders>
              <w:left w:val="single" w:sz="18" w:space="0" w:color="auto"/>
              <w:bottom w:val="single" w:sz="4" w:space="0" w:color="auto"/>
              <w:right w:val="single" w:sz="4" w:space="0" w:color="auto"/>
            </w:tcBorders>
            <w:shd w:val="clear" w:color="auto" w:fill="auto"/>
            <w:noWrap/>
            <w:tcMar>
              <w:left w:w="43" w:type="dxa"/>
              <w:right w:w="43" w:type="dxa"/>
            </w:tcMar>
            <w:vAlign w:val="center"/>
          </w:tcPr>
          <w:p w14:paraId="4DC2E17D"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tcPr>
          <w:p w14:paraId="48515A6B"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tcPr>
          <w:p w14:paraId="740684D3"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tcPr>
          <w:p w14:paraId="39227735"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-25.6</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7A43FD19"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-13.2</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1D51A7EA"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-5.2</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60A36AFC"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7.6</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tcPr>
          <w:p w14:paraId="784C417A"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32.2</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tcPr>
          <w:p w14:paraId="2078CFCC"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7C9806CE" w14:textId="77777777" w:rsidTr="00EC669E">
        <w:trPr>
          <w:trHeight w:val="245"/>
        </w:trPr>
        <w:tc>
          <w:tcPr>
            <w:tcW w:w="1596" w:type="dxa"/>
            <w:vMerge w:val="restart"/>
            <w:tcBorders>
              <w:top w:val="single" w:sz="4" w:space="0" w:color="auto"/>
              <w:left w:val="single" w:sz="18" w:space="0" w:color="auto"/>
              <w:right w:val="single" w:sz="4" w:space="0" w:color="auto"/>
            </w:tcBorders>
            <w:shd w:val="clear" w:color="auto" w:fill="auto"/>
            <w:noWrap/>
            <w:tcMar>
              <w:left w:w="43" w:type="dxa"/>
              <w:right w:w="43" w:type="dxa"/>
            </w:tcMar>
            <w:vAlign w:val="center"/>
          </w:tcPr>
          <w:p w14:paraId="076D9CAB"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b/>
                <w:bCs/>
                <w:color w:val="000000"/>
                <w:sz w:val="20"/>
              </w:rPr>
              <w:t>Accessible to Bikes</w:t>
            </w:r>
          </w:p>
        </w:tc>
        <w:tc>
          <w:tcPr>
            <w:tcW w:w="2071" w:type="dxa"/>
            <w:vMerge w:val="restart"/>
            <w:tcBorders>
              <w:top w:val="single" w:sz="4" w:space="0" w:color="auto"/>
              <w:left w:val="nil"/>
              <w:right w:val="single" w:sz="4" w:space="0" w:color="auto"/>
            </w:tcBorders>
            <w:shd w:val="clear" w:color="auto" w:fill="auto"/>
            <w:noWrap/>
            <w:tcMar>
              <w:left w:w="43" w:type="dxa"/>
              <w:right w:w="43" w:type="dxa"/>
            </w:tcMar>
            <w:vAlign w:val="center"/>
          </w:tcPr>
          <w:p w14:paraId="131FF64F"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No</w:t>
            </w:r>
          </w:p>
        </w:tc>
        <w:tc>
          <w:tcPr>
            <w:tcW w:w="1980" w:type="dxa"/>
            <w:vMerge w:val="restart"/>
            <w:tcBorders>
              <w:top w:val="single" w:sz="4" w:space="0" w:color="auto"/>
              <w:left w:val="nil"/>
              <w:right w:val="single" w:sz="8" w:space="0" w:color="auto"/>
            </w:tcBorders>
            <w:shd w:val="clear" w:color="auto" w:fill="auto"/>
            <w:noWrap/>
            <w:tcMar>
              <w:left w:w="43" w:type="dxa"/>
              <w:right w:w="43" w:type="dxa"/>
            </w:tcMar>
            <w:vAlign w:val="center"/>
          </w:tcPr>
          <w:p w14:paraId="4C38F24A"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Yes</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tcPr>
          <w:p w14:paraId="3FB3E690"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-41.7</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73A0E871"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-23.0</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7F0237D9"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-9.9</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13258954"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12.7</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tcPr>
          <w:p w14:paraId="22121AFB"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61.7</w:t>
            </w:r>
          </w:p>
        </w:tc>
        <w:tc>
          <w:tcPr>
            <w:tcW w:w="724" w:type="dxa"/>
            <w:vMerge w:val="restart"/>
            <w:tcBorders>
              <w:top w:val="single" w:sz="4" w:space="0" w:color="auto"/>
              <w:left w:val="nil"/>
              <w:right w:val="single" w:sz="18" w:space="0" w:color="auto"/>
            </w:tcBorders>
            <w:shd w:val="clear" w:color="auto" w:fill="auto"/>
            <w:noWrap/>
            <w:tcMar>
              <w:left w:w="43" w:type="dxa"/>
              <w:right w:w="43" w:type="dxa"/>
            </w:tcMar>
            <w:vAlign w:val="center"/>
          </w:tcPr>
          <w:p w14:paraId="2BA1E341"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3.7</w:t>
            </w:r>
          </w:p>
        </w:tc>
      </w:tr>
      <w:tr w:rsidR="008B58C4" w:rsidRPr="00B14024" w14:paraId="7A394A73" w14:textId="77777777" w:rsidTr="00EC669E">
        <w:trPr>
          <w:trHeight w:val="245"/>
        </w:trPr>
        <w:tc>
          <w:tcPr>
            <w:tcW w:w="1596" w:type="dxa"/>
            <w:vMerge/>
            <w:tcBorders>
              <w:left w:val="single" w:sz="18" w:space="0" w:color="auto"/>
              <w:bottom w:val="single" w:sz="4" w:space="0" w:color="auto"/>
              <w:right w:val="single" w:sz="4" w:space="0" w:color="auto"/>
            </w:tcBorders>
            <w:shd w:val="clear" w:color="auto" w:fill="auto"/>
            <w:noWrap/>
            <w:tcMar>
              <w:left w:w="43" w:type="dxa"/>
              <w:right w:w="43" w:type="dxa"/>
            </w:tcMar>
            <w:vAlign w:val="center"/>
          </w:tcPr>
          <w:p w14:paraId="6F4A1700" w14:textId="77777777" w:rsidR="008B58C4" w:rsidRPr="00B14024" w:rsidRDefault="008B58C4" w:rsidP="00EC669E">
            <w:pPr>
              <w:rPr>
                <w:rFonts w:ascii="Times New Roman" w:eastAsia="Times New Roman" w:hAnsi="Times New Roman"/>
                <w:color w:val="000000"/>
                <w:sz w:val="20"/>
              </w:rPr>
            </w:pPr>
          </w:p>
        </w:tc>
        <w:tc>
          <w:tcPr>
            <w:tcW w:w="2071" w:type="dxa"/>
            <w:vMerge/>
            <w:tcBorders>
              <w:left w:val="nil"/>
              <w:bottom w:val="single" w:sz="4" w:space="0" w:color="auto"/>
              <w:right w:val="single" w:sz="4" w:space="0" w:color="auto"/>
            </w:tcBorders>
            <w:shd w:val="clear" w:color="auto" w:fill="auto"/>
            <w:noWrap/>
            <w:tcMar>
              <w:left w:w="43" w:type="dxa"/>
              <w:right w:w="43" w:type="dxa"/>
            </w:tcMar>
            <w:vAlign w:val="center"/>
          </w:tcPr>
          <w:p w14:paraId="0861591C" w14:textId="77777777" w:rsidR="008B58C4" w:rsidRPr="00B14024" w:rsidRDefault="008B58C4" w:rsidP="00EC669E">
            <w:pPr>
              <w:rPr>
                <w:rFonts w:ascii="Times New Roman" w:eastAsia="Times New Roman" w:hAnsi="Times New Roman"/>
                <w:color w:val="000000"/>
                <w:sz w:val="20"/>
              </w:rPr>
            </w:pPr>
          </w:p>
        </w:tc>
        <w:tc>
          <w:tcPr>
            <w:tcW w:w="1980" w:type="dxa"/>
            <w:vMerge/>
            <w:tcBorders>
              <w:left w:val="nil"/>
              <w:bottom w:val="single" w:sz="4" w:space="0" w:color="auto"/>
              <w:right w:val="single" w:sz="8" w:space="0" w:color="auto"/>
            </w:tcBorders>
            <w:shd w:val="clear" w:color="auto" w:fill="auto"/>
            <w:noWrap/>
            <w:tcMar>
              <w:left w:w="43" w:type="dxa"/>
              <w:right w:w="43" w:type="dxa"/>
            </w:tcMar>
            <w:vAlign w:val="center"/>
          </w:tcPr>
          <w:p w14:paraId="19A42F43" w14:textId="77777777" w:rsidR="008B58C4" w:rsidRPr="00B14024" w:rsidRDefault="008B58C4" w:rsidP="00EC669E">
            <w:pPr>
              <w:rPr>
                <w:rFonts w:ascii="Times New Roman" w:eastAsia="Times New Roman" w:hAnsi="Times New Roman"/>
                <w:color w:val="000000"/>
                <w:sz w:val="20"/>
              </w:rPr>
            </w:pPr>
          </w:p>
        </w:tc>
        <w:tc>
          <w:tcPr>
            <w:tcW w:w="631" w:type="dxa"/>
            <w:tcBorders>
              <w:top w:val="dotted" w:sz="4" w:space="0" w:color="auto"/>
              <w:left w:val="nil"/>
              <w:bottom w:val="single" w:sz="4" w:space="0" w:color="auto"/>
              <w:right w:val="dotted" w:sz="4" w:space="0" w:color="auto"/>
            </w:tcBorders>
            <w:shd w:val="clear" w:color="auto" w:fill="auto"/>
            <w:noWrap/>
            <w:tcMar>
              <w:left w:w="43" w:type="dxa"/>
              <w:right w:w="43" w:type="dxa"/>
            </w:tcMar>
            <w:vAlign w:val="center"/>
          </w:tcPr>
          <w:p w14:paraId="4AB5D7A2"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-42.0</w:t>
            </w:r>
          </w:p>
        </w:tc>
        <w:tc>
          <w:tcPr>
            <w:tcW w:w="698"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3D1E47D4"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-24.2</w:t>
            </w:r>
          </w:p>
        </w:tc>
        <w:tc>
          <w:tcPr>
            <w:tcW w:w="631"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4DB67205"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-11.2</w:t>
            </w:r>
          </w:p>
        </w:tc>
        <w:tc>
          <w:tcPr>
            <w:tcW w:w="654" w:type="dxa"/>
            <w:tcBorders>
              <w:top w:val="dotted" w:sz="4" w:space="0" w:color="auto"/>
              <w:left w:val="dotted" w:sz="4" w:space="0" w:color="auto"/>
              <w:bottom w:val="single" w:sz="4" w:space="0" w:color="auto"/>
              <w:right w:val="dotted" w:sz="4" w:space="0" w:color="auto"/>
            </w:tcBorders>
            <w:shd w:val="clear" w:color="auto" w:fill="auto"/>
            <w:noWrap/>
            <w:tcMar>
              <w:left w:w="43" w:type="dxa"/>
              <w:right w:w="43" w:type="dxa"/>
            </w:tcMar>
            <w:vAlign w:val="center"/>
          </w:tcPr>
          <w:p w14:paraId="6B411A22"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11.6</w:t>
            </w:r>
          </w:p>
        </w:tc>
        <w:tc>
          <w:tcPr>
            <w:tcW w:w="627" w:type="dxa"/>
            <w:tcBorders>
              <w:top w:val="dotted" w:sz="4" w:space="0" w:color="auto"/>
              <w:left w:val="dotted" w:sz="4" w:space="0" w:color="auto"/>
              <w:bottom w:val="single" w:sz="4" w:space="0" w:color="auto"/>
              <w:right w:val="single" w:sz="4" w:space="0" w:color="auto"/>
            </w:tcBorders>
            <w:shd w:val="clear" w:color="auto" w:fill="auto"/>
            <w:noWrap/>
            <w:tcMar>
              <w:left w:w="43" w:type="dxa"/>
              <w:right w:w="43" w:type="dxa"/>
            </w:tcMar>
            <w:vAlign w:val="center"/>
          </w:tcPr>
          <w:p w14:paraId="3B946EE8"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61.2</w:t>
            </w:r>
          </w:p>
        </w:tc>
        <w:tc>
          <w:tcPr>
            <w:tcW w:w="724" w:type="dxa"/>
            <w:vMerge/>
            <w:tcBorders>
              <w:left w:val="nil"/>
              <w:bottom w:val="single" w:sz="4" w:space="0" w:color="auto"/>
              <w:right w:val="single" w:sz="18" w:space="0" w:color="auto"/>
            </w:tcBorders>
            <w:shd w:val="clear" w:color="auto" w:fill="auto"/>
            <w:noWrap/>
            <w:tcMar>
              <w:left w:w="43" w:type="dxa"/>
              <w:right w:w="43" w:type="dxa"/>
            </w:tcMar>
            <w:vAlign w:val="center"/>
          </w:tcPr>
          <w:p w14:paraId="486F8B21" w14:textId="77777777" w:rsidR="008B58C4" w:rsidRPr="00B14024" w:rsidRDefault="008B58C4" w:rsidP="00EC669E">
            <w:pPr>
              <w:jc w:val="right"/>
              <w:rPr>
                <w:rFonts w:ascii="Times New Roman" w:eastAsia="Times New Roman" w:hAnsi="Times New Roman"/>
                <w:color w:val="000000"/>
                <w:sz w:val="20"/>
              </w:rPr>
            </w:pPr>
          </w:p>
        </w:tc>
      </w:tr>
      <w:tr w:rsidR="008B58C4" w:rsidRPr="00B14024" w14:paraId="4848CFFA" w14:textId="77777777" w:rsidTr="00EC669E">
        <w:trPr>
          <w:trHeight w:val="245"/>
        </w:trPr>
        <w:tc>
          <w:tcPr>
            <w:tcW w:w="1596" w:type="dxa"/>
            <w:vMerge w:val="restart"/>
            <w:tcBorders>
              <w:top w:val="single" w:sz="4" w:space="0" w:color="auto"/>
              <w:left w:val="single" w:sz="18" w:space="0" w:color="auto"/>
              <w:right w:val="single" w:sz="4" w:space="0" w:color="auto"/>
            </w:tcBorders>
            <w:shd w:val="clear" w:color="auto" w:fill="auto"/>
            <w:noWrap/>
            <w:tcMar>
              <w:left w:w="43" w:type="dxa"/>
              <w:right w:w="43" w:type="dxa"/>
            </w:tcMar>
            <w:vAlign w:val="center"/>
          </w:tcPr>
          <w:p w14:paraId="02EA1957"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b/>
                <w:bCs/>
                <w:color w:val="000000"/>
                <w:sz w:val="20"/>
              </w:rPr>
              <w:t>Distance to transit (/100)</w:t>
            </w:r>
          </w:p>
        </w:tc>
        <w:tc>
          <w:tcPr>
            <w:tcW w:w="2071" w:type="dxa"/>
            <w:vMerge w:val="restart"/>
            <w:tcBorders>
              <w:top w:val="single" w:sz="4" w:space="0" w:color="auto"/>
              <w:left w:val="nil"/>
              <w:right w:val="single" w:sz="4" w:space="0" w:color="auto"/>
            </w:tcBorders>
            <w:shd w:val="clear" w:color="auto" w:fill="auto"/>
            <w:noWrap/>
            <w:tcMar>
              <w:left w:w="43" w:type="dxa"/>
              <w:right w:w="43" w:type="dxa"/>
            </w:tcMar>
            <w:vAlign w:val="center"/>
          </w:tcPr>
          <w:p w14:paraId="69DABFF2"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0 (10th percentile)</w:t>
            </w:r>
          </w:p>
        </w:tc>
        <w:tc>
          <w:tcPr>
            <w:tcW w:w="1980" w:type="dxa"/>
            <w:vMerge w:val="restart"/>
            <w:tcBorders>
              <w:top w:val="single" w:sz="4" w:space="0" w:color="auto"/>
              <w:left w:val="nil"/>
              <w:right w:val="single" w:sz="8" w:space="0" w:color="auto"/>
            </w:tcBorders>
            <w:shd w:val="clear" w:color="auto" w:fill="auto"/>
            <w:noWrap/>
            <w:tcMar>
              <w:left w:w="43" w:type="dxa"/>
              <w:right w:w="43" w:type="dxa"/>
            </w:tcMar>
            <w:vAlign w:val="center"/>
          </w:tcPr>
          <w:p w14:paraId="0802A09B" w14:textId="77777777" w:rsidR="008B58C4" w:rsidRPr="00B14024" w:rsidRDefault="008B58C4" w:rsidP="00EC669E">
            <w:pPr>
              <w:rPr>
                <w:rFonts w:ascii="Times New Roman" w:eastAsia="Times New Roman" w:hAnsi="Times New Roman"/>
                <w:color w:val="000000"/>
                <w:sz w:val="20"/>
              </w:rPr>
            </w:pPr>
            <w:r w:rsidRPr="004F1E70">
              <w:rPr>
                <w:rFonts w:ascii="Times New Roman" w:eastAsia="Times New Roman" w:hAnsi="Times New Roman"/>
                <w:color w:val="000000"/>
                <w:sz w:val="20"/>
              </w:rPr>
              <w:t>5.25 (90th percentile)</w:t>
            </w:r>
          </w:p>
        </w:tc>
        <w:tc>
          <w:tcPr>
            <w:tcW w:w="631" w:type="dxa"/>
            <w:tcBorders>
              <w:top w:val="single" w:sz="4" w:space="0" w:color="auto"/>
              <w:left w:val="nil"/>
              <w:bottom w:val="dotted" w:sz="4" w:space="0" w:color="auto"/>
              <w:right w:val="dotted" w:sz="4" w:space="0" w:color="auto"/>
            </w:tcBorders>
            <w:shd w:val="clear" w:color="auto" w:fill="auto"/>
            <w:noWrap/>
            <w:tcMar>
              <w:left w:w="43" w:type="dxa"/>
              <w:right w:w="43" w:type="dxa"/>
            </w:tcMar>
            <w:vAlign w:val="center"/>
          </w:tcPr>
          <w:p w14:paraId="67D7FDD3"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48.7</w:t>
            </w:r>
          </w:p>
        </w:tc>
        <w:tc>
          <w:tcPr>
            <w:tcW w:w="698"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6431653C"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20.3</w:t>
            </w:r>
          </w:p>
        </w:tc>
        <w:tc>
          <w:tcPr>
            <w:tcW w:w="631"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5605A9FA"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7.3</w:t>
            </w:r>
          </w:p>
        </w:tc>
        <w:tc>
          <w:tcPr>
            <w:tcW w:w="654" w:type="dxa"/>
            <w:tcBorders>
              <w:top w:val="single" w:sz="4" w:space="0" w:color="auto"/>
              <w:left w:val="dotted" w:sz="4" w:space="0" w:color="auto"/>
              <w:bottom w:val="dotted" w:sz="4" w:space="0" w:color="auto"/>
              <w:right w:val="dotted" w:sz="4" w:space="0" w:color="auto"/>
            </w:tcBorders>
            <w:shd w:val="clear" w:color="auto" w:fill="auto"/>
            <w:noWrap/>
            <w:tcMar>
              <w:left w:w="43" w:type="dxa"/>
              <w:right w:w="43" w:type="dxa"/>
            </w:tcMar>
            <w:vAlign w:val="center"/>
          </w:tcPr>
          <w:p w14:paraId="3256CD56"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-8.9</w:t>
            </w:r>
          </w:p>
        </w:tc>
        <w:tc>
          <w:tcPr>
            <w:tcW w:w="627" w:type="dxa"/>
            <w:tcBorders>
              <w:top w:val="single" w:sz="4" w:space="0" w:color="auto"/>
              <w:left w:val="dotted" w:sz="4" w:space="0" w:color="auto"/>
              <w:bottom w:val="dotted" w:sz="4" w:space="0" w:color="auto"/>
              <w:right w:val="single" w:sz="4" w:space="0" w:color="auto"/>
            </w:tcBorders>
            <w:shd w:val="clear" w:color="auto" w:fill="auto"/>
            <w:noWrap/>
            <w:tcMar>
              <w:left w:w="43" w:type="dxa"/>
              <w:right w:w="43" w:type="dxa"/>
            </w:tcMar>
            <w:vAlign w:val="center"/>
          </w:tcPr>
          <w:p w14:paraId="47103D33"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-30.6</w:t>
            </w:r>
          </w:p>
        </w:tc>
        <w:tc>
          <w:tcPr>
            <w:tcW w:w="724" w:type="dxa"/>
            <w:vMerge w:val="restart"/>
            <w:tcBorders>
              <w:top w:val="single" w:sz="4" w:space="0" w:color="auto"/>
              <w:left w:val="nil"/>
              <w:right w:val="single" w:sz="18" w:space="0" w:color="auto"/>
            </w:tcBorders>
            <w:shd w:val="clear" w:color="auto" w:fill="auto"/>
            <w:noWrap/>
            <w:tcMar>
              <w:left w:w="43" w:type="dxa"/>
              <w:right w:w="43" w:type="dxa"/>
            </w:tcMar>
            <w:vAlign w:val="center"/>
          </w:tcPr>
          <w:p w14:paraId="5508A904" w14:textId="77777777" w:rsidR="008B58C4" w:rsidRPr="00B14024" w:rsidRDefault="008B58C4" w:rsidP="00EC669E">
            <w:pPr>
              <w:jc w:val="right"/>
              <w:rPr>
                <w:rFonts w:ascii="Times New Roman" w:eastAsia="Times New Roman" w:hAnsi="Times New Roman"/>
                <w:color w:val="000000"/>
                <w:sz w:val="20"/>
              </w:rPr>
            </w:pPr>
            <w:r w:rsidRPr="004F1E70">
              <w:rPr>
                <w:rFonts w:ascii="Times New Roman" w:eastAsia="Times New Roman" w:hAnsi="Times New Roman"/>
                <w:color w:val="000000"/>
                <w:sz w:val="20"/>
              </w:rPr>
              <w:t>-2.1</w:t>
            </w:r>
          </w:p>
        </w:tc>
      </w:tr>
      <w:tr w:rsidR="008B58C4" w:rsidRPr="00B14024" w14:paraId="38B03B53" w14:textId="77777777" w:rsidTr="00EC669E">
        <w:trPr>
          <w:trHeight w:val="245"/>
        </w:trPr>
        <w:tc>
          <w:tcPr>
            <w:tcW w:w="1596" w:type="dxa"/>
            <w:vMerge/>
            <w:tcBorders>
              <w:left w:val="single" w:sz="18" w:space="0" w:color="auto"/>
              <w:bottom w:val="single" w:sz="18" w:space="0" w:color="auto"/>
              <w:right w:val="single" w:sz="4" w:space="0" w:color="auto"/>
            </w:tcBorders>
            <w:shd w:val="clear" w:color="auto" w:fill="auto"/>
            <w:noWrap/>
            <w:tcMar>
              <w:left w:w="43" w:type="dxa"/>
              <w:right w:w="43" w:type="dxa"/>
            </w:tcMar>
            <w:vAlign w:val="center"/>
          </w:tcPr>
          <w:p w14:paraId="2C5F7546" w14:textId="77777777" w:rsidR="008B58C4" w:rsidRPr="00B14024" w:rsidRDefault="008B58C4" w:rsidP="00EC669E">
            <w:pPr>
              <w:jc w:val="both"/>
              <w:rPr>
                <w:rFonts w:ascii="Times New Roman" w:eastAsia="Times New Roman" w:hAnsi="Times New Roman"/>
                <w:color w:val="000000"/>
                <w:sz w:val="20"/>
              </w:rPr>
            </w:pPr>
          </w:p>
        </w:tc>
        <w:tc>
          <w:tcPr>
            <w:tcW w:w="2071" w:type="dxa"/>
            <w:vMerge/>
            <w:tcBorders>
              <w:left w:val="nil"/>
              <w:bottom w:val="single" w:sz="18" w:space="0" w:color="auto"/>
              <w:right w:val="single" w:sz="4" w:space="0" w:color="auto"/>
            </w:tcBorders>
            <w:shd w:val="clear" w:color="auto" w:fill="auto"/>
            <w:noWrap/>
            <w:tcMar>
              <w:left w:w="43" w:type="dxa"/>
              <w:right w:w="43" w:type="dxa"/>
            </w:tcMar>
            <w:vAlign w:val="center"/>
          </w:tcPr>
          <w:p w14:paraId="6522D4E5" w14:textId="77777777" w:rsidR="008B58C4" w:rsidRPr="00B14024" w:rsidRDefault="008B58C4" w:rsidP="00EC669E">
            <w:pPr>
              <w:jc w:val="both"/>
              <w:rPr>
                <w:rFonts w:ascii="Times New Roman" w:eastAsia="Times New Roman" w:hAnsi="Times New Roman"/>
                <w:color w:val="000000"/>
                <w:sz w:val="20"/>
              </w:rPr>
            </w:pPr>
          </w:p>
        </w:tc>
        <w:tc>
          <w:tcPr>
            <w:tcW w:w="1980" w:type="dxa"/>
            <w:vMerge/>
            <w:tcBorders>
              <w:left w:val="nil"/>
              <w:bottom w:val="single" w:sz="18" w:space="0" w:color="auto"/>
              <w:right w:val="single" w:sz="8" w:space="0" w:color="auto"/>
            </w:tcBorders>
            <w:shd w:val="clear" w:color="auto" w:fill="auto"/>
            <w:noWrap/>
            <w:tcMar>
              <w:left w:w="43" w:type="dxa"/>
              <w:right w:w="43" w:type="dxa"/>
            </w:tcMar>
            <w:vAlign w:val="center"/>
          </w:tcPr>
          <w:p w14:paraId="044E4690" w14:textId="77777777" w:rsidR="008B58C4" w:rsidRPr="00B14024" w:rsidRDefault="008B58C4" w:rsidP="00EC669E">
            <w:pPr>
              <w:jc w:val="both"/>
              <w:rPr>
                <w:rFonts w:ascii="Times New Roman" w:eastAsia="Times New Roman" w:hAnsi="Times New Roman"/>
                <w:color w:val="000000"/>
                <w:sz w:val="20"/>
              </w:rPr>
            </w:pPr>
          </w:p>
        </w:tc>
        <w:tc>
          <w:tcPr>
            <w:tcW w:w="631" w:type="dxa"/>
            <w:tcBorders>
              <w:top w:val="dotted" w:sz="4" w:space="0" w:color="auto"/>
              <w:left w:val="nil"/>
              <w:bottom w:val="single" w:sz="18" w:space="0" w:color="auto"/>
              <w:right w:val="dotted" w:sz="4" w:space="0" w:color="auto"/>
            </w:tcBorders>
            <w:shd w:val="clear" w:color="auto" w:fill="auto"/>
            <w:noWrap/>
            <w:tcMar>
              <w:left w:w="43" w:type="dxa"/>
              <w:right w:w="43" w:type="dxa"/>
            </w:tcMar>
            <w:vAlign w:val="center"/>
          </w:tcPr>
          <w:p w14:paraId="49F5AEF8" w14:textId="77777777" w:rsidR="008B58C4" w:rsidRPr="00B14024" w:rsidRDefault="008B58C4" w:rsidP="00EC669E">
            <w:pPr>
              <w:jc w:val="right"/>
              <w:rPr>
                <w:rFonts w:ascii="Times New Roman" w:eastAsia="Times New Roman" w:hAnsi="Times New Roman"/>
                <w:color w:val="000000"/>
                <w:sz w:val="20"/>
              </w:rPr>
            </w:pPr>
            <w:r w:rsidRPr="00C87CEB">
              <w:rPr>
                <w:rFonts w:ascii="Times New Roman" w:eastAsia="Times New Roman" w:hAnsi="Times New Roman"/>
                <w:color w:val="000000"/>
                <w:sz w:val="20"/>
                <w:szCs w:val="16"/>
              </w:rPr>
              <w:t>48.4</w:t>
            </w:r>
          </w:p>
        </w:tc>
        <w:tc>
          <w:tcPr>
            <w:tcW w:w="698" w:type="dxa"/>
            <w:tcBorders>
              <w:top w:val="dotted" w:sz="4" w:space="0" w:color="auto"/>
              <w:left w:val="dotted" w:sz="4" w:space="0" w:color="auto"/>
              <w:bottom w:val="single" w:sz="18" w:space="0" w:color="auto"/>
              <w:right w:val="dotted" w:sz="4" w:space="0" w:color="auto"/>
            </w:tcBorders>
            <w:shd w:val="clear" w:color="auto" w:fill="auto"/>
            <w:noWrap/>
            <w:tcMar>
              <w:left w:w="43" w:type="dxa"/>
              <w:right w:w="43" w:type="dxa"/>
            </w:tcMar>
            <w:vAlign w:val="center"/>
          </w:tcPr>
          <w:p w14:paraId="714643D2" w14:textId="77777777" w:rsidR="008B58C4" w:rsidRPr="00B14024" w:rsidRDefault="008B58C4" w:rsidP="00EC669E">
            <w:pPr>
              <w:jc w:val="right"/>
              <w:rPr>
                <w:rFonts w:ascii="Times New Roman" w:eastAsia="Times New Roman" w:hAnsi="Times New Roman"/>
                <w:color w:val="000000"/>
                <w:sz w:val="20"/>
              </w:rPr>
            </w:pPr>
            <w:r w:rsidRPr="00C87CEB">
              <w:rPr>
                <w:rFonts w:ascii="Times New Roman" w:eastAsia="Times New Roman" w:hAnsi="Times New Roman"/>
                <w:color w:val="000000"/>
                <w:sz w:val="20"/>
                <w:szCs w:val="16"/>
              </w:rPr>
              <w:t>20.9</w:t>
            </w:r>
          </w:p>
        </w:tc>
        <w:tc>
          <w:tcPr>
            <w:tcW w:w="631" w:type="dxa"/>
            <w:tcBorders>
              <w:top w:val="dotted" w:sz="4" w:space="0" w:color="auto"/>
              <w:left w:val="dotted" w:sz="4" w:space="0" w:color="auto"/>
              <w:bottom w:val="single" w:sz="18" w:space="0" w:color="auto"/>
              <w:right w:val="dotted" w:sz="4" w:space="0" w:color="auto"/>
            </w:tcBorders>
            <w:shd w:val="clear" w:color="auto" w:fill="auto"/>
            <w:noWrap/>
            <w:tcMar>
              <w:left w:w="43" w:type="dxa"/>
              <w:right w:w="43" w:type="dxa"/>
            </w:tcMar>
            <w:vAlign w:val="center"/>
          </w:tcPr>
          <w:p w14:paraId="2FA4C66D" w14:textId="77777777" w:rsidR="008B58C4" w:rsidRPr="00B14024" w:rsidRDefault="008B58C4" w:rsidP="00EC669E">
            <w:pPr>
              <w:jc w:val="right"/>
              <w:rPr>
                <w:rFonts w:ascii="Times New Roman" w:eastAsia="Times New Roman" w:hAnsi="Times New Roman"/>
                <w:color w:val="000000"/>
                <w:sz w:val="20"/>
              </w:rPr>
            </w:pPr>
            <w:r w:rsidRPr="00C87CEB">
              <w:rPr>
                <w:rFonts w:ascii="Times New Roman" w:eastAsia="Times New Roman" w:hAnsi="Times New Roman"/>
                <w:color w:val="000000"/>
                <w:sz w:val="20"/>
                <w:szCs w:val="16"/>
              </w:rPr>
              <w:t>8.0</w:t>
            </w:r>
          </w:p>
        </w:tc>
        <w:tc>
          <w:tcPr>
            <w:tcW w:w="654" w:type="dxa"/>
            <w:tcBorders>
              <w:top w:val="dotted" w:sz="4" w:space="0" w:color="auto"/>
              <w:left w:val="dotted" w:sz="4" w:space="0" w:color="auto"/>
              <w:bottom w:val="single" w:sz="18" w:space="0" w:color="auto"/>
              <w:right w:val="dotted" w:sz="4" w:space="0" w:color="auto"/>
            </w:tcBorders>
            <w:shd w:val="clear" w:color="auto" w:fill="auto"/>
            <w:noWrap/>
            <w:tcMar>
              <w:left w:w="43" w:type="dxa"/>
              <w:right w:w="43" w:type="dxa"/>
            </w:tcMar>
            <w:vAlign w:val="center"/>
          </w:tcPr>
          <w:p w14:paraId="5F5D163E" w14:textId="77777777" w:rsidR="008B58C4" w:rsidRPr="00B14024" w:rsidRDefault="008B58C4" w:rsidP="00EC669E">
            <w:pPr>
              <w:jc w:val="right"/>
              <w:rPr>
                <w:rFonts w:ascii="Times New Roman" w:eastAsia="Times New Roman" w:hAnsi="Times New Roman"/>
                <w:color w:val="000000"/>
                <w:sz w:val="20"/>
              </w:rPr>
            </w:pPr>
            <w:r w:rsidRPr="00C87CEB">
              <w:rPr>
                <w:rFonts w:ascii="Times New Roman" w:eastAsia="Times New Roman" w:hAnsi="Times New Roman"/>
                <w:color w:val="000000"/>
                <w:sz w:val="20"/>
                <w:szCs w:val="16"/>
              </w:rPr>
              <w:t>-8.1</w:t>
            </w:r>
          </w:p>
        </w:tc>
        <w:tc>
          <w:tcPr>
            <w:tcW w:w="627" w:type="dxa"/>
            <w:tcBorders>
              <w:top w:val="dotted" w:sz="4" w:space="0" w:color="auto"/>
              <w:left w:val="dotted" w:sz="4" w:space="0" w:color="auto"/>
              <w:bottom w:val="single" w:sz="18" w:space="0" w:color="auto"/>
              <w:right w:val="single" w:sz="4" w:space="0" w:color="auto"/>
            </w:tcBorders>
            <w:shd w:val="clear" w:color="auto" w:fill="auto"/>
            <w:noWrap/>
            <w:tcMar>
              <w:left w:w="43" w:type="dxa"/>
              <w:right w:w="43" w:type="dxa"/>
            </w:tcMar>
            <w:vAlign w:val="center"/>
          </w:tcPr>
          <w:p w14:paraId="112B2FC7" w14:textId="77777777" w:rsidR="008B58C4" w:rsidRPr="00B14024" w:rsidRDefault="008B58C4" w:rsidP="00EC669E">
            <w:pPr>
              <w:jc w:val="right"/>
              <w:rPr>
                <w:rFonts w:ascii="Times New Roman" w:eastAsia="Times New Roman" w:hAnsi="Times New Roman"/>
                <w:color w:val="000000"/>
                <w:sz w:val="20"/>
              </w:rPr>
            </w:pPr>
            <w:r w:rsidRPr="00C87CEB">
              <w:rPr>
                <w:rFonts w:ascii="Times New Roman" w:eastAsia="Times New Roman" w:hAnsi="Times New Roman"/>
                <w:color w:val="000000"/>
                <w:sz w:val="20"/>
                <w:szCs w:val="16"/>
              </w:rPr>
              <w:t>-30.1</w:t>
            </w:r>
          </w:p>
        </w:tc>
        <w:tc>
          <w:tcPr>
            <w:tcW w:w="724" w:type="dxa"/>
            <w:vMerge/>
            <w:tcBorders>
              <w:left w:val="nil"/>
              <w:bottom w:val="single" w:sz="18" w:space="0" w:color="auto"/>
              <w:right w:val="single" w:sz="18" w:space="0" w:color="auto"/>
            </w:tcBorders>
            <w:shd w:val="clear" w:color="auto" w:fill="auto"/>
            <w:noWrap/>
            <w:tcMar>
              <w:left w:w="43" w:type="dxa"/>
              <w:right w:w="43" w:type="dxa"/>
            </w:tcMar>
            <w:vAlign w:val="center"/>
          </w:tcPr>
          <w:p w14:paraId="40D4A44F" w14:textId="77777777" w:rsidR="008B58C4" w:rsidRPr="00B14024" w:rsidRDefault="008B58C4" w:rsidP="00EC669E">
            <w:pPr>
              <w:jc w:val="both"/>
              <w:rPr>
                <w:rFonts w:ascii="Times New Roman" w:eastAsia="Times New Roman" w:hAnsi="Times New Roman"/>
                <w:color w:val="000000"/>
                <w:sz w:val="20"/>
              </w:rPr>
            </w:pPr>
          </w:p>
        </w:tc>
      </w:tr>
    </w:tbl>
    <w:p w14:paraId="5BE0A3B6" w14:textId="05329075" w:rsidR="008B58C4" w:rsidRDefault="008B58C4" w:rsidP="008B58C4">
      <w:pPr>
        <w:ind w:left="90" w:right="-180"/>
        <w:jc w:val="both"/>
        <w:rPr>
          <w:rFonts w:ascii="Times New Roman" w:hAnsi="Times New Roman"/>
          <w:sz w:val="18"/>
          <w:szCs w:val="18"/>
        </w:rPr>
      </w:pPr>
      <w:r w:rsidRPr="00BA3CC8">
        <w:rPr>
          <w:rFonts w:ascii="Times New Roman" w:hAnsi="Times New Roman"/>
          <w:sz w:val="18"/>
          <w:szCs w:val="18"/>
        </w:rPr>
        <w:t>* Level 1=Never; Level 2=A few times a year; Level 3=A few times a month; Level 4=A few times a week; Level 5=Every day</w:t>
      </w:r>
    </w:p>
    <w:p w14:paraId="53F55EAC" w14:textId="77777777" w:rsidR="008B58C4" w:rsidRDefault="008B58C4" w:rsidP="008B58C4">
      <w:pPr>
        <w:ind w:left="270" w:right="-180" w:hanging="180"/>
        <w:jc w:val="both"/>
        <w:rPr>
          <w:rFonts w:ascii="Times New Roman" w:hAnsi="Times New Roman"/>
          <w:sz w:val="18"/>
          <w:szCs w:val="18"/>
        </w:rPr>
      </w:pPr>
    </w:p>
    <w:p w14:paraId="073DD95C" w14:textId="77777777" w:rsidR="008B58C4" w:rsidRPr="00BA3CC8" w:rsidRDefault="008B58C4" w:rsidP="008B58C4">
      <w:pPr>
        <w:ind w:left="270" w:right="-180" w:hanging="180"/>
        <w:jc w:val="both"/>
        <w:rPr>
          <w:rFonts w:ascii="Times New Roman" w:hAnsi="Times New Roman"/>
          <w:sz w:val="18"/>
          <w:szCs w:val="18"/>
        </w:rPr>
        <w:sectPr w:rsidR="008B58C4" w:rsidRPr="00BA3CC8" w:rsidSect="001F4A0E">
          <w:pgSz w:w="12240" w:h="15840"/>
          <w:pgMar w:top="1440" w:right="1440" w:bottom="1440" w:left="1440" w:header="720" w:footer="720" w:gutter="0"/>
          <w:cols w:space="720"/>
          <w:docGrid w:linePitch="360"/>
        </w:sectPr>
      </w:pPr>
    </w:p>
    <w:p w14:paraId="6AC84EF9" w14:textId="4F9F19B8" w:rsidR="008B58C4" w:rsidRPr="00DE3C4D" w:rsidRDefault="008B58C4" w:rsidP="008B58C4">
      <w:pPr>
        <w:ind w:firstLine="720"/>
        <w:jc w:val="both"/>
        <w:rPr>
          <w:rFonts w:ascii="Times New Roman" w:hAnsi="Times New Roman"/>
        </w:rPr>
      </w:pPr>
      <w:r w:rsidRPr="00DE3C4D">
        <w:rPr>
          <w:rFonts w:ascii="Times New Roman" w:hAnsi="Times New Roman"/>
        </w:rPr>
        <w:lastRenderedPageBreak/>
        <w:t>The findings highlight a substantial difference in walking frequency between age groups. Both before and after the pandemic, older individuals (aged 50 and above) exhibited lower walking frequencies. Interestingly, the pandemic widened this age-related gap, with older individuals showing a more significant decrease in their walking frequency compared to the younger group. This is indicated by the significant increase in the absolute value of %ATEs</w:t>
      </w:r>
      <w:r>
        <w:rPr>
          <w:rFonts w:ascii="Times New Roman" w:hAnsi="Times New Roman"/>
        </w:rPr>
        <w:t xml:space="preserve"> </w:t>
      </w:r>
      <w:r w:rsidRPr="00DE3C4D">
        <w:rPr>
          <w:rFonts w:ascii="Times New Roman" w:hAnsi="Times New Roman"/>
        </w:rPr>
        <w:t>corresponding to both ends of the walking frequency spectrum (from 15.5% to 23.7% at Level 1 and from -11.3% to</w:t>
      </w:r>
      <w:r>
        <w:rPr>
          <w:rFonts w:ascii="Times New Roman" w:hAnsi="Times New Roman"/>
        </w:rPr>
        <w:t xml:space="preserve">         </w:t>
      </w:r>
      <w:r w:rsidRPr="00DE3C4D">
        <w:rPr>
          <w:rFonts w:ascii="Times New Roman" w:hAnsi="Times New Roman"/>
        </w:rPr>
        <w:t xml:space="preserve">-16.4% at Level 5). Additionally, older individuals were more likely to change their walking habits during the pandemic (%ATE for consonance is -1.6%), possibly indicating a greater adaptability among this demographic group. On the other hand, the pandemic did not appear to have a significant impact on gender-based differences in walking frequency. </w:t>
      </w:r>
      <w:r w:rsidR="00443932">
        <w:rPr>
          <w:rFonts w:ascii="Times New Roman" w:hAnsi="Times New Roman"/>
        </w:rPr>
        <w:t>However, i</w:t>
      </w:r>
      <w:r w:rsidRPr="000F2BD4">
        <w:rPr>
          <w:rFonts w:ascii="Times New Roman" w:hAnsi="Times New Roman"/>
        </w:rPr>
        <w:t xml:space="preserve">t is important to consider this persistent gender discrepancy in promoting physical activity and pedestrian-friendly urban planning, as women may face unique barriers to regular walking such as feeling less safe in public spaces, resulting in lower perceived walkability than men </w:t>
      </w:r>
      <w:r w:rsidRPr="000F2BD4">
        <w:rPr>
          <w:rFonts w:ascii="Times New Roman" w:hAnsi="Times New Roman"/>
        </w:rPr>
        <w:fldChar w:fldCharType="begin"/>
      </w:r>
      <w:r w:rsidR="00E66090">
        <w:rPr>
          <w:rFonts w:ascii="Times New Roman" w:hAnsi="Times New Roman"/>
        </w:rPr>
        <w:instrText xml:space="preserve"> ADDIN ZOTERO_ITEM CSL_CITATION {"citationID":"ClGB0sUm","properties":{"formattedCitation":"(Ri\\uc0\\u353{}ov\\uc0\\u225{} &amp; Sl\\uc0\\u225{}dekov\\uc0\\u225{} Madajov\\uc0\\u225{}, 2020)","plainCitation":"(Rišová &amp; Sládeková Madajová, 2020)","dontUpdate":true,"noteIndex":0},"citationItems":[{"id":"Fxqj00vV/Ug4pYkrZ","uris":["http://zotero.org/users/10132210/items/N4HJT26G"],"itemData":{"id":327,"type":"article-journal","abstract":"Background: A safe environment has been widely accepted as one of the most important walkability predictors. However, the relation between perceived safety and walkability has not been well established. Aims: This paper focuses on quantitative aspects of the relation between perceived safety and walkability, as well as examining spatio-temporal patterns of fear-related areas, with a special emphasis on gender diﬀerences among adolescents. Data and methods: Data regarding walkability perception and safety perception was collected during a mapping exercise in primary and grammar schools in Banská Bystrica city (central Slovakia), with a ﬁnal sample of 303 adolescents (13–16 years old, 54% girls). In the experiment, pre-prepared reply forms and maps divided into a square ﬁshnet were used.\nResults: Regardless of the time of day, girls felt less safe in public spaces than boys did, especially in the city centre. In general, fear-related spaces for boys were more dispersed than for girls, whose perceived risky areas were more compact and spatially concentrated. Girls' perception of walkability was more aﬀected by feeling safe than that of boys, with fewer gender diﬀerences at night.\nConclusions: By mitigating and even eliminating threats observed by girls, gender diﬀerences in the perception of barriers to walking can be reduced.","container-title":"Journal of Transport Geography","DOI":"10.1016/j.jtrangeo.2020.102723","ISSN":"09666923","journalAbbreviation":"Journal of Transport Geography","language":"en","page":"102723","source":"DOI.org (Crossref)","title":"Gender differences in a walking environment safety perception: A case study in a small town of Banská Bystrica (Slovakia)","title-short":"Gender differences in a walking environment safety perception","volume":"85","author":[{"family":"Rišová","given":"Katarína"},{"family":"Sládeková Madajová","given":"Michala"}],"issued":{"date-parts":[["2020",5]]}}}],"schema":"https://github.com/citation-style-language/schema/raw/master/csl-citation.json"} </w:instrText>
      </w:r>
      <w:r w:rsidRPr="000F2BD4">
        <w:rPr>
          <w:rFonts w:ascii="Times New Roman" w:hAnsi="Times New Roman"/>
        </w:rPr>
        <w:fldChar w:fldCharType="separate"/>
      </w:r>
      <w:r w:rsidRPr="000F2BD4">
        <w:rPr>
          <w:rFonts w:ascii="Times New Roman" w:hAnsi="Times New Roman"/>
          <w:szCs w:val="24"/>
        </w:rPr>
        <w:t>(Rišová and Sládeková Madajová, 2020)</w:t>
      </w:r>
      <w:r w:rsidRPr="000F2BD4">
        <w:rPr>
          <w:rFonts w:ascii="Times New Roman" w:hAnsi="Times New Roman"/>
        </w:rPr>
        <w:fldChar w:fldCharType="end"/>
      </w:r>
      <w:r w:rsidRPr="000F2BD4">
        <w:rPr>
          <w:rFonts w:ascii="Times New Roman" w:hAnsi="Times New Roman"/>
        </w:rPr>
        <w:t>.</w:t>
      </w:r>
      <w:r w:rsidRPr="00DE3C4D">
        <w:rPr>
          <w:rFonts w:ascii="Times New Roman" w:hAnsi="Times New Roman"/>
        </w:rPr>
        <w:t xml:space="preserve"> Additionally, the gap in walking frequency between those with lower and higher educational attainment narrowed during the pandemic. Interestingly, the difference in the population share of individuals walking everyday (Level 5) between low and high-educated individuals, while still high, shrinks significantly from 196.1% to 111.8%, while the difference in those who walk less than a few times a week (Levels 1-3) deteriorates slightly. The negative %ATE related to the consonance measure (-4.6%) also indicates that individuals with higher educational levels are more flexible in their walking habits, suggesting a willingness to adapt to changing circumstances. </w:t>
      </w:r>
    </w:p>
    <w:p w14:paraId="218A9B46" w14:textId="77777777" w:rsidR="008B58C4" w:rsidRPr="00DE3C4D" w:rsidRDefault="008B58C4" w:rsidP="008B58C4">
      <w:pPr>
        <w:ind w:firstLine="720"/>
        <w:jc w:val="both"/>
        <w:rPr>
          <w:rFonts w:ascii="Times New Roman" w:hAnsi="Times New Roman"/>
        </w:rPr>
      </w:pPr>
      <w:r w:rsidRPr="00DE3C4D">
        <w:rPr>
          <w:rFonts w:ascii="Times New Roman" w:hAnsi="Times New Roman"/>
        </w:rPr>
        <w:t>Similarly, the difference in walking frequency between those living alone and those living with a partner but without children is substantially reduced, as evidenced by the low post-COVID %ATE values. In contrast, couples with children showed lower walking frequency both before and after the pandemic, with the gap between these groups increasing during the pandemic. High vehicle ownership levels were associated with reduced walking frequency, a trend observed both before and after the pandemic. Interestingly, the impact of vehicle ownership on walking habits decreased during the pandemic, with individuals who owned multiple vehicles walking more frequently after COVID. This shift may suggest a reconsideration of transportation choices during the pandemic, where individuals opted for more active forms of mobility and continued to do so after the pandemic. Conversely, the disparity between high and low-income groups widened. Interestingly, individuals whose income increased from low to high were more likely to change their walking frequency (-4.8% ATE for consonance), while those whose income decreased from high to low showed less tendency to change their walking habits (2.4% ATE for consonance). This finding underscores the dynamic nature of income-related influences on physical activity.</w:t>
      </w:r>
      <w:r w:rsidRPr="00DE3C4D">
        <w:rPr>
          <w:rFonts w:ascii="Times New Roman" w:hAnsi="Times New Roman"/>
          <w:shd w:val="clear" w:color="auto" w:fill="F7F7F8"/>
        </w:rPr>
        <w:t xml:space="preserve"> </w:t>
      </w:r>
      <w:r w:rsidRPr="00DE3C4D">
        <w:rPr>
          <w:rFonts w:ascii="Times New Roman" w:hAnsi="Times New Roman"/>
        </w:rPr>
        <w:t>Employment status and commute time played a complex role, with different effects based on commute duration. Those employed, working from the in-person physical office, and commuting less than 50 minutes walked less than the unemployed, but this gap decreased during the pandemic. Conversely, those employed with commutes exceeding 50 minutes walked more than the unemployed, with the disparity narrowing during the pandemic. The flexible work arrangements implemented in response to the COVID-19 pandemic had a significant impact on walking frequency. Specifically, individuals who worked from home, for three to five days a week, showed increased walking frequencies. The %ATE, reflecting the percentage of individuals walking every day, saw a notable increase, ranging from 22.4% (for 3 days working from home) to 38.8% (for 5 days working from home).</w:t>
      </w:r>
    </w:p>
    <w:p w14:paraId="5D7386CC" w14:textId="77777777" w:rsidR="008B58C4" w:rsidRDefault="008B58C4" w:rsidP="008B58C4">
      <w:pPr>
        <w:ind w:firstLine="720"/>
        <w:jc w:val="both"/>
        <w:rPr>
          <w:rFonts w:ascii="Times New Roman" w:hAnsi="Times New Roman"/>
        </w:rPr>
      </w:pPr>
      <w:r w:rsidRPr="00DE3C4D">
        <w:rPr>
          <w:rFonts w:ascii="Times New Roman" w:hAnsi="Times New Roman"/>
        </w:rPr>
        <w:lastRenderedPageBreak/>
        <w:t>Residing in highly walkable neighborhoods and having bicycle accessibility consistently maintained a positive impact on walking frequency, and this relationship remained largely unaffected by the pandemic. However, the distance to transit had a contrasting effect, contributing to a decrease in walking frequency, particularly for individuals residing farther from transit, regardless of the time period. Notably, while the distance to transit negatively affected walking frequency, the ATE of consonance indicated that people living far from transit exhibited a greater tendency to alter their walking habits (less consonance) in response to the pandemic. This stands in contrast to the effect of bike accessibility, where the introduction of bike access (going from no access to having access) increased the probability of consonance by 3.7%. This highlights the nuanced relationship between location-based factors and the adaptability of walking behavior.</w:t>
      </w:r>
    </w:p>
    <w:p w14:paraId="34072D0E" w14:textId="77777777" w:rsidR="008B58C4" w:rsidRPr="00DE3C4D" w:rsidRDefault="008B58C4" w:rsidP="008B58C4">
      <w:pPr>
        <w:ind w:firstLine="720"/>
        <w:jc w:val="both"/>
        <w:rPr>
          <w:rFonts w:ascii="Times New Roman" w:hAnsi="Times New Roman"/>
        </w:rPr>
      </w:pPr>
    </w:p>
    <w:p w14:paraId="12584FF9" w14:textId="77777777" w:rsidR="008B58C4" w:rsidRPr="003C329C" w:rsidRDefault="008B58C4" w:rsidP="008B58C4">
      <w:pPr>
        <w:pStyle w:val="Heading1"/>
        <w:spacing w:line="240" w:lineRule="auto"/>
        <w:jc w:val="both"/>
        <w:rPr>
          <w:caps/>
        </w:rPr>
      </w:pPr>
      <w:r w:rsidRPr="003C329C">
        <w:rPr>
          <w:caps/>
        </w:rPr>
        <w:t>Implications and Conclusions</w:t>
      </w:r>
    </w:p>
    <w:p w14:paraId="6100CDC9" w14:textId="259E7ACF" w:rsidR="008B58C4" w:rsidRPr="00BA3CC8" w:rsidRDefault="008B58C4" w:rsidP="008B58C4">
      <w:pPr>
        <w:jc w:val="both"/>
        <w:rPr>
          <w:rFonts w:ascii="Times New Roman" w:hAnsi="Times New Roman"/>
        </w:rPr>
      </w:pPr>
      <w:r w:rsidRPr="00BA3CC8">
        <w:rPr>
          <w:rFonts w:ascii="Times New Roman" w:hAnsi="Times New Roman"/>
        </w:rPr>
        <w:t xml:space="preserve">This study focuses on the change in walking that occurred during the pandemic. In the face of lockdowns, indoor restrictions, and </w:t>
      </w:r>
      <w:r w:rsidR="00443932">
        <w:rPr>
          <w:rFonts w:ascii="Times New Roman" w:hAnsi="Times New Roman"/>
        </w:rPr>
        <w:t xml:space="preserve">the </w:t>
      </w:r>
      <w:r w:rsidRPr="00BA3CC8">
        <w:rPr>
          <w:rFonts w:ascii="Times New Roman" w:hAnsi="Times New Roman"/>
        </w:rPr>
        <w:t xml:space="preserve">threat of contagion, people engaged in higher levels of walking during the pandemic. This study aimed to identify the factors that contribute to walking levels and the extent to which the effects of different variables may have changed during the pandemic. While the amount of walking may be influenced by a host of socio-economic and demographic variables, built environment attributes, and employment modalities, the shift in the amount of walking may have occurred due to a change in the effects of these variables on walking frequencies. In other words, in the context of a pandemic when behaviors are changing and adapting to conditions, some variables may exhibit a fixed effect on walking frequency (i.e., the effect on the amount of walking regardless of the pandemic), some may exhibit a switching effect (i.e., an effect contributing to a shift/change in the amount of walking during COVID circumstances), and some may exhibit both a fixed effect and a switching effect.  In addition, those who increased their walking during COVID may have done so for different reasons; insights derived from a knowledge of underlying factors that motivated increased walking during COVID may help shape future policies that encourage continued walking long after the pandemic has faded.  </w:t>
      </w:r>
    </w:p>
    <w:p w14:paraId="76E3790C" w14:textId="77777777" w:rsidR="008B58C4" w:rsidRPr="00BA3CC8" w:rsidRDefault="008B58C4" w:rsidP="008B58C4">
      <w:pPr>
        <w:jc w:val="both"/>
        <w:rPr>
          <w:rFonts w:ascii="Times New Roman" w:hAnsi="Times New Roman"/>
          <w:bCs/>
          <w:szCs w:val="24"/>
        </w:rPr>
      </w:pPr>
      <w:r w:rsidRPr="00BA3CC8">
        <w:rPr>
          <w:rFonts w:ascii="Times New Roman" w:hAnsi="Times New Roman"/>
        </w:rPr>
        <w:tab/>
        <w:t xml:space="preserve">Overall, this study finds strong relationships between socio-economic and demographic characteristics, BE attributes, and walking frequency, both before and after a pandemic-induced disruption. Specifically, our study identified groups that typically engage in less walking, including older individuals, those from low-income households, those with access to multiple vehicles, and residents of areas with limited walkability. Furthermore, we identified groups that were disproportionately affected by the pandemic, such as those required to work in person. To address these disparities, policymakers should prioritize strategies aimed at enhancing accessibility to walking opportunities for these groups and promoting increased walking participation among them. As indicated by our results, investments in walking infrastructure and land use density do contribute significantly to walking frequency. </w:t>
      </w:r>
      <w:r w:rsidRPr="00BA3CC8">
        <w:rPr>
          <w:rFonts w:ascii="Times New Roman" w:hAnsi="Times New Roman"/>
          <w:bCs/>
          <w:szCs w:val="24"/>
        </w:rPr>
        <w:t xml:space="preserve">Additionally, given the significant variations in the underlying reasons for the observed increases in walking frequency, policymakers can leverage these outcomes to tailor interventions more effectively. For instance, the establishment of social neighborhood walking groups could effectively encourage older individuals to walk more, satisfying their social needs while promoting physical activity. Implementing child-friendly streets can inspire families with children to increase their walking habits and relish outdoor time with their youngsters. Organizing dog adoption events can further stimulate walking among pet owners. In addition, enhancing the built environment by implementing </w:t>
      </w:r>
      <w:r>
        <w:rPr>
          <w:rFonts w:ascii="Times New Roman" w:hAnsi="Times New Roman"/>
          <w:bCs/>
          <w:szCs w:val="24"/>
        </w:rPr>
        <w:t>“</w:t>
      </w:r>
      <w:r w:rsidRPr="00BA3CC8">
        <w:rPr>
          <w:rFonts w:ascii="Times New Roman" w:hAnsi="Times New Roman"/>
          <w:bCs/>
          <w:szCs w:val="24"/>
        </w:rPr>
        <w:t>Healthy</w:t>
      </w:r>
      <w:r>
        <w:rPr>
          <w:rFonts w:ascii="Times New Roman" w:hAnsi="Times New Roman"/>
          <w:bCs/>
          <w:szCs w:val="24"/>
        </w:rPr>
        <w:t>”</w:t>
      </w:r>
      <w:r w:rsidRPr="00BA3CC8">
        <w:rPr>
          <w:rFonts w:ascii="Times New Roman" w:hAnsi="Times New Roman"/>
          <w:bCs/>
          <w:szCs w:val="24"/>
        </w:rPr>
        <w:t xml:space="preserve"> streets and fostering a </w:t>
      </w:r>
      <w:r w:rsidRPr="00BA3CC8">
        <w:rPr>
          <w:rFonts w:ascii="Times New Roman" w:hAnsi="Times New Roman"/>
          <w:bCs/>
          <w:szCs w:val="24"/>
        </w:rPr>
        <w:lastRenderedPageBreak/>
        <w:t>more comprehensive, walkable urban landscape will undoubtedly play a pivotal role in incentivizing increased walking in the future.</w:t>
      </w:r>
    </w:p>
    <w:p w14:paraId="0FA7CA2F" w14:textId="77777777" w:rsidR="008B58C4" w:rsidRPr="00BA3CC8" w:rsidRDefault="008B58C4" w:rsidP="008B58C4">
      <w:pPr>
        <w:ind w:firstLine="720"/>
        <w:jc w:val="both"/>
        <w:rPr>
          <w:rFonts w:ascii="Times New Roman" w:hAnsi="Times New Roman"/>
          <w:bCs/>
          <w:szCs w:val="24"/>
        </w:rPr>
      </w:pPr>
      <w:r w:rsidRPr="00BA3CC8">
        <w:rPr>
          <w:rFonts w:ascii="Times New Roman" w:hAnsi="Times New Roman"/>
          <w:bCs/>
          <w:szCs w:val="24"/>
        </w:rPr>
        <w:t>The sustainability of increased walking levels across various groups remains uncertain and largely dependent on the reasons underlying the increase. As a result of the pandemic, certain groups increased their walking due to the desire for exercise and combating isolation. Some experienced a newfound enjoyment of walking, while others were motivated by changes in the walking environment or the acquisition of a dog. With many establishments and recreational opportunities returning to normal, the motivation for elevated walking levels may wane.</w:t>
      </w:r>
      <w:r w:rsidRPr="00BA3CC8">
        <w:rPr>
          <w:rFonts w:ascii="Times New Roman" w:hAnsi="Times New Roman"/>
        </w:rPr>
        <w:t xml:space="preserve"> </w:t>
      </w:r>
      <w:r w:rsidRPr="00BA3CC8">
        <w:rPr>
          <w:rFonts w:ascii="Times New Roman" w:hAnsi="Times New Roman"/>
          <w:bCs/>
          <w:szCs w:val="24"/>
        </w:rPr>
        <w:t>However, those who embraced higher levels of walking because of a new realization, an improvement in walking environment, or an acquisition of a dog may continue to do so in the longer term as those reasons are not short-lived in nature. In other words, campaigns and interventions that bring about greater awareness and realizations (of the benefits of walking), provide enhanced walking environments, and afford people time and flexibility to engage in walking activities are likely to yield long-term positive results – bringing about benefits to public health and the environment.</w:t>
      </w:r>
    </w:p>
    <w:p w14:paraId="33041443" w14:textId="2A6C5EFC" w:rsidR="008B58C4" w:rsidRPr="00BA3CC8" w:rsidRDefault="008B58C4" w:rsidP="008B58C4">
      <w:pPr>
        <w:ind w:firstLine="720"/>
        <w:jc w:val="both"/>
        <w:rPr>
          <w:rFonts w:ascii="Times New Roman" w:hAnsi="Times New Roman"/>
        </w:rPr>
      </w:pPr>
      <w:r w:rsidRPr="00BA3CC8">
        <w:rPr>
          <w:rFonts w:ascii="Times New Roman" w:hAnsi="Times New Roman"/>
        </w:rPr>
        <w:t xml:space="preserve">Furthermore, several areas warrant further exploration regarding changes in walking behaviors in the post-pandemic landscape. First, there is a valid concern about the long-term sustainability of the changes discussed in this study once daily life returns to its pre-pandemic state. While the immediate effects and perceptions brought by the pandemic are likely to wane over time, lifestyle adaptations, such as remote work and online shopping, are expected to have long-term effects. Given that the survey we utilized was conducted in the final stages of the pandemic, it was unable to capture the full extent of behavioral changes that actually occurred after the official end of the COVID-19 pandemic in 2023 </w:t>
      </w:r>
      <w:r w:rsidRPr="00BA3CC8">
        <w:rPr>
          <w:rFonts w:ascii="Times New Roman" w:hAnsi="Times New Roman"/>
        </w:rPr>
        <w:fldChar w:fldCharType="begin"/>
      </w:r>
      <w:r w:rsidR="00E66090">
        <w:rPr>
          <w:rFonts w:ascii="Times New Roman" w:hAnsi="Times New Roman"/>
        </w:rPr>
        <w:instrText xml:space="preserve"> ADDIN ZOTERO_ITEM CSL_CITATION {"citationID":"K43mb43K","properties":{"formattedCitation":"(World Health Organization, 2023)","plainCitation":"(World Health Organization, 2023)","noteIndex":0},"citationItems":[{"id":"Fxqj00vV/gXvwMEQy","uris":["http://zotero.org/users/10132210/items/SW5UQTYH"],"itemData":{"id":200,"type":"report","title":"Statement on the fifteenth meeting of the IHR (2005) Emergency Committee on the COVID-19 pandemic","author":[{"family":"World Health Organization","given":""}],"issued":{"date-parts":[["2023",5,5]]}}}],"schema":"https://github.com/citation-style-language/schema/raw/master/csl-citation.json"} </w:instrText>
      </w:r>
      <w:r w:rsidRPr="00BA3CC8">
        <w:rPr>
          <w:rFonts w:ascii="Times New Roman" w:hAnsi="Times New Roman"/>
        </w:rPr>
        <w:fldChar w:fldCharType="separate"/>
      </w:r>
      <w:r w:rsidRPr="00BA3CC8">
        <w:rPr>
          <w:rFonts w:ascii="Times New Roman" w:hAnsi="Times New Roman"/>
        </w:rPr>
        <w:t>(World Health Organization, 2023)</w:t>
      </w:r>
      <w:r w:rsidRPr="00BA3CC8">
        <w:rPr>
          <w:rFonts w:ascii="Times New Roman" w:hAnsi="Times New Roman"/>
        </w:rPr>
        <w:fldChar w:fldCharType="end"/>
      </w:r>
      <w:r w:rsidRPr="00BA3CC8">
        <w:rPr>
          <w:rFonts w:ascii="Times New Roman" w:hAnsi="Times New Roman"/>
        </w:rPr>
        <w:t xml:space="preserve">. Second, because of the inherently different characteristics between utilitarian and recreational walking, a separate model for each type of walking would be more beneficial for informing policy implications. Finally, </w:t>
      </w:r>
      <w:r w:rsidRPr="00BA3CC8">
        <w:rPr>
          <w:rFonts w:ascii="Times New Roman" w:hAnsi="Times New Roman"/>
          <w:lang w:eastAsia="ko-KR"/>
        </w:rPr>
        <w:t xml:space="preserve">when considering walking as a form of </w:t>
      </w:r>
      <w:r w:rsidRPr="00BA3CC8">
        <w:rPr>
          <w:rFonts w:ascii="Times New Roman" w:hAnsi="Times New Roman"/>
        </w:rPr>
        <w:t xml:space="preserve">physical activity, </w:t>
      </w:r>
      <w:r w:rsidRPr="00BA3CC8">
        <w:rPr>
          <w:rFonts w:ascii="Times New Roman" w:hAnsi="Times New Roman"/>
          <w:bCs/>
          <w:szCs w:val="24"/>
        </w:rPr>
        <w:t>both frequency and duration affect the health benefits of walking. Therefore, considering both these dimensions together will provide a better indication of physical activity.</w:t>
      </w:r>
    </w:p>
    <w:p w14:paraId="3E8A281B" w14:textId="77777777" w:rsidR="008B58C4" w:rsidRDefault="008B58C4" w:rsidP="008B58C4">
      <w:pPr>
        <w:jc w:val="both"/>
        <w:rPr>
          <w:rFonts w:ascii="Times New Roman" w:eastAsiaTheme="minorEastAsia" w:hAnsi="Times New Roman"/>
          <w:b/>
          <w:bCs/>
          <w:lang w:eastAsia="ko-KR"/>
        </w:rPr>
      </w:pPr>
    </w:p>
    <w:p w14:paraId="422F5577" w14:textId="1A296837" w:rsidR="0050499D" w:rsidRPr="003C329C" w:rsidRDefault="0050499D" w:rsidP="0050499D">
      <w:pPr>
        <w:jc w:val="both"/>
        <w:rPr>
          <w:rFonts w:ascii="Times New Roman" w:eastAsiaTheme="minorEastAsia" w:hAnsi="Times New Roman"/>
          <w:b/>
          <w:bCs/>
          <w:caps/>
          <w:lang w:eastAsia="ko-KR"/>
        </w:rPr>
      </w:pPr>
      <w:r w:rsidRPr="003C329C">
        <w:rPr>
          <w:rFonts w:ascii="Times New Roman" w:eastAsiaTheme="minorEastAsia" w:hAnsi="Times New Roman" w:hint="eastAsia"/>
          <w:b/>
          <w:bCs/>
          <w:caps/>
          <w:lang w:eastAsia="ko-KR"/>
        </w:rPr>
        <w:t>A</w:t>
      </w:r>
      <w:r w:rsidRPr="003C329C">
        <w:rPr>
          <w:rFonts w:ascii="Times New Roman" w:eastAsiaTheme="minorEastAsia" w:hAnsi="Times New Roman"/>
          <w:b/>
          <w:bCs/>
          <w:caps/>
          <w:lang w:eastAsia="ko-KR"/>
        </w:rPr>
        <w:t>cknowledgements</w:t>
      </w:r>
    </w:p>
    <w:p w14:paraId="26875689" w14:textId="30291D56" w:rsidR="00DC6DA5" w:rsidRPr="0050499D" w:rsidRDefault="0050499D" w:rsidP="0050499D">
      <w:pPr>
        <w:jc w:val="both"/>
        <w:rPr>
          <w:rFonts w:ascii="Times New Roman" w:hAnsi="Times New Roman"/>
        </w:rPr>
      </w:pPr>
      <w:r w:rsidRPr="00905118">
        <w:rPr>
          <w:rFonts w:ascii="Times New Roman" w:eastAsiaTheme="minorEastAsia" w:hAnsi="Times New Roman"/>
          <w:lang w:eastAsia="ko-KR"/>
        </w:rPr>
        <w:t>This</w:t>
      </w:r>
      <w:r w:rsidRPr="0050499D">
        <w:rPr>
          <w:rFonts w:ascii="Times New Roman" w:eastAsiaTheme="minorEastAsia" w:hAnsi="Times New Roman"/>
          <w:b/>
          <w:bCs/>
          <w:lang w:eastAsia="ko-KR"/>
        </w:rPr>
        <w:t xml:space="preserve"> </w:t>
      </w:r>
      <w:r w:rsidRPr="0050499D">
        <w:rPr>
          <w:rFonts w:ascii="Times New Roman" w:hAnsi="Times New Roman"/>
        </w:rPr>
        <w:t>research was partially supported by the Center for Understanding Future Travel Behavior</w:t>
      </w:r>
      <w:r w:rsidR="00905118">
        <w:rPr>
          <w:rFonts w:ascii="Times New Roman" w:eastAsiaTheme="minorEastAsia" w:hAnsi="Times New Roman" w:hint="eastAsia"/>
          <w:lang w:eastAsia="ko-KR"/>
        </w:rPr>
        <w:t xml:space="preserve"> </w:t>
      </w:r>
      <w:r w:rsidRPr="0050499D">
        <w:rPr>
          <w:rFonts w:ascii="Times New Roman" w:hAnsi="Times New Roman"/>
        </w:rPr>
        <w:t>and Demand (TBD), a National University Transportation Center sponsored by the U.S.</w:t>
      </w:r>
      <w:r w:rsidR="00905118">
        <w:rPr>
          <w:rFonts w:ascii="Times New Roman" w:eastAsiaTheme="minorEastAsia" w:hAnsi="Times New Roman" w:hint="eastAsia"/>
          <w:lang w:eastAsia="ko-KR"/>
        </w:rPr>
        <w:t xml:space="preserve"> </w:t>
      </w:r>
      <w:r w:rsidRPr="0050499D">
        <w:rPr>
          <w:rFonts w:ascii="Times New Roman" w:hAnsi="Times New Roman"/>
        </w:rPr>
        <w:t>Department of Transportation under grants 69A3552344815 and 69A3552348320, as well as by</w:t>
      </w:r>
      <w:r w:rsidR="00905118">
        <w:rPr>
          <w:rFonts w:ascii="Times New Roman" w:eastAsiaTheme="minorEastAsia" w:hAnsi="Times New Roman" w:hint="eastAsia"/>
          <w:lang w:eastAsia="ko-KR"/>
        </w:rPr>
        <w:t xml:space="preserve"> </w:t>
      </w:r>
      <w:r w:rsidRPr="0050499D">
        <w:rPr>
          <w:rFonts w:ascii="Times New Roman" w:hAnsi="Times New Roman"/>
        </w:rPr>
        <w:t>the Center for Teaching Old Models New Tricks (TOMNET), a Tier 1 University Transportation</w:t>
      </w:r>
      <w:r w:rsidR="00905118">
        <w:rPr>
          <w:rFonts w:ascii="Times New Roman" w:eastAsiaTheme="minorEastAsia" w:hAnsi="Times New Roman" w:hint="eastAsia"/>
          <w:lang w:eastAsia="ko-KR"/>
        </w:rPr>
        <w:t xml:space="preserve"> </w:t>
      </w:r>
      <w:r w:rsidRPr="0050499D">
        <w:rPr>
          <w:rFonts w:ascii="Times New Roman" w:hAnsi="Times New Roman"/>
        </w:rPr>
        <w:t>Center sponsored by the US Department of Transportation under grant 69A3551747116. The</w:t>
      </w:r>
      <w:r w:rsidR="00905118">
        <w:rPr>
          <w:rFonts w:ascii="Times New Roman" w:eastAsiaTheme="minorEastAsia" w:hAnsi="Times New Roman" w:hint="eastAsia"/>
          <w:lang w:eastAsia="ko-KR"/>
        </w:rPr>
        <w:t xml:space="preserve"> </w:t>
      </w:r>
      <w:r w:rsidRPr="0050499D">
        <w:rPr>
          <w:rFonts w:ascii="Times New Roman" w:hAnsi="Times New Roman"/>
        </w:rPr>
        <w:t>authors are grateful to Lisa Macias for her help in formatting this document.</w:t>
      </w:r>
    </w:p>
    <w:p w14:paraId="2D9D1945" w14:textId="77777777" w:rsidR="00DC6DA5" w:rsidRPr="0050499D" w:rsidRDefault="00DC6DA5" w:rsidP="008B58C4">
      <w:pPr>
        <w:jc w:val="both"/>
        <w:rPr>
          <w:rFonts w:ascii="Times New Roman" w:hAnsi="Times New Roman"/>
        </w:rPr>
      </w:pPr>
    </w:p>
    <w:p w14:paraId="327A81B2" w14:textId="77777777" w:rsidR="00965E94" w:rsidRDefault="00965E94" w:rsidP="008B58C4">
      <w:pPr>
        <w:jc w:val="both"/>
        <w:rPr>
          <w:rFonts w:ascii="Times New Roman" w:hAnsi="Times New Roman"/>
          <w:b/>
          <w:bCs/>
          <w:caps/>
          <w:lang w:eastAsia="ko-KR"/>
        </w:rPr>
      </w:pPr>
      <w:r>
        <w:rPr>
          <w:rFonts w:ascii="Times New Roman" w:hAnsi="Times New Roman"/>
          <w:b/>
          <w:bCs/>
          <w:caps/>
          <w:lang w:eastAsia="ko-KR"/>
        </w:rPr>
        <w:br w:type="page"/>
      </w:r>
    </w:p>
    <w:p w14:paraId="3713F9CB" w14:textId="487458AB" w:rsidR="00DC6DA5" w:rsidRPr="003C329C" w:rsidRDefault="008B58C4" w:rsidP="008B58C4">
      <w:pPr>
        <w:jc w:val="both"/>
        <w:rPr>
          <w:rFonts w:ascii="Times New Roman" w:eastAsiaTheme="minorEastAsia" w:hAnsi="Times New Roman"/>
          <w:b/>
          <w:bCs/>
          <w:caps/>
          <w:lang w:eastAsia="ko-KR"/>
        </w:rPr>
      </w:pPr>
      <w:r w:rsidRPr="003C329C">
        <w:rPr>
          <w:rFonts w:ascii="Times New Roman" w:hAnsi="Times New Roman"/>
          <w:b/>
          <w:bCs/>
          <w:caps/>
          <w:lang w:eastAsia="ko-KR"/>
        </w:rPr>
        <w:lastRenderedPageBreak/>
        <w:t>References</w:t>
      </w:r>
    </w:p>
    <w:p w14:paraId="6203A519" w14:textId="688281F8"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Adams, E. J., </w:t>
      </w:r>
      <w:proofErr w:type="spellStart"/>
      <w:r w:rsidRPr="00F5150F">
        <w:rPr>
          <w:rFonts w:ascii="Times New Roman" w:hAnsi="Times New Roman"/>
          <w:szCs w:val="24"/>
        </w:rPr>
        <w:t>Esliger</w:t>
      </w:r>
      <w:proofErr w:type="spellEnd"/>
      <w:r w:rsidRPr="00F5150F">
        <w:rPr>
          <w:rFonts w:ascii="Times New Roman" w:hAnsi="Times New Roman"/>
          <w:szCs w:val="24"/>
        </w:rPr>
        <w:t xml:space="preserve">, D. W., Taylor, I. M., </w:t>
      </w:r>
      <w:r w:rsidR="003C329C">
        <w:rPr>
          <w:rFonts w:ascii="Times New Roman" w:hAnsi="Times New Roman"/>
          <w:szCs w:val="24"/>
        </w:rPr>
        <w:t>and</w:t>
      </w:r>
      <w:r w:rsidRPr="00F5150F">
        <w:rPr>
          <w:rFonts w:ascii="Times New Roman" w:hAnsi="Times New Roman"/>
          <w:szCs w:val="24"/>
        </w:rPr>
        <w:t xml:space="preserve"> </w:t>
      </w:r>
      <w:proofErr w:type="spellStart"/>
      <w:r w:rsidRPr="00F5150F">
        <w:rPr>
          <w:rFonts w:ascii="Times New Roman" w:hAnsi="Times New Roman"/>
          <w:szCs w:val="24"/>
        </w:rPr>
        <w:t>Sherar</w:t>
      </w:r>
      <w:proofErr w:type="spellEnd"/>
      <w:r w:rsidRPr="00F5150F">
        <w:rPr>
          <w:rFonts w:ascii="Times New Roman" w:hAnsi="Times New Roman"/>
          <w:szCs w:val="24"/>
        </w:rPr>
        <w:t xml:space="preserve">, L. B. (2017). Individual, employment and psychosocial factors influencing walking to work: Implications for intervention design. </w:t>
      </w:r>
      <w:r w:rsidRPr="003C329C">
        <w:rPr>
          <w:rFonts w:ascii="Times New Roman" w:hAnsi="Times New Roman"/>
          <w:i/>
          <w:iCs/>
          <w:szCs w:val="24"/>
        </w:rPr>
        <w:t>PLOS ONE</w:t>
      </w:r>
      <w:r w:rsidRPr="00F5150F">
        <w:rPr>
          <w:rFonts w:ascii="Times New Roman" w:hAnsi="Times New Roman"/>
          <w:szCs w:val="24"/>
        </w:rPr>
        <w:t>, 12(2), e0171374. https://doi.org/10.1371/journal.pone.0171374</w:t>
      </w:r>
    </w:p>
    <w:p w14:paraId="40E1A44C" w14:textId="5B452ECB"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Adlakha, D., </w:t>
      </w:r>
      <w:proofErr w:type="spellStart"/>
      <w:r w:rsidRPr="00F5150F">
        <w:rPr>
          <w:rFonts w:ascii="Times New Roman" w:hAnsi="Times New Roman"/>
          <w:szCs w:val="24"/>
        </w:rPr>
        <w:t>Hipp</w:t>
      </w:r>
      <w:proofErr w:type="spellEnd"/>
      <w:r w:rsidRPr="00F5150F">
        <w:rPr>
          <w:rFonts w:ascii="Times New Roman" w:hAnsi="Times New Roman"/>
          <w:szCs w:val="24"/>
        </w:rPr>
        <w:t xml:space="preserve">, A. J., Marx, C., Yang, L., Tabak, R., Dodson, E. A., </w:t>
      </w:r>
      <w:r w:rsidR="003C329C">
        <w:rPr>
          <w:rFonts w:ascii="Times New Roman" w:hAnsi="Times New Roman"/>
          <w:szCs w:val="24"/>
        </w:rPr>
        <w:t>and</w:t>
      </w:r>
      <w:r w:rsidRPr="00F5150F">
        <w:rPr>
          <w:rFonts w:ascii="Times New Roman" w:hAnsi="Times New Roman"/>
          <w:szCs w:val="24"/>
        </w:rPr>
        <w:t xml:space="preserve"> Brownson, R. C. (2015). Home and workplace built environment supports for physical activity. American </w:t>
      </w:r>
      <w:r w:rsidRPr="003C329C">
        <w:rPr>
          <w:rFonts w:ascii="Times New Roman" w:hAnsi="Times New Roman"/>
          <w:i/>
          <w:iCs/>
          <w:szCs w:val="24"/>
        </w:rPr>
        <w:t>Journal of Preventive Medicine</w:t>
      </w:r>
      <w:r w:rsidRPr="00F5150F">
        <w:rPr>
          <w:rFonts w:ascii="Times New Roman" w:hAnsi="Times New Roman"/>
          <w:szCs w:val="24"/>
        </w:rPr>
        <w:t>, 48(1), 104–107. https://doi.org/10.1016/j.amepre.2014.08.023</w:t>
      </w:r>
    </w:p>
    <w:p w14:paraId="2B68C6E3" w14:textId="77777777"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t>Aliyas</w:t>
      </w:r>
      <w:proofErr w:type="spellEnd"/>
      <w:r w:rsidRPr="00F5150F">
        <w:rPr>
          <w:rFonts w:ascii="Times New Roman" w:hAnsi="Times New Roman"/>
          <w:szCs w:val="24"/>
        </w:rPr>
        <w:t xml:space="preserve">, Z. (2020a). Social capital and physical activity level in an urban adult population. American </w:t>
      </w:r>
      <w:r w:rsidRPr="003C329C">
        <w:rPr>
          <w:rFonts w:ascii="Times New Roman" w:hAnsi="Times New Roman"/>
          <w:i/>
          <w:iCs/>
          <w:szCs w:val="24"/>
        </w:rPr>
        <w:t>Journal of Health Education</w:t>
      </w:r>
      <w:r w:rsidRPr="00F5150F">
        <w:rPr>
          <w:rFonts w:ascii="Times New Roman" w:hAnsi="Times New Roman"/>
          <w:szCs w:val="24"/>
        </w:rPr>
        <w:t>, 51(1), 40–49. https://doi.org/10.1080/19325037.2019.1691092</w:t>
      </w:r>
    </w:p>
    <w:p w14:paraId="6DA2ACAF" w14:textId="77777777"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t>Aliyas</w:t>
      </w:r>
      <w:proofErr w:type="spellEnd"/>
      <w:r w:rsidRPr="00F5150F">
        <w:rPr>
          <w:rFonts w:ascii="Times New Roman" w:hAnsi="Times New Roman"/>
          <w:szCs w:val="24"/>
        </w:rPr>
        <w:t xml:space="preserve">, Z. (2020b). Why some walk and others don’t: Neighborhood safety and the sociodemographic variation effect on walking for leisure and transportation. </w:t>
      </w:r>
      <w:r w:rsidRPr="00965E94">
        <w:rPr>
          <w:rFonts w:ascii="Times New Roman" w:hAnsi="Times New Roman"/>
          <w:i/>
          <w:iCs/>
          <w:szCs w:val="24"/>
        </w:rPr>
        <w:t>Journal of Public Health Management and Practice</w:t>
      </w:r>
      <w:r w:rsidRPr="00F5150F">
        <w:rPr>
          <w:rFonts w:ascii="Times New Roman" w:hAnsi="Times New Roman"/>
          <w:szCs w:val="24"/>
        </w:rPr>
        <w:t>, 26(4), E24–E32. https://doi.org/10.1097/PHH.0000000000000992</w:t>
      </w:r>
    </w:p>
    <w:p w14:paraId="14C79496" w14:textId="751E32A0" w:rsidR="008B58C4" w:rsidRPr="00F5150F" w:rsidRDefault="008B58C4" w:rsidP="00863C4F">
      <w:pPr>
        <w:pStyle w:val="ListParagraph"/>
        <w:ind w:left="540" w:hanging="540"/>
        <w:jc w:val="both"/>
        <w:rPr>
          <w:rFonts w:ascii="Times New Roman" w:hAnsi="Times New Roman"/>
          <w:szCs w:val="24"/>
        </w:rPr>
      </w:pPr>
      <w:r w:rsidRPr="009F4461">
        <w:rPr>
          <w:rFonts w:ascii="Times New Roman" w:hAnsi="Times New Roman"/>
          <w:szCs w:val="24"/>
        </w:rPr>
        <w:t xml:space="preserve">Anderson, S. M., Asmussen, K. E., Saxena, S., Batur, I., Pendyala, R. M., </w:t>
      </w:r>
      <w:r w:rsidR="003C329C">
        <w:rPr>
          <w:rFonts w:ascii="Times New Roman" w:hAnsi="Times New Roman"/>
          <w:szCs w:val="24"/>
        </w:rPr>
        <w:t>and</w:t>
      </w:r>
      <w:r w:rsidRPr="009F4461">
        <w:rPr>
          <w:rFonts w:ascii="Times New Roman" w:hAnsi="Times New Roman"/>
          <w:szCs w:val="24"/>
        </w:rPr>
        <w:t xml:space="preserve"> Bhat, C. R. (2023). An investigation of dissonance in telework frequency. Department of Civil, Architectural and Environmental Engineering, The University of Texas at Austin.</w:t>
      </w:r>
    </w:p>
    <w:p w14:paraId="479BFE42" w14:textId="01AE02FE" w:rsidR="008B58C4" w:rsidRPr="00F5150F" w:rsidRDefault="008B58C4" w:rsidP="00863C4F">
      <w:pPr>
        <w:pStyle w:val="ListParagraph"/>
        <w:keepLines/>
        <w:ind w:left="540" w:hanging="540"/>
        <w:jc w:val="both"/>
        <w:rPr>
          <w:rFonts w:ascii="Times New Roman" w:hAnsi="Times New Roman"/>
          <w:szCs w:val="24"/>
        </w:rPr>
      </w:pPr>
      <w:r w:rsidRPr="00F5150F">
        <w:rPr>
          <w:rFonts w:ascii="Times New Roman" w:hAnsi="Times New Roman"/>
          <w:szCs w:val="24"/>
        </w:rPr>
        <w:t xml:space="preserve">Batur, I., Dirks, A. C., Bhat, C. R., Polzin, S. E., Chen, C., </w:t>
      </w:r>
      <w:r w:rsidR="003C329C">
        <w:rPr>
          <w:rFonts w:ascii="Times New Roman" w:hAnsi="Times New Roman"/>
          <w:szCs w:val="24"/>
        </w:rPr>
        <w:t>and</w:t>
      </w:r>
      <w:r w:rsidRPr="00F5150F">
        <w:rPr>
          <w:rFonts w:ascii="Times New Roman" w:hAnsi="Times New Roman"/>
          <w:szCs w:val="24"/>
        </w:rPr>
        <w:t xml:space="preserve"> Pendyala, R. M. (2023). Analysis of changes in time use and activity participation in response to the COVID-19 pandemic in the United States: Implications for well-being. </w:t>
      </w:r>
      <w:r w:rsidRPr="003C329C">
        <w:rPr>
          <w:rFonts w:ascii="Times New Roman" w:hAnsi="Times New Roman"/>
          <w:i/>
          <w:iCs/>
          <w:szCs w:val="24"/>
        </w:rPr>
        <w:t>Transportation Research Record: Journal of the Transportation Research Board</w:t>
      </w:r>
      <w:r w:rsidRPr="00F5150F">
        <w:rPr>
          <w:rFonts w:ascii="Times New Roman" w:hAnsi="Times New Roman"/>
          <w:szCs w:val="24"/>
        </w:rPr>
        <w:t>, 036119812311650. https://doi.org/10.1177/03611981231165020</w:t>
      </w:r>
    </w:p>
    <w:p w14:paraId="4675F38E" w14:textId="232809FA" w:rsidR="008B58C4" w:rsidRPr="00F5150F" w:rsidRDefault="008B58C4" w:rsidP="00863C4F">
      <w:pPr>
        <w:ind w:left="540" w:hanging="540"/>
        <w:jc w:val="both"/>
        <w:rPr>
          <w:rFonts w:ascii="Times New Roman" w:hAnsi="Times New Roman"/>
          <w:szCs w:val="24"/>
          <w:lang w:eastAsia="ko-KR"/>
        </w:rPr>
      </w:pPr>
      <w:r w:rsidRPr="00F5150F">
        <w:rPr>
          <w:rFonts w:ascii="Times New Roman" w:hAnsi="Times New Roman"/>
          <w:szCs w:val="24"/>
          <w:lang w:eastAsia="ko-KR"/>
        </w:rPr>
        <w:t xml:space="preserve">Berge, J. M., Larson, N., Bauer, K. W., </w:t>
      </w:r>
      <w:r w:rsidR="003C329C">
        <w:rPr>
          <w:rFonts w:ascii="Times New Roman" w:hAnsi="Times New Roman"/>
          <w:szCs w:val="24"/>
          <w:lang w:eastAsia="ko-KR"/>
        </w:rPr>
        <w:t>and</w:t>
      </w:r>
      <w:r w:rsidRPr="00F5150F">
        <w:rPr>
          <w:rFonts w:ascii="Times New Roman" w:hAnsi="Times New Roman"/>
          <w:szCs w:val="24"/>
          <w:lang w:eastAsia="ko-KR"/>
        </w:rPr>
        <w:t xml:space="preserve"> </w:t>
      </w:r>
      <w:proofErr w:type="spellStart"/>
      <w:r w:rsidRPr="00F5150F">
        <w:rPr>
          <w:rFonts w:ascii="Times New Roman" w:hAnsi="Times New Roman"/>
          <w:szCs w:val="24"/>
          <w:lang w:eastAsia="ko-KR"/>
        </w:rPr>
        <w:t>Neumark-Sztainer</w:t>
      </w:r>
      <w:proofErr w:type="spellEnd"/>
      <w:r w:rsidRPr="00F5150F">
        <w:rPr>
          <w:rFonts w:ascii="Times New Roman" w:hAnsi="Times New Roman"/>
          <w:szCs w:val="24"/>
          <w:lang w:eastAsia="ko-KR"/>
        </w:rPr>
        <w:t xml:space="preserve">, D. (2011). Are parents of young children practicing healthy nutrition and physical activity behaviors? </w:t>
      </w:r>
      <w:r w:rsidRPr="00965E94">
        <w:rPr>
          <w:rFonts w:ascii="Times New Roman" w:hAnsi="Times New Roman"/>
          <w:i/>
          <w:iCs/>
          <w:szCs w:val="24"/>
          <w:lang w:eastAsia="ko-KR"/>
        </w:rPr>
        <w:t>Pediatrics</w:t>
      </w:r>
      <w:r w:rsidRPr="00F5150F">
        <w:rPr>
          <w:rFonts w:ascii="Times New Roman" w:hAnsi="Times New Roman"/>
          <w:szCs w:val="24"/>
          <w:lang w:eastAsia="ko-KR"/>
        </w:rPr>
        <w:t>, 127(5), 881–887. https://doi.org/10.1542/peds.2010-3218</w:t>
      </w:r>
    </w:p>
    <w:p w14:paraId="360D76AA" w14:textId="2A0566F3" w:rsidR="008B58C4" w:rsidRPr="00134B79" w:rsidRDefault="008B58C4" w:rsidP="00863C4F">
      <w:pPr>
        <w:ind w:left="540" w:hanging="540"/>
        <w:jc w:val="both"/>
        <w:rPr>
          <w:rFonts w:ascii="Times New Roman" w:eastAsiaTheme="minorEastAsia" w:hAnsi="Times New Roman"/>
          <w:szCs w:val="24"/>
          <w:lang w:eastAsia="ko-KR"/>
        </w:rPr>
      </w:pPr>
      <w:r w:rsidRPr="00F5150F">
        <w:rPr>
          <w:rFonts w:ascii="Times New Roman" w:hAnsi="Times New Roman"/>
          <w:szCs w:val="24"/>
          <w:lang w:eastAsia="ko-KR"/>
        </w:rPr>
        <w:t xml:space="preserve">Berrigan, D., </w:t>
      </w:r>
      <w:r w:rsidR="00965E94">
        <w:rPr>
          <w:rFonts w:ascii="Times New Roman" w:hAnsi="Times New Roman"/>
          <w:szCs w:val="24"/>
          <w:lang w:eastAsia="ko-KR"/>
        </w:rPr>
        <w:t>and</w:t>
      </w:r>
      <w:r w:rsidRPr="00F5150F">
        <w:rPr>
          <w:rFonts w:ascii="Times New Roman" w:hAnsi="Times New Roman"/>
          <w:szCs w:val="24"/>
          <w:lang w:eastAsia="ko-KR"/>
        </w:rPr>
        <w:t xml:space="preserve"> Troiano, R. P. (2002). The association between urban form and physical activity in U.S. adults. </w:t>
      </w:r>
      <w:r w:rsidRPr="00965E94">
        <w:rPr>
          <w:rFonts w:ascii="Times New Roman" w:hAnsi="Times New Roman"/>
          <w:i/>
          <w:iCs/>
          <w:szCs w:val="24"/>
          <w:lang w:eastAsia="ko-KR"/>
        </w:rPr>
        <w:t>American Journal of Preventive Medicine</w:t>
      </w:r>
      <w:r w:rsidRPr="00F5150F">
        <w:rPr>
          <w:rFonts w:ascii="Times New Roman" w:hAnsi="Times New Roman"/>
          <w:szCs w:val="24"/>
          <w:lang w:eastAsia="ko-KR"/>
        </w:rPr>
        <w:t xml:space="preserve">, 23(2), 74–79. </w:t>
      </w:r>
      <w:r w:rsidR="00134B79" w:rsidRPr="00134B79">
        <w:rPr>
          <w:rFonts w:ascii="Times New Roman" w:hAnsi="Times New Roman"/>
          <w:szCs w:val="24"/>
          <w:lang w:eastAsia="ko-KR"/>
        </w:rPr>
        <w:t>https://doi.org/10.1016/S0749-3797(02)00476-2</w:t>
      </w:r>
    </w:p>
    <w:p w14:paraId="0220EBCA" w14:textId="73BAAB70" w:rsidR="00134B79" w:rsidRPr="00134B79" w:rsidRDefault="00834441" w:rsidP="00863C4F">
      <w:pPr>
        <w:ind w:left="540" w:hanging="540"/>
        <w:jc w:val="both"/>
        <w:rPr>
          <w:rFonts w:ascii="Times New Roman" w:eastAsiaTheme="minorEastAsia" w:hAnsi="Times New Roman"/>
          <w:szCs w:val="24"/>
          <w:lang w:eastAsia="ko-KR"/>
        </w:rPr>
      </w:pPr>
      <w:r w:rsidRPr="00834441">
        <w:rPr>
          <w:rFonts w:ascii="Times New Roman" w:eastAsiaTheme="minorEastAsia" w:hAnsi="Times New Roman"/>
          <w:szCs w:val="24"/>
          <w:lang w:eastAsia="ko-KR"/>
        </w:rPr>
        <w:t xml:space="preserve">Burbidge, S., </w:t>
      </w:r>
      <w:r w:rsidR="00965E94">
        <w:rPr>
          <w:rFonts w:ascii="Times New Roman" w:eastAsiaTheme="minorEastAsia" w:hAnsi="Times New Roman"/>
          <w:szCs w:val="24"/>
          <w:lang w:eastAsia="ko-KR"/>
        </w:rPr>
        <w:t>and</w:t>
      </w:r>
      <w:r w:rsidRPr="00834441">
        <w:rPr>
          <w:rFonts w:ascii="Times New Roman" w:eastAsiaTheme="minorEastAsia" w:hAnsi="Times New Roman"/>
          <w:szCs w:val="24"/>
          <w:lang w:eastAsia="ko-KR"/>
        </w:rPr>
        <w:t xml:space="preserve"> Goulias, K. (2009). Active travel behavior. </w:t>
      </w:r>
      <w:r w:rsidRPr="00965E94">
        <w:rPr>
          <w:rFonts w:ascii="Times New Roman" w:eastAsiaTheme="minorEastAsia" w:hAnsi="Times New Roman"/>
          <w:i/>
          <w:iCs/>
          <w:szCs w:val="24"/>
          <w:lang w:eastAsia="ko-KR"/>
        </w:rPr>
        <w:t>Transportation Letters</w:t>
      </w:r>
      <w:r w:rsidRPr="00834441">
        <w:rPr>
          <w:rFonts w:ascii="Times New Roman" w:eastAsiaTheme="minorEastAsia" w:hAnsi="Times New Roman"/>
          <w:szCs w:val="24"/>
          <w:lang w:eastAsia="ko-KR"/>
        </w:rPr>
        <w:t>, 1(2), 147–167. https://doi.org/10.3328/TL.2009.01.02.147-167</w:t>
      </w:r>
    </w:p>
    <w:p w14:paraId="3D8E16B3" w14:textId="77777777"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Bureau of Transpor</w:t>
      </w:r>
      <w:r>
        <w:rPr>
          <w:rFonts w:ascii="Times New Roman" w:hAnsi="Times New Roman"/>
          <w:szCs w:val="24"/>
        </w:rPr>
        <w:t>t</w:t>
      </w:r>
      <w:r w:rsidRPr="00F5150F">
        <w:rPr>
          <w:rFonts w:ascii="Times New Roman" w:hAnsi="Times New Roman"/>
          <w:szCs w:val="24"/>
        </w:rPr>
        <w:t>ation Statistics. (2023). Trips by Distance. Bureau of Transpor</w:t>
      </w:r>
      <w:r>
        <w:rPr>
          <w:rFonts w:ascii="Times New Roman" w:hAnsi="Times New Roman"/>
          <w:szCs w:val="24"/>
        </w:rPr>
        <w:t>t</w:t>
      </w:r>
      <w:r w:rsidRPr="00F5150F">
        <w:rPr>
          <w:rFonts w:ascii="Times New Roman" w:hAnsi="Times New Roman"/>
          <w:szCs w:val="24"/>
        </w:rPr>
        <w:t>ation Statistics</w:t>
      </w:r>
      <w:r>
        <w:rPr>
          <w:rFonts w:ascii="Times New Roman" w:hAnsi="Times New Roman"/>
          <w:szCs w:val="24"/>
        </w:rPr>
        <w:t>,</w:t>
      </w:r>
      <w:r w:rsidRPr="00F5150F">
        <w:rPr>
          <w:rFonts w:ascii="Times New Roman" w:hAnsi="Times New Roman"/>
          <w:szCs w:val="24"/>
        </w:rPr>
        <w:t xml:space="preserve"> 2023. https://data.bts.gov/Research-and-Statistics/Trips-by-Distance/w96p-f2qv</w:t>
      </w:r>
    </w:p>
    <w:p w14:paraId="0F099AAF" w14:textId="69C332B9"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t>Carr</w:t>
      </w:r>
      <w:proofErr w:type="spellEnd"/>
      <w:r w:rsidRPr="00F5150F">
        <w:rPr>
          <w:rFonts w:ascii="Times New Roman" w:hAnsi="Times New Roman"/>
          <w:szCs w:val="24"/>
        </w:rPr>
        <w:t xml:space="preserve">, D., Friedmann, E., Gee, N. R., Gilchrist, C., Sachs-Ericsson, N., </w:t>
      </w:r>
      <w:r w:rsidR="00965E94">
        <w:rPr>
          <w:rFonts w:ascii="Times New Roman" w:hAnsi="Times New Roman"/>
          <w:szCs w:val="24"/>
        </w:rPr>
        <w:t>and</w:t>
      </w:r>
      <w:r w:rsidRPr="00F5150F">
        <w:rPr>
          <w:rFonts w:ascii="Times New Roman" w:hAnsi="Times New Roman"/>
          <w:szCs w:val="24"/>
        </w:rPr>
        <w:t xml:space="preserve"> </w:t>
      </w:r>
      <w:proofErr w:type="spellStart"/>
      <w:r w:rsidRPr="00F5150F">
        <w:rPr>
          <w:rFonts w:ascii="Times New Roman" w:hAnsi="Times New Roman"/>
          <w:szCs w:val="24"/>
        </w:rPr>
        <w:t>Koodaly</w:t>
      </w:r>
      <w:proofErr w:type="spellEnd"/>
      <w:r w:rsidRPr="00F5150F">
        <w:rPr>
          <w:rFonts w:ascii="Times New Roman" w:hAnsi="Times New Roman"/>
          <w:szCs w:val="24"/>
        </w:rPr>
        <w:t xml:space="preserve">, L. (2021). Dog walking and the social impact of the COVID-19 pandemic on loneliness in older adults. </w:t>
      </w:r>
      <w:r w:rsidRPr="00965E94">
        <w:rPr>
          <w:rFonts w:ascii="Times New Roman" w:hAnsi="Times New Roman"/>
          <w:i/>
          <w:iCs/>
          <w:szCs w:val="24"/>
        </w:rPr>
        <w:t>Animals</w:t>
      </w:r>
      <w:r w:rsidRPr="00F5150F">
        <w:rPr>
          <w:rFonts w:ascii="Times New Roman" w:hAnsi="Times New Roman"/>
          <w:szCs w:val="24"/>
        </w:rPr>
        <w:t>, 11(7), 1852. https://doi.org/10.3390/ani11071852</w:t>
      </w:r>
    </w:p>
    <w:p w14:paraId="7E7FF440" w14:textId="117A81B9"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Cerin, E., Leslie, E., </w:t>
      </w:r>
      <w:r w:rsidR="00965E94">
        <w:rPr>
          <w:rFonts w:ascii="Times New Roman" w:hAnsi="Times New Roman"/>
          <w:szCs w:val="24"/>
        </w:rPr>
        <w:t>and</w:t>
      </w:r>
      <w:r w:rsidRPr="00F5150F">
        <w:rPr>
          <w:rFonts w:ascii="Times New Roman" w:hAnsi="Times New Roman"/>
          <w:szCs w:val="24"/>
        </w:rPr>
        <w:t xml:space="preserve"> Owen, N. (2009). Explaining socio-economic status differences in walking for transport: An ecological analysis of individual, social and environmental factors. </w:t>
      </w:r>
      <w:r w:rsidRPr="00965E94">
        <w:rPr>
          <w:rFonts w:ascii="Times New Roman" w:hAnsi="Times New Roman"/>
          <w:i/>
          <w:iCs/>
          <w:szCs w:val="24"/>
        </w:rPr>
        <w:t>Social Science &amp; Medicine</w:t>
      </w:r>
      <w:r w:rsidRPr="00F5150F">
        <w:rPr>
          <w:rFonts w:ascii="Times New Roman" w:hAnsi="Times New Roman"/>
          <w:szCs w:val="24"/>
        </w:rPr>
        <w:t xml:space="preserve">, 68(6), 1013–1020. </w:t>
      </w:r>
      <w:hyperlink r:id="rId31" w:history="1">
        <w:r w:rsidRPr="00F5150F">
          <w:rPr>
            <w:rFonts w:ascii="Times New Roman" w:hAnsi="Times New Roman"/>
            <w:szCs w:val="24"/>
          </w:rPr>
          <w:t>https://doi.org/10.1016/j.socscimed.2009.01.008</w:t>
        </w:r>
      </w:hyperlink>
    </w:p>
    <w:p w14:paraId="0DCA42CC" w14:textId="74AD3D4A"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t>Champman</w:t>
      </w:r>
      <w:proofErr w:type="spellEnd"/>
      <w:r w:rsidRPr="00F5150F">
        <w:rPr>
          <w:rFonts w:ascii="Times New Roman" w:hAnsi="Times New Roman"/>
          <w:szCs w:val="24"/>
        </w:rPr>
        <w:t xml:space="preserve">, J., Fox, E. H., Bachman, W. B., Frank, L. D., Thomas, J., </w:t>
      </w:r>
      <w:r w:rsidR="00965E94">
        <w:rPr>
          <w:rFonts w:ascii="Times New Roman" w:hAnsi="Times New Roman"/>
          <w:szCs w:val="24"/>
        </w:rPr>
        <w:t xml:space="preserve">and </w:t>
      </w:r>
      <w:r w:rsidRPr="00F5150F">
        <w:rPr>
          <w:rFonts w:ascii="Times New Roman" w:hAnsi="Times New Roman"/>
          <w:szCs w:val="24"/>
        </w:rPr>
        <w:t>Reyes, A. R. (2021). Smart Location Database Technical Documentation and User Guide Version 3.0. https://www.epa.gov/sites/default/files/2021-06/documents/epa_sld_3.0_technicaldocumentationuserguide_may2021.pdf</w:t>
      </w:r>
    </w:p>
    <w:p w14:paraId="23715637" w14:textId="770151D3" w:rsidR="008B58C4" w:rsidRPr="00F5150F" w:rsidRDefault="008B58C4" w:rsidP="00863C4F">
      <w:pPr>
        <w:pStyle w:val="ListParagraph"/>
        <w:keepLines/>
        <w:ind w:left="540" w:hanging="540"/>
        <w:jc w:val="both"/>
        <w:rPr>
          <w:rFonts w:ascii="Times New Roman" w:hAnsi="Times New Roman"/>
          <w:szCs w:val="24"/>
        </w:rPr>
      </w:pPr>
      <w:r w:rsidRPr="00F5150F">
        <w:rPr>
          <w:rFonts w:ascii="Times New Roman" w:hAnsi="Times New Roman"/>
          <w:szCs w:val="24"/>
        </w:rPr>
        <w:lastRenderedPageBreak/>
        <w:t xml:space="preserve">Chauhan, R. S., Bhagat-Conway, M. W., Capasso Da Silva, D., Salon, D., </w:t>
      </w:r>
      <w:proofErr w:type="spellStart"/>
      <w:r w:rsidRPr="00F5150F">
        <w:rPr>
          <w:rFonts w:ascii="Times New Roman" w:hAnsi="Times New Roman"/>
          <w:szCs w:val="24"/>
        </w:rPr>
        <w:t>Shamshiripour</w:t>
      </w:r>
      <w:proofErr w:type="spellEnd"/>
      <w:r w:rsidRPr="00F5150F">
        <w:rPr>
          <w:rFonts w:ascii="Times New Roman" w:hAnsi="Times New Roman"/>
          <w:szCs w:val="24"/>
        </w:rPr>
        <w:t xml:space="preserve">, A., Rahimi, E., Khoeini, S., Mohammadian, A., </w:t>
      </w:r>
      <w:proofErr w:type="spellStart"/>
      <w:r w:rsidRPr="00F5150F">
        <w:rPr>
          <w:rFonts w:ascii="Times New Roman" w:hAnsi="Times New Roman"/>
          <w:szCs w:val="24"/>
        </w:rPr>
        <w:t>Derrible</w:t>
      </w:r>
      <w:proofErr w:type="spellEnd"/>
      <w:r w:rsidRPr="00F5150F">
        <w:rPr>
          <w:rFonts w:ascii="Times New Roman" w:hAnsi="Times New Roman"/>
          <w:szCs w:val="24"/>
        </w:rPr>
        <w:t xml:space="preserve">, S., </w:t>
      </w:r>
      <w:r w:rsidR="00965E94">
        <w:rPr>
          <w:rFonts w:ascii="Times New Roman" w:hAnsi="Times New Roman"/>
          <w:szCs w:val="24"/>
        </w:rPr>
        <w:t>and</w:t>
      </w:r>
      <w:r w:rsidRPr="00F5150F">
        <w:rPr>
          <w:rFonts w:ascii="Times New Roman" w:hAnsi="Times New Roman"/>
          <w:szCs w:val="24"/>
        </w:rPr>
        <w:t xml:space="preserve"> Pendyala, R. (2021). A database of travel-related behaviors and attitudes before, during, and after COVID-19 in the United States. </w:t>
      </w:r>
      <w:r w:rsidRPr="00965E94">
        <w:rPr>
          <w:rFonts w:ascii="Times New Roman" w:hAnsi="Times New Roman"/>
          <w:i/>
          <w:iCs/>
          <w:szCs w:val="24"/>
        </w:rPr>
        <w:t>Scientific Data</w:t>
      </w:r>
      <w:r w:rsidRPr="00F5150F">
        <w:rPr>
          <w:rFonts w:ascii="Times New Roman" w:hAnsi="Times New Roman"/>
          <w:szCs w:val="24"/>
        </w:rPr>
        <w:t>, 8(1), 245. https://doi.org/10.1038/s41597-021-01020-8</w:t>
      </w:r>
    </w:p>
    <w:p w14:paraId="4E05481B" w14:textId="7B3090FB"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Chen, K., </w:t>
      </w:r>
      <w:r w:rsidR="00965E94">
        <w:rPr>
          <w:rFonts w:ascii="Times New Roman" w:hAnsi="Times New Roman"/>
          <w:szCs w:val="24"/>
        </w:rPr>
        <w:t>and</w:t>
      </w:r>
      <w:r w:rsidRPr="00F5150F">
        <w:rPr>
          <w:rFonts w:ascii="Times New Roman" w:hAnsi="Times New Roman"/>
          <w:szCs w:val="24"/>
        </w:rPr>
        <w:t xml:space="preserve"> Steiner, R. (2022). Longitudinal and spatial analysis of Americans’ travel distances following COVID-19. </w:t>
      </w:r>
      <w:r w:rsidRPr="00965E94">
        <w:rPr>
          <w:rFonts w:ascii="Times New Roman" w:hAnsi="Times New Roman"/>
          <w:i/>
          <w:iCs/>
          <w:szCs w:val="24"/>
        </w:rPr>
        <w:t>Transportation Research Part D: Transport and Environment</w:t>
      </w:r>
      <w:r w:rsidRPr="00F5150F">
        <w:rPr>
          <w:rFonts w:ascii="Times New Roman" w:hAnsi="Times New Roman"/>
          <w:szCs w:val="24"/>
        </w:rPr>
        <w:t>, 110, 103414. https://doi.org/10.1016/j.trd.2022.103414</w:t>
      </w:r>
    </w:p>
    <w:p w14:paraId="3BAC22A1" w14:textId="5B43840A" w:rsidR="008B58C4" w:rsidRDefault="008B58C4" w:rsidP="00863C4F">
      <w:pPr>
        <w:ind w:left="540" w:hanging="540"/>
        <w:jc w:val="both"/>
        <w:rPr>
          <w:rFonts w:ascii="Times New Roman" w:eastAsiaTheme="minorEastAsia" w:hAnsi="Times New Roman"/>
          <w:szCs w:val="24"/>
          <w:lang w:eastAsia="ko-KR"/>
        </w:rPr>
      </w:pPr>
      <w:r w:rsidRPr="00F5150F">
        <w:rPr>
          <w:rFonts w:ascii="Times New Roman" w:hAnsi="Times New Roman"/>
          <w:szCs w:val="24"/>
          <w:lang w:eastAsia="ko-KR"/>
        </w:rPr>
        <w:t xml:space="preserve">Chen, T., Lee, J. S., Kawakubo, K., Watanabe, E., Mori, K., </w:t>
      </w:r>
      <w:proofErr w:type="spellStart"/>
      <w:r w:rsidRPr="00F5150F">
        <w:rPr>
          <w:rFonts w:ascii="Times New Roman" w:hAnsi="Times New Roman"/>
          <w:szCs w:val="24"/>
          <w:lang w:eastAsia="ko-KR"/>
        </w:rPr>
        <w:t>Kitaike</w:t>
      </w:r>
      <w:proofErr w:type="spellEnd"/>
      <w:r w:rsidRPr="00F5150F">
        <w:rPr>
          <w:rFonts w:ascii="Times New Roman" w:hAnsi="Times New Roman"/>
          <w:szCs w:val="24"/>
          <w:lang w:eastAsia="ko-KR"/>
        </w:rPr>
        <w:t xml:space="preserve">, T., </w:t>
      </w:r>
      <w:r w:rsidR="00965E94">
        <w:rPr>
          <w:rFonts w:ascii="Times New Roman" w:hAnsi="Times New Roman"/>
          <w:szCs w:val="24"/>
          <w:lang w:eastAsia="ko-KR"/>
        </w:rPr>
        <w:t xml:space="preserve">and </w:t>
      </w:r>
      <w:proofErr w:type="spellStart"/>
      <w:r w:rsidRPr="00F5150F">
        <w:rPr>
          <w:rFonts w:ascii="Times New Roman" w:hAnsi="Times New Roman"/>
          <w:szCs w:val="24"/>
          <w:lang w:eastAsia="ko-KR"/>
        </w:rPr>
        <w:t>Akabayashi</w:t>
      </w:r>
      <w:proofErr w:type="spellEnd"/>
      <w:r w:rsidRPr="00F5150F">
        <w:rPr>
          <w:rFonts w:ascii="Times New Roman" w:hAnsi="Times New Roman"/>
          <w:szCs w:val="24"/>
          <w:lang w:eastAsia="ko-KR"/>
        </w:rPr>
        <w:t xml:space="preserve">, A. (2013). Features of perceived neighborhood environment associated with daily walking time or habitual exercise: Differences across gender, age, and employment status in a community–dwelling population of Japan. </w:t>
      </w:r>
      <w:r w:rsidRPr="00965E94">
        <w:rPr>
          <w:rFonts w:ascii="Times New Roman" w:hAnsi="Times New Roman"/>
          <w:i/>
          <w:iCs/>
          <w:szCs w:val="24"/>
          <w:lang w:eastAsia="ko-KR"/>
        </w:rPr>
        <w:t>Environmental Health and Preventive Medicine</w:t>
      </w:r>
      <w:r w:rsidRPr="00F5150F">
        <w:rPr>
          <w:rFonts w:ascii="Times New Roman" w:hAnsi="Times New Roman"/>
          <w:szCs w:val="24"/>
          <w:lang w:eastAsia="ko-KR"/>
        </w:rPr>
        <w:t xml:space="preserve">, 18(5), 368–376. </w:t>
      </w:r>
      <w:r w:rsidR="007F3BB0" w:rsidRPr="007F3BB0">
        <w:rPr>
          <w:rFonts w:ascii="Times New Roman" w:hAnsi="Times New Roman"/>
          <w:szCs w:val="24"/>
          <w:lang w:eastAsia="ko-KR"/>
        </w:rPr>
        <w:t>https://doi.org/10.1007/s12199-013-0334-x</w:t>
      </w:r>
    </w:p>
    <w:p w14:paraId="347867C5" w14:textId="71E98230" w:rsidR="007F3BB0" w:rsidRPr="007F3BB0" w:rsidRDefault="007F3BB0" w:rsidP="00863C4F">
      <w:pPr>
        <w:ind w:left="540" w:hanging="540"/>
        <w:jc w:val="both"/>
        <w:rPr>
          <w:rFonts w:ascii="Times New Roman" w:eastAsiaTheme="minorEastAsia" w:hAnsi="Times New Roman"/>
          <w:szCs w:val="24"/>
          <w:lang w:eastAsia="ko-KR"/>
        </w:rPr>
      </w:pPr>
      <w:r w:rsidRPr="007F3BB0">
        <w:rPr>
          <w:rFonts w:ascii="Times New Roman" w:eastAsiaTheme="minorEastAsia" w:hAnsi="Times New Roman"/>
          <w:szCs w:val="24"/>
          <w:lang w:eastAsia="ko-KR"/>
        </w:rPr>
        <w:t xml:space="preserve">Choi, S., Choo, S., </w:t>
      </w:r>
      <w:r w:rsidR="00965E94">
        <w:rPr>
          <w:rFonts w:ascii="Times New Roman" w:eastAsiaTheme="minorEastAsia" w:hAnsi="Times New Roman"/>
          <w:szCs w:val="24"/>
          <w:lang w:eastAsia="ko-KR"/>
        </w:rPr>
        <w:t>and</w:t>
      </w:r>
      <w:r w:rsidRPr="007F3BB0">
        <w:rPr>
          <w:rFonts w:ascii="Times New Roman" w:eastAsiaTheme="minorEastAsia" w:hAnsi="Times New Roman"/>
          <w:szCs w:val="24"/>
          <w:lang w:eastAsia="ko-KR"/>
        </w:rPr>
        <w:t xml:space="preserve"> Kim, S. (2020). Exploring the influences of compact development on zone-based travel patterns: A case study of the Seoul metropolitan area. </w:t>
      </w:r>
      <w:r w:rsidRPr="00965E94">
        <w:rPr>
          <w:rFonts w:ascii="Times New Roman" w:eastAsiaTheme="minorEastAsia" w:hAnsi="Times New Roman"/>
          <w:i/>
          <w:iCs/>
          <w:szCs w:val="24"/>
          <w:lang w:eastAsia="ko-KR"/>
        </w:rPr>
        <w:t>Transportation Letters</w:t>
      </w:r>
      <w:r w:rsidRPr="007F3BB0">
        <w:rPr>
          <w:rFonts w:ascii="Times New Roman" w:eastAsiaTheme="minorEastAsia" w:hAnsi="Times New Roman"/>
          <w:szCs w:val="24"/>
          <w:lang w:eastAsia="ko-KR"/>
        </w:rPr>
        <w:t>, 12(5), 316–328. https://doi.org/10.1080/19427867.2019.1589716</w:t>
      </w:r>
    </w:p>
    <w:p w14:paraId="55B946C4" w14:textId="0BE0DA0B"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Dali, N. M., Wan </w:t>
      </w:r>
      <w:proofErr w:type="spellStart"/>
      <w:r w:rsidRPr="00F5150F">
        <w:rPr>
          <w:rFonts w:ascii="Times New Roman" w:hAnsi="Times New Roman"/>
          <w:szCs w:val="24"/>
        </w:rPr>
        <w:t>Rasyidah</w:t>
      </w:r>
      <w:proofErr w:type="spellEnd"/>
      <w:r w:rsidRPr="00F5150F">
        <w:rPr>
          <w:rFonts w:ascii="Times New Roman" w:hAnsi="Times New Roman"/>
          <w:szCs w:val="24"/>
        </w:rPr>
        <w:t xml:space="preserve"> Wan </w:t>
      </w:r>
      <w:proofErr w:type="spellStart"/>
      <w:r w:rsidRPr="00F5150F">
        <w:rPr>
          <w:rFonts w:ascii="Times New Roman" w:hAnsi="Times New Roman"/>
          <w:szCs w:val="24"/>
        </w:rPr>
        <w:t>Nawang</w:t>
      </w:r>
      <w:proofErr w:type="spellEnd"/>
      <w:r w:rsidRPr="00F5150F">
        <w:rPr>
          <w:rFonts w:ascii="Times New Roman" w:hAnsi="Times New Roman"/>
          <w:szCs w:val="24"/>
        </w:rPr>
        <w:t xml:space="preserve">, Wan Nur </w:t>
      </w:r>
      <w:proofErr w:type="spellStart"/>
      <w:r w:rsidRPr="00F5150F">
        <w:rPr>
          <w:rFonts w:ascii="Times New Roman" w:hAnsi="Times New Roman"/>
          <w:szCs w:val="24"/>
        </w:rPr>
        <w:t>Fazni</w:t>
      </w:r>
      <w:proofErr w:type="spellEnd"/>
      <w:r w:rsidRPr="00F5150F">
        <w:rPr>
          <w:rFonts w:ascii="Times New Roman" w:hAnsi="Times New Roman"/>
          <w:szCs w:val="24"/>
        </w:rPr>
        <w:t xml:space="preserve"> Wan Mohamad </w:t>
      </w:r>
      <w:proofErr w:type="spellStart"/>
      <w:r w:rsidRPr="00F5150F">
        <w:rPr>
          <w:rFonts w:ascii="Times New Roman" w:hAnsi="Times New Roman"/>
          <w:szCs w:val="24"/>
        </w:rPr>
        <w:t>Nazarie</w:t>
      </w:r>
      <w:proofErr w:type="spellEnd"/>
      <w:r w:rsidRPr="00F5150F">
        <w:rPr>
          <w:rFonts w:ascii="Times New Roman" w:hAnsi="Times New Roman"/>
          <w:szCs w:val="24"/>
        </w:rPr>
        <w:t xml:space="preserve">,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Hanifah</w:t>
      </w:r>
      <w:proofErr w:type="spellEnd"/>
      <w:r w:rsidRPr="00F5150F">
        <w:rPr>
          <w:rFonts w:ascii="Times New Roman" w:hAnsi="Times New Roman"/>
          <w:szCs w:val="24"/>
        </w:rPr>
        <w:t xml:space="preserve"> Abdul Hamid. (2020). Post pandemic consumer behavior: Conceptual framework. </w:t>
      </w:r>
      <w:r w:rsidRPr="00965E94">
        <w:rPr>
          <w:rFonts w:ascii="Times New Roman" w:hAnsi="Times New Roman"/>
          <w:i/>
          <w:iCs/>
          <w:szCs w:val="24"/>
        </w:rPr>
        <w:t xml:space="preserve">The Journal of </w:t>
      </w:r>
      <w:proofErr w:type="spellStart"/>
      <w:r w:rsidRPr="00965E94">
        <w:rPr>
          <w:rFonts w:ascii="Times New Roman" w:hAnsi="Times New Roman"/>
          <w:i/>
          <w:iCs/>
          <w:szCs w:val="24"/>
        </w:rPr>
        <w:t>Muamalat</w:t>
      </w:r>
      <w:proofErr w:type="spellEnd"/>
      <w:r w:rsidRPr="00965E94">
        <w:rPr>
          <w:rFonts w:ascii="Times New Roman" w:hAnsi="Times New Roman"/>
          <w:i/>
          <w:iCs/>
          <w:szCs w:val="24"/>
        </w:rPr>
        <w:t xml:space="preserve"> and Islamic Finance Research</w:t>
      </w:r>
      <w:r w:rsidRPr="00F5150F">
        <w:rPr>
          <w:rFonts w:ascii="Times New Roman" w:hAnsi="Times New Roman"/>
          <w:szCs w:val="24"/>
        </w:rPr>
        <w:t>,</w:t>
      </w:r>
      <w:r w:rsidR="00965E94">
        <w:rPr>
          <w:rFonts w:ascii="Times New Roman" w:hAnsi="Times New Roman"/>
          <w:szCs w:val="24"/>
        </w:rPr>
        <w:t xml:space="preserve"> 17(3),</w:t>
      </w:r>
      <w:r w:rsidRPr="00F5150F">
        <w:rPr>
          <w:rFonts w:ascii="Times New Roman" w:hAnsi="Times New Roman"/>
          <w:szCs w:val="24"/>
        </w:rPr>
        <w:t xml:space="preserve"> 13–24. https://doi.org/10.33102/jmifr.v17i3.280</w:t>
      </w:r>
    </w:p>
    <w:p w14:paraId="3FDCA399" w14:textId="7A85C416"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Deka, D., </w:t>
      </w:r>
      <w:r w:rsidR="00965E94">
        <w:rPr>
          <w:rFonts w:ascii="Times New Roman" w:eastAsiaTheme="minorEastAsia" w:hAnsi="Times New Roman"/>
          <w:szCs w:val="24"/>
          <w:lang w:eastAsia="ko-KR"/>
        </w:rPr>
        <w:t>and</w:t>
      </w:r>
      <w:r w:rsidRPr="00F5150F">
        <w:rPr>
          <w:rFonts w:ascii="Times New Roman" w:hAnsi="Times New Roman"/>
          <w:szCs w:val="24"/>
        </w:rPr>
        <w:t xml:space="preserve"> Brown, C. T. (2020). Does the pathway to transportation walking for older adults run through recreational walking? </w:t>
      </w:r>
      <w:r w:rsidRPr="00965E94">
        <w:rPr>
          <w:rFonts w:ascii="Times New Roman" w:hAnsi="Times New Roman"/>
          <w:i/>
          <w:iCs/>
          <w:szCs w:val="24"/>
        </w:rPr>
        <w:t>Travel Behaviour and Society</w:t>
      </w:r>
      <w:r w:rsidRPr="00F5150F">
        <w:rPr>
          <w:rFonts w:ascii="Times New Roman" w:hAnsi="Times New Roman"/>
          <w:szCs w:val="24"/>
        </w:rPr>
        <w:t>, 20, 51–61. https://doi.org/10.1016/j.tbs.2020.02.005</w:t>
      </w:r>
    </w:p>
    <w:p w14:paraId="0E7CE89F" w14:textId="0B382912" w:rsidR="008B58C4" w:rsidRDefault="008B58C4" w:rsidP="00863C4F">
      <w:pPr>
        <w:ind w:left="540" w:hanging="540"/>
        <w:jc w:val="both"/>
        <w:rPr>
          <w:rFonts w:ascii="Times New Roman" w:eastAsiaTheme="minorEastAsia" w:hAnsi="Times New Roman"/>
          <w:szCs w:val="24"/>
          <w:lang w:eastAsia="ko-KR"/>
        </w:rPr>
      </w:pPr>
      <w:r w:rsidRPr="00F5150F">
        <w:rPr>
          <w:rFonts w:ascii="Times New Roman" w:hAnsi="Times New Roman"/>
          <w:szCs w:val="24"/>
          <w:lang w:eastAsia="ko-KR"/>
        </w:rPr>
        <w:t xml:space="preserve">De Vos, J., Le, H. T. K., </w:t>
      </w:r>
      <w:r w:rsidR="00965E94">
        <w:rPr>
          <w:rFonts w:ascii="Times New Roman" w:eastAsiaTheme="minorEastAsia" w:hAnsi="Times New Roman"/>
          <w:szCs w:val="24"/>
          <w:lang w:eastAsia="ko-KR"/>
        </w:rPr>
        <w:t>and</w:t>
      </w:r>
      <w:r w:rsidRPr="00F5150F">
        <w:rPr>
          <w:rFonts w:ascii="Times New Roman" w:hAnsi="Times New Roman"/>
          <w:szCs w:val="24"/>
          <w:lang w:eastAsia="ko-KR"/>
        </w:rPr>
        <w:t xml:space="preserve"> </w:t>
      </w:r>
      <w:proofErr w:type="spellStart"/>
      <w:r w:rsidRPr="00F5150F">
        <w:rPr>
          <w:rFonts w:ascii="Times New Roman" w:hAnsi="Times New Roman"/>
          <w:szCs w:val="24"/>
          <w:lang w:eastAsia="ko-KR"/>
        </w:rPr>
        <w:t>Kroesen</w:t>
      </w:r>
      <w:proofErr w:type="spellEnd"/>
      <w:r w:rsidRPr="00F5150F">
        <w:rPr>
          <w:rFonts w:ascii="Times New Roman" w:hAnsi="Times New Roman"/>
          <w:szCs w:val="24"/>
          <w:lang w:eastAsia="ko-KR"/>
        </w:rPr>
        <w:t xml:space="preserve">, M. (2022). Does commute duration attenuate the effect of travel mode choice on commute satisfaction? </w:t>
      </w:r>
      <w:r w:rsidRPr="00965E94">
        <w:rPr>
          <w:rFonts w:ascii="Times New Roman" w:hAnsi="Times New Roman"/>
          <w:i/>
          <w:iCs/>
          <w:szCs w:val="24"/>
          <w:lang w:eastAsia="ko-KR"/>
        </w:rPr>
        <w:t>Travel Behaviour and Society</w:t>
      </w:r>
      <w:r w:rsidRPr="00F5150F">
        <w:rPr>
          <w:rFonts w:ascii="Times New Roman" w:hAnsi="Times New Roman"/>
          <w:szCs w:val="24"/>
          <w:lang w:eastAsia="ko-KR"/>
        </w:rPr>
        <w:t>, 28, 13–21. https://doi.org/10.1016/j.tbs.2022.02.004</w:t>
      </w:r>
    </w:p>
    <w:p w14:paraId="3B941BDD" w14:textId="2539FFF7" w:rsidR="00A63EFA" w:rsidRPr="00A63EFA" w:rsidRDefault="00D87847" w:rsidP="00863C4F">
      <w:pPr>
        <w:ind w:left="540" w:hanging="540"/>
        <w:jc w:val="both"/>
        <w:rPr>
          <w:rFonts w:ascii="Times New Roman" w:eastAsiaTheme="minorEastAsia" w:hAnsi="Times New Roman"/>
          <w:szCs w:val="24"/>
          <w:lang w:eastAsia="ko-KR"/>
        </w:rPr>
      </w:pPr>
      <w:proofErr w:type="spellStart"/>
      <w:r w:rsidRPr="00D87847">
        <w:rPr>
          <w:rFonts w:ascii="Times New Roman" w:eastAsiaTheme="minorEastAsia" w:hAnsi="Times New Roman"/>
          <w:szCs w:val="24"/>
          <w:lang w:eastAsia="ko-KR"/>
        </w:rPr>
        <w:t>Dingil</w:t>
      </w:r>
      <w:proofErr w:type="spellEnd"/>
      <w:r w:rsidRPr="00D87847">
        <w:rPr>
          <w:rFonts w:ascii="Times New Roman" w:eastAsiaTheme="minorEastAsia" w:hAnsi="Times New Roman"/>
          <w:szCs w:val="24"/>
          <w:lang w:eastAsia="ko-KR"/>
        </w:rPr>
        <w:t xml:space="preserve">, A. E., </w:t>
      </w:r>
      <w:r w:rsidR="00965E94">
        <w:rPr>
          <w:rFonts w:ascii="Times New Roman" w:eastAsiaTheme="minorEastAsia" w:hAnsi="Times New Roman"/>
          <w:szCs w:val="24"/>
          <w:lang w:eastAsia="ko-KR"/>
        </w:rPr>
        <w:t>and</w:t>
      </w:r>
      <w:r w:rsidRPr="00D87847">
        <w:rPr>
          <w:rFonts w:ascii="Times New Roman" w:eastAsiaTheme="minorEastAsia" w:hAnsi="Times New Roman"/>
          <w:szCs w:val="24"/>
          <w:lang w:eastAsia="ko-KR"/>
        </w:rPr>
        <w:t xml:space="preserve"> </w:t>
      </w:r>
      <w:proofErr w:type="spellStart"/>
      <w:r w:rsidRPr="00D87847">
        <w:rPr>
          <w:rFonts w:ascii="Times New Roman" w:eastAsiaTheme="minorEastAsia" w:hAnsi="Times New Roman"/>
          <w:szCs w:val="24"/>
          <w:lang w:eastAsia="ko-KR"/>
        </w:rPr>
        <w:t>Esztergár</w:t>
      </w:r>
      <w:proofErr w:type="spellEnd"/>
      <w:r w:rsidRPr="00D87847">
        <w:rPr>
          <w:rFonts w:ascii="Times New Roman" w:eastAsiaTheme="minorEastAsia" w:hAnsi="Times New Roman"/>
          <w:szCs w:val="24"/>
          <w:lang w:eastAsia="ko-KR"/>
        </w:rPr>
        <w:t xml:space="preserve">-Kiss, D. (2021). The </w:t>
      </w:r>
      <w:r w:rsidR="00965E94">
        <w:rPr>
          <w:rFonts w:ascii="Times New Roman" w:eastAsiaTheme="minorEastAsia" w:hAnsi="Times New Roman"/>
          <w:szCs w:val="24"/>
          <w:lang w:eastAsia="ko-KR"/>
        </w:rPr>
        <w:t>i</w:t>
      </w:r>
      <w:r w:rsidRPr="00D87847">
        <w:rPr>
          <w:rFonts w:ascii="Times New Roman" w:eastAsiaTheme="minorEastAsia" w:hAnsi="Times New Roman"/>
          <w:szCs w:val="24"/>
          <w:lang w:eastAsia="ko-KR"/>
        </w:rPr>
        <w:t xml:space="preserve">nfluence of the Covid-19 </w:t>
      </w:r>
      <w:r w:rsidR="00965E94">
        <w:rPr>
          <w:rFonts w:ascii="Times New Roman" w:eastAsiaTheme="minorEastAsia" w:hAnsi="Times New Roman"/>
          <w:szCs w:val="24"/>
          <w:lang w:eastAsia="ko-KR"/>
        </w:rPr>
        <w:t>p</w:t>
      </w:r>
      <w:r w:rsidRPr="00D87847">
        <w:rPr>
          <w:rFonts w:ascii="Times New Roman" w:eastAsiaTheme="minorEastAsia" w:hAnsi="Times New Roman"/>
          <w:szCs w:val="24"/>
          <w:lang w:eastAsia="ko-KR"/>
        </w:rPr>
        <w:t xml:space="preserve">andemic on </w:t>
      </w:r>
      <w:r w:rsidR="00965E94">
        <w:rPr>
          <w:rFonts w:ascii="Times New Roman" w:eastAsiaTheme="minorEastAsia" w:hAnsi="Times New Roman"/>
          <w:szCs w:val="24"/>
          <w:lang w:eastAsia="ko-KR"/>
        </w:rPr>
        <w:t>m</w:t>
      </w:r>
      <w:r w:rsidRPr="00D87847">
        <w:rPr>
          <w:rFonts w:ascii="Times New Roman" w:eastAsiaTheme="minorEastAsia" w:hAnsi="Times New Roman"/>
          <w:szCs w:val="24"/>
          <w:lang w:eastAsia="ko-KR"/>
        </w:rPr>
        <w:t xml:space="preserve">obility </w:t>
      </w:r>
      <w:r w:rsidR="00965E94">
        <w:rPr>
          <w:rFonts w:ascii="Times New Roman" w:eastAsiaTheme="minorEastAsia" w:hAnsi="Times New Roman"/>
          <w:szCs w:val="24"/>
          <w:lang w:eastAsia="ko-KR"/>
        </w:rPr>
        <w:t>p</w:t>
      </w:r>
      <w:r w:rsidRPr="00D87847">
        <w:rPr>
          <w:rFonts w:ascii="Times New Roman" w:eastAsiaTheme="minorEastAsia" w:hAnsi="Times New Roman"/>
          <w:szCs w:val="24"/>
          <w:lang w:eastAsia="ko-KR"/>
        </w:rPr>
        <w:t xml:space="preserve">atterns: The </w:t>
      </w:r>
      <w:r w:rsidR="00965E94">
        <w:rPr>
          <w:rFonts w:ascii="Times New Roman" w:eastAsiaTheme="minorEastAsia" w:hAnsi="Times New Roman"/>
          <w:szCs w:val="24"/>
          <w:lang w:eastAsia="ko-KR"/>
        </w:rPr>
        <w:t>f</w:t>
      </w:r>
      <w:r w:rsidRPr="00D87847">
        <w:rPr>
          <w:rFonts w:ascii="Times New Roman" w:eastAsiaTheme="minorEastAsia" w:hAnsi="Times New Roman"/>
          <w:szCs w:val="24"/>
          <w:lang w:eastAsia="ko-KR"/>
        </w:rPr>
        <w:t xml:space="preserve">irst </w:t>
      </w:r>
      <w:r w:rsidR="00965E94">
        <w:rPr>
          <w:rFonts w:ascii="Times New Roman" w:eastAsiaTheme="minorEastAsia" w:hAnsi="Times New Roman"/>
          <w:szCs w:val="24"/>
          <w:lang w:eastAsia="ko-KR"/>
        </w:rPr>
        <w:t>w</w:t>
      </w:r>
      <w:r w:rsidRPr="00D87847">
        <w:rPr>
          <w:rFonts w:ascii="Times New Roman" w:eastAsiaTheme="minorEastAsia" w:hAnsi="Times New Roman"/>
          <w:szCs w:val="24"/>
          <w:lang w:eastAsia="ko-KR"/>
        </w:rPr>
        <w:t xml:space="preserve">ave’s </w:t>
      </w:r>
      <w:r w:rsidR="00965E94">
        <w:rPr>
          <w:rFonts w:ascii="Times New Roman" w:eastAsiaTheme="minorEastAsia" w:hAnsi="Times New Roman"/>
          <w:szCs w:val="24"/>
          <w:lang w:eastAsia="ko-KR"/>
        </w:rPr>
        <w:t>r</w:t>
      </w:r>
      <w:r w:rsidRPr="00D87847">
        <w:rPr>
          <w:rFonts w:ascii="Times New Roman" w:eastAsiaTheme="minorEastAsia" w:hAnsi="Times New Roman"/>
          <w:szCs w:val="24"/>
          <w:lang w:eastAsia="ko-KR"/>
        </w:rPr>
        <w:t xml:space="preserve">esults. </w:t>
      </w:r>
      <w:r w:rsidRPr="00965E94">
        <w:rPr>
          <w:rFonts w:ascii="Times New Roman" w:eastAsiaTheme="minorEastAsia" w:hAnsi="Times New Roman"/>
          <w:i/>
          <w:iCs/>
          <w:szCs w:val="24"/>
          <w:lang w:eastAsia="ko-KR"/>
        </w:rPr>
        <w:t>Transportation Letters</w:t>
      </w:r>
      <w:r w:rsidRPr="00D87847">
        <w:rPr>
          <w:rFonts w:ascii="Times New Roman" w:eastAsiaTheme="minorEastAsia" w:hAnsi="Times New Roman"/>
          <w:szCs w:val="24"/>
          <w:lang w:eastAsia="ko-KR"/>
        </w:rPr>
        <w:t>, 13(5–6), 434–446. https://doi.org/10.1080/19427867.2021.1901011</w:t>
      </w:r>
    </w:p>
    <w:p w14:paraId="68F4CC8A" w14:textId="76C781A5"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Doubleday, A., Choe, Y., Busch Isaksen, T., Miles, S.,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Errett</w:t>
      </w:r>
      <w:proofErr w:type="spellEnd"/>
      <w:r w:rsidRPr="00F5150F">
        <w:rPr>
          <w:rFonts w:ascii="Times New Roman" w:hAnsi="Times New Roman"/>
          <w:szCs w:val="24"/>
        </w:rPr>
        <w:t xml:space="preserve">, N. A. (2021). How did outdoor biking and walking change during COVID-19?: A case study of three U.S. cities. </w:t>
      </w:r>
      <w:r w:rsidRPr="00965E94">
        <w:rPr>
          <w:rFonts w:ascii="Times New Roman" w:hAnsi="Times New Roman"/>
          <w:i/>
          <w:iCs/>
          <w:szCs w:val="24"/>
        </w:rPr>
        <w:t>PLOS ONE</w:t>
      </w:r>
      <w:r w:rsidRPr="00F5150F">
        <w:rPr>
          <w:rFonts w:ascii="Times New Roman" w:hAnsi="Times New Roman"/>
          <w:szCs w:val="24"/>
        </w:rPr>
        <w:t>, 16(1), e0245514. https://doi.org/10.1371/journal.pone.0245514</w:t>
      </w:r>
    </w:p>
    <w:p w14:paraId="1257AD7E" w14:textId="597E63A4"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Duncan, M. J., Winkler, E., Sugiyama, T., Cerin, E., </w:t>
      </w:r>
      <w:proofErr w:type="spellStart"/>
      <w:r w:rsidRPr="00F5150F">
        <w:rPr>
          <w:rFonts w:ascii="Times New Roman" w:hAnsi="Times New Roman"/>
          <w:szCs w:val="24"/>
        </w:rPr>
        <w:t>duToit</w:t>
      </w:r>
      <w:proofErr w:type="spellEnd"/>
      <w:r w:rsidRPr="00F5150F">
        <w:rPr>
          <w:rFonts w:ascii="Times New Roman" w:hAnsi="Times New Roman"/>
          <w:szCs w:val="24"/>
        </w:rPr>
        <w:t xml:space="preserve">, L., Leslie, E., </w:t>
      </w:r>
      <w:r w:rsidR="00965E94">
        <w:rPr>
          <w:rFonts w:ascii="Times New Roman" w:eastAsiaTheme="minorEastAsia" w:hAnsi="Times New Roman"/>
          <w:szCs w:val="24"/>
          <w:lang w:eastAsia="ko-KR"/>
        </w:rPr>
        <w:t>and</w:t>
      </w:r>
      <w:r w:rsidRPr="00F5150F">
        <w:rPr>
          <w:rFonts w:ascii="Times New Roman" w:hAnsi="Times New Roman"/>
          <w:szCs w:val="24"/>
        </w:rPr>
        <w:t xml:space="preserve"> Owen, N. (2010). Relationships of land use mix with walking for transport: Do land uses and geographical scale matter? </w:t>
      </w:r>
      <w:r w:rsidRPr="00965E94">
        <w:rPr>
          <w:rFonts w:ascii="Times New Roman" w:hAnsi="Times New Roman"/>
          <w:i/>
          <w:iCs/>
          <w:szCs w:val="24"/>
        </w:rPr>
        <w:t>Journal of Urban Health</w:t>
      </w:r>
      <w:r w:rsidRPr="00F5150F">
        <w:rPr>
          <w:rFonts w:ascii="Times New Roman" w:hAnsi="Times New Roman"/>
          <w:szCs w:val="24"/>
        </w:rPr>
        <w:t>, 87(5), 782–795. https://doi.org/10.1007/s11524-010-9488-7</w:t>
      </w:r>
    </w:p>
    <w:p w14:paraId="48A768B4" w14:textId="77BA3D15"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t>Elgaddal</w:t>
      </w:r>
      <w:proofErr w:type="spellEnd"/>
      <w:r w:rsidRPr="00F5150F">
        <w:rPr>
          <w:rFonts w:ascii="Times New Roman" w:hAnsi="Times New Roman"/>
          <w:szCs w:val="24"/>
        </w:rPr>
        <w:t xml:space="preserve">, N., </w:t>
      </w:r>
      <w:proofErr w:type="spellStart"/>
      <w:r w:rsidRPr="00F5150F">
        <w:rPr>
          <w:rFonts w:ascii="Times New Roman" w:hAnsi="Times New Roman"/>
          <w:szCs w:val="24"/>
        </w:rPr>
        <w:t>Kramarow</w:t>
      </w:r>
      <w:proofErr w:type="spellEnd"/>
      <w:r w:rsidRPr="00F5150F">
        <w:rPr>
          <w:rFonts w:ascii="Times New Roman" w:hAnsi="Times New Roman"/>
          <w:szCs w:val="24"/>
        </w:rPr>
        <w:t xml:space="preserve">, E. A., </w:t>
      </w:r>
      <w:r w:rsidR="00965E94">
        <w:rPr>
          <w:rFonts w:ascii="Times New Roman" w:eastAsiaTheme="minorEastAsia" w:hAnsi="Times New Roman"/>
          <w:szCs w:val="24"/>
          <w:lang w:eastAsia="ko-KR"/>
        </w:rPr>
        <w:t>and</w:t>
      </w:r>
      <w:r w:rsidRPr="00F5150F">
        <w:rPr>
          <w:rFonts w:ascii="Times New Roman" w:hAnsi="Times New Roman"/>
          <w:szCs w:val="24"/>
        </w:rPr>
        <w:t xml:space="preserve"> Reuben, C. (2022). Physical activity among adults aged 18 and over: United States, 2020. NCHS Data Brief, 443, 1–8.</w:t>
      </w:r>
    </w:p>
    <w:p w14:paraId="5968A87E" w14:textId="77777777"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EPA. (2021). Smart Location Database Version 3.0 [dataset]. https://www.epa.gov/smartgrowth/smart-location-mapping</w:t>
      </w:r>
    </w:p>
    <w:p w14:paraId="1F14C138" w14:textId="55D71510"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Evans, J. T., Phan, H., </w:t>
      </w:r>
      <w:proofErr w:type="spellStart"/>
      <w:r w:rsidRPr="00F5150F">
        <w:rPr>
          <w:rFonts w:ascii="Times New Roman" w:hAnsi="Times New Roman"/>
          <w:szCs w:val="24"/>
        </w:rPr>
        <w:t>Buscot</w:t>
      </w:r>
      <w:proofErr w:type="spellEnd"/>
      <w:r w:rsidRPr="00F5150F">
        <w:rPr>
          <w:rFonts w:ascii="Times New Roman" w:hAnsi="Times New Roman"/>
          <w:szCs w:val="24"/>
        </w:rPr>
        <w:t xml:space="preserve">, M.-J., Gall, S., </w:t>
      </w:r>
      <w:r w:rsidR="00965E94">
        <w:rPr>
          <w:rFonts w:ascii="Times New Roman" w:eastAsiaTheme="minorEastAsia" w:hAnsi="Times New Roman"/>
          <w:szCs w:val="24"/>
          <w:lang w:eastAsia="ko-KR"/>
        </w:rPr>
        <w:t>and</w:t>
      </w:r>
      <w:r w:rsidRPr="00F5150F">
        <w:rPr>
          <w:rFonts w:ascii="Times New Roman" w:hAnsi="Times New Roman"/>
          <w:szCs w:val="24"/>
        </w:rPr>
        <w:t xml:space="preserve"> Cleland, V. (2022). Correlates and determinants of transport-related physical activity among adults: An interdisciplinary systematic review. </w:t>
      </w:r>
      <w:r w:rsidRPr="00965E94">
        <w:rPr>
          <w:rFonts w:ascii="Times New Roman" w:hAnsi="Times New Roman"/>
          <w:i/>
          <w:iCs/>
          <w:szCs w:val="24"/>
        </w:rPr>
        <w:t>BMC Public Health</w:t>
      </w:r>
      <w:r w:rsidRPr="00F5150F">
        <w:rPr>
          <w:rFonts w:ascii="Times New Roman" w:hAnsi="Times New Roman"/>
          <w:szCs w:val="24"/>
        </w:rPr>
        <w:t>, 22(1), 1519. https://doi.org/10.1186/s12889-022-13937-9</w:t>
      </w:r>
    </w:p>
    <w:p w14:paraId="7A4533D8" w14:textId="0FCBC870" w:rsidR="008B58C4" w:rsidRPr="00F5150F" w:rsidRDefault="008B58C4" w:rsidP="00863C4F">
      <w:pPr>
        <w:ind w:left="540" w:hanging="540"/>
        <w:jc w:val="both"/>
        <w:rPr>
          <w:rFonts w:ascii="Times New Roman" w:hAnsi="Times New Roman"/>
          <w:szCs w:val="24"/>
          <w:lang w:eastAsia="ko-KR"/>
        </w:rPr>
      </w:pPr>
      <w:r w:rsidRPr="00F5150F">
        <w:rPr>
          <w:rFonts w:ascii="Times New Roman" w:hAnsi="Times New Roman"/>
          <w:szCs w:val="24"/>
          <w:lang w:eastAsia="ko-KR"/>
        </w:rPr>
        <w:t xml:space="preserve">Ewing, R., </w:t>
      </w:r>
      <w:r w:rsidR="00965E94">
        <w:rPr>
          <w:rFonts w:ascii="Times New Roman" w:eastAsiaTheme="minorEastAsia" w:hAnsi="Times New Roman"/>
          <w:szCs w:val="24"/>
          <w:lang w:eastAsia="ko-KR"/>
        </w:rPr>
        <w:t>and</w:t>
      </w:r>
      <w:r w:rsidRPr="00F5150F">
        <w:rPr>
          <w:rFonts w:ascii="Times New Roman" w:hAnsi="Times New Roman"/>
          <w:szCs w:val="24"/>
          <w:lang w:eastAsia="ko-KR"/>
        </w:rPr>
        <w:t xml:space="preserve"> Cervero, R. (2010). Travel and the built environment: A meta-analysis. </w:t>
      </w:r>
      <w:r w:rsidRPr="00965E94">
        <w:rPr>
          <w:rFonts w:ascii="Times New Roman" w:hAnsi="Times New Roman"/>
          <w:i/>
          <w:iCs/>
          <w:szCs w:val="24"/>
          <w:lang w:eastAsia="ko-KR"/>
        </w:rPr>
        <w:t>Journal of the American Planning Association</w:t>
      </w:r>
      <w:r w:rsidRPr="00F5150F">
        <w:rPr>
          <w:rFonts w:ascii="Times New Roman" w:hAnsi="Times New Roman"/>
          <w:szCs w:val="24"/>
          <w:lang w:eastAsia="ko-KR"/>
        </w:rPr>
        <w:t>, 76(3), 265–294.</w:t>
      </w:r>
    </w:p>
    <w:p w14:paraId="4BE2CFA4" w14:textId="2E8850E6"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Federal Highway Administration. (20</w:t>
      </w:r>
      <w:r w:rsidR="000E6323">
        <w:rPr>
          <w:rFonts w:ascii="Times New Roman" w:eastAsiaTheme="minorEastAsia" w:hAnsi="Times New Roman" w:hint="eastAsia"/>
          <w:szCs w:val="24"/>
          <w:lang w:eastAsia="ko-KR"/>
        </w:rPr>
        <w:t>22</w:t>
      </w:r>
      <w:r w:rsidRPr="00F5150F">
        <w:rPr>
          <w:rFonts w:ascii="Times New Roman" w:hAnsi="Times New Roman"/>
          <w:szCs w:val="24"/>
        </w:rPr>
        <w:t>). 20</w:t>
      </w:r>
      <w:r w:rsidR="000E6323">
        <w:rPr>
          <w:rFonts w:ascii="Times New Roman" w:eastAsiaTheme="minorEastAsia" w:hAnsi="Times New Roman" w:hint="eastAsia"/>
          <w:szCs w:val="24"/>
          <w:lang w:eastAsia="ko-KR"/>
        </w:rPr>
        <w:t>22</w:t>
      </w:r>
      <w:r w:rsidRPr="00F5150F">
        <w:rPr>
          <w:rFonts w:ascii="Times New Roman" w:hAnsi="Times New Roman"/>
          <w:szCs w:val="24"/>
        </w:rPr>
        <w:t xml:space="preserve"> National Household Travel Survey (U.S. Department of Transportation, Washington, DC) [dataset]. </w:t>
      </w:r>
      <w:r w:rsidR="00544EEF">
        <w:rPr>
          <w:rFonts w:ascii="Times New Roman" w:eastAsiaTheme="minorEastAsia" w:hAnsi="Times New Roman" w:hint="eastAsia"/>
          <w:szCs w:val="24"/>
          <w:lang w:eastAsia="ko-KR"/>
        </w:rPr>
        <w:t>nht</w:t>
      </w:r>
      <w:r w:rsidRPr="00F5150F">
        <w:rPr>
          <w:rFonts w:ascii="Times New Roman" w:hAnsi="Times New Roman"/>
          <w:szCs w:val="24"/>
        </w:rPr>
        <w:t>s.ornl.gov</w:t>
      </w:r>
    </w:p>
    <w:p w14:paraId="5744AF40" w14:textId="658E9FCD"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lastRenderedPageBreak/>
        <w:t>Greier</w:t>
      </w:r>
      <w:proofErr w:type="spellEnd"/>
      <w:r w:rsidRPr="00F5150F">
        <w:rPr>
          <w:rFonts w:ascii="Times New Roman" w:hAnsi="Times New Roman"/>
          <w:szCs w:val="24"/>
        </w:rPr>
        <w:t xml:space="preserve">, K., </w:t>
      </w:r>
      <w:proofErr w:type="spellStart"/>
      <w:r w:rsidRPr="00F5150F">
        <w:rPr>
          <w:rFonts w:ascii="Times New Roman" w:hAnsi="Times New Roman"/>
          <w:szCs w:val="24"/>
        </w:rPr>
        <w:t>Drenowatz</w:t>
      </w:r>
      <w:proofErr w:type="spellEnd"/>
      <w:r w:rsidRPr="00F5150F">
        <w:rPr>
          <w:rFonts w:ascii="Times New Roman" w:hAnsi="Times New Roman"/>
          <w:szCs w:val="24"/>
        </w:rPr>
        <w:t xml:space="preserve">, C., </w:t>
      </w:r>
      <w:proofErr w:type="spellStart"/>
      <w:r w:rsidRPr="00F5150F">
        <w:rPr>
          <w:rFonts w:ascii="Times New Roman" w:hAnsi="Times New Roman"/>
          <w:szCs w:val="24"/>
        </w:rPr>
        <w:t>Bischofer</w:t>
      </w:r>
      <w:proofErr w:type="spellEnd"/>
      <w:r w:rsidRPr="00F5150F">
        <w:rPr>
          <w:rFonts w:ascii="Times New Roman" w:hAnsi="Times New Roman"/>
          <w:szCs w:val="24"/>
        </w:rPr>
        <w:t xml:space="preserve">, T., </w:t>
      </w:r>
      <w:proofErr w:type="spellStart"/>
      <w:r w:rsidRPr="00F5150F">
        <w:rPr>
          <w:rFonts w:ascii="Times New Roman" w:hAnsi="Times New Roman"/>
          <w:szCs w:val="24"/>
        </w:rPr>
        <w:t>Petrasch</w:t>
      </w:r>
      <w:proofErr w:type="spellEnd"/>
      <w:r w:rsidRPr="00F5150F">
        <w:rPr>
          <w:rFonts w:ascii="Times New Roman" w:hAnsi="Times New Roman"/>
          <w:szCs w:val="24"/>
        </w:rPr>
        <w:t xml:space="preserve">, G., </w:t>
      </w:r>
      <w:proofErr w:type="spellStart"/>
      <w:r w:rsidRPr="00F5150F">
        <w:rPr>
          <w:rFonts w:ascii="Times New Roman" w:hAnsi="Times New Roman"/>
          <w:szCs w:val="24"/>
        </w:rPr>
        <w:t>Greier</w:t>
      </w:r>
      <w:proofErr w:type="spellEnd"/>
      <w:r w:rsidRPr="00F5150F">
        <w:rPr>
          <w:rFonts w:ascii="Times New Roman" w:hAnsi="Times New Roman"/>
          <w:szCs w:val="24"/>
        </w:rPr>
        <w:t xml:space="preserve">, C., </w:t>
      </w:r>
      <w:proofErr w:type="spellStart"/>
      <w:r w:rsidRPr="00F5150F">
        <w:rPr>
          <w:rFonts w:ascii="Times New Roman" w:hAnsi="Times New Roman"/>
          <w:szCs w:val="24"/>
        </w:rPr>
        <w:t>Cocca</w:t>
      </w:r>
      <w:proofErr w:type="spellEnd"/>
      <w:r w:rsidRPr="00F5150F">
        <w:rPr>
          <w:rFonts w:ascii="Times New Roman" w:hAnsi="Times New Roman"/>
          <w:szCs w:val="24"/>
        </w:rPr>
        <w:t xml:space="preserve">, A.,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Ruedl</w:t>
      </w:r>
      <w:proofErr w:type="spellEnd"/>
      <w:r w:rsidRPr="00F5150F">
        <w:rPr>
          <w:rFonts w:ascii="Times New Roman" w:hAnsi="Times New Roman"/>
          <w:szCs w:val="24"/>
        </w:rPr>
        <w:t xml:space="preserve">, G. (2021). Physical activity and sitting time prior to and during COVID-19 lockdown in Austrian high-school students. </w:t>
      </w:r>
      <w:r w:rsidRPr="00CF347B">
        <w:rPr>
          <w:rFonts w:ascii="Times New Roman" w:hAnsi="Times New Roman"/>
          <w:i/>
          <w:iCs/>
          <w:szCs w:val="24"/>
        </w:rPr>
        <w:t>AIMS Public Health</w:t>
      </w:r>
      <w:r w:rsidRPr="00F5150F">
        <w:rPr>
          <w:rFonts w:ascii="Times New Roman" w:hAnsi="Times New Roman"/>
          <w:szCs w:val="24"/>
        </w:rPr>
        <w:t>, 8(3), 531–540. https://doi.org/10.3934/publichealth.2021043</w:t>
      </w:r>
    </w:p>
    <w:p w14:paraId="010420F1" w14:textId="1CEDB91B" w:rsidR="008B58C4" w:rsidRDefault="008B58C4" w:rsidP="00863C4F">
      <w:pPr>
        <w:ind w:left="540" w:hanging="540"/>
        <w:jc w:val="both"/>
        <w:rPr>
          <w:rFonts w:ascii="Times New Roman" w:eastAsiaTheme="minorEastAsia" w:hAnsi="Times New Roman"/>
          <w:szCs w:val="24"/>
          <w:lang w:eastAsia="ko-KR"/>
        </w:rPr>
      </w:pPr>
      <w:r w:rsidRPr="00F5150F">
        <w:rPr>
          <w:rFonts w:ascii="Times New Roman" w:hAnsi="Times New Roman"/>
          <w:szCs w:val="24"/>
          <w:lang w:eastAsia="ko-KR"/>
        </w:rPr>
        <w:t xml:space="preserve">Gul, Y., Sultan, Z., </w:t>
      </w:r>
      <w:proofErr w:type="spellStart"/>
      <w:r w:rsidRPr="00F5150F">
        <w:rPr>
          <w:rFonts w:ascii="Times New Roman" w:hAnsi="Times New Roman"/>
          <w:szCs w:val="24"/>
          <w:lang w:eastAsia="ko-KR"/>
        </w:rPr>
        <w:t>Moeinaddini</w:t>
      </w:r>
      <w:proofErr w:type="spellEnd"/>
      <w:r w:rsidRPr="00F5150F">
        <w:rPr>
          <w:rFonts w:ascii="Times New Roman" w:hAnsi="Times New Roman"/>
          <w:szCs w:val="24"/>
          <w:lang w:eastAsia="ko-KR"/>
        </w:rPr>
        <w:t xml:space="preserve">, M., </w:t>
      </w:r>
      <w:r w:rsidR="00965E94">
        <w:rPr>
          <w:rFonts w:ascii="Times New Roman" w:eastAsiaTheme="minorEastAsia" w:hAnsi="Times New Roman"/>
          <w:szCs w:val="24"/>
          <w:lang w:eastAsia="ko-KR"/>
        </w:rPr>
        <w:t>and</w:t>
      </w:r>
      <w:r w:rsidRPr="00F5150F">
        <w:rPr>
          <w:rFonts w:ascii="Times New Roman" w:hAnsi="Times New Roman"/>
          <w:szCs w:val="24"/>
          <w:lang w:eastAsia="ko-KR"/>
        </w:rPr>
        <w:t xml:space="preserve"> </w:t>
      </w:r>
      <w:proofErr w:type="spellStart"/>
      <w:r w:rsidRPr="00F5150F">
        <w:rPr>
          <w:rFonts w:ascii="Times New Roman" w:hAnsi="Times New Roman"/>
          <w:szCs w:val="24"/>
          <w:lang w:eastAsia="ko-KR"/>
        </w:rPr>
        <w:t>Jokhio</w:t>
      </w:r>
      <w:proofErr w:type="spellEnd"/>
      <w:r w:rsidRPr="00F5150F">
        <w:rPr>
          <w:rFonts w:ascii="Times New Roman" w:hAnsi="Times New Roman"/>
          <w:szCs w:val="24"/>
          <w:lang w:eastAsia="ko-KR"/>
        </w:rPr>
        <w:t xml:space="preserve">, G. A. (2019). The effects of socio-demographic factors on physical activity in gated and non-gated </w:t>
      </w:r>
      <w:proofErr w:type="spellStart"/>
      <w:r w:rsidRPr="00F5150F">
        <w:rPr>
          <w:rFonts w:ascii="Times New Roman" w:hAnsi="Times New Roman"/>
          <w:szCs w:val="24"/>
          <w:lang w:eastAsia="ko-KR"/>
        </w:rPr>
        <w:t>neighbourhoods</w:t>
      </w:r>
      <w:proofErr w:type="spellEnd"/>
      <w:r w:rsidRPr="00F5150F">
        <w:rPr>
          <w:rFonts w:ascii="Times New Roman" w:hAnsi="Times New Roman"/>
          <w:szCs w:val="24"/>
          <w:lang w:eastAsia="ko-KR"/>
        </w:rPr>
        <w:t xml:space="preserve"> in Karachi, Pakistan. </w:t>
      </w:r>
      <w:r w:rsidRPr="00CF347B">
        <w:rPr>
          <w:rFonts w:ascii="Times New Roman" w:hAnsi="Times New Roman"/>
          <w:i/>
          <w:iCs/>
          <w:szCs w:val="24"/>
          <w:lang w:eastAsia="ko-KR"/>
        </w:rPr>
        <w:t>Sport in Society</w:t>
      </w:r>
      <w:r w:rsidRPr="00F5150F">
        <w:rPr>
          <w:rFonts w:ascii="Times New Roman" w:hAnsi="Times New Roman"/>
          <w:szCs w:val="24"/>
          <w:lang w:eastAsia="ko-KR"/>
        </w:rPr>
        <w:t xml:space="preserve">, 22(7), 1225–1239. </w:t>
      </w:r>
      <w:r w:rsidR="004E0B30" w:rsidRPr="004E0B30">
        <w:rPr>
          <w:rFonts w:ascii="Times New Roman" w:hAnsi="Times New Roman"/>
          <w:szCs w:val="24"/>
          <w:lang w:eastAsia="ko-KR"/>
        </w:rPr>
        <w:t>https://doi.org/10.1080/17430437.2018.1508208</w:t>
      </w:r>
    </w:p>
    <w:p w14:paraId="62F2BFDC" w14:textId="2CD939A6" w:rsidR="004E0B30" w:rsidRPr="004E0B30" w:rsidRDefault="004E0B30" w:rsidP="00863C4F">
      <w:pPr>
        <w:ind w:left="540" w:hanging="540"/>
        <w:jc w:val="both"/>
        <w:rPr>
          <w:rFonts w:ascii="Times New Roman" w:eastAsiaTheme="minorEastAsia" w:hAnsi="Times New Roman"/>
          <w:szCs w:val="24"/>
          <w:lang w:eastAsia="ko-KR"/>
        </w:rPr>
      </w:pPr>
      <w:r w:rsidRPr="004E0B30">
        <w:rPr>
          <w:rFonts w:ascii="Times New Roman" w:eastAsiaTheme="minorEastAsia" w:hAnsi="Times New Roman"/>
          <w:szCs w:val="24"/>
          <w:lang w:eastAsia="ko-KR"/>
        </w:rPr>
        <w:t xml:space="preserve">Habib, K. N., Hawkins, J., Shakib, S., Loa, P., Mashrur, S., </w:t>
      </w:r>
      <w:proofErr w:type="spellStart"/>
      <w:r w:rsidRPr="004E0B30">
        <w:rPr>
          <w:rFonts w:ascii="Times New Roman" w:eastAsiaTheme="minorEastAsia" w:hAnsi="Times New Roman"/>
          <w:szCs w:val="24"/>
          <w:lang w:eastAsia="ko-KR"/>
        </w:rPr>
        <w:t>Dianat</w:t>
      </w:r>
      <w:proofErr w:type="spellEnd"/>
      <w:r w:rsidRPr="004E0B30">
        <w:rPr>
          <w:rFonts w:ascii="Times New Roman" w:eastAsiaTheme="minorEastAsia" w:hAnsi="Times New Roman"/>
          <w:szCs w:val="24"/>
          <w:lang w:eastAsia="ko-KR"/>
        </w:rPr>
        <w:t xml:space="preserve">, A., Wang, K., Hossain, S., </w:t>
      </w:r>
      <w:r w:rsidR="00965E94">
        <w:rPr>
          <w:rFonts w:ascii="Times New Roman" w:eastAsiaTheme="minorEastAsia" w:hAnsi="Times New Roman"/>
          <w:szCs w:val="24"/>
          <w:lang w:eastAsia="ko-KR"/>
        </w:rPr>
        <w:t>and</w:t>
      </w:r>
      <w:r w:rsidRPr="004E0B30">
        <w:rPr>
          <w:rFonts w:ascii="Times New Roman" w:eastAsiaTheme="minorEastAsia" w:hAnsi="Times New Roman"/>
          <w:szCs w:val="24"/>
          <w:lang w:eastAsia="ko-KR"/>
        </w:rPr>
        <w:t xml:space="preserve"> Liu, Y. (2021). Assessing the impacts of COVID-19 on urban passenger travel demand in the greater Toronto area: Description of a multi-pronged and multi-staged study with initial results. </w:t>
      </w:r>
      <w:r w:rsidRPr="00CF347B">
        <w:rPr>
          <w:rFonts w:ascii="Times New Roman" w:eastAsiaTheme="minorEastAsia" w:hAnsi="Times New Roman"/>
          <w:i/>
          <w:iCs/>
          <w:szCs w:val="24"/>
          <w:lang w:eastAsia="ko-KR"/>
        </w:rPr>
        <w:t>Transportation Letters</w:t>
      </w:r>
      <w:r w:rsidRPr="004E0B30">
        <w:rPr>
          <w:rFonts w:ascii="Times New Roman" w:eastAsiaTheme="minorEastAsia" w:hAnsi="Times New Roman"/>
          <w:szCs w:val="24"/>
          <w:lang w:eastAsia="ko-KR"/>
        </w:rPr>
        <w:t>, 13(5–6), 353–366. https://doi.org/10.1080/19427867.2021.1899579</w:t>
      </w:r>
    </w:p>
    <w:p w14:paraId="1670663D" w14:textId="2B8A6CB2" w:rsidR="008B58C4" w:rsidRPr="00F5150F" w:rsidRDefault="008B58C4" w:rsidP="00863C4F">
      <w:pPr>
        <w:ind w:left="540" w:hanging="540"/>
        <w:jc w:val="both"/>
        <w:rPr>
          <w:rFonts w:ascii="Times New Roman" w:hAnsi="Times New Roman"/>
          <w:szCs w:val="24"/>
          <w:lang w:eastAsia="ko-KR"/>
        </w:rPr>
      </w:pPr>
      <w:proofErr w:type="spellStart"/>
      <w:r w:rsidRPr="00F5150F">
        <w:rPr>
          <w:rFonts w:ascii="Times New Roman" w:hAnsi="Times New Roman"/>
          <w:szCs w:val="24"/>
          <w:lang w:eastAsia="ko-KR"/>
        </w:rPr>
        <w:t>Hoffart</w:t>
      </w:r>
      <w:proofErr w:type="spellEnd"/>
      <w:r w:rsidRPr="00F5150F">
        <w:rPr>
          <w:rFonts w:ascii="Times New Roman" w:hAnsi="Times New Roman"/>
          <w:szCs w:val="24"/>
          <w:lang w:eastAsia="ko-KR"/>
        </w:rPr>
        <w:t xml:space="preserve">, A., Johnson, S. U., </w:t>
      </w:r>
      <w:r w:rsidR="00965E94">
        <w:rPr>
          <w:rFonts w:ascii="Times New Roman" w:eastAsiaTheme="minorEastAsia" w:hAnsi="Times New Roman"/>
          <w:szCs w:val="24"/>
          <w:lang w:eastAsia="ko-KR"/>
        </w:rPr>
        <w:t>and</w:t>
      </w:r>
      <w:r w:rsidRPr="00F5150F">
        <w:rPr>
          <w:rFonts w:ascii="Times New Roman" w:hAnsi="Times New Roman"/>
          <w:szCs w:val="24"/>
          <w:lang w:eastAsia="ko-KR"/>
        </w:rPr>
        <w:t xml:space="preserve"> Ebrahimi, O. V. (2020). Loneliness and social distancing during the COVID-19 pandemic: Risk factors and associations with psychopathology. </w:t>
      </w:r>
      <w:r w:rsidRPr="00CF347B">
        <w:rPr>
          <w:rFonts w:ascii="Times New Roman" w:hAnsi="Times New Roman"/>
          <w:i/>
          <w:iCs/>
          <w:szCs w:val="24"/>
          <w:lang w:eastAsia="ko-KR"/>
        </w:rPr>
        <w:t>Frontiers in Psychiatry</w:t>
      </w:r>
      <w:r w:rsidRPr="00F5150F">
        <w:rPr>
          <w:rFonts w:ascii="Times New Roman" w:hAnsi="Times New Roman"/>
          <w:szCs w:val="24"/>
          <w:lang w:eastAsia="ko-KR"/>
        </w:rPr>
        <w:t>, 11, 589127.</w:t>
      </w:r>
    </w:p>
    <w:p w14:paraId="710EFDD6" w14:textId="4A3B1283" w:rsidR="008B58C4" w:rsidRDefault="008B58C4" w:rsidP="00863C4F">
      <w:pPr>
        <w:ind w:left="540" w:hanging="540"/>
        <w:jc w:val="both"/>
        <w:rPr>
          <w:rFonts w:ascii="Times New Roman" w:hAnsi="Times New Roman"/>
          <w:szCs w:val="24"/>
          <w:lang w:eastAsia="ko-KR"/>
        </w:rPr>
      </w:pPr>
      <w:proofErr w:type="spellStart"/>
      <w:r w:rsidRPr="00F5150F">
        <w:rPr>
          <w:rFonts w:ascii="Times New Roman" w:hAnsi="Times New Roman"/>
          <w:szCs w:val="24"/>
          <w:lang w:eastAsia="ko-KR"/>
        </w:rPr>
        <w:t>Hommerich</w:t>
      </w:r>
      <w:proofErr w:type="spellEnd"/>
      <w:r w:rsidRPr="00F5150F">
        <w:rPr>
          <w:rFonts w:ascii="Times New Roman" w:hAnsi="Times New Roman"/>
          <w:szCs w:val="24"/>
          <w:lang w:eastAsia="ko-KR"/>
        </w:rPr>
        <w:t xml:space="preserve">, C., </w:t>
      </w:r>
      <w:r w:rsidR="00965E94">
        <w:rPr>
          <w:rFonts w:ascii="Times New Roman" w:eastAsiaTheme="minorEastAsia" w:hAnsi="Times New Roman"/>
          <w:szCs w:val="24"/>
          <w:lang w:eastAsia="ko-KR"/>
        </w:rPr>
        <w:t>and</w:t>
      </w:r>
      <w:r w:rsidRPr="00F5150F">
        <w:rPr>
          <w:rFonts w:ascii="Times New Roman" w:hAnsi="Times New Roman"/>
          <w:szCs w:val="24"/>
          <w:lang w:eastAsia="ko-KR"/>
        </w:rPr>
        <w:t xml:space="preserve"> </w:t>
      </w:r>
      <w:proofErr w:type="spellStart"/>
      <w:r w:rsidRPr="00F5150F">
        <w:rPr>
          <w:rFonts w:ascii="Times New Roman" w:hAnsi="Times New Roman"/>
          <w:szCs w:val="24"/>
          <w:lang w:eastAsia="ko-KR"/>
        </w:rPr>
        <w:t>Tiefenbach</w:t>
      </w:r>
      <w:proofErr w:type="spellEnd"/>
      <w:r w:rsidRPr="00F5150F">
        <w:rPr>
          <w:rFonts w:ascii="Times New Roman" w:hAnsi="Times New Roman"/>
          <w:szCs w:val="24"/>
          <w:lang w:eastAsia="ko-KR"/>
        </w:rPr>
        <w:t xml:space="preserve">, T. (2018). Analyzing the relationship between social capital and subjective well-being: The mediating role of social affiliation. </w:t>
      </w:r>
      <w:r w:rsidRPr="00CF347B">
        <w:rPr>
          <w:rFonts w:ascii="Times New Roman" w:hAnsi="Times New Roman"/>
          <w:i/>
          <w:iCs/>
          <w:szCs w:val="24"/>
          <w:lang w:eastAsia="ko-KR"/>
        </w:rPr>
        <w:t>Journal of Happiness Studies</w:t>
      </w:r>
      <w:r w:rsidRPr="00F5150F">
        <w:rPr>
          <w:rFonts w:ascii="Times New Roman" w:hAnsi="Times New Roman"/>
          <w:szCs w:val="24"/>
          <w:lang w:eastAsia="ko-KR"/>
        </w:rPr>
        <w:t>, 19, 1091-1114.</w:t>
      </w:r>
    </w:p>
    <w:p w14:paraId="093A6C7A" w14:textId="1A6423CF" w:rsidR="007C0041" w:rsidRPr="007C0041" w:rsidRDefault="007C0041" w:rsidP="00863C4F">
      <w:pPr>
        <w:ind w:left="540" w:hanging="540"/>
        <w:jc w:val="both"/>
        <w:rPr>
          <w:rFonts w:ascii="Times New Roman" w:eastAsiaTheme="minorEastAsia" w:hAnsi="Times New Roman"/>
          <w:szCs w:val="24"/>
          <w:lang w:eastAsia="ko-KR"/>
        </w:rPr>
      </w:pPr>
      <w:r w:rsidRPr="007C0041">
        <w:rPr>
          <w:rFonts w:ascii="Times New Roman" w:eastAsiaTheme="minorEastAsia" w:hAnsi="Times New Roman"/>
          <w:szCs w:val="24"/>
          <w:lang w:eastAsia="ko-KR"/>
        </w:rPr>
        <w:t xml:space="preserve">Hook, H., De Vos, J., Van Acker, V., </w:t>
      </w:r>
      <w:r w:rsidR="00965E94">
        <w:rPr>
          <w:rFonts w:ascii="Times New Roman" w:eastAsiaTheme="minorEastAsia" w:hAnsi="Times New Roman"/>
          <w:szCs w:val="24"/>
          <w:lang w:eastAsia="ko-KR"/>
        </w:rPr>
        <w:t>and</w:t>
      </w:r>
      <w:r w:rsidRPr="007C0041">
        <w:rPr>
          <w:rFonts w:ascii="Times New Roman" w:eastAsiaTheme="minorEastAsia" w:hAnsi="Times New Roman"/>
          <w:szCs w:val="24"/>
          <w:lang w:eastAsia="ko-KR"/>
        </w:rPr>
        <w:t xml:space="preserve"> </w:t>
      </w:r>
      <w:proofErr w:type="spellStart"/>
      <w:r w:rsidRPr="007C0041">
        <w:rPr>
          <w:rFonts w:ascii="Times New Roman" w:eastAsiaTheme="minorEastAsia" w:hAnsi="Times New Roman"/>
          <w:szCs w:val="24"/>
          <w:lang w:eastAsia="ko-KR"/>
        </w:rPr>
        <w:t>Witlox</w:t>
      </w:r>
      <w:proofErr w:type="spellEnd"/>
      <w:r w:rsidRPr="007C0041">
        <w:rPr>
          <w:rFonts w:ascii="Times New Roman" w:eastAsiaTheme="minorEastAsia" w:hAnsi="Times New Roman"/>
          <w:szCs w:val="24"/>
          <w:lang w:eastAsia="ko-KR"/>
        </w:rPr>
        <w:t xml:space="preserve">, F. (2021). Does undirected travel compensate for reduced directed travel during lockdown? </w:t>
      </w:r>
      <w:r w:rsidRPr="00CF347B">
        <w:rPr>
          <w:rFonts w:ascii="Times New Roman" w:eastAsiaTheme="minorEastAsia" w:hAnsi="Times New Roman"/>
          <w:i/>
          <w:iCs/>
          <w:szCs w:val="24"/>
          <w:lang w:eastAsia="ko-KR"/>
        </w:rPr>
        <w:t>Transportation Letters</w:t>
      </w:r>
      <w:r w:rsidRPr="007C0041">
        <w:rPr>
          <w:rFonts w:ascii="Times New Roman" w:eastAsiaTheme="minorEastAsia" w:hAnsi="Times New Roman"/>
          <w:szCs w:val="24"/>
          <w:lang w:eastAsia="ko-KR"/>
        </w:rPr>
        <w:t>, 13(5–6), 414–420. https://doi.org/10.1080/19427867.2021.1892935</w:t>
      </w:r>
    </w:p>
    <w:p w14:paraId="672CF19D" w14:textId="3C72BEA3"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Hunter, R. F., Garcia, L., de Sa, T. H., Zapata-</w:t>
      </w:r>
      <w:proofErr w:type="spellStart"/>
      <w:r w:rsidRPr="00F5150F">
        <w:rPr>
          <w:rFonts w:ascii="Times New Roman" w:hAnsi="Times New Roman"/>
          <w:szCs w:val="24"/>
        </w:rPr>
        <w:t>Diomedi</w:t>
      </w:r>
      <w:proofErr w:type="spellEnd"/>
      <w:r w:rsidRPr="00F5150F">
        <w:rPr>
          <w:rFonts w:ascii="Times New Roman" w:hAnsi="Times New Roman"/>
          <w:szCs w:val="24"/>
        </w:rPr>
        <w:t xml:space="preserve">, B., Millett, C., Woodcock, J., Pentland, A. ’Sandy’, </w:t>
      </w:r>
      <w:r w:rsidR="00965E94">
        <w:rPr>
          <w:rFonts w:ascii="Times New Roman" w:eastAsiaTheme="minorEastAsia" w:hAnsi="Times New Roman"/>
          <w:szCs w:val="24"/>
          <w:lang w:eastAsia="ko-KR"/>
        </w:rPr>
        <w:t>and</w:t>
      </w:r>
      <w:r w:rsidRPr="00F5150F">
        <w:rPr>
          <w:rFonts w:ascii="Times New Roman" w:hAnsi="Times New Roman"/>
          <w:szCs w:val="24"/>
        </w:rPr>
        <w:t xml:space="preserve"> Moro, E. (2021). Effect of COVID-19 response policies on walking behavior in US cities. </w:t>
      </w:r>
      <w:r w:rsidRPr="00CF347B">
        <w:rPr>
          <w:rFonts w:ascii="Times New Roman" w:hAnsi="Times New Roman"/>
          <w:i/>
          <w:iCs/>
          <w:szCs w:val="24"/>
        </w:rPr>
        <w:t>Nature Communications</w:t>
      </w:r>
      <w:r w:rsidRPr="00F5150F">
        <w:rPr>
          <w:rFonts w:ascii="Times New Roman" w:hAnsi="Times New Roman"/>
          <w:szCs w:val="24"/>
        </w:rPr>
        <w:t>, 12(1), 3652. https://doi.org/10.1038/s41467-021-23937-9</w:t>
      </w:r>
    </w:p>
    <w:p w14:paraId="423E07CD" w14:textId="70414F95"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t>Javadinasr</w:t>
      </w:r>
      <w:proofErr w:type="spellEnd"/>
      <w:r w:rsidRPr="00F5150F">
        <w:rPr>
          <w:rFonts w:ascii="Times New Roman" w:hAnsi="Times New Roman"/>
          <w:szCs w:val="24"/>
        </w:rPr>
        <w:t xml:space="preserve">, M., </w:t>
      </w:r>
      <w:proofErr w:type="spellStart"/>
      <w:r w:rsidRPr="00F5150F">
        <w:rPr>
          <w:rFonts w:ascii="Times New Roman" w:hAnsi="Times New Roman"/>
          <w:szCs w:val="24"/>
        </w:rPr>
        <w:t>Maggasy</w:t>
      </w:r>
      <w:proofErr w:type="spellEnd"/>
      <w:r w:rsidRPr="00F5150F">
        <w:rPr>
          <w:rFonts w:ascii="Times New Roman" w:hAnsi="Times New Roman"/>
          <w:szCs w:val="24"/>
        </w:rPr>
        <w:t xml:space="preserve">, T., Mohammadi, M., </w:t>
      </w:r>
      <w:proofErr w:type="spellStart"/>
      <w:r w:rsidRPr="00F5150F">
        <w:rPr>
          <w:rFonts w:ascii="Times New Roman" w:hAnsi="Times New Roman"/>
          <w:szCs w:val="24"/>
        </w:rPr>
        <w:t>Mohammadain</w:t>
      </w:r>
      <w:proofErr w:type="spellEnd"/>
      <w:r w:rsidRPr="00F5150F">
        <w:rPr>
          <w:rFonts w:ascii="Times New Roman" w:hAnsi="Times New Roman"/>
          <w:szCs w:val="24"/>
        </w:rPr>
        <w:t xml:space="preserve">, K., Rahimi, E., Salon, D., Conway, M. W., Pendyala, R.,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Derrible</w:t>
      </w:r>
      <w:proofErr w:type="spellEnd"/>
      <w:r w:rsidRPr="00F5150F">
        <w:rPr>
          <w:rFonts w:ascii="Times New Roman" w:hAnsi="Times New Roman"/>
          <w:szCs w:val="24"/>
        </w:rPr>
        <w:t xml:space="preserve">, S. (2022). The long-term effects of COVID-19 on travel behavior in the United States: A panel study on work from home, mode choice, online shopping, and air travel. </w:t>
      </w:r>
      <w:r w:rsidRPr="00CF347B">
        <w:rPr>
          <w:rFonts w:ascii="Times New Roman" w:hAnsi="Times New Roman"/>
          <w:i/>
          <w:iCs/>
          <w:szCs w:val="24"/>
        </w:rPr>
        <w:t>Transportation Research Part F: Traffic Psychology and Behaviour</w:t>
      </w:r>
      <w:r w:rsidRPr="00F5150F">
        <w:rPr>
          <w:rFonts w:ascii="Times New Roman" w:hAnsi="Times New Roman"/>
          <w:szCs w:val="24"/>
        </w:rPr>
        <w:t>, 90, 466–484. https://doi.org/10.1016/j.trf.2022.09.019</w:t>
      </w:r>
    </w:p>
    <w:p w14:paraId="60BE0F4C" w14:textId="7C948C94" w:rsidR="008B58C4" w:rsidRPr="00F5150F" w:rsidRDefault="008B58C4" w:rsidP="00863C4F">
      <w:pPr>
        <w:pStyle w:val="ListParagraph"/>
        <w:keepLines/>
        <w:ind w:left="540" w:hanging="540"/>
        <w:jc w:val="both"/>
        <w:rPr>
          <w:rFonts w:ascii="Times New Roman" w:hAnsi="Times New Roman"/>
          <w:szCs w:val="24"/>
        </w:rPr>
      </w:pPr>
      <w:proofErr w:type="spellStart"/>
      <w:r w:rsidRPr="00F5150F">
        <w:rPr>
          <w:rFonts w:ascii="Times New Roman" w:hAnsi="Times New Roman"/>
          <w:szCs w:val="24"/>
        </w:rPr>
        <w:t>Kellermann</w:t>
      </w:r>
      <w:proofErr w:type="spellEnd"/>
      <w:r w:rsidRPr="00F5150F">
        <w:rPr>
          <w:rFonts w:ascii="Times New Roman" w:hAnsi="Times New Roman"/>
          <w:szCs w:val="24"/>
        </w:rPr>
        <w:t xml:space="preserve">, R., </w:t>
      </w:r>
      <w:proofErr w:type="spellStart"/>
      <w:r w:rsidRPr="00F5150F">
        <w:rPr>
          <w:rFonts w:ascii="Times New Roman" w:hAnsi="Times New Roman"/>
          <w:szCs w:val="24"/>
        </w:rPr>
        <w:t>Sivizaca</w:t>
      </w:r>
      <w:proofErr w:type="spellEnd"/>
      <w:r w:rsidRPr="00F5150F">
        <w:rPr>
          <w:rFonts w:ascii="Times New Roman" w:hAnsi="Times New Roman"/>
          <w:szCs w:val="24"/>
        </w:rPr>
        <w:t xml:space="preserve"> Conde, D., </w:t>
      </w:r>
      <w:proofErr w:type="spellStart"/>
      <w:r w:rsidRPr="00F5150F">
        <w:rPr>
          <w:rFonts w:ascii="Times New Roman" w:hAnsi="Times New Roman"/>
          <w:szCs w:val="24"/>
        </w:rPr>
        <w:t>Rößler</w:t>
      </w:r>
      <w:proofErr w:type="spellEnd"/>
      <w:r w:rsidRPr="00F5150F">
        <w:rPr>
          <w:rFonts w:ascii="Times New Roman" w:hAnsi="Times New Roman"/>
          <w:szCs w:val="24"/>
        </w:rPr>
        <w:t xml:space="preserve">, D., </w:t>
      </w:r>
      <w:proofErr w:type="spellStart"/>
      <w:r w:rsidRPr="00F5150F">
        <w:rPr>
          <w:rFonts w:ascii="Times New Roman" w:hAnsi="Times New Roman"/>
          <w:szCs w:val="24"/>
        </w:rPr>
        <w:t>Kliewer</w:t>
      </w:r>
      <w:proofErr w:type="spellEnd"/>
      <w:r w:rsidRPr="00F5150F">
        <w:rPr>
          <w:rFonts w:ascii="Times New Roman" w:hAnsi="Times New Roman"/>
          <w:szCs w:val="24"/>
        </w:rPr>
        <w:t xml:space="preserve">, N.,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Dienel</w:t>
      </w:r>
      <w:proofErr w:type="spellEnd"/>
      <w:r w:rsidRPr="00F5150F">
        <w:rPr>
          <w:rFonts w:ascii="Times New Roman" w:hAnsi="Times New Roman"/>
          <w:szCs w:val="24"/>
        </w:rPr>
        <w:t xml:space="preserve">, H.-L. (2022). Mobility in pandemic times: Exploring changes and long-term effects of COVID-19 on urban mobility behavior. </w:t>
      </w:r>
      <w:r w:rsidRPr="00CF347B">
        <w:rPr>
          <w:rFonts w:ascii="Times New Roman" w:hAnsi="Times New Roman"/>
          <w:i/>
          <w:iCs/>
          <w:szCs w:val="24"/>
        </w:rPr>
        <w:t>Transportation Research Interdisciplinary Perspectives</w:t>
      </w:r>
      <w:r w:rsidRPr="00F5150F">
        <w:rPr>
          <w:rFonts w:ascii="Times New Roman" w:hAnsi="Times New Roman"/>
          <w:szCs w:val="24"/>
        </w:rPr>
        <w:t>, 15, 100668. https://doi.org/10.1016/j.trip.2022.100668</w:t>
      </w:r>
    </w:p>
    <w:p w14:paraId="765DCFEA" w14:textId="77777777"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Kleinman, M. (2020). Policy challenges for the post-pandemic city. </w:t>
      </w:r>
      <w:r w:rsidRPr="00CF347B">
        <w:rPr>
          <w:rFonts w:ascii="Times New Roman" w:hAnsi="Times New Roman"/>
          <w:i/>
          <w:iCs/>
          <w:szCs w:val="24"/>
        </w:rPr>
        <w:t>Environment and Planning B: Urban Analytics and City Science</w:t>
      </w:r>
      <w:r w:rsidRPr="00F5150F">
        <w:rPr>
          <w:rFonts w:ascii="Times New Roman" w:hAnsi="Times New Roman"/>
          <w:szCs w:val="24"/>
        </w:rPr>
        <w:t>, 47(7), 1136–1139. https://doi.org/10.1177/2399808320950252</w:t>
      </w:r>
    </w:p>
    <w:p w14:paraId="07FE4723" w14:textId="1CBCC243"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Krall, E. A., </w:t>
      </w:r>
      <w:r w:rsidR="00965E94">
        <w:rPr>
          <w:rFonts w:ascii="Times New Roman" w:eastAsiaTheme="minorEastAsia" w:hAnsi="Times New Roman"/>
          <w:szCs w:val="24"/>
          <w:lang w:eastAsia="ko-KR"/>
        </w:rPr>
        <w:t>and</w:t>
      </w:r>
      <w:r w:rsidRPr="00F5150F">
        <w:rPr>
          <w:rFonts w:ascii="Times New Roman" w:hAnsi="Times New Roman"/>
          <w:szCs w:val="24"/>
        </w:rPr>
        <w:t xml:space="preserve"> Dawson-Hughes, B. (1994). Walking is related to bone density and rates of bone loss. </w:t>
      </w:r>
      <w:r w:rsidRPr="00CF347B">
        <w:rPr>
          <w:rFonts w:ascii="Times New Roman" w:hAnsi="Times New Roman"/>
          <w:i/>
          <w:iCs/>
          <w:szCs w:val="24"/>
        </w:rPr>
        <w:t>The American Journal of Medicine</w:t>
      </w:r>
      <w:r w:rsidRPr="00F5150F">
        <w:rPr>
          <w:rFonts w:ascii="Times New Roman" w:hAnsi="Times New Roman"/>
          <w:szCs w:val="24"/>
        </w:rPr>
        <w:t>, 96(1), 20–26. https://doi.org/10.1016/0002-9343(94)90111-2</w:t>
      </w:r>
    </w:p>
    <w:p w14:paraId="40FBB865" w14:textId="009408EE"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Kramer, D., Maas, J., </w:t>
      </w:r>
      <w:proofErr w:type="spellStart"/>
      <w:r w:rsidRPr="00F5150F">
        <w:rPr>
          <w:rFonts w:ascii="Times New Roman" w:hAnsi="Times New Roman"/>
          <w:szCs w:val="24"/>
        </w:rPr>
        <w:t>Wingen</w:t>
      </w:r>
      <w:proofErr w:type="spellEnd"/>
      <w:r w:rsidRPr="00F5150F">
        <w:rPr>
          <w:rFonts w:ascii="Times New Roman" w:hAnsi="Times New Roman"/>
          <w:szCs w:val="24"/>
        </w:rPr>
        <w:t xml:space="preserve">, M., </w:t>
      </w:r>
      <w:r w:rsidR="00965E94">
        <w:rPr>
          <w:rFonts w:ascii="Times New Roman" w:eastAsiaTheme="minorEastAsia" w:hAnsi="Times New Roman"/>
          <w:szCs w:val="24"/>
          <w:lang w:eastAsia="ko-KR"/>
        </w:rPr>
        <w:t>and</w:t>
      </w:r>
      <w:r w:rsidRPr="00F5150F">
        <w:rPr>
          <w:rFonts w:ascii="Times New Roman" w:hAnsi="Times New Roman"/>
          <w:szCs w:val="24"/>
        </w:rPr>
        <w:t xml:space="preserve"> Kunst, A. E. (2013). </w:t>
      </w:r>
      <w:proofErr w:type="spellStart"/>
      <w:r w:rsidRPr="00F5150F">
        <w:rPr>
          <w:rFonts w:ascii="Times New Roman" w:hAnsi="Times New Roman"/>
          <w:szCs w:val="24"/>
        </w:rPr>
        <w:t>Neighbourhood</w:t>
      </w:r>
      <w:proofErr w:type="spellEnd"/>
      <w:r w:rsidRPr="00F5150F">
        <w:rPr>
          <w:rFonts w:ascii="Times New Roman" w:hAnsi="Times New Roman"/>
          <w:szCs w:val="24"/>
        </w:rPr>
        <w:t xml:space="preserve"> safety and leisure-time physical activity among Dutch adults: A multilevel perspective. </w:t>
      </w:r>
      <w:r w:rsidRPr="00CF347B">
        <w:rPr>
          <w:rFonts w:ascii="Times New Roman" w:hAnsi="Times New Roman"/>
          <w:i/>
          <w:iCs/>
          <w:szCs w:val="24"/>
        </w:rPr>
        <w:t>International Journal of Behavioral Nutrition and Physical Activity</w:t>
      </w:r>
      <w:r w:rsidRPr="00F5150F">
        <w:rPr>
          <w:rFonts w:ascii="Times New Roman" w:hAnsi="Times New Roman"/>
          <w:szCs w:val="24"/>
        </w:rPr>
        <w:t>, 10(1), 11. https://doi.org/10.1186/1479-5868-10-11</w:t>
      </w:r>
    </w:p>
    <w:p w14:paraId="13DDDAC1" w14:textId="620B9ED4"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lastRenderedPageBreak/>
        <w:t xml:space="preserve">Kyan, A., </w:t>
      </w:r>
      <w:r w:rsidR="00965E94">
        <w:rPr>
          <w:rFonts w:ascii="Times New Roman" w:eastAsiaTheme="minorEastAsia" w:hAnsi="Times New Roman"/>
          <w:szCs w:val="24"/>
          <w:lang w:eastAsia="ko-KR"/>
        </w:rPr>
        <w:t>and</w:t>
      </w:r>
      <w:r w:rsidRPr="00F5150F">
        <w:rPr>
          <w:rFonts w:ascii="Times New Roman" w:hAnsi="Times New Roman"/>
          <w:szCs w:val="24"/>
        </w:rPr>
        <w:t xml:space="preserve"> Takakura, M. (2022). Socio-economic inequalities in physical activity among Japanese adults during the COVID-19 pandemic. </w:t>
      </w:r>
      <w:r w:rsidRPr="00CF347B">
        <w:rPr>
          <w:rFonts w:ascii="Times New Roman" w:hAnsi="Times New Roman"/>
          <w:i/>
          <w:iCs/>
          <w:szCs w:val="24"/>
        </w:rPr>
        <w:t>Public Health</w:t>
      </w:r>
      <w:r w:rsidRPr="00F5150F">
        <w:rPr>
          <w:rFonts w:ascii="Times New Roman" w:hAnsi="Times New Roman"/>
          <w:szCs w:val="24"/>
        </w:rPr>
        <w:t>, 207, 7–13. https://doi.org/10.1016/j.puhe.2022.03.006</w:t>
      </w:r>
    </w:p>
    <w:p w14:paraId="411DCC58" w14:textId="0F6A5FE2" w:rsidR="008B58C4" w:rsidRPr="00F5150F" w:rsidRDefault="008B58C4" w:rsidP="00863C4F">
      <w:pPr>
        <w:ind w:left="540" w:hanging="540"/>
        <w:jc w:val="both"/>
        <w:rPr>
          <w:rFonts w:ascii="Times New Roman" w:hAnsi="Times New Roman"/>
          <w:szCs w:val="24"/>
          <w:lang w:eastAsia="ko-KR"/>
        </w:rPr>
      </w:pPr>
      <w:proofErr w:type="spellStart"/>
      <w:r w:rsidRPr="00F5150F">
        <w:rPr>
          <w:rFonts w:ascii="Times New Roman" w:hAnsi="Times New Roman"/>
          <w:szCs w:val="24"/>
          <w:lang w:eastAsia="ko-KR"/>
        </w:rPr>
        <w:t>Lachapelle</w:t>
      </w:r>
      <w:proofErr w:type="spellEnd"/>
      <w:r w:rsidRPr="00F5150F">
        <w:rPr>
          <w:rFonts w:ascii="Times New Roman" w:hAnsi="Times New Roman"/>
          <w:szCs w:val="24"/>
          <w:lang w:eastAsia="ko-KR"/>
        </w:rPr>
        <w:t xml:space="preserve">, U., </w:t>
      </w:r>
      <w:r w:rsidR="00965E94">
        <w:rPr>
          <w:rFonts w:ascii="Times New Roman" w:eastAsiaTheme="minorEastAsia" w:hAnsi="Times New Roman"/>
          <w:szCs w:val="24"/>
          <w:lang w:eastAsia="ko-KR"/>
        </w:rPr>
        <w:t>and</w:t>
      </w:r>
      <w:r w:rsidRPr="00F5150F">
        <w:rPr>
          <w:rFonts w:ascii="Times New Roman" w:hAnsi="Times New Roman"/>
          <w:szCs w:val="24"/>
          <w:lang w:eastAsia="ko-KR"/>
        </w:rPr>
        <w:t xml:space="preserve"> Noland, R. B. (2012). Does the commute mode affect the frequency of walking behavior? The public transit link. </w:t>
      </w:r>
      <w:r w:rsidRPr="00CF347B">
        <w:rPr>
          <w:rFonts w:ascii="Times New Roman" w:hAnsi="Times New Roman"/>
          <w:i/>
          <w:iCs/>
          <w:szCs w:val="24"/>
          <w:lang w:eastAsia="ko-KR"/>
        </w:rPr>
        <w:t>Transport Policy</w:t>
      </w:r>
      <w:r w:rsidRPr="00F5150F">
        <w:rPr>
          <w:rFonts w:ascii="Times New Roman" w:hAnsi="Times New Roman"/>
          <w:szCs w:val="24"/>
          <w:lang w:eastAsia="ko-KR"/>
        </w:rPr>
        <w:t>, 21, 26–36. https://doi.org/10.1016/j.tranpol.2012.01.008</w:t>
      </w:r>
    </w:p>
    <w:p w14:paraId="2F352895" w14:textId="68524267"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Lee, C.,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Moudon</w:t>
      </w:r>
      <w:proofErr w:type="spellEnd"/>
      <w:r w:rsidRPr="00F5150F">
        <w:rPr>
          <w:rFonts w:ascii="Times New Roman" w:hAnsi="Times New Roman"/>
          <w:szCs w:val="24"/>
        </w:rPr>
        <w:t xml:space="preserve">, A. V. (2006). The 3Ds+R: Quantifying land use and urban form correlates of walking. </w:t>
      </w:r>
      <w:r w:rsidRPr="00CF347B">
        <w:rPr>
          <w:rFonts w:ascii="Times New Roman" w:hAnsi="Times New Roman"/>
          <w:i/>
          <w:iCs/>
          <w:szCs w:val="24"/>
        </w:rPr>
        <w:t>Transportation Research Part D: Transport and Environment</w:t>
      </w:r>
      <w:r w:rsidRPr="00F5150F">
        <w:rPr>
          <w:rFonts w:ascii="Times New Roman" w:hAnsi="Times New Roman"/>
          <w:szCs w:val="24"/>
        </w:rPr>
        <w:t>, 11(3), 204–215. https://doi.org/10.1016/j.trd.2006.02.003</w:t>
      </w:r>
    </w:p>
    <w:p w14:paraId="2562A317" w14:textId="094683DC"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Lee, H.-S., Song, J.-G., </w:t>
      </w:r>
      <w:r w:rsidR="00965E94">
        <w:rPr>
          <w:rFonts w:ascii="Times New Roman" w:eastAsiaTheme="minorEastAsia" w:hAnsi="Times New Roman"/>
          <w:szCs w:val="24"/>
          <w:lang w:eastAsia="ko-KR"/>
        </w:rPr>
        <w:t>and</w:t>
      </w:r>
      <w:r w:rsidRPr="00F5150F">
        <w:rPr>
          <w:rFonts w:ascii="Times New Roman" w:hAnsi="Times New Roman"/>
          <w:szCs w:val="24"/>
        </w:rPr>
        <w:t xml:space="preserve"> Lee, J.-Y. (2022). Influences of dog attachment and dog walking on reducing loneliness during the COVID-19 pandemic in Korea. </w:t>
      </w:r>
      <w:r w:rsidRPr="00CF347B">
        <w:rPr>
          <w:rFonts w:ascii="Times New Roman" w:hAnsi="Times New Roman"/>
          <w:i/>
          <w:iCs/>
          <w:szCs w:val="24"/>
        </w:rPr>
        <w:t>Animals</w:t>
      </w:r>
      <w:r w:rsidRPr="00F5150F">
        <w:rPr>
          <w:rFonts w:ascii="Times New Roman" w:hAnsi="Times New Roman"/>
          <w:szCs w:val="24"/>
        </w:rPr>
        <w:t>, 12(4), 483. https://doi.org/10.3390/ani12040483</w:t>
      </w:r>
    </w:p>
    <w:p w14:paraId="54175D5B" w14:textId="545769AD"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Lee, I.-M., </w:t>
      </w:r>
      <w:r w:rsidR="00965E94">
        <w:rPr>
          <w:rFonts w:ascii="Times New Roman" w:eastAsiaTheme="minorEastAsia" w:hAnsi="Times New Roman"/>
          <w:szCs w:val="24"/>
          <w:lang w:eastAsia="ko-KR"/>
        </w:rPr>
        <w:t>and</w:t>
      </w:r>
      <w:r w:rsidRPr="00F5150F">
        <w:rPr>
          <w:rFonts w:ascii="Times New Roman" w:hAnsi="Times New Roman"/>
          <w:szCs w:val="24"/>
        </w:rPr>
        <w:t xml:space="preserve"> Buchner, D. M. (2008). The importance of walking to public health. </w:t>
      </w:r>
      <w:r w:rsidRPr="00965E94">
        <w:rPr>
          <w:rFonts w:ascii="Times New Roman" w:hAnsi="Times New Roman"/>
          <w:i/>
          <w:iCs/>
          <w:szCs w:val="24"/>
        </w:rPr>
        <w:t>Medicine &amp; Science in Sports &amp; Exercise</w:t>
      </w:r>
      <w:r w:rsidRPr="00F5150F">
        <w:rPr>
          <w:rFonts w:ascii="Times New Roman" w:hAnsi="Times New Roman"/>
          <w:szCs w:val="24"/>
        </w:rPr>
        <w:t>, 40(7), S512–S518. https://doi.org/10.1249/MSS.0b013e31817c65d0</w:t>
      </w:r>
    </w:p>
    <w:p w14:paraId="1F654826" w14:textId="540676BE" w:rsidR="008B58C4" w:rsidRPr="00F5150F" w:rsidRDefault="008B58C4" w:rsidP="00863C4F">
      <w:pPr>
        <w:ind w:left="540" w:hanging="540"/>
        <w:jc w:val="both"/>
        <w:rPr>
          <w:rFonts w:ascii="Times New Roman" w:hAnsi="Times New Roman"/>
          <w:szCs w:val="24"/>
          <w:lang w:eastAsia="ko-KR"/>
        </w:rPr>
      </w:pPr>
      <w:r w:rsidRPr="00F5150F">
        <w:rPr>
          <w:rFonts w:ascii="Times New Roman" w:hAnsi="Times New Roman"/>
          <w:szCs w:val="24"/>
          <w:lang w:eastAsia="ko-KR"/>
        </w:rPr>
        <w:t xml:space="preserve">Li, S., Zhao, P., Zhang, H., </w:t>
      </w:r>
      <w:r w:rsidR="00965E94">
        <w:rPr>
          <w:rFonts w:ascii="Times New Roman" w:eastAsiaTheme="minorEastAsia" w:hAnsi="Times New Roman"/>
          <w:szCs w:val="24"/>
          <w:lang w:eastAsia="ko-KR"/>
        </w:rPr>
        <w:t>and</w:t>
      </w:r>
      <w:r w:rsidRPr="00F5150F">
        <w:rPr>
          <w:rFonts w:ascii="Times New Roman" w:hAnsi="Times New Roman"/>
          <w:szCs w:val="24"/>
          <w:lang w:eastAsia="ko-KR"/>
        </w:rPr>
        <w:t xml:space="preserve"> Quan, J. (2019). Walking behavior in the old downtown Beijing: The impact of perceptions and attitudes and social variations. </w:t>
      </w:r>
      <w:r w:rsidRPr="00CF347B">
        <w:rPr>
          <w:rFonts w:ascii="Times New Roman" w:hAnsi="Times New Roman"/>
          <w:i/>
          <w:iCs/>
          <w:szCs w:val="24"/>
          <w:lang w:eastAsia="ko-KR"/>
        </w:rPr>
        <w:t>Transport Policy</w:t>
      </w:r>
      <w:r w:rsidRPr="00F5150F">
        <w:rPr>
          <w:rFonts w:ascii="Times New Roman" w:hAnsi="Times New Roman"/>
          <w:szCs w:val="24"/>
          <w:lang w:eastAsia="ko-KR"/>
        </w:rPr>
        <w:t>, 73, 1–11. https://doi.org/10.1016/j.tranpol.2018.10.005</w:t>
      </w:r>
    </w:p>
    <w:p w14:paraId="0B8D965A" w14:textId="6672FE97"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Liu, J., Zhou, J., </w:t>
      </w:r>
      <w:r w:rsidR="00965E94">
        <w:rPr>
          <w:rFonts w:ascii="Times New Roman" w:eastAsiaTheme="minorEastAsia" w:hAnsi="Times New Roman"/>
          <w:szCs w:val="24"/>
          <w:lang w:eastAsia="ko-KR"/>
        </w:rPr>
        <w:t>and</w:t>
      </w:r>
      <w:r w:rsidRPr="00F5150F">
        <w:rPr>
          <w:rFonts w:ascii="Times New Roman" w:hAnsi="Times New Roman"/>
          <w:szCs w:val="24"/>
        </w:rPr>
        <w:t xml:space="preserve"> Xiao, L. (2021). Built environment correlates of walking for transportation: Differences between commuting and non-commuting trips. </w:t>
      </w:r>
      <w:r w:rsidRPr="00CF347B">
        <w:rPr>
          <w:rFonts w:ascii="Times New Roman" w:hAnsi="Times New Roman"/>
          <w:i/>
          <w:iCs/>
          <w:szCs w:val="24"/>
        </w:rPr>
        <w:t>Journal of Transport and Land Use</w:t>
      </w:r>
      <w:r w:rsidRPr="00F5150F">
        <w:rPr>
          <w:rFonts w:ascii="Times New Roman" w:hAnsi="Times New Roman"/>
          <w:szCs w:val="24"/>
        </w:rPr>
        <w:t>, 14(1), 1129–1148. https://doi.org/10.5198/jtlu.2021.1933</w:t>
      </w:r>
    </w:p>
    <w:p w14:paraId="51CDA52E" w14:textId="1488AC3C"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Liu, M., Zhao, S., </w:t>
      </w:r>
      <w:r w:rsidR="00965E94">
        <w:rPr>
          <w:rFonts w:ascii="Times New Roman" w:eastAsiaTheme="minorEastAsia" w:hAnsi="Times New Roman"/>
          <w:szCs w:val="24"/>
          <w:lang w:eastAsia="ko-KR"/>
        </w:rPr>
        <w:t>and</w:t>
      </w:r>
      <w:r w:rsidRPr="00F5150F">
        <w:rPr>
          <w:rFonts w:ascii="Times New Roman" w:hAnsi="Times New Roman"/>
          <w:szCs w:val="24"/>
        </w:rPr>
        <w:t xml:space="preserve"> Li, J. (2022). Associations among perceived built environment, attitudes, walking behavior, and physical and mental state of college students during COVID-19. </w:t>
      </w:r>
      <w:r w:rsidRPr="00CF347B">
        <w:rPr>
          <w:rFonts w:ascii="Times New Roman" w:hAnsi="Times New Roman"/>
          <w:i/>
          <w:iCs/>
          <w:szCs w:val="24"/>
        </w:rPr>
        <w:t>Travel Behaviour and Society</w:t>
      </w:r>
      <w:r w:rsidRPr="00F5150F">
        <w:rPr>
          <w:rFonts w:ascii="Times New Roman" w:hAnsi="Times New Roman"/>
          <w:szCs w:val="24"/>
        </w:rPr>
        <w:t>, 28, 170–180. https://doi.org/10.1016/j.tbs.2022.04.003</w:t>
      </w:r>
    </w:p>
    <w:p w14:paraId="5946AF2D" w14:textId="043EEB78"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Ma, L., Liu, Y., Cao, J., </w:t>
      </w:r>
      <w:r w:rsidR="00965E94">
        <w:rPr>
          <w:rFonts w:ascii="Times New Roman" w:eastAsiaTheme="minorEastAsia" w:hAnsi="Times New Roman"/>
          <w:szCs w:val="24"/>
          <w:lang w:eastAsia="ko-KR"/>
        </w:rPr>
        <w:t>and</w:t>
      </w:r>
      <w:r w:rsidRPr="00F5150F">
        <w:rPr>
          <w:rFonts w:ascii="Times New Roman" w:hAnsi="Times New Roman"/>
          <w:szCs w:val="24"/>
        </w:rPr>
        <w:t xml:space="preserve"> Ye, R. (2022). The impact of perceived racism on walking behavior during the COVID-19 lockdown. </w:t>
      </w:r>
      <w:r w:rsidRPr="00CF347B">
        <w:rPr>
          <w:rFonts w:ascii="Times New Roman" w:hAnsi="Times New Roman"/>
          <w:i/>
          <w:iCs/>
          <w:szCs w:val="24"/>
        </w:rPr>
        <w:t>Transportation Research Part D: Transport and Environment</w:t>
      </w:r>
      <w:r w:rsidRPr="00F5150F">
        <w:rPr>
          <w:rFonts w:ascii="Times New Roman" w:hAnsi="Times New Roman"/>
          <w:szCs w:val="24"/>
        </w:rPr>
        <w:t>, 109, 103335. https://doi.org/10.1016/j.trd.2022.103335</w:t>
      </w:r>
    </w:p>
    <w:p w14:paraId="07BB268B" w14:textId="1FD2A8B3"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McConville, M. E., Rodríguez, D. A., Clifton, K., Cho, G.,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Fleischhacker</w:t>
      </w:r>
      <w:proofErr w:type="spellEnd"/>
      <w:r w:rsidRPr="00F5150F">
        <w:rPr>
          <w:rFonts w:ascii="Times New Roman" w:hAnsi="Times New Roman"/>
          <w:szCs w:val="24"/>
        </w:rPr>
        <w:t xml:space="preserve">, S. (2011). Disaggregate land uses and walking. </w:t>
      </w:r>
      <w:r w:rsidRPr="00CF347B">
        <w:rPr>
          <w:rFonts w:ascii="Times New Roman" w:hAnsi="Times New Roman"/>
          <w:i/>
          <w:iCs/>
          <w:szCs w:val="24"/>
        </w:rPr>
        <w:t>American Journal of Preventive Medicine</w:t>
      </w:r>
      <w:r w:rsidRPr="00F5150F">
        <w:rPr>
          <w:rFonts w:ascii="Times New Roman" w:hAnsi="Times New Roman"/>
          <w:szCs w:val="24"/>
        </w:rPr>
        <w:t>, 40(1), 25–32. https://doi.org/10.1016/j.amepre.2010.09.023</w:t>
      </w:r>
    </w:p>
    <w:p w14:paraId="31C26A21" w14:textId="30F03AFC"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Morris, E. A., </w:t>
      </w:r>
      <w:r w:rsidR="00965E94">
        <w:rPr>
          <w:rFonts w:ascii="Times New Roman" w:eastAsiaTheme="minorEastAsia" w:hAnsi="Times New Roman"/>
          <w:szCs w:val="24"/>
          <w:lang w:eastAsia="ko-KR"/>
        </w:rPr>
        <w:t>and</w:t>
      </w:r>
      <w:r w:rsidRPr="00F5150F">
        <w:rPr>
          <w:rFonts w:ascii="Times New Roman" w:hAnsi="Times New Roman"/>
          <w:szCs w:val="24"/>
        </w:rPr>
        <w:t xml:space="preserve"> Guerra, E. (2015). Are we there yet? Trip duration and mood during travel. </w:t>
      </w:r>
      <w:r w:rsidRPr="00CF347B">
        <w:rPr>
          <w:rFonts w:ascii="Times New Roman" w:hAnsi="Times New Roman"/>
          <w:i/>
          <w:iCs/>
          <w:szCs w:val="24"/>
        </w:rPr>
        <w:t>Transportation Research Part F: Traffic Psychology and Behaviour</w:t>
      </w:r>
      <w:r w:rsidRPr="00F5150F">
        <w:rPr>
          <w:rFonts w:ascii="Times New Roman" w:hAnsi="Times New Roman"/>
          <w:szCs w:val="24"/>
        </w:rPr>
        <w:t>, 33, 38–47. https://doi.org/10.1016/j.trf.2015.06.003</w:t>
      </w:r>
    </w:p>
    <w:p w14:paraId="0A6E4058" w14:textId="0B874E4C"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Mumford, K. G., </w:t>
      </w:r>
      <w:proofErr w:type="spellStart"/>
      <w:r w:rsidRPr="00F5150F">
        <w:rPr>
          <w:rFonts w:ascii="Times New Roman" w:hAnsi="Times New Roman"/>
          <w:szCs w:val="24"/>
        </w:rPr>
        <w:t>Contant</w:t>
      </w:r>
      <w:proofErr w:type="spellEnd"/>
      <w:r w:rsidRPr="00F5150F">
        <w:rPr>
          <w:rFonts w:ascii="Times New Roman" w:hAnsi="Times New Roman"/>
          <w:szCs w:val="24"/>
        </w:rPr>
        <w:t xml:space="preserve">, C. K., Weissman, J., Wolf, J., </w:t>
      </w:r>
      <w:r w:rsidR="00965E94">
        <w:rPr>
          <w:rFonts w:ascii="Times New Roman" w:eastAsiaTheme="minorEastAsia" w:hAnsi="Times New Roman"/>
          <w:szCs w:val="24"/>
          <w:lang w:eastAsia="ko-KR"/>
        </w:rPr>
        <w:t>and</w:t>
      </w:r>
      <w:r w:rsidRPr="00F5150F">
        <w:rPr>
          <w:rFonts w:ascii="Times New Roman" w:hAnsi="Times New Roman"/>
          <w:szCs w:val="24"/>
        </w:rPr>
        <w:t xml:space="preserve"> Glanz, K. (2011). Changes in physical activity and travel behaviors in residents of a mixed-use development. </w:t>
      </w:r>
      <w:r w:rsidRPr="00CF347B">
        <w:rPr>
          <w:rFonts w:ascii="Times New Roman" w:hAnsi="Times New Roman"/>
          <w:i/>
          <w:iCs/>
          <w:szCs w:val="24"/>
        </w:rPr>
        <w:t>American Journal of Preventive Medicine</w:t>
      </w:r>
      <w:r w:rsidRPr="00F5150F">
        <w:rPr>
          <w:rFonts w:ascii="Times New Roman" w:hAnsi="Times New Roman"/>
          <w:szCs w:val="24"/>
        </w:rPr>
        <w:t>, 41(5), 504–507. https://doi.org/10.1016/j.amepre.2011.07.016</w:t>
      </w:r>
    </w:p>
    <w:p w14:paraId="42A726F7" w14:textId="2BDE61B7"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t>Nikiforiadis</w:t>
      </w:r>
      <w:proofErr w:type="spellEnd"/>
      <w:r w:rsidRPr="00F5150F">
        <w:rPr>
          <w:rFonts w:ascii="Times New Roman" w:hAnsi="Times New Roman"/>
          <w:szCs w:val="24"/>
        </w:rPr>
        <w:t xml:space="preserve">, A., Mitropoulos, L., </w:t>
      </w:r>
      <w:proofErr w:type="spellStart"/>
      <w:r w:rsidRPr="00F5150F">
        <w:rPr>
          <w:rFonts w:ascii="Times New Roman" w:hAnsi="Times New Roman"/>
          <w:szCs w:val="24"/>
        </w:rPr>
        <w:t>Kopelias</w:t>
      </w:r>
      <w:proofErr w:type="spellEnd"/>
      <w:r w:rsidRPr="00F5150F">
        <w:rPr>
          <w:rFonts w:ascii="Times New Roman" w:hAnsi="Times New Roman"/>
          <w:szCs w:val="24"/>
        </w:rPr>
        <w:t xml:space="preserve">, P., </w:t>
      </w:r>
      <w:proofErr w:type="spellStart"/>
      <w:r w:rsidRPr="00F5150F">
        <w:rPr>
          <w:rFonts w:ascii="Times New Roman" w:hAnsi="Times New Roman"/>
          <w:szCs w:val="24"/>
        </w:rPr>
        <w:t>Basbas</w:t>
      </w:r>
      <w:proofErr w:type="spellEnd"/>
      <w:r w:rsidRPr="00F5150F">
        <w:rPr>
          <w:rFonts w:ascii="Times New Roman" w:hAnsi="Times New Roman"/>
          <w:szCs w:val="24"/>
        </w:rPr>
        <w:t xml:space="preserve">, S., </w:t>
      </w:r>
      <w:proofErr w:type="spellStart"/>
      <w:r w:rsidRPr="00F5150F">
        <w:rPr>
          <w:rFonts w:ascii="Times New Roman" w:hAnsi="Times New Roman"/>
          <w:szCs w:val="24"/>
        </w:rPr>
        <w:t>Stamatiadis</w:t>
      </w:r>
      <w:proofErr w:type="spellEnd"/>
      <w:r w:rsidRPr="00F5150F">
        <w:rPr>
          <w:rFonts w:ascii="Times New Roman" w:hAnsi="Times New Roman"/>
          <w:szCs w:val="24"/>
        </w:rPr>
        <w:t xml:space="preserve">, N.,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Kroustali</w:t>
      </w:r>
      <w:proofErr w:type="spellEnd"/>
      <w:r w:rsidRPr="00F5150F">
        <w:rPr>
          <w:rFonts w:ascii="Times New Roman" w:hAnsi="Times New Roman"/>
          <w:szCs w:val="24"/>
        </w:rPr>
        <w:t xml:space="preserve">, S. (2022). Exploring mobility pattern changes between before, during and after COVID-19 lockdown periods for young adults. </w:t>
      </w:r>
      <w:r w:rsidRPr="00CF347B">
        <w:rPr>
          <w:rFonts w:ascii="Times New Roman" w:hAnsi="Times New Roman"/>
          <w:i/>
          <w:iCs/>
          <w:szCs w:val="24"/>
        </w:rPr>
        <w:t>Cities</w:t>
      </w:r>
      <w:r w:rsidRPr="00F5150F">
        <w:rPr>
          <w:rFonts w:ascii="Times New Roman" w:hAnsi="Times New Roman"/>
          <w:szCs w:val="24"/>
        </w:rPr>
        <w:t>, 125, 103662. https://doi.org/10.1016/j.cities.2022.103662</w:t>
      </w:r>
    </w:p>
    <w:p w14:paraId="218EB803" w14:textId="77777777" w:rsidR="008B58C4" w:rsidRPr="00F5150F" w:rsidRDefault="008B58C4" w:rsidP="00863C4F">
      <w:pPr>
        <w:pStyle w:val="ListParagraph"/>
        <w:ind w:left="540" w:hanging="540"/>
        <w:jc w:val="both"/>
        <w:rPr>
          <w:rFonts w:ascii="Times New Roman" w:hAnsi="Times New Roman"/>
          <w:szCs w:val="24"/>
        </w:rPr>
      </w:pPr>
      <w:r w:rsidRPr="009F4461">
        <w:rPr>
          <w:rFonts w:ascii="Times New Roman" w:hAnsi="Times New Roman"/>
          <w:szCs w:val="24"/>
        </w:rPr>
        <w:t xml:space="preserve">Outdoor Foundation. (2022). </w:t>
      </w:r>
      <w:r w:rsidRPr="00011632">
        <w:rPr>
          <w:rFonts w:ascii="Times New Roman" w:hAnsi="Times New Roman"/>
          <w:szCs w:val="24"/>
        </w:rPr>
        <w:t>2022</w:t>
      </w:r>
      <w:r>
        <w:rPr>
          <w:rFonts w:ascii="Times New Roman" w:hAnsi="Times New Roman"/>
          <w:szCs w:val="24"/>
        </w:rPr>
        <w:t xml:space="preserve"> Outdoor participation trends report</w:t>
      </w:r>
      <w:r w:rsidRPr="009F4461">
        <w:rPr>
          <w:rFonts w:ascii="Times New Roman" w:hAnsi="Times New Roman"/>
          <w:szCs w:val="24"/>
        </w:rPr>
        <w:t>. Outdoor Foundation.</w:t>
      </w:r>
      <w:r>
        <w:t xml:space="preserve"> </w:t>
      </w:r>
      <w:r w:rsidRPr="004B0B95">
        <w:rPr>
          <w:rFonts w:ascii="Times New Roman" w:hAnsi="Times New Roman"/>
          <w:szCs w:val="24"/>
        </w:rPr>
        <w:t>https://outdoorindustry.org/wp-content/uploads/2015/03/2022-Outdoor-Participation-Trends-Report-1.pdf</w:t>
      </w:r>
    </w:p>
    <w:p w14:paraId="7B35FC3D" w14:textId="6EF44DE0" w:rsidR="008B58C4" w:rsidRPr="00F5150F" w:rsidRDefault="008B58C4" w:rsidP="00863C4F">
      <w:pPr>
        <w:pStyle w:val="ListParagraph"/>
        <w:keepLines/>
        <w:ind w:left="540" w:hanging="540"/>
        <w:jc w:val="both"/>
        <w:rPr>
          <w:rFonts w:ascii="Times New Roman" w:hAnsi="Times New Roman"/>
          <w:szCs w:val="24"/>
        </w:rPr>
      </w:pPr>
      <w:r w:rsidRPr="00F5150F">
        <w:rPr>
          <w:rFonts w:ascii="Times New Roman" w:hAnsi="Times New Roman"/>
          <w:szCs w:val="24"/>
        </w:rPr>
        <w:lastRenderedPageBreak/>
        <w:t xml:space="preserve">Paul, P., Carlson, S. A., Carroll, D. D., Berrigan, D., </w:t>
      </w:r>
      <w:r w:rsidR="00965E94">
        <w:rPr>
          <w:rFonts w:ascii="Times New Roman" w:eastAsiaTheme="minorEastAsia" w:hAnsi="Times New Roman"/>
          <w:szCs w:val="24"/>
          <w:lang w:eastAsia="ko-KR"/>
        </w:rPr>
        <w:t>and</w:t>
      </w:r>
      <w:r w:rsidRPr="00F5150F">
        <w:rPr>
          <w:rFonts w:ascii="Times New Roman" w:hAnsi="Times New Roman"/>
          <w:szCs w:val="24"/>
        </w:rPr>
        <w:t xml:space="preserve"> Fulton, J. E. (2015). Walking for transportation and leisure among U.S. adults—National Health Interview Survey 2010. </w:t>
      </w:r>
      <w:r w:rsidRPr="00CF347B">
        <w:rPr>
          <w:rFonts w:ascii="Times New Roman" w:hAnsi="Times New Roman"/>
          <w:i/>
          <w:iCs/>
          <w:szCs w:val="24"/>
        </w:rPr>
        <w:t>Journal of Physical Activity and Health</w:t>
      </w:r>
      <w:r w:rsidRPr="00F5150F">
        <w:rPr>
          <w:rFonts w:ascii="Times New Roman" w:hAnsi="Times New Roman"/>
          <w:szCs w:val="24"/>
        </w:rPr>
        <w:t>, 12(s1), S62–S69. https://doi.org/10.1123/jpah.2013-0519</w:t>
      </w:r>
    </w:p>
    <w:p w14:paraId="611AB65B" w14:textId="50DE714A"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Qu, T., Gates, T. J., Xu, C., Seguin, D., </w:t>
      </w:r>
      <w:r w:rsidR="00965E94">
        <w:rPr>
          <w:rFonts w:ascii="Times New Roman" w:eastAsiaTheme="minorEastAsia" w:hAnsi="Times New Roman"/>
          <w:szCs w:val="24"/>
          <w:lang w:eastAsia="ko-KR"/>
        </w:rPr>
        <w:t>and</w:t>
      </w:r>
      <w:r w:rsidRPr="00F5150F">
        <w:rPr>
          <w:rFonts w:ascii="Times New Roman" w:hAnsi="Times New Roman"/>
          <w:szCs w:val="24"/>
        </w:rPr>
        <w:t xml:space="preserve"> Kay, J. (2022). The disparate impact of COVID-19 pandemic on walking and biking behaviors. </w:t>
      </w:r>
      <w:r w:rsidRPr="00CF347B">
        <w:rPr>
          <w:rFonts w:ascii="Times New Roman" w:hAnsi="Times New Roman"/>
          <w:i/>
          <w:iCs/>
          <w:szCs w:val="24"/>
        </w:rPr>
        <w:t>Transportation Research Part D: Transport and Environment</w:t>
      </w:r>
      <w:r w:rsidRPr="00F5150F">
        <w:rPr>
          <w:rFonts w:ascii="Times New Roman" w:hAnsi="Times New Roman"/>
          <w:szCs w:val="24"/>
        </w:rPr>
        <w:t>, 112, 103494. https://doi.org/10.1016/j.trd.2022.103494</w:t>
      </w:r>
    </w:p>
    <w:p w14:paraId="58D2A72F" w14:textId="0923C1A6"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Quinn, T. D., </w:t>
      </w:r>
      <w:proofErr w:type="spellStart"/>
      <w:r w:rsidRPr="00F5150F">
        <w:rPr>
          <w:rFonts w:ascii="Times New Roman" w:hAnsi="Times New Roman"/>
          <w:szCs w:val="24"/>
        </w:rPr>
        <w:t>Jakicic</w:t>
      </w:r>
      <w:proofErr w:type="spellEnd"/>
      <w:r w:rsidRPr="00F5150F">
        <w:rPr>
          <w:rFonts w:ascii="Times New Roman" w:hAnsi="Times New Roman"/>
          <w:szCs w:val="24"/>
        </w:rPr>
        <w:t xml:space="preserve">, J. M., </w:t>
      </w:r>
      <w:proofErr w:type="spellStart"/>
      <w:r w:rsidRPr="00F5150F">
        <w:rPr>
          <w:rFonts w:ascii="Times New Roman" w:hAnsi="Times New Roman"/>
          <w:szCs w:val="24"/>
        </w:rPr>
        <w:t>Fertman</w:t>
      </w:r>
      <w:proofErr w:type="spellEnd"/>
      <w:r w:rsidRPr="00F5150F">
        <w:rPr>
          <w:rFonts w:ascii="Times New Roman" w:hAnsi="Times New Roman"/>
          <w:szCs w:val="24"/>
        </w:rPr>
        <w:t xml:space="preserve">, C. I., </w:t>
      </w:r>
      <w:r w:rsidR="00965E94">
        <w:rPr>
          <w:rFonts w:ascii="Times New Roman" w:eastAsiaTheme="minorEastAsia" w:hAnsi="Times New Roman"/>
          <w:szCs w:val="24"/>
          <w:lang w:eastAsia="ko-KR"/>
        </w:rPr>
        <w:t>and</w:t>
      </w:r>
      <w:r w:rsidRPr="00F5150F">
        <w:rPr>
          <w:rFonts w:ascii="Times New Roman" w:hAnsi="Times New Roman"/>
          <w:szCs w:val="24"/>
        </w:rPr>
        <w:t xml:space="preserve"> Barone Gibbs, B. (2017). Demographic factors, workplace factors and active transportation use in the USA: A secondary analysis of 2009 NHTS data. </w:t>
      </w:r>
      <w:r w:rsidRPr="00CF347B">
        <w:rPr>
          <w:rFonts w:ascii="Times New Roman" w:hAnsi="Times New Roman"/>
          <w:i/>
          <w:iCs/>
          <w:szCs w:val="24"/>
        </w:rPr>
        <w:t>Journal of Epidemiology and Community Health</w:t>
      </w:r>
      <w:r w:rsidRPr="00F5150F">
        <w:rPr>
          <w:rFonts w:ascii="Times New Roman" w:hAnsi="Times New Roman"/>
          <w:szCs w:val="24"/>
        </w:rPr>
        <w:t>, 71(5), 480–486. https://doi.org/10.1136/jech-2016-207820</w:t>
      </w:r>
    </w:p>
    <w:p w14:paraId="2464A605" w14:textId="1C49F04F"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t>Rišová</w:t>
      </w:r>
      <w:proofErr w:type="spellEnd"/>
      <w:r w:rsidRPr="00F5150F">
        <w:rPr>
          <w:rFonts w:ascii="Times New Roman" w:hAnsi="Times New Roman"/>
          <w:szCs w:val="24"/>
        </w:rPr>
        <w:t xml:space="preserve">, K.,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Sládeková</w:t>
      </w:r>
      <w:proofErr w:type="spellEnd"/>
      <w:r w:rsidRPr="00F5150F">
        <w:rPr>
          <w:rFonts w:ascii="Times New Roman" w:hAnsi="Times New Roman"/>
          <w:szCs w:val="24"/>
        </w:rPr>
        <w:t xml:space="preserve"> </w:t>
      </w:r>
      <w:proofErr w:type="spellStart"/>
      <w:r w:rsidRPr="00F5150F">
        <w:rPr>
          <w:rFonts w:ascii="Times New Roman" w:hAnsi="Times New Roman"/>
          <w:szCs w:val="24"/>
        </w:rPr>
        <w:t>Madajová</w:t>
      </w:r>
      <w:proofErr w:type="spellEnd"/>
      <w:r w:rsidRPr="00F5150F">
        <w:rPr>
          <w:rFonts w:ascii="Times New Roman" w:hAnsi="Times New Roman"/>
          <w:szCs w:val="24"/>
        </w:rPr>
        <w:t xml:space="preserve">, M. (2020). Gender differences in a walking environment safety perception: A case study in a small town of </w:t>
      </w:r>
      <w:proofErr w:type="spellStart"/>
      <w:r w:rsidRPr="00F5150F">
        <w:rPr>
          <w:rFonts w:ascii="Times New Roman" w:hAnsi="Times New Roman"/>
          <w:szCs w:val="24"/>
        </w:rPr>
        <w:t>Banská</w:t>
      </w:r>
      <w:proofErr w:type="spellEnd"/>
      <w:r w:rsidRPr="00F5150F">
        <w:rPr>
          <w:rFonts w:ascii="Times New Roman" w:hAnsi="Times New Roman"/>
          <w:szCs w:val="24"/>
        </w:rPr>
        <w:t xml:space="preserve"> </w:t>
      </w:r>
      <w:proofErr w:type="spellStart"/>
      <w:r w:rsidRPr="00F5150F">
        <w:rPr>
          <w:rFonts w:ascii="Times New Roman" w:hAnsi="Times New Roman"/>
          <w:szCs w:val="24"/>
        </w:rPr>
        <w:t>Bystrica</w:t>
      </w:r>
      <w:proofErr w:type="spellEnd"/>
      <w:r w:rsidRPr="00F5150F">
        <w:rPr>
          <w:rFonts w:ascii="Times New Roman" w:hAnsi="Times New Roman"/>
          <w:szCs w:val="24"/>
        </w:rPr>
        <w:t xml:space="preserve"> (Slovakia). </w:t>
      </w:r>
      <w:r w:rsidRPr="00CF347B">
        <w:rPr>
          <w:rFonts w:ascii="Times New Roman" w:hAnsi="Times New Roman"/>
          <w:i/>
          <w:iCs/>
          <w:szCs w:val="24"/>
        </w:rPr>
        <w:t>Journal of Transport Geography</w:t>
      </w:r>
      <w:r w:rsidRPr="00F5150F">
        <w:rPr>
          <w:rFonts w:ascii="Times New Roman" w:hAnsi="Times New Roman"/>
          <w:szCs w:val="24"/>
        </w:rPr>
        <w:t>, 85, 102723. https://doi.org/10.1016/j.jtrangeo.2020.102723</w:t>
      </w:r>
    </w:p>
    <w:p w14:paraId="4441CF87" w14:textId="43FE5D4F" w:rsidR="008B58C4" w:rsidRPr="00CF347B" w:rsidRDefault="008B58C4" w:rsidP="00863C4F">
      <w:pPr>
        <w:ind w:left="540" w:hanging="540"/>
        <w:jc w:val="both"/>
        <w:rPr>
          <w:rFonts w:ascii="Times New Roman" w:hAnsi="Times New Roman"/>
        </w:rPr>
      </w:pPr>
      <w:proofErr w:type="spellStart"/>
      <w:r w:rsidRPr="00F5150F">
        <w:rPr>
          <w:rFonts w:ascii="Times New Roman" w:hAnsi="Times New Roman"/>
          <w:szCs w:val="24"/>
          <w:lang w:eastAsia="ko-KR"/>
        </w:rPr>
        <w:t>Şar</w:t>
      </w:r>
      <w:proofErr w:type="spellEnd"/>
      <w:r w:rsidRPr="00F5150F">
        <w:rPr>
          <w:rFonts w:ascii="Times New Roman" w:hAnsi="Times New Roman"/>
          <w:szCs w:val="24"/>
          <w:lang w:eastAsia="ko-KR"/>
        </w:rPr>
        <w:t xml:space="preserve">, A. H., </w:t>
      </w:r>
      <w:proofErr w:type="spellStart"/>
      <w:r w:rsidRPr="00F5150F">
        <w:rPr>
          <w:rFonts w:ascii="Times New Roman" w:hAnsi="Times New Roman"/>
          <w:szCs w:val="24"/>
          <w:lang w:eastAsia="ko-KR"/>
        </w:rPr>
        <w:t>Göktürk</w:t>
      </w:r>
      <w:proofErr w:type="spellEnd"/>
      <w:r w:rsidRPr="00F5150F">
        <w:rPr>
          <w:rFonts w:ascii="Times New Roman" w:hAnsi="Times New Roman"/>
          <w:szCs w:val="24"/>
          <w:lang w:eastAsia="ko-KR"/>
        </w:rPr>
        <w:t xml:space="preserve">, G. Y., Tura, G., </w:t>
      </w:r>
      <w:r w:rsidR="00965E94">
        <w:rPr>
          <w:rFonts w:ascii="Times New Roman" w:eastAsiaTheme="minorEastAsia" w:hAnsi="Times New Roman"/>
          <w:szCs w:val="24"/>
          <w:lang w:eastAsia="ko-KR"/>
        </w:rPr>
        <w:t>and</w:t>
      </w:r>
      <w:r w:rsidRPr="00F5150F">
        <w:rPr>
          <w:rFonts w:ascii="Times New Roman" w:hAnsi="Times New Roman"/>
          <w:szCs w:val="24"/>
          <w:lang w:eastAsia="ko-KR"/>
        </w:rPr>
        <w:t xml:space="preserve"> </w:t>
      </w:r>
      <w:proofErr w:type="spellStart"/>
      <w:r w:rsidRPr="00F5150F">
        <w:rPr>
          <w:rFonts w:ascii="Times New Roman" w:hAnsi="Times New Roman"/>
          <w:szCs w:val="24"/>
          <w:lang w:eastAsia="ko-KR"/>
        </w:rPr>
        <w:t>Kazaz</w:t>
      </w:r>
      <w:proofErr w:type="spellEnd"/>
      <w:r w:rsidRPr="00F5150F">
        <w:rPr>
          <w:rFonts w:ascii="Times New Roman" w:hAnsi="Times New Roman"/>
          <w:szCs w:val="24"/>
          <w:lang w:eastAsia="ko-KR"/>
        </w:rPr>
        <w:t xml:space="preserve">, N. (2012). Is the internet use an effective method to cope with elderly loneliness and decrease loneliness symptom? </w:t>
      </w:r>
      <w:r w:rsidRPr="00CF347B">
        <w:rPr>
          <w:rFonts w:ascii="Times New Roman" w:hAnsi="Times New Roman"/>
          <w:i/>
          <w:iCs/>
          <w:szCs w:val="24"/>
          <w:lang w:eastAsia="ko-KR"/>
        </w:rPr>
        <w:t>Procedia - Social and Behavioral Sciences</w:t>
      </w:r>
      <w:r w:rsidRPr="00F5150F">
        <w:rPr>
          <w:rFonts w:ascii="Times New Roman" w:hAnsi="Times New Roman"/>
          <w:szCs w:val="24"/>
          <w:lang w:eastAsia="ko-KR"/>
        </w:rPr>
        <w:t>, 55, 1053–1059.</w:t>
      </w:r>
      <w:r w:rsidR="00CF347B">
        <w:rPr>
          <w:rFonts w:ascii="Times New Roman" w:hAnsi="Times New Roman"/>
          <w:szCs w:val="24"/>
          <w:lang w:eastAsia="ko-KR"/>
        </w:rPr>
        <w:t xml:space="preserve"> </w:t>
      </w:r>
      <w:r w:rsidR="00CF347B" w:rsidRPr="00CF347B">
        <w:rPr>
          <w:rFonts w:ascii="Times New Roman" w:hAnsi="Times New Roman"/>
        </w:rPr>
        <w:t>https://doi.org/10.1016/j.sbspro.2012.09.597</w:t>
      </w:r>
    </w:p>
    <w:p w14:paraId="2BC35359" w14:textId="5AA69E21"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Schmidt, K., </w:t>
      </w:r>
      <w:proofErr w:type="spellStart"/>
      <w:r w:rsidRPr="00F5150F">
        <w:rPr>
          <w:rFonts w:ascii="Times New Roman" w:hAnsi="Times New Roman"/>
          <w:szCs w:val="24"/>
        </w:rPr>
        <w:t>Sieverding</w:t>
      </w:r>
      <w:proofErr w:type="spellEnd"/>
      <w:r w:rsidRPr="00F5150F">
        <w:rPr>
          <w:rFonts w:ascii="Times New Roman" w:hAnsi="Times New Roman"/>
          <w:szCs w:val="24"/>
        </w:rPr>
        <w:t xml:space="preserve">, T., Wallis, H.,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Matthies</w:t>
      </w:r>
      <w:proofErr w:type="spellEnd"/>
      <w:r w:rsidRPr="00F5150F">
        <w:rPr>
          <w:rFonts w:ascii="Times New Roman" w:hAnsi="Times New Roman"/>
          <w:szCs w:val="24"/>
        </w:rPr>
        <w:t xml:space="preserve">, E. (2021). COVID-19 – A window of opportunity for the transition toward sustainable mobility? </w:t>
      </w:r>
      <w:r w:rsidRPr="00CF347B">
        <w:rPr>
          <w:rFonts w:ascii="Times New Roman" w:hAnsi="Times New Roman"/>
          <w:i/>
          <w:iCs/>
          <w:szCs w:val="24"/>
        </w:rPr>
        <w:t>Transportation Research Interdisciplinary Perspectives</w:t>
      </w:r>
      <w:r w:rsidRPr="00F5150F">
        <w:rPr>
          <w:rFonts w:ascii="Times New Roman" w:hAnsi="Times New Roman"/>
          <w:szCs w:val="24"/>
        </w:rPr>
        <w:t>, 10, 100374. https://doi.org/10.1016/j.trip.2021.100374</w:t>
      </w:r>
    </w:p>
    <w:p w14:paraId="7F6146FC" w14:textId="29AFDBFC"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t>Sehatzadeh</w:t>
      </w:r>
      <w:proofErr w:type="spellEnd"/>
      <w:r w:rsidRPr="00F5150F">
        <w:rPr>
          <w:rFonts w:ascii="Times New Roman" w:hAnsi="Times New Roman"/>
          <w:szCs w:val="24"/>
        </w:rPr>
        <w:t xml:space="preserve">, B., Noland, R. B., </w:t>
      </w:r>
      <w:r w:rsidR="00965E94">
        <w:rPr>
          <w:rFonts w:ascii="Times New Roman" w:eastAsiaTheme="minorEastAsia" w:hAnsi="Times New Roman"/>
          <w:szCs w:val="24"/>
          <w:lang w:eastAsia="ko-KR"/>
        </w:rPr>
        <w:t>and</w:t>
      </w:r>
      <w:r w:rsidRPr="00F5150F">
        <w:rPr>
          <w:rFonts w:ascii="Times New Roman" w:hAnsi="Times New Roman"/>
          <w:szCs w:val="24"/>
        </w:rPr>
        <w:t xml:space="preserve"> Weiner, M. D. (2011). Walking frequency, cars, dogs, and the built environment. </w:t>
      </w:r>
      <w:r w:rsidRPr="00CF347B">
        <w:rPr>
          <w:rFonts w:ascii="Times New Roman" w:hAnsi="Times New Roman"/>
          <w:i/>
          <w:iCs/>
          <w:szCs w:val="24"/>
        </w:rPr>
        <w:t>Transportation Research Part A: Policy and Practice</w:t>
      </w:r>
      <w:r w:rsidRPr="00F5150F">
        <w:rPr>
          <w:rFonts w:ascii="Times New Roman" w:hAnsi="Times New Roman"/>
          <w:szCs w:val="24"/>
        </w:rPr>
        <w:t>, 45(8), 741–754. https://doi.org/10.1016/j.tra.2011.06.001</w:t>
      </w:r>
    </w:p>
    <w:p w14:paraId="51ED2097" w14:textId="749D02FD"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t>Taff</w:t>
      </w:r>
      <w:proofErr w:type="spellEnd"/>
      <w:r w:rsidRPr="00F5150F">
        <w:rPr>
          <w:rFonts w:ascii="Times New Roman" w:hAnsi="Times New Roman"/>
          <w:szCs w:val="24"/>
        </w:rPr>
        <w:t xml:space="preserve">, B. D., Rice, W. L., </w:t>
      </w:r>
      <w:proofErr w:type="spellStart"/>
      <w:r w:rsidRPr="00F5150F">
        <w:rPr>
          <w:rFonts w:ascii="Times New Roman" w:hAnsi="Times New Roman"/>
          <w:szCs w:val="24"/>
        </w:rPr>
        <w:t>Lawhon</w:t>
      </w:r>
      <w:proofErr w:type="spellEnd"/>
      <w:r w:rsidRPr="00F5150F">
        <w:rPr>
          <w:rFonts w:ascii="Times New Roman" w:hAnsi="Times New Roman"/>
          <w:szCs w:val="24"/>
        </w:rPr>
        <w:t xml:space="preserve">, B., </w:t>
      </w:r>
      <w:r w:rsidR="00965E94">
        <w:rPr>
          <w:rFonts w:ascii="Times New Roman" w:eastAsiaTheme="minorEastAsia" w:hAnsi="Times New Roman"/>
          <w:szCs w:val="24"/>
          <w:lang w:eastAsia="ko-KR"/>
        </w:rPr>
        <w:t>and</w:t>
      </w:r>
      <w:r w:rsidRPr="00F5150F">
        <w:rPr>
          <w:rFonts w:ascii="Times New Roman" w:hAnsi="Times New Roman"/>
          <w:szCs w:val="24"/>
        </w:rPr>
        <w:t xml:space="preserve"> Newman, P. (2021). Who started, stopped, and continued participating in outdoor recreation during the COVID-19 pandemic in the United States? Results from a National Panel Study. </w:t>
      </w:r>
      <w:r w:rsidRPr="00CF347B">
        <w:rPr>
          <w:rFonts w:ascii="Times New Roman" w:hAnsi="Times New Roman"/>
          <w:i/>
          <w:iCs/>
          <w:szCs w:val="24"/>
        </w:rPr>
        <w:t>Land</w:t>
      </w:r>
      <w:r w:rsidRPr="00F5150F">
        <w:rPr>
          <w:rFonts w:ascii="Times New Roman" w:hAnsi="Times New Roman"/>
          <w:szCs w:val="24"/>
        </w:rPr>
        <w:t>, 10(12), 1396. https://doi.org/10.3390/land10121396</w:t>
      </w:r>
    </w:p>
    <w:p w14:paraId="11082231" w14:textId="77777777"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t>Titlow</w:t>
      </w:r>
      <w:proofErr w:type="spellEnd"/>
      <w:r w:rsidRPr="00F5150F">
        <w:rPr>
          <w:rFonts w:ascii="Times New Roman" w:hAnsi="Times New Roman"/>
          <w:szCs w:val="24"/>
        </w:rPr>
        <w:t>, K. (2023). Trips by Distance [dataset]. Bureau of Transportation Statistics. https://data.bts.gov/Research-and-Statistics/Trips-by-Distance/w96p-f2qv</w:t>
      </w:r>
    </w:p>
    <w:p w14:paraId="00146368" w14:textId="77777777"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U.S. Census Bureau. (2019). American Community Survey 5-year estimates [dataset]. https://data.census.gov/table?tid=ACSST5Y2019.S0101</w:t>
      </w:r>
    </w:p>
    <w:p w14:paraId="293649B3" w14:textId="77777777"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U.S. Census Bureau. (2020). American Community Survey 5-year estimates [dataset]. https://data.census.gov/table?tid=ACSST5Y2020.S0101</w:t>
      </w:r>
    </w:p>
    <w:p w14:paraId="22B6255B" w14:textId="7FE502B2"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Van Der </w:t>
      </w:r>
      <w:proofErr w:type="spellStart"/>
      <w:r w:rsidRPr="00F5150F">
        <w:rPr>
          <w:rFonts w:ascii="Times New Roman" w:hAnsi="Times New Roman"/>
          <w:szCs w:val="24"/>
        </w:rPr>
        <w:t>Vlugt</w:t>
      </w:r>
      <w:proofErr w:type="spellEnd"/>
      <w:r w:rsidRPr="00F5150F">
        <w:rPr>
          <w:rFonts w:ascii="Times New Roman" w:hAnsi="Times New Roman"/>
          <w:szCs w:val="24"/>
        </w:rPr>
        <w:t xml:space="preserve">, A.-L., Curl, A.,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Scheiner</w:t>
      </w:r>
      <w:proofErr w:type="spellEnd"/>
      <w:r w:rsidRPr="00F5150F">
        <w:rPr>
          <w:rFonts w:ascii="Times New Roman" w:hAnsi="Times New Roman"/>
          <w:szCs w:val="24"/>
        </w:rPr>
        <w:t xml:space="preserve">, J. (2022). The influence of travel attitudes on perceived walking accessibility and walking </w:t>
      </w:r>
      <w:proofErr w:type="spellStart"/>
      <w:r w:rsidRPr="00F5150F">
        <w:rPr>
          <w:rFonts w:ascii="Times New Roman" w:hAnsi="Times New Roman"/>
          <w:szCs w:val="24"/>
        </w:rPr>
        <w:t>behaviour</w:t>
      </w:r>
      <w:proofErr w:type="spellEnd"/>
      <w:r w:rsidRPr="00F5150F">
        <w:rPr>
          <w:rFonts w:ascii="Times New Roman" w:hAnsi="Times New Roman"/>
          <w:szCs w:val="24"/>
        </w:rPr>
        <w:t xml:space="preserve">. </w:t>
      </w:r>
      <w:r w:rsidRPr="00CF347B">
        <w:rPr>
          <w:rFonts w:ascii="Times New Roman" w:hAnsi="Times New Roman"/>
          <w:i/>
          <w:iCs/>
          <w:szCs w:val="24"/>
        </w:rPr>
        <w:t>Travel Behaviour and Society</w:t>
      </w:r>
      <w:r w:rsidRPr="00F5150F">
        <w:rPr>
          <w:rFonts w:ascii="Times New Roman" w:hAnsi="Times New Roman"/>
          <w:szCs w:val="24"/>
        </w:rPr>
        <w:t>, 27, 47–56. https://doi.org/10.1016/j.tbs.2021.11.002</w:t>
      </w:r>
    </w:p>
    <w:p w14:paraId="40C3E68E" w14:textId="54BEE31F"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Van </w:t>
      </w:r>
      <w:proofErr w:type="spellStart"/>
      <w:r w:rsidRPr="00F5150F">
        <w:rPr>
          <w:rFonts w:ascii="Times New Roman" w:hAnsi="Times New Roman"/>
          <w:szCs w:val="24"/>
        </w:rPr>
        <w:t>Heeswijck</w:t>
      </w:r>
      <w:proofErr w:type="spellEnd"/>
      <w:r w:rsidRPr="00F5150F">
        <w:rPr>
          <w:rFonts w:ascii="Times New Roman" w:hAnsi="Times New Roman"/>
          <w:szCs w:val="24"/>
        </w:rPr>
        <w:t xml:space="preserve">, T., Paquet, C., </w:t>
      </w:r>
      <w:proofErr w:type="spellStart"/>
      <w:r w:rsidRPr="00F5150F">
        <w:rPr>
          <w:rFonts w:ascii="Times New Roman" w:hAnsi="Times New Roman"/>
          <w:szCs w:val="24"/>
        </w:rPr>
        <w:t>Kestens</w:t>
      </w:r>
      <w:proofErr w:type="spellEnd"/>
      <w:r w:rsidRPr="00F5150F">
        <w:rPr>
          <w:rFonts w:ascii="Times New Roman" w:hAnsi="Times New Roman"/>
          <w:szCs w:val="24"/>
        </w:rPr>
        <w:t xml:space="preserve">, Y., Thierry, B., Morency, C., </w:t>
      </w:r>
      <w:r w:rsidR="00965E94">
        <w:rPr>
          <w:rFonts w:ascii="Times New Roman" w:eastAsiaTheme="minorEastAsia" w:hAnsi="Times New Roman"/>
          <w:szCs w:val="24"/>
          <w:lang w:eastAsia="ko-KR"/>
        </w:rPr>
        <w:t>and</w:t>
      </w:r>
      <w:r w:rsidRPr="00F5150F">
        <w:rPr>
          <w:rFonts w:ascii="Times New Roman" w:hAnsi="Times New Roman"/>
          <w:szCs w:val="24"/>
        </w:rPr>
        <w:t xml:space="preserve"> Daniel, M. (2015). Differences in associations between active transportation and built environmental exposures when expressed using different components of individual activity spaces. </w:t>
      </w:r>
      <w:r w:rsidRPr="00965E94">
        <w:rPr>
          <w:rFonts w:ascii="Times New Roman" w:hAnsi="Times New Roman"/>
          <w:i/>
          <w:iCs/>
          <w:szCs w:val="24"/>
        </w:rPr>
        <w:t>Health &amp; Place</w:t>
      </w:r>
      <w:r w:rsidRPr="00F5150F">
        <w:rPr>
          <w:rFonts w:ascii="Times New Roman" w:hAnsi="Times New Roman"/>
          <w:szCs w:val="24"/>
        </w:rPr>
        <w:t>, 33, 195–202. https://doi.org/10.1016/j.healthplace.2015.03.003</w:t>
      </w:r>
    </w:p>
    <w:p w14:paraId="3670AEE7" w14:textId="5CA641A9"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t>Vetrovsky</w:t>
      </w:r>
      <w:proofErr w:type="spellEnd"/>
      <w:r w:rsidRPr="00F5150F">
        <w:rPr>
          <w:rFonts w:ascii="Times New Roman" w:hAnsi="Times New Roman"/>
          <w:szCs w:val="24"/>
        </w:rPr>
        <w:t xml:space="preserve">, T., </w:t>
      </w:r>
      <w:proofErr w:type="spellStart"/>
      <w:r w:rsidRPr="00F5150F">
        <w:rPr>
          <w:rFonts w:ascii="Times New Roman" w:hAnsi="Times New Roman"/>
          <w:szCs w:val="24"/>
        </w:rPr>
        <w:t>Cupka</w:t>
      </w:r>
      <w:proofErr w:type="spellEnd"/>
      <w:r w:rsidRPr="00F5150F">
        <w:rPr>
          <w:rFonts w:ascii="Times New Roman" w:hAnsi="Times New Roman"/>
          <w:szCs w:val="24"/>
        </w:rPr>
        <w:t xml:space="preserve">, J., Dudek, M., </w:t>
      </w:r>
      <w:proofErr w:type="spellStart"/>
      <w:r w:rsidRPr="00F5150F">
        <w:rPr>
          <w:rFonts w:ascii="Times New Roman" w:hAnsi="Times New Roman"/>
          <w:szCs w:val="24"/>
        </w:rPr>
        <w:t>Kuthanova</w:t>
      </w:r>
      <w:proofErr w:type="spellEnd"/>
      <w:r w:rsidRPr="00F5150F">
        <w:rPr>
          <w:rFonts w:ascii="Times New Roman" w:hAnsi="Times New Roman"/>
          <w:szCs w:val="24"/>
        </w:rPr>
        <w:t xml:space="preserve">, B., </w:t>
      </w:r>
      <w:proofErr w:type="spellStart"/>
      <w:r w:rsidRPr="00F5150F">
        <w:rPr>
          <w:rFonts w:ascii="Times New Roman" w:hAnsi="Times New Roman"/>
          <w:szCs w:val="24"/>
        </w:rPr>
        <w:t>Vetrovska</w:t>
      </w:r>
      <w:proofErr w:type="spellEnd"/>
      <w:r w:rsidRPr="00F5150F">
        <w:rPr>
          <w:rFonts w:ascii="Times New Roman" w:hAnsi="Times New Roman"/>
          <w:szCs w:val="24"/>
        </w:rPr>
        <w:t xml:space="preserve">, K., Capek, V.,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Bunc</w:t>
      </w:r>
      <w:proofErr w:type="spellEnd"/>
      <w:r w:rsidRPr="00F5150F">
        <w:rPr>
          <w:rFonts w:ascii="Times New Roman" w:hAnsi="Times New Roman"/>
          <w:szCs w:val="24"/>
        </w:rPr>
        <w:t xml:space="preserve">, V. (2017). Mental health and quality of life benefits of a pedometer-based walking intervention delivered in a primary care setting. </w:t>
      </w:r>
      <w:r w:rsidRPr="00CF347B">
        <w:rPr>
          <w:rFonts w:ascii="Times New Roman" w:hAnsi="Times New Roman"/>
          <w:i/>
          <w:iCs/>
          <w:szCs w:val="24"/>
        </w:rPr>
        <w:t xml:space="preserve">Acta </w:t>
      </w:r>
      <w:proofErr w:type="spellStart"/>
      <w:r w:rsidRPr="00CF347B">
        <w:rPr>
          <w:rFonts w:ascii="Times New Roman" w:hAnsi="Times New Roman"/>
          <w:i/>
          <w:iCs/>
          <w:szCs w:val="24"/>
        </w:rPr>
        <w:t>Gymnica</w:t>
      </w:r>
      <w:proofErr w:type="spellEnd"/>
      <w:r w:rsidRPr="00F5150F">
        <w:rPr>
          <w:rFonts w:ascii="Times New Roman" w:hAnsi="Times New Roman"/>
          <w:szCs w:val="24"/>
        </w:rPr>
        <w:t>, 47(3), 138–143. https://doi.org/10.5507/ag.2017.017</w:t>
      </w:r>
    </w:p>
    <w:p w14:paraId="1BF29B2D" w14:textId="2080F671" w:rsidR="008B58C4" w:rsidRPr="00F5150F" w:rsidRDefault="008B58C4" w:rsidP="00863C4F">
      <w:pPr>
        <w:pStyle w:val="ListParagraph"/>
        <w:keepLines/>
        <w:ind w:left="540" w:hanging="540"/>
        <w:jc w:val="both"/>
        <w:rPr>
          <w:rFonts w:ascii="Times New Roman" w:hAnsi="Times New Roman"/>
          <w:szCs w:val="24"/>
        </w:rPr>
      </w:pPr>
      <w:proofErr w:type="spellStart"/>
      <w:r w:rsidRPr="00F5150F">
        <w:rPr>
          <w:rFonts w:ascii="Times New Roman" w:hAnsi="Times New Roman"/>
          <w:szCs w:val="24"/>
        </w:rPr>
        <w:lastRenderedPageBreak/>
        <w:t>Wasfi</w:t>
      </w:r>
      <w:proofErr w:type="spellEnd"/>
      <w:r w:rsidRPr="00F5150F">
        <w:rPr>
          <w:rFonts w:ascii="Times New Roman" w:hAnsi="Times New Roman"/>
          <w:szCs w:val="24"/>
        </w:rPr>
        <w:t xml:space="preserve">, R. A., Ross, N. A., </w:t>
      </w:r>
      <w:r w:rsidR="00965E94">
        <w:rPr>
          <w:rFonts w:ascii="Times New Roman" w:eastAsiaTheme="minorEastAsia" w:hAnsi="Times New Roman"/>
          <w:szCs w:val="24"/>
          <w:lang w:eastAsia="ko-KR"/>
        </w:rPr>
        <w:t>and</w:t>
      </w:r>
      <w:r w:rsidRPr="00F5150F">
        <w:rPr>
          <w:rFonts w:ascii="Times New Roman" w:hAnsi="Times New Roman"/>
          <w:szCs w:val="24"/>
        </w:rPr>
        <w:t xml:space="preserve"> El-</w:t>
      </w:r>
      <w:proofErr w:type="spellStart"/>
      <w:r w:rsidRPr="00F5150F">
        <w:rPr>
          <w:rFonts w:ascii="Times New Roman" w:hAnsi="Times New Roman"/>
          <w:szCs w:val="24"/>
        </w:rPr>
        <w:t>Geneidy</w:t>
      </w:r>
      <w:proofErr w:type="spellEnd"/>
      <w:r w:rsidRPr="00F5150F">
        <w:rPr>
          <w:rFonts w:ascii="Times New Roman" w:hAnsi="Times New Roman"/>
          <w:szCs w:val="24"/>
        </w:rPr>
        <w:t xml:space="preserve">, A. M. (2013). Achieving recommended daily physical activity levels through commuting by public transportation: Unpacking individual and contextual influences. </w:t>
      </w:r>
      <w:r w:rsidRPr="00965E94">
        <w:rPr>
          <w:rFonts w:ascii="Times New Roman" w:hAnsi="Times New Roman"/>
          <w:i/>
          <w:iCs/>
          <w:szCs w:val="24"/>
        </w:rPr>
        <w:t>Health &amp; Place</w:t>
      </w:r>
      <w:r w:rsidRPr="00F5150F">
        <w:rPr>
          <w:rFonts w:ascii="Times New Roman" w:hAnsi="Times New Roman"/>
          <w:szCs w:val="24"/>
        </w:rPr>
        <w:t>, 23, 18–25. https://doi.org/10.1016/j.healthplace.2013.04.006</w:t>
      </w:r>
    </w:p>
    <w:p w14:paraId="4537DD39" w14:textId="6F6ECBB1" w:rsidR="008B58C4" w:rsidRPr="00F5150F" w:rsidRDefault="008B58C4" w:rsidP="00863C4F">
      <w:pPr>
        <w:ind w:left="540" w:hanging="540"/>
        <w:jc w:val="both"/>
        <w:rPr>
          <w:rFonts w:ascii="Times New Roman" w:hAnsi="Times New Roman"/>
          <w:szCs w:val="24"/>
          <w:lang w:eastAsia="ko-KR"/>
        </w:rPr>
      </w:pPr>
      <w:r w:rsidRPr="00F5150F">
        <w:rPr>
          <w:rFonts w:ascii="Times New Roman" w:hAnsi="Times New Roman"/>
          <w:szCs w:val="24"/>
          <w:lang w:eastAsia="ko-KR"/>
        </w:rPr>
        <w:t xml:space="preserve">Watson, K. B., Whitfield, G. P., Thomas, J. V., Berrigan, D., Fulton, J. E., </w:t>
      </w:r>
      <w:r w:rsidR="00965E94">
        <w:rPr>
          <w:rFonts w:ascii="Times New Roman" w:eastAsiaTheme="minorEastAsia" w:hAnsi="Times New Roman"/>
          <w:szCs w:val="24"/>
          <w:lang w:eastAsia="ko-KR"/>
        </w:rPr>
        <w:t>and</w:t>
      </w:r>
      <w:r w:rsidR="00965E94" w:rsidRPr="00F5150F">
        <w:rPr>
          <w:rFonts w:ascii="Times New Roman" w:hAnsi="Times New Roman"/>
          <w:szCs w:val="24"/>
          <w:lang w:eastAsia="ko-KR"/>
        </w:rPr>
        <w:t xml:space="preserve"> </w:t>
      </w:r>
      <w:r w:rsidRPr="00F5150F">
        <w:rPr>
          <w:rFonts w:ascii="Times New Roman" w:hAnsi="Times New Roman"/>
          <w:szCs w:val="24"/>
          <w:lang w:eastAsia="ko-KR"/>
        </w:rPr>
        <w:t xml:space="preserve">Carlson, S. A. (2020). Associations between the National Walkability Index and walking among US Adults—National Health Interview Survey, 2015. </w:t>
      </w:r>
      <w:r w:rsidRPr="00965E94">
        <w:rPr>
          <w:rFonts w:ascii="Times New Roman" w:hAnsi="Times New Roman"/>
          <w:i/>
          <w:iCs/>
          <w:szCs w:val="24"/>
          <w:lang w:eastAsia="ko-KR"/>
        </w:rPr>
        <w:t>Preventive Medicine</w:t>
      </w:r>
      <w:r w:rsidRPr="00F5150F">
        <w:rPr>
          <w:rFonts w:ascii="Times New Roman" w:hAnsi="Times New Roman"/>
          <w:szCs w:val="24"/>
          <w:lang w:eastAsia="ko-KR"/>
        </w:rPr>
        <w:t>, 137, 106122. https://doi.org/10.1016/j.ypmed.2020.106122</w:t>
      </w:r>
    </w:p>
    <w:p w14:paraId="0B2E9F50" w14:textId="11BE3FC2"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Wilson, L.-A., Giles-</w:t>
      </w:r>
      <w:proofErr w:type="spellStart"/>
      <w:r w:rsidRPr="00F5150F">
        <w:rPr>
          <w:rFonts w:ascii="Times New Roman" w:hAnsi="Times New Roman"/>
          <w:szCs w:val="24"/>
        </w:rPr>
        <w:t>Corti</w:t>
      </w:r>
      <w:proofErr w:type="spellEnd"/>
      <w:r w:rsidRPr="00F5150F">
        <w:rPr>
          <w:rFonts w:ascii="Times New Roman" w:hAnsi="Times New Roman"/>
          <w:szCs w:val="24"/>
        </w:rPr>
        <w:t xml:space="preserve">, B.,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Turrell</w:t>
      </w:r>
      <w:proofErr w:type="spellEnd"/>
      <w:r w:rsidRPr="00F5150F">
        <w:rPr>
          <w:rFonts w:ascii="Times New Roman" w:hAnsi="Times New Roman"/>
          <w:szCs w:val="24"/>
        </w:rPr>
        <w:t xml:space="preserve">, G. (2012). The association between objectively measured </w:t>
      </w:r>
      <w:proofErr w:type="spellStart"/>
      <w:r w:rsidRPr="00F5150F">
        <w:rPr>
          <w:rFonts w:ascii="Times New Roman" w:hAnsi="Times New Roman"/>
          <w:szCs w:val="24"/>
        </w:rPr>
        <w:t>neighbourhood</w:t>
      </w:r>
      <w:proofErr w:type="spellEnd"/>
      <w:r w:rsidRPr="00F5150F">
        <w:rPr>
          <w:rFonts w:ascii="Times New Roman" w:hAnsi="Times New Roman"/>
          <w:szCs w:val="24"/>
        </w:rPr>
        <w:t xml:space="preserve"> features and walking for transport in mid-aged adults. </w:t>
      </w:r>
      <w:r w:rsidRPr="00CF347B">
        <w:rPr>
          <w:rFonts w:ascii="Times New Roman" w:hAnsi="Times New Roman"/>
          <w:i/>
          <w:iCs/>
          <w:szCs w:val="24"/>
        </w:rPr>
        <w:t>Local Environment</w:t>
      </w:r>
      <w:r w:rsidRPr="00F5150F">
        <w:rPr>
          <w:rFonts w:ascii="Times New Roman" w:hAnsi="Times New Roman"/>
          <w:szCs w:val="24"/>
        </w:rPr>
        <w:t>, 17(2), 131–146. https://doi.org/10.1080/13549839.2011.646965</w:t>
      </w:r>
    </w:p>
    <w:p w14:paraId="16A27E1B" w14:textId="08111EF7"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World Health Organization. (2023). Statement on the fifteenth meeting of the IHR (2005) Emergency Committee on the COVID-19 pandemic.</w:t>
      </w:r>
      <w:r w:rsidR="00CF347B">
        <w:rPr>
          <w:rFonts w:ascii="Times New Roman" w:hAnsi="Times New Roman"/>
          <w:szCs w:val="24"/>
        </w:rPr>
        <w:t xml:space="preserve"> </w:t>
      </w:r>
      <w:r w:rsidR="00CF347B" w:rsidRPr="00CF347B">
        <w:rPr>
          <w:rFonts w:ascii="Times New Roman" w:hAnsi="Times New Roman"/>
          <w:szCs w:val="24"/>
        </w:rPr>
        <w:t>https://www.who.int/news/item/05-05-2023-statement-on-the-fifteenth-meeting-of-the-international-health-regulations-(2005)-emergency-committee-regarding-the-coronavirus-disease-(covid-19)-pandemic</w:t>
      </w:r>
    </w:p>
    <w:p w14:paraId="72CC9491" w14:textId="431C6D73" w:rsidR="008B58C4" w:rsidRPr="00F5150F" w:rsidRDefault="008B58C4" w:rsidP="00863C4F">
      <w:pPr>
        <w:pStyle w:val="ListParagraph"/>
        <w:ind w:left="540" w:hanging="540"/>
        <w:jc w:val="both"/>
        <w:rPr>
          <w:rFonts w:ascii="Times New Roman" w:hAnsi="Times New Roman"/>
          <w:szCs w:val="24"/>
        </w:rPr>
      </w:pPr>
      <w:r w:rsidRPr="00F5150F">
        <w:rPr>
          <w:rFonts w:ascii="Times New Roman" w:hAnsi="Times New Roman"/>
          <w:szCs w:val="24"/>
        </w:rPr>
        <w:t xml:space="preserve">Xia, T., Zhang, Y., Crabb, S., </w:t>
      </w:r>
      <w:r w:rsidR="00965E94">
        <w:rPr>
          <w:rFonts w:ascii="Times New Roman" w:eastAsiaTheme="minorEastAsia" w:hAnsi="Times New Roman"/>
          <w:szCs w:val="24"/>
          <w:lang w:eastAsia="ko-KR"/>
        </w:rPr>
        <w:t>and</w:t>
      </w:r>
      <w:r w:rsidRPr="00F5150F">
        <w:rPr>
          <w:rFonts w:ascii="Times New Roman" w:hAnsi="Times New Roman"/>
          <w:szCs w:val="24"/>
        </w:rPr>
        <w:t xml:space="preserve"> Shah, P. (2013). </w:t>
      </w:r>
      <w:proofErr w:type="spellStart"/>
      <w:r w:rsidRPr="00F5150F">
        <w:rPr>
          <w:rFonts w:ascii="Times New Roman" w:hAnsi="Times New Roman"/>
          <w:szCs w:val="24"/>
        </w:rPr>
        <w:t>Cobenefits</w:t>
      </w:r>
      <w:proofErr w:type="spellEnd"/>
      <w:r w:rsidRPr="00F5150F">
        <w:rPr>
          <w:rFonts w:ascii="Times New Roman" w:hAnsi="Times New Roman"/>
          <w:szCs w:val="24"/>
        </w:rPr>
        <w:t xml:space="preserve"> of replacing car trips with alternative transportation: A review of evidence and methodological issues. </w:t>
      </w:r>
      <w:r w:rsidRPr="00CF347B">
        <w:rPr>
          <w:rFonts w:ascii="Times New Roman" w:hAnsi="Times New Roman"/>
          <w:i/>
          <w:iCs/>
          <w:szCs w:val="24"/>
        </w:rPr>
        <w:t>Journal of Environmental and Public Health</w:t>
      </w:r>
      <w:r w:rsidRPr="00F5150F">
        <w:rPr>
          <w:rFonts w:ascii="Times New Roman" w:hAnsi="Times New Roman"/>
          <w:szCs w:val="24"/>
        </w:rPr>
        <w:t>, 2013, 1–14. https://doi.org/10.1155/2013/797312</w:t>
      </w:r>
    </w:p>
    <w:p w14:paraId="2D6C78CF" w14:textId="1DEEC188" w:rsidR="008B58C4" w:rsidRPr="00F5150F" w:rsidRDefault="008B58C4" w:rsidP="00863C4F">
      <w:pPr>
        <w:ind w:left="540" w:hanging="540"/>
        <w:jc w:val="both"/>
        <w:rPr>
          <w:rFonts w:ascii="Times New Roman" w:hAnsi="Times New Roman"/>
          <w:szCs w:val="24"/>
          <w:lang w:eastAsia="ko-KR"/>
        </w:rPr>
      </w:pPr>
      <w:r w:rsidRPr="00F5150F">
        <w:rPr>
          <w:rFonts w:ascii="Times New Roman" w:hAnsi="Times New Roman"/>
          <w:szCs w:val="24"/>
          <w:lang w:eastAsia="ko-KR"/>
        </w:rPr>
        <w:t xml:space="preserve">Yin, C., Cao, J., Sun, B., </w:t>
      </w:r>
      <w:r w:rsidR="00965E94">
        <w:rPr>
          <w:rFonts w:ascii="Times New Roman" w:eastAsiaTheme="minorEastAsia" w:hAnsi="Times New Roman"/>
          <w:szCs w:val="24"/>
          <w:lang w:eastAsia="ko-KR"/>
        </w:rPr>
        <w:t>and</w:t>
      </w:r>
      <w:r w:rsidRPr="00F5150F">
        <w:rPr>
          <w:rFonts w:ascii="Times New Roman" w:hAnsi="Times New Roman"/>
          <w:szCs w:val="24"/>
          <w:lang w:eastAsia="ko-KR"/>
        </w:rPr>
        <w:t xml:space="preserve"> Liu, J. (2023). Exploring built environment correlates of walking for different purposes: Evidence for substitution. </w:t>
      </w:r>
      <w:r w:rsidRPr="00CF347B">
        <w:rPr>
          <w:rFonts w:ascii="Times New Roman" w:hAnsi="Times New Roman"/>
          <w:i/>
          <w:iCs/>
          <w:szCs w:val="24"/>
          <w:lang w:eastAsia="ko-KR"/>
        </w:rPr>
        <w:t>Journal of Transport Geography</w:t>
      </w:r>
      <w:r w:rsidRPr="00F5150F">
        <w:rPr>
          <w:rFonts w:ascii="Times New Roman" w:hAnsi="Times New Roman"/>
          <w:szCs w:val="24"/>
          <w:lang w:eastAsia="ko-KR"/>
        </w:rPr>
        <w:t>, 106, 103505. https://doi.org/10.1016/j.jtrangeo.2022.103505</w:t>
      </w:r>
    </w:p>
    <w:p w14:paraId="35637A09" w14:textId="231A9CE8" w:rsidR="008B58C4" w:rsidRPr="00F5150F" w:rsidRDefault="008B58C4" w:rsidP="00863C4F">
      <w:pPr>
        <w:pStyle w:val="ListParagraph"/>
        <w:ind w:left="540" w:hanging="540"/>
        <w:jc w:val="both"/>
        <w:rPr>
          <w:rFonts w:ascii="Times New Roman" w:hAnsi="Times New Roman"/>
          <w:szCs w:val="24"/>
        </w:rPr>
      </w:pPr>
      <w:proofErr w:type="spellStart"/>
      <w:r w:rsidRPr="00F5150F">
        <w:rPr>
          <w:rFonts w:ascii="Times New Roman" w:hAnsi="Times New Roman"/>
          <w:szCs w:val="24"/>
        </w:rPr>
        <w:t>Zafri</w:t>
      </w:r>
      <w:proofErr w:type="spellEnd"/>
      <w:r w:rsidRPr="00F5150F">
        <w:rPr>
          <w:rFonts w:ascii="Times New Roman" w:hAnsi="Times New Roman"/>
          <w:szCs w:val="24"/>
        </w:rPr>
        <w:t xml:space="preserve">, N. M., Khan, A., Jamal, S., </w:t>
      </w:r>
      <w:r w:rsidR="00965E94">
        <w:rPr>
          <w:rFonts w:ascii="Times New Roman" w:eastAsiaTheme="minorEastAsia" w:hAnsi="Times New Roman"/>
          <w:szCs w:val="24"/>
          <w:lang w:eastAsia="ko-KR"/>
        </w:rPr>
        <w:t>and</w:t>
      </w:r>
      <w:r w:rsidRPr="00F5150F">
        <w:rPr>
          <w:rFonts w:ascii="Times New Roman" w:hAnsi="Times New Roman"/>
          <w:szCs w:val="24"/>
        </w:rPr>
        <w:t xml:space="preserve"> </w:t>
      </w:r>
      <w:proofErr w:type="spellStart"/>
      <w:r w:rsidRPr="00F5150F">
        <w:rPr>
          <w:rFonts w:ascii="Times New Roman" w:hAnsi="Times New Roman"/>
          <w:szCs w:val="24"/>
        </w:rPr>
        <w:t>Alam</w:t>
      </w:r>
      <w:proofErr w:type="spellEnd"/>
      <w:r w:rsidRPr="00F5150F">
        <w:rPr>
          <w:rFonts w:ascii="Times New Roman" w:hAnsi="Times New Roman"/>
          <w:szCs w:val="24"/>
        </w:rPr>
        <w:t xml:space="preserve">, B. M. (2021). Impacts of the COVID-19 pandemic on active travel mode choice in Bangladesh: A study from the perspective of sustainability and new normal situation. </w:t>
      </w:r>
      <w:r w:rsidRPr="00CF347B">
        <w:rPr>
          <w:rFonts w:ascii="Times New Roman" w:hAnsi="Times New Roman"/>
          <w:i/>
          <w:iCs/>
          <w:szCs w:val="24"/>
        </w:rPr>
        <w:t>Sustainability</w:t>
      </w:r>
      <w:r w:rsidRPr="00F5150F">
        <w:rPr>
          <w:rFonts w:ascii="Times New Roman" w:hAnsi="Times New Roman"/>
          <w:szCs w:val="24"/>
        </w:rPr>
        <w:t>, 13(12), 6975. https://doi.org/10.3390/su13126975</w:t>
      </w:r>
    </w:p>
    <w:p w14:paraId="12844893" w14:textId="20B254AF" w:rsidR="00DB15D6" w:rsidRPr="008B58C4" w:rsidRDefault="008B58C4" w:rsidP="00863C4F">
      <w:pPr>
        <w:pStyle w:val="ListParagraph"/>
        <w:ind w:left="540" w:hanging="540"/>
        <w:jc w:val="both"/>
        <w:rPr>
          <w:rFonts w:ascii="Times New Roman" w:eastAsiaTheme="minorEastAsia" w:hAnsi="Times New Roman"/>
          <w:szCs w:val="24"/>
          <w:lang w:eastAsia="ko-KR"/>
        </w:rPr>
      </w:pPr>
      <w:proofErr w:type="spellStart"/>
      <w:r w:rsidRPr="00F5150F">
        <w:rPr>
          <w:rFonts w:ascii="Times New Roman" w:hAnsi="Times New Roman"/>
          <w:szCs w:val="24"/>
        </w:rPr>
        <w:t>Ziedan</w:t>
      </w:r>
      <w:proofErr w:type="spellEnd"/>
      <w:r w:rsidRPr="00F5150F">
        <w:rPr>
          <w:rFonts w:ascii="Times New Roman" w:hAnsi="Times New Roman"/>
          <w:szCs w:val="24"/>
        </w:rPr>
        <w:t xml:space="preserve">, A., </w:t>
      </w:r>
      <w:proofErr w:type="spellStart"/>
      <w:r w:rsidRPr="00F5150F">
        <w:rPr>
          <w:rFonts w:ascii="Times New Roman" w:hAnsi="Times New Roman"/>
          <w:szCs w:val="24"/>
        </w:rPr>
        <w:t>Brakewood</w:t>
      </w:r>
      <w:proofErr w:type="spellEnd"/>
      <w:r w:rsidRPr="00F5150F">
        <w:rPr>
          <w:rFonts w:ascii="Times New Roman" w:hAnsi="Times New Roman"/>
          <w:szCs w:val="24"/>
        </w:rPr>
        <w:t xml:space="preserve">, C., </w:t>
      </w:r>
      <w:r w:rsidR="00965E94">
        <w:rPr>
          <w:rFonts w:ascii="Times New Roman" w:eastAsiaTheme="minorEastAsia" w:hAnsi="Times New Roman"/>
          <w:szCs w:val="24"/>
          <w:lang w:eastAsia="ko-KR"/>
        </w:rPr>
        <w:t>and</w:t>
      </w:r>
      <w:r w:rsidRPr="00F5150F">
        <w:rPr>
          <w:rFonts w:ascii="Times New Roman" w:hAnsi="Times New Roman"/>
          <w:szCs w:val="24"/>
        </w:rPr>
        <w:t xml:space="preserve"> Watkins, K. (2023). Will transit recover? A retrospective study of nationwide ridership in the United States during the COVID-19 pandemic. </w:t>
      </w:r>
      <w:r w:rsidRPr="00CF347B">
        <w:rPr>
          <w:rFonts w:ascii="Times New Roman" w:hAnsi="Times New Roman"/>
          <w:i/>
          <w:iCs/>
          <w:szCs w:val="24"/>
        </w:rPr>
        <w:t>Journal of Public Transportation</w:t>
      </w:r>
      <w:r w:rsidRPr="00F5150F">
        <w:rPr>
          <w:rFonts w:ascii="Times New Roman" w:hAnsi="Times New Roman"/>
          <w:szCs w:val="24"/>
        </w:rPr>
        <w:t>, 25, 100046. https://doi.org/10.1016/j.jpubtr.2023.100046</w:t>
      </w:r>
    </w:p>
    <w:sectPr w:rsidR="00DB15D6" w:rsidRPr="008B58C4" w:rsidSect="009F7C26">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7A4C4" w14:textId="77777777" w:rsidR="00AC4018" w:rsidRDefault="00AC4018">
      <w:r>
        <w:separator/>
      </w:r>
    </w:p>
  </w:endnote>
  <w:endnote w:type="continuationSeparator" w:id="0">
    <w:p w14:paraId="277682B8" w14:textId="77777777" w:rsidR="00AC4018" w:rsidRDefault="00AC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951197"/>
      <w:docPartObj>
        <w:docPartGallery w:val="Page Numbers (Bottom of Page)"/>
        <w:docPartUnique/>
      </w:docPartObj>
    </w:sdtPr>
    <w:sdtEndPr>
      <w:rPr>
        <w:noProof/>
      </w:rPr>
    </w:sdtEndPr>
    <w:sdtContent>
      <w:p w14:paraId="045A5AD1" w14:textId="77777777" w:rsidR="0038441B" w:rsidRDefault="0038441B" w:rsidP="00BA3CC8">
        <w:pPr>
          <w:pStyle w:val="Footer"/>
          <w:jc w:val="center"/>
        </w:pPr>
      </w:p>
      <w:p w14:paraId="3EB1CE67" w14:textId="116254C2" w:rsidR="008B58C4" w:rsidRDefault="0037547E" w:rsidP="00BA3CC8">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317961"/>
      <w:docPartObj>
        <w:docPartGallery w:val="Page Numbers (Bottom of Page)"/>
        <w:docPartUnique/>
      </w:docPartObj>
    </w:sdtPr>
    <w:sdtEndPr>
      <w:rPr>
        <w:noProof/>
      </w:rPr>
    </w:sdtEndPr>
    <w:sdtContent>
      <w:p w14:paraId="38DC9F5E" w14:textId="72794FC1" w:rsidR="0038441B" w:rsidRDefault="0038441B" w:rsidP="003844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681081"/>
      <w:docPartObj>
        <w:docPartGallery w:val="Page Numbers (Bottom of Page)"/>
        <w:docPartUnique/>
      </w:docPartObj>
    </w:sdtPr>
    <w:sdtEndPr>
      <w:rPr>
        <w:noProof/>
      </w:rPr>
    </w:sdtEndPr>
    <w:sdtContent>
      <w:p w14:paraId="4365FDF8" w14:textId="44FE89FB" w:rsidR="00851DBF" w:rsidRDefault="00851D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FAFFF" w14:textId="77777777" w:rsidR="00851DBF" w:rsidRDefault="00851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8B39" w14:textId="77777777" w:rsidR="00AC4018" w:rsidRDefault="00AC4018">
      <w:r>
        <w:separator/>
      </w:r>
    </w:p>
  </w:footnote>
  <w:footnote w:type="continuationSeparator" w:id="0">
    <w:p w14:paraId="5CFC479D" w14:textId="77777777" w:rsidR="00AC4018" w:rsidRDefault="00AC4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51"/>
    <w:multiLevelType w:val="hybridMultilevel"/>
    <w:tmpl w:val="F042A970"/>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64328"/>
    <w:multiLevelType w:val="hybridMultilevel"/>
    <w:tmpl w:val="B4689776"/>
    <w:lvl w:ilvl="0" w:tplc="B99E67AA">
      <w:start w:val="1"/>
      <w:numFmt w:val="decimal"/>
      <w:lvlText w:val="%1)"/>
      <w:lvlJc w:val="left"/>
      <w:pPr>
        <w:ind w:left="720" w:hanging="360"/>
      </w:pPr>
      <w:rPr>
        <w:rFonts w:hint="default"/>
      </w:rPr>
    </w:lvl>
    <w:lvl w:ilvl="1" w:tplc="583699E2">
      <w:start w:val="1"/>
      <w:numFmt w:val="lowerLetter"/>
      <w:lvlText w:val="%2."/>
      <w:lvlJc w:val="left"/>
      <w:pPr>
        <w:ind w:left="1440" w:hanging="360"/>
      </w:pPr>
    </w:lvl>
    <w:lvl w:ilvl="2" w:tplc="F43EB68C">
      <w:start w:val="1"/>
      <w:numFmt w:val="lowerRoman"/>
      <w:lvlText w:val="%3."/>
      <w:lvlJc w:val="right"/>
      <w:pPr>
        <w:ind w:left="2160" w:hanging="180"/>
      </w:pPr>
    </w:lvl>
    <w:lvl w:ilvl="3" w:tplc="B9FEC374" w:tentative="1">
      <w:start w:val="1"/>
      <w:numFmt w:val="decimal"/>
      <w:lvlText w:val="%4."/>
      <w:lvlJc w:val="left"/>
      <w:pPr>
        <w:ind w:left="2880" w:hanging="360"/>
      </w:pPr>
    </w:lvl>
    <w:lvl w:ilvl="4" w:tplc="B0E0EF5E" w:tentative="1">
      <w:start w:val="1"/>
      <w:numFmt w:val="lowerLetter"/>
      <w:lvlText w:val="%5."/>
      <w:lvlJc w:val="left"/>
      <w:pPr>
        <w:ind w:left="3600" w:hanging="360"/>
      </w:pPr>
    </w:lvl>
    <w:lvl w:ilvl="5" w:tplc="6D6AD4D0" w:tentative="1">
      <w:start w:val="1"/>
      <w:numFmt w:val="lowerRoman"/>
      <w:lvlText w:val="%6."/>
      <w:lvlJc w:val="right"/>
      <w:pPr>
        <w:ind w:left="4320" w:hanging="180"/>
      </w:pPr>
    </w:lvl>
    <w:lvl w:ilvl="6" w:tplc="EAFEAA76" w:tentative="1">
      <w:start w:val="1"/>
      <w:numFmt w:val="decimal"/>
      <w:lvlText w:val="%7."/>
      <w:lvlJc w:val="left"/>
      <w:pPr>
        <w:ind w:left="5040" w:hanging="360"/>
      </w:pPr>
    </w:lvl>
    <w:lvl w:ilvl="7" w:tplc="02AA8AC8" w:tentative="1">
      <w:start w:val="1"/>
      <w:numFmt w:val="lowerLetter"/>
      <w:lvlText w:val="%8."/>
      <w:lvlJc w:val="left"/>
      <w:pPr>
        <w:ind w:left="5760" w:hanging="360"/>
      </w:pPr>
    </w:lvl>
    <w:lvl w:ilvl="8" w:tplc="A64E91F6" w:tentative="1">
      <w:start w:val="1"/>
      <w:numFmt w:val="lowerRoman"/>
      <w:lvlText w:val="%9."/>
      <w:lvlJc w:val="right"/>
      <w:pPr>
        <w:ind w:left="6480" w:hanging="180"/>
      </w:pPr>
    </w:lvl>
  </w:abstractNum>
  <w:abstractNum w:abstractNumId="2" w15:restartNumberingAfterBreak="0">
    <w:nsid w:val="0FFB3E2C"/>
    <w:multiLevelType w:val="hybridMultilevel"/>
    <w:tmpl w:val="2AB2383A"/>
    <w:lvl w:ilvl="0" w:tplc="84427B90">
      <w:start w:val="1"/>
      <w:numFmt w:val="bullet"/>
      <w:lvlText w:val=""/>
      <w:lvlJc w:val="left"/>
      <w:pPr>
        <w:ind w:left="1242" w:hanging="360"/>
      </w:pPr>
      <w:rPr>
        <w:rFonts w:ascii="Symbol" w:hAnsi="Symbol" w:hint="default"/>
      </w:rPr>
    </w:lvl>
    <w:lvl w:ilvl="1" w:tplc="A9DAB398">
      <w:start w:val="1"/>
      <w:numFmt w:val="bullet"/>
      <w:lvlText w:val="o"/>
      <w:lvlJc w:val="left"/>
      <w:pPr>
        <w:ind w:left="1962" w:hanging="360"/>
      </w:pPr>
      <w:rPr>
        <w:rFonts w:ascii="Courier New" w:hAnsi="Courier New" w:cs="Courier New" w:hint="default"/>
      </w:rPr>
    </w:lvl>
    <w:lvl w:ilvl="2" w:tplc="7FB0FF16" w:tentative="1">
      <w:start w:val="1"/>
      <w:numFmt w:val="bullet"/>
      <w:lvlText w:val=""/>
      <w:lvlJc w:val="left"/>
      <w:pPr>
        <w:ind w:left="2682" w:hanging="360"/>
      </w:pPr>
      <w:rPr>
        <w:rFonts w:ascii="Wingdings" w:hAnsi="Wingdings" w:hint="default"/>
      </w:rPr>
    </w:lvl>
    <w:lvl w:ilvl="3" w:tplc="82B0084E" w:tentative="1">
      <w:start w:val="1"/>
      <w:numFmt w:val="bullet"/>
      <w:lvlText w:val=""/>
      <w:lvlJc w:val="left"/>
      <w:pPr>
        <w:ind w:left="3402" w:hanging="360"/>
      </w:pPr>
      <w:rPr>
        <w:rFonts w:ascii="Symbol" w:hAnsi="Symbol" w:hint="default"/>
      </w:rPr>
    </w:lvl>
    <w:lvl w:ilvl="4" w:tplc="D22EAAA6" w:tentative="1">
      <w:start w:val="1"/>
      <w:numFmt w:val="bullet"/>
      <w:lvlText w:val="o"/>
      <w:lvlJc w:val="left"/>
      <w:pPr>
        <w:ind w:left="4122" w:hanging="360"/>
      </w:pPr>
      <w:rPr>
        <w:rFonts w:ascii="Courier New" w:hAnsi="Courier New" w:cs="Courier New" w:hint="default"/>
      </w:rPr>
    </w:lvl>
    <w:lvl w:ilvl="5" w:tplc="1E9A8552" w:tentative="1">
      <w:start w:val="1"/>
      <w:numFmt w:val="bullet"/>
      <w:lvlText w:val=""/>
      <w:lvlJc w:val="left"/>
      <w:pPr>
        <w:ind w:left="4842" w:hanging="360"/>
      </w:pPr>
      <w:rPr>
        <w:rFonts w:ascii="Wingdings" w:hAnsi="Wingdings" w:hint="default"/>
      </w:rPr>
    </w:lvl>
    <w:lvl w:ilvl="6" w:tplc="1DBCF68A" w:tentative="1">
      <w:start w:val="1"/>
      <w:numFmt w:val="bullet"/>
      <w:lvlText w:val=""/>
      <w:lvlJc w:val="left"/>
      <w:pPr>
        <w:ind w:left="5562" w:hanging="360"/>
      </w:pPr>
      <w:rPr>
        <w:rFonts w:ascii="Symbol" w:hAnsi="Symbol" w:hint="default"/>
      </w:rPr>
    </w:lvl>
    <w:lvl w:ilvl="7" w:tplc="BCC42186" w:tentative="1">
      <w:start w:val="1"/>
      <w:numFmt w:val="bullet"/>
      <w:lvlText w:val="o"/>
      <w:lvlJc w:val="left"/>
      <w:pPr>
        <w:ind w:left="6282" w:hanging="360"/>
      </w:pPr>
      <w:rPr>
        <w:rFonts w:ascii="Courier New" w:hAnsi="Courier New" w:cs="Courier New" w:hint="default"/>
      </w:rPr>
    </w:lvl>
    <w:lvl w:ilvl="8" w:tplc="70A4C752" w:tentative="1">
      <w:start w:val="1"/>
      <w:numFmt w:val="bullet"/>
      <w:lvlText w:val=""/>
      <w:lvlJc w:val="left"/>
      <w:pPr>
        <w:ind w:left="7002" w:hanging="360"/>
      </w:pPr>
      <w:rPr>
        <w:rFonts w:ascii="Wingdings" w:hAnsi="Wingdings" w:hint="default"/>
      </w:rPr>
    </w:lvl>
  </w:abstractNum>
  <w:abstractNum w:abstractNumId="3" w15:restartNumberingAfterBreak="0">
    <w:nsid w:val="1F7C213C"/>
    <w:multiLevelType w:val="hybridMultilevel"/>
    <w:tmpl w:val="77E29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C41F4"/>
    <w:multiLevelType w:val="hybridMultilevel"/>
    <w:tmpl w:val="C770C6FE"/>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12DE0"/>
    <w:multiLevelType w:val="hybridMultilevel"/>
    <w:tmpl w:val="4A68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32F32"/>
    <w:multiLevelType w:val="multilevel"/>
    <w:tmpl w:val="F18E537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477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032B1C"/>
    <w:multiLevelType w:val="hybridMultilevel"/>
    <w:tmpl w:val="2D94D18E"/>
    <w:lvl w:ilvl="0" w:tplc="74729CC2">
      <w:start w:val="1"/>
      <w:numFmt w:val="bullet"/>
      <w:lvlText w:val=""/>
      <w:lvlJc w:val="left"/>
      <w:pPr>
        <w:ind w:left="720" w:hanging="360"/>
      </w:pPr>
      <w:rPr>
        <w:rFonts w:ascii="Symbol" w:hAnsi="Symbol" w:hint="default"/>
      </w:rPr>
    </w:lvl>
    <w:lvl w:ilvl="1" w:tplc="4D924972" w:tentative="1">
      <w:start w:val="1"/>
      <w:numFmt w:val="bullet"/>
      <w:lvlText w:val="o"/>
      <w:lvlJc w:val="left"/>
      <w:pPr>
        <w:ind w:left="1440" w:hanging="360"/>
      </w:pPr>
      <w:rPr>
        <w:rFonts w:ascii="Courier New" w:hAnsi="Courier New" w:cs="Courier New" w:hint="default"/>
      </w:rPr>
    </w:lvl>
    <w:lvl w:ilvl="2" w:tplc="1E145A12" w:tentative="1">
      <w:start w:val="1"/>
      <w:numFmt w:val="bullet"/>
      <w:lvlText w:val=""/>
      <w:lvlJc w:val="left"/>
      <w:pPr>
        <w:ind w:left="2160" w:hanging="360"/>
      </w:pPr>
      <w:rPr>
        <w:rFonts w:ascii="Wingdings" w:hAnsi="Wingdings" w:hint="default"/>
      </w:rPr>
    </w:lvl>
    <w:lvl w:ilvl="3" w:tplc="D5C45B84" w:tentative="1">
      <w:start w:val="1"/>
      <w:numFmt w:val="bullet"/>
      <w:lvlText w:val=""/>
      <w:lvlJc w:val="left"/>
      <w:pPr>
        <w:ind w:left="2880" w:hanging="360"/>
      </w:pPr>
      <w:rPr>
        <w:rFonts w:ascii="Symbol" w:hAnsi="Symbol" w:hint="default"/>
      </w:rPr>
    </w:lvl>
    <w:lvl w:ilvl="4" w:tplc="5A0879F0" w:tentative="1">
      <w:start w:val="1"/>
      <w:numFmt w:val="bullet"/>
      <w:lvlText w:val="o"/>
      <w:lvlJc w:val="left"/>
      <w:pPr>
        <w:ind w:left="3600" w:hanging="360"/>
      </w:pPr>
      <w:rPr>
        <w:rFonts w:ascii="Courier New" w:hAnsi="Courier New" w:cs="Courier New" w:hint="default"/>
      </w:rPr>
    </w:lvl>
    <w:lvl w:ilvl="5" w:tplc="5B7AD11A" w:tentative="1">
      <w:start w:val="1"/>
      <w:numFmt w:val="bullet"/>
      <w:lvlText w:val=""/>
      <w:lvlJc w:val="left"/>
      <w:pPr>
        <w:ind w:left="4320" w:hanging="360"/>
      </w:pPr>
      <w:rPr>
        <w:rFonts w:ascii="Wingdings" w:hAnsi="Wingdings" w:hint="default"/>
      </w:rPr>
    </w:lvl>
    <w:lvl w:ilvl="6" w:tplc="597409A8" w:tentative="1">
      <w:start w:val="1"/>
      <w:numFmt w:val="bullet"/>
      <w:lvlText w:val=""/>
      <w:lvlJc w:val="left"/>
      <w:pPr>
        <w:ind w:left="5040" w:hanging="360"/>
      </w:pPr>
      <w:rPr>
        <w:rFonts w:ascii="Symbol" w:hAnsi="Symbol" w:hint="default"/>
      </w:rPr>
    </w:lvl>
    <w:lvl w:ilvl="7" w:tplc="D38EB000" w:tentative="1">
      <w:start w:val="1"/>
      <w:numFmt w:val="bullet"/>
      <w:lvlText w:val="o"/>
      <w:lvlJc w:val="left"/>
      <w:pPr>
        <w:ind w:left="5760" w:hanging="360"/>
      </w:pPr>
      <w:rPr>
        <w:rFonts w:ascii="Courier New" w:hAnsi="Courier New" w:cs="Courier New" w:hint="default"/>
      </w:rPr>
    </w:lvl>
    <w:lvl w:ilvl="8" w:tplc="7E16996A" w:tentative="1">
      <w:start w:val="1"/>
      <w:numFmt w:val="bullet"/>
      <w:lvlText w:val=""/>
      <w:lvlJc w:val="left"/>
      <w:pPr>
        <w:ind w:left="6480" w:hanging="360"/>
      </w:pPr>
      <w:rPr>
        <w:rFonts w:ascii="Wingdings" w:hAnsi="Wingdings" w:hint="default"/>
      </w:rPr>
    </w:lvl>
  </w:abstractNum>
  <w:abstractNum w:abstractNumId="8" w15:restartNumberingAfterBreak="0">
    <w:nsid w:val="338A7CA3"/>
    <w:multiLevelType w:val="hybridMultilevel"/>
    <w:tmpl w:val="B08A1F26"/>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76A19"/>
    <w:multiLevelType w:val="hybridMultilevel"/>
    <w:tmpl w:val="B4689776"/>
    <w:lvl w:ilvl="0" w:tplc="59FEBC78">
      <w:start w:val="1"/>
      <w:numFmt w:val="decimal"/>
      <w:lvlText w:val="%1)"/>
      <w:lvlJc w:val="left"/>
      <w:pPr>
        <w:ind w:left="720" w:hanging="360"/>
      </w:pPr>
      <w:rPr>
        <w:rFonts w:hint="default"/>
      </w:rPr>
    </w:lvl>
    <w:lvl w:ilvl="1" w:tplc="C7106534">
      <w:start w:val="1"/>
      <w:numFmt w:val="lowerLetter"/>
      <w:lvlText w:val="%2."/>
      <w:lvlJc w:val="left"/>
      <w:pPr>
        <w:ind w:left="1440" w:hanging="360"/>
      </w:pPr>
    </w:lvl>
    <w:lvl w:ilvl="2" w:tplc="DE16A72C">
      <w:start w:val="1"/>
      <w:numFmt w:val="lowerRoman"/>
      <w:lvlText w:val="%3."/>
      <w:lvlJc w:val="right"/>
      <w:pPr>
        <w:ind w:left="2160" w:hanging="180"/>
      </w:pPr>
    </w:lvl>
    <w:lvl w:ilvl="3" w:tplc="F4B6835A" w:tentative="1">
      <w:start w:val="1"/>
      <w:numFmt w:val="decimal"/>
      <w:lvlText w:val="%4."/>
      <w:lvlJc w:val="left"/>
      <w:pPr>
        <w:ind w:left="2880" w:hanging="360"/>
      </w:pPr>
    </w:lvl>
    <w:lvl w:ilvl="4" w:tplc="A860EA54" w:tentative="1">
      <w:start w:val="1"/>
      <w:numFmt w:val="lowerLetter"/>
      <w:lvlText w:val="%5."/>
      <w:lvlJc w:val="left"/>
      <w:pPr>
        <w:ind w:left="3600" w:hanging="360"/>
      </w:pPr>
    </w:lvl>
    <w:lvl w:ilvl="5" w:tplc="468E1F12" w:tentative="1">
      <w:start w:val="1"/>
      <w:numFmt w:val="lowerRoman"/>
      <w:lvlText w:val="%6."/>
      <w:lvlJc w:val="right"/>
      <w:pPr>
        <w:ind w:left="4320" w:hanging="180"/>
      </w:pPr>
    </w:lvl>
    <w:lvl w:ilvl="6" w:tplc="3D101948" w:tentative="1">
      <w:start w:val="1"/>
      <w:numFmt w:val="decimal"/>
      <w:lvlText w:val="%7."/>
      <w:lvlJc w:val="left"/>
      <w:pPr>
        <w:ind w:left="5040" w:hanging="360"/>
      </w:pPr>
    </w:lvl>
    <w:lvl w:ilvl="7" w:tplc="1E7E4182" w:tentative="1">
      <w:start w:val="1"/>
      <w:numFmt w:val="lowerLetter"/>
      <w:lvlText w:val="%8."/>
      <w:lvlJc w:val="left"/>
      <w:pPr>
        <w:ind w:left="5760" w:hanging="360"/>
      </w:pPr>
    </w:lvl>
    <w:lvl w:ilvl="8" w:tplc="A1F0FA1C" w:tentative="1">
      <w:start w:val="1"/>
      <w:numFmt w:val="lowerRoman"/>
      <w:lvlText w:val="%9."/>
      <w:lvlJc w:val="right"/>
      <w:pPr>
        <w:ind w:left="6480" w:hanging="180"/>
      </w:pPr>
    </w:lvl>
  </w:abstractNum>
  <w:abstractNum w:abstractNumId="10" w15:restartNumberingAfterBreak="0">
    <w:nsid w:val="3B600874"/>
    <w:multiLevelType w:val="multilevel"/>
    <w:tmpl w:val="F67475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833C3C"/>
    <w:multiLevelType w:val="hybridMultilevel"/>
    <w:tmpl w:val="9ADEAC2E"/>
    <w:lvl w:ilvl="0" w:tplc="D766E7D6">
      <w:start w:val="6"/>
      <w:numFmt w:val="bullet"/>
      <w:lvlText w:val="*"/>
      <w:lvlJc w:val="left"/>
      <w:pPr>
        <w:ind w:left="510" w:hanging="360"/>
      </w:pPr>
      <w:rPr>
        <w:rFonts w:ascii="Times New Roman" w:eastAsia="Times"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2" w15:restartNumberingAfterBreak="0">
    <w:nsid w:val="483A2F6B"/>
    <w:multiLevelType w:val="hybridMultilevel"/>
    <w:tmpl w:val="9252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B3E79"/>
    <w:multiLevelType w:val="hybridMultilevel"/>
    <w:tmpl w:val="E2A2EF54"/>
    <w:lvl w:ilvl="0" w:tplc="96EEBBAA">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F2E7B"/>
    <w:multiLevelType w:val="hybridMultilevel"/>
    <w:tmpl w:val="D8A4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32A80"/>
    <w:multiLevelType w:val="hybridMultilevel"/>
    <w:tmpl w:val="962CA34A"/>
    <w:lvl w:ilvl="0" w:tplc="A5CAE9B0">
      <w:start w:val="2"/>
      <w:numFmt w:val="bullet"/>
      <w:lvlText w:val="*"/>
      <w:lvlJc w:val="left"/>
      <w:pPr>
        <w:ind w:left="720" w:hanging="360"/>
      </w:pPr>
      <w:rPr>
        <w:rFonts w:ascii="Times" w:eastAsia="Times" w:hAnsi="Times" w:cs="Time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72DDB"/>
    <w:multiLevelType w:val="hybridMultilevel"/>
    <w:tmpl w:val="D626EEDA"/>
    <w:lvl w:ilvl="0" w:tplc="D766E7D6">
      <w:start w:val="6"/>
      <w:numFmt w:val="bullet"/>
      <w:lvlText w:val="*"/>
      <w:lvlJc w:val="left"/>
      <w:pPr>
        <w:ind w:left="51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C5D27"/>
    <w:multiLevelType w:val="hybridMultilevel"/>
    <w:tmpl w:val="B9EE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56EF1"/>
    <w:multiLevelType w:val="hybridMultilevel"/>
    <w:tmpl w:val="41164866"/>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819EF"/>
    <w:multiLevelType w:val="hybridMultilevel"/>
    <w:tmpl w:val="4920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E67BF5"/>
    <w:multiLevelType w:val="hybridMultilevel"/>
    <w:tmpl w:val="791464F0"/>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207E9B"/>
    <w:multiLevelType w:val="hybridMultilevel"/>
    <w:tmpl w:val="B6603350"/>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24344D"/>
    <w:multiLevelType w:val="hybridMultilevel"/>
    <w:tmpl w:val="422E41FC"/>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73989"/>
    <w:multiLevelType w:val="hybridMultilevel"/>
    <w:tmpl w:val="62A03388"/>
    <w:lvl w:ilvl="0" w:tplc="84E6D48A">
      <w:start w:val="1"/>
      <w:numFmt w:val="bullet"/>
      <w:lvlText w:val=""/>
      <w:lvlJc w:val="left"/>
      <w:pPr>
        <w:ind w:left="720" w:hanging="360"/>
      </w:pPr>
      <w:rPr>
        <w:rFonts w:ascii="Symbol" w:hAnsi="Symbol" w:hint="default"/>
      </w:rPr>
    </w:lvl>
    <w:lvl w:ilvl="1" w:tplc="55CA8224" w:tentative="1">
      <w:start w:val="1"/>
      <w:numFmt w:val="bullet"/>
      <w:lvlText w:val="o"/>
      <w:lvlJc w:val="left"/>
      <w:pPr>
        <w:ind w:left="1440" w:hanging="360"/>
      </w:pPr>
      <w:rPr>
        <w:rFonts w:ascii="Courier New" w:hAnsi="Courier New" w:cs="Courier New" w:hint="default"/>
      </w:rPr>
    </w:lvl>
    <w:lvl w:ilvl="2" w:tplc="FC2CEEC6" w:tentative="1">
      <w:start w:val="1"/>
      <w:numFmt w:val="bullet"/>
      <w:lvlText w:val=""/>
      <w:lvlJc w:val="left"/>
      <w:pPr>
        <w:ind w:left="2160" w:hanging="360"/>
      </w:pPr>
      <w:rPr>
        <w:rFonts w:ascii="Wingdings" w:hAnsi="Wingdings" w:hint="default"/>
      </w:rPr>
    </w:lvl>
    <w:lvl w:ilvl="3" w:tplc="A0F0A026" w:tentative="1">
      <w:start w:val="1"/>
      <w:numFmt w:val="bullet"/>
      <w:lvlText w:val=""/>
      <w:lvlJc w:val="left"/>
      <w:pPr>
        <w:ind w:left="2880" w:hanging="360"/>
      </w:pPr>
      <w:rPr>
        <w:rFonts w:ascii="Symbol" w:hAnsi="Symbol" w:hint="default"/>
      </w:rPr>
    </w:lvl>
    <w:lvl w:ilvl="4" w:tplc="7BCE2B72" w:tentative="1">
      <w:start w:val="1"/>
      <w:numFmt w:val="bullet"/>
      <w:lvlText w:val="o"/>
      <w:lvlJc w:val="left"/>
      <w:pPr>
        <w:ind w:left="3600" w:hanging="360"/>
      </w:pPr>
      <w:rPr>
        <w:rFonts w:ascii="Courier New" w:hAnsi="Courier New" w:cs="Courier New" w:hint="default"/>
      </w:rPr>
    </w:lvl>
    <w:lvl w:ilvl="5" w:tplc="38ACAC3E" w:tentative="1">
      <w:start w:val="1"/>
      <w:numFmt w:val="bullet"/>
      <w:lvlText w:val=""/>
      <w:lvlJc w:val="left"/>
      <w:pPr>
        <w:ind w:left="4320" w:hanging="360"/>
      </w:pPr>
      <w:rPr>
        <w:rFonts w:ascii="Wingdings" w:hAnsi="Wingdings" w:hint="default"/>
      </w:rPr>
    </w:lvl>
    <w:lvl w:ilvl="6" w:tplc="68B20BC2" w:tentative="1">
      <w:start w:val="1"/>
      <w:numFmt w:val="bullet"/>
      <w:lvlText w:val=""/>
      <w:lvlJc w:val="left"/>
      <w:pPr>
        <w:ind w:left="5040" w:hanging="360"/>
      </w:pPr>
      <w:rPr>
        <w:rFonts w:ascii="Symbol" w:hAnsi="Symbol" w:hint="default"/>
      </w:rPr>
    </w:lvl>
    <w:lvl w:ilvl="7" w:tplc="503A2BD4" w:tentative="1">
      <w:start w:val="1"/>
      <w:numFmt w:val="bullet"/>
      <w:lvlText w:val="o"/>
      <w:lvlJc w:val="left"/>
      <w:pPr>
        <w:ind w:left="5760" w:hanging="360"/>
      </w:pPr>
      <w:rPr>
        <w:rFonts w:ascii="Courier New" w:hAnsi="Courier New" w:cs="Courier New" w:hint="default"/>
      </w:rPr>
    </w:lvl>
    <w:lvl w:ilvl="8" w:tplc="DD5A5366" w:tentative="1">
      <w:start w:val="1"/>
      <w:numFmt w:val="bullet"/>
      <w:lvlText w:val=""/>
      <w:lvlJc w:val="left"/>
      <w:pPr>
        <w:ind w:left="6480" w:hanging="360"/>
      </w:pPr>
      <w:rPr>
        <w:rFonts w:ascii="Wingdings" w:hAnsi="Wingdings" w:hint="default"/>
      </w:rPr>
    </w:lvl>
  </w:abstractNum>
  <w:abstractNum w:abstractNumId="24" w15:restartNumberingAfterBreak="0">
    <w:nsid w:val="74CA485B"/>
    <w:multiLevelType w:val="hybridMultilevel"/>
    <w:tmpl w:val="201074DE"/>
    <w:lvl w:ilvl="0" w:tplc="84427B90">
      <w:start w:val="1"/>
      <w:numFmt w:val="bullet"/>
      <w:lvlText w:val=""/>
      <w:lvlJc w:val="left"/>
      <w:pPr>
        <w:ind w:left="12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272D8"/>
    <w:multiLevelType w:val="hybridMultilevel"/>
    <w:tmpl w:val="412A7640"/>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3"/>
  </w:num>
  <w:num w:numId="4">
    <w:abstractNumId w:val="7"/>
  </w:num>
  <w:num w:numId="5">
    <w:abstractNumId w:val="6"/>
  </w:num>
  <w:num w:numId="6">
    <w:abstractNumId w:val="2"/>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7"/>
  </w:num>
  <w:num w:numId="15">
    <w:abstractNumId w:val="19"/>
  </w:num>
  <w:num w:numId="16">
    <w:abstractNumId w:val="3"/>
  </w:num>
  <w:num w:numId="17">
    <w:abstractNumId w:val="12"/>
  </w:num>
  <w:num w:numId="18">
    <w:abstractNumId w:val="8"/>
  </w:num>
  <w:num w:numId="19">
    <w:abstractNumId w:val="4"/>
  </w:num>
  <w:num w:numId="20">
    <w:abstractNumId w:val="21"/>
  </w:num>
  <w:num w:numId="21">
    <w:abstractNumId w:val="20"/>
  </w:num>
  <w:num w:numId="22">
    <w:abstractNumId w:val="0"/>
  </w:num>
  <w:num w:numId="23">
    <w:abstractNumId w:val="24"/>
  </w:num>
  <w:num w:numId="24">
    <w:abstractNumId w:val="22"/>
  </w:num>
  <w:num w:numId="25">
    <w:abstractNumId w:val="18"/>
  </w:num>
  <w:num w:numId="26">
    <w:abstractNumId w:val="11"/>
  </w:num>
  <w:num w:numId="27">
    <w:abstractNumId w:val="16"/>
  </w:num>
  <w:num w:numId="28">
    <w:abstractNumId w:val="25"/>
  </w:num>
  <w:num w:numId="29">
    <w:abstractNumId w:val="14"/>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2MzE0sDCwMDE3NzdT0lEKTi0uzszPAykwNKgFALeF/iktAAAA"/>
  </w:docVars>
  <w:rsids>
    <w:rsidRoot w:val="007B2B5E"/>
    <w:rsid w:val="00000B70"/>
    <w:rsid w:val="00006F52"/>
    <w:rsid w:val="0001143D"/>
    <w:rsid w:val="00011586"/>
    <w:rsid w:val="00011B07"/>
    <w:rsid w:val="00013C2D"/>
    <w:rsid w:val="00014493"/>
    <w:rsid w:val="00014E59"/>
    <w:rsid w:val="00016A16"/>
    <w:rsid w:val="0001713A"/>
    <w:rsid w:val="00017518"/>
    <w:rsid w:val="00021172"/>
    <w:rsid w:val="00022491"/>
    <w:rsid w:val="0002278A"/>
    <w:rsid w:val="00023565"/>
    <w:rsid w:val="00025738"/>
    <w:rsid w:val="00025D34"/>
    <w:rsid w:val="000264D8"/>
    <w:rsid w:val="000310F6"/>
    <w:rsid w:val="0003167E"/>
    <w:rsid w:val="00031E29"/>
    <w:rsid w:val="00031E82"/>
    <w:rsid w:val="00032371"/>
    <w:rsid w:val="00033885"/>
    <w:rsid w:val="00034149"/>
    <w:rsid w:val="000421EF"/>
    <w:rsid w:val="00042586"/>
    <w:rsid w:val="00042683"/>
    <w:rsid w:val="00042795"/>
    <w:rsid w:val="00042C01"/>
    <w:rsid w:val="000438C0"/>
    <w:rsid w:val="00045030"/>
    <w:rsid w:val="00046FD2"/>
    <w:rsid w:val="000472B3"/>
    <w:rsid w:val="00047DCC"/>
    <w:rsid w:val="00050249"/>
    <w:rsid w:val="00051470"/>
    <w:rsid w:val="00051C5B"/>
    <w:rsid w:val="00052388"/>
    <w:rsid w:val="000525EC"/>
    <w:rsid w:val="00052B96"/>
    <w:rsid w:val="0005498E"/>
    <w:rsid w:val="00055425"/>
    <w:rsid w:val="000556AB"/>
    <w:rsid w:val="000563E3"/>
    <w:rsid w:val="00056D31"/>
    <w:rsid w:val="000579F3"/>
    <w:rsid w:val="00057C87"/>
    <w:rsid w:val="00060C29"/>
    <w:rsid w:val="00060DF7"/>
    <w:rsid w:val="00061654"/>
    <w:rsid w:val="00063F7D"/>
    <w:rsid w:val="00064273"/>
    <w:rsid w:val="000659F5"/>
    <w:rsid w:val="00065F3C"/>
    <w:rsid w:val="000667A1"/>
    <w:rsid w:val="000671AC"/>
    <w:rsid w:val="00067B39"/>
    <w:rsid w:val="0007043B"/>
    <w:rsid w:val="00071652"/>
    <w:rsid w:val="0007261D"/>
    <w:rsid w:val="00072B08"/>
    <w:rsid w:val="00072D22"/>
    <w:rsid w:val="00073F15"/>
    <w:rsid w:val="00075F17"/>
    <w:rsid w:val="00075F95"/>
    <w:rsid w:val="00076A0E"/>
    <w:rsid w:val="00076CC5"/>
    <w:rsid w:val="00080216"/>
    <w:rsid w:val="00080A0E"/>
    <w:rsid w:val="0008194A"/>
    <w:rsid w:val="00082170"/>
    <w:rsid w:val="00082743"/>
    <w:rsid w:val="00083362"/>
    <w:rsid w:val="000843B6"/>
    <w:rsid w:val="0008533A"/>
    <w:rsid w:val="00090759"/>
    <w:rsid w:val="0009172D"/>
    <w:rsid w:val="00093636"/>
    <w:rsid w:val="000940D5"/>
    <w:rsid w:val="0009455C"/>
    <w:rsid w:val="000956E6"/>
    <w:rsid w:val="000957D1"/>
    <w:rsid w:val="00095F9C"/>
    <w:rsid w:val="000962BE"/>
    <w:rsid w:val="0009721B"/>
    <w:rsid w:val="00097461"/>
    <w:rsid w:val="000A090F"/>
    <w:rsid w:val="000A09E8"/>
    <w:rsid w:val="000A1C26"/>
    <w:rsid w:val="000A2109"/>
    <w:rsid w:val="000A35EA"/>
    <w:rsid w:val="000A3B0E"/>
    <w:rsid w:val="000A4087"/>
    <w:rsid w:val="000A5540"/>
    <w:rsid w:val="000A58E8"/>
    <w:rsid w:val="000A5FB2"/>
    <w:rsid w:val="000A5FCD"/>
    <w:rsid w:val="000A6CC8"/>
    <w:rsid w:val="000A78D4"/>
    <w:rsid w:val="000A7EC2"/>
    <w:rsid w:val="000B08A8"/>
    <w:rsid w:val="000B0F36"/>
    <w:rsid w:val="000B1340"/>
    <w:rsid w:val="000B180F"/>
    <w:rsid w:val="000B1E22"/>
    <w:rsid w:val="000B1F27"/>
    <w:rsid w:val="000B2B2D"/>
    <w:rsid w:val="000B30CB"/>
    <w:rsid w:val="000B46A9"/>
    <w:rsid w:val="000B4D28"/>
    <w:rsid w:val="000B709A"/>
    <w:rsid w:val="000B7687"/>
    <w:rsid w:val="000B76A2"/>
    <w:rsid w:val="000B7D28"/>
    <w:rsid w:val="000C309B"/>
    <w:rsid w:val="000C36F4"/>
    <w:rsid w:val="000C41EF"/>
    <w:rsid w:val="000C4C1C"/>
    <w:rsid w:val="000C5A25"/>
    <w:rsid w:val="000D28A9"/>
    <w:rsid w:val="000D3498"/>
    <w:rsid w:val="000D3635"/>
    <w:rsid w:val="000D46F1"/>
    <w:rsid w:val="000D5356"/>
    <w:rsid w:val="000D5367"/>
    <w:rsid w:val="000D6C57"/>
    <w:rsid w:val="000D6F1B"/>
    <w:rsid w:val="000E0368"/>
    <w:rsid w:val="000E05AC"/>
    <w:rsid w:val="000E0831"/>
    <w:rsid w:val="000E0D4F"/>
    <w:rsid w:val="000E18FB"/>
    <w:rsid w:val="000E41AD"/>
    <w:rsid w:val="000E467F"/>
    <w:rsid w:val="000E4E0C"/>
    <w:rsid w:val="000E57FE"/>
    <w:rsid w:val="000E6323"/>
    <w:rsid w:val="000E6874"/>
    <w:rsid w:val="000E7338"/>
    <w:rsid w:val="000E7C87"/>
    <w:rsid w:val="000E7EE3"/>
    <w:rsid w:val="000F1DE0"/>
    <w:rsid w:val="000F2B98"/>
    <w:rsid w:val="000F44E1"/>
    <w:rsid w:val="000F4BDD"/>
    <w:rsid w:val="000F5261"/>
    <w:rsid w:val="000F75EE"/>
    <w:rsid w:val="00100C51"/>
    <w:rsid w:val="00100DEB"/>
    <w:rsid w:val="001013DD"/>
    <w:rsid w:val="00102C47"/>
    <w:rsid w:val="0010719B"/>
    <w:rsid w:val="001102CC"/>
    <w:rsid w:val="001113D4"/>
    <w:rsid w:val="00112617"/>
    <w:rsid w:val="00112DA6"/>
    <w:rsid w:val="00115787"/>
    <w:rsid w:val="00115954"/>
    <w:rsid w:val="00115B78"/>
    <w:rsid w:val="0011606E"/>
    <w:rsid w:val="0011651A"/>
    <w:rsid w:val="00116D17"/>
    <w:rsid w:val="00117C0C"/>
    <w:rsid w:val="00120820"/>
    <w:rsid w:val="001213B7"/>
    <w:rsid w:val="00121DC9"/>
    <w:rsid w:val="0012215C"/>
    <w:rsid w:val="00123196"/>
    <w:rsid w:val="0012347C"/>
    <w:rsid w:val="00123997"/>
    <w:rsid w:val="00124012"/>
    <w:rsid w:val="00124817"/>
    <w:rsid w:val="0012490E"/>
    <w:rsid w:val="001249CE"/>
    <w:rsid w:val="00126254"/>
    <w:rsid w:val="0012664D"/>
    <w:rsid w:val="00127A26"/>
    <w:rsid w:val="001302E8"/>
    <w:rsid w:val="0013158F"/>
    <w:rsid w:val="0013180E"/>
    <w:rsid w:val="00131C9C"/>
    <w:rsid w:val="00131DB5"/>
    <w:rsid w:val="00132039"/>
    <w:rsid w:val="001344CD"/>
    <w:rsid w:val="00134B79"/>
    <w:rsid w:val="001356FE"/>
    <w:rsid w:val="00135839"/>
    <w:rsid w:val="001415C2"/>
    <w:rsid w:val="00142AA6"/>
    <w:rsid w:val="001451D8"/>
    <w:rsid w:val="00145B82"/>
    <w:rsid w:val="00145D50"/>
    <w:rsid w:val="001469F6"/>
    <w:rsid w:val="0015066F"/>
    <w:rsid w:val="001525F9"/>
    <w:rsid w:val="0015291E"/>
    <w:rsid w:val="00152E26"/>
    <w:rsid w:val="001541CA"/>
    <w:rsid w:val="00154B73"/>
    <w:rsid w:val="00154DD5"/>
    <w:rsid w:val="00155FC9"/>
    <w:rsid w:val="00160BBD"/>
    <w:rsid w:val="00163211"/>
    <w:rsid w:val="0016417C"/>
    <w:rsid w:val="001652B2"/>
    <w:rsid w:val="0016536F"/>
    <w:rsid w:val="00170283"/>
    <w:rsid w:val="001715E3"/>
    <w:rsid w:val="001728AB"/>
    <w:rsid w:val="00172E3C"/>
    <w:rsid w:val="00172E5C"/>
    <w:rsid w:val="00173F50"/>
    <w:rsid w:val="00174108"/>
    <w:rsid w:val="00175425"/>
    <w:rsid w:val="001760E0"/>
    <w:rsid w:val="00181822"/>
    <w:rsid w:val="00181E31"/>
    <w:rsid w:val="0018202C"/>
    <w:rsid w:val="00182F15"/>
    <w:rsid w:val="0018427F"/>
    <w:rsid w:val="00186597"/>
    <w:rsid w:val="0018681B"/>
    <w:rsid w:val="00187590"/>
    <w:rsid w:val="00190FE2"/>
    <w:rsid w:val="0019139A"/>
    <w:rsid w:val="001922F6"/>
    <w:rsid w:val="00192602"/>
    <w:rsid w:val="00192AD4"/>
    <w:rsid w:val="0019390B"/>
    <w:rsid w:val="001952A0"/>
    <w:rsid w:val="0019562B"/>
    <w:rsid w:val="0019775C"/>
    <w:rsid w:val="001A015E"/>
    <w:rsid w:val="001A022C"/>
    <w:rsid w:val="001A0239"/>
    <w:rsid w:val="001A1705"/>
    <w:rsid w:val="001A5039"/>
    <w:rsid w:val="001A5C25"/>
    <w:rsid w:val="001A5E42"/>
    <w:rsid w:val="001A5EB4"/>
    <w:rsid w:val="001A61CB"/>
    <w:rsid w:val="001A7F3B"/>
    <w:rsid w:val="001B10A9"/>
    <w:rsid w:val="001B23BD"/>
    <w:rsid w:val="001B264E"/>
    <w:rsid w:val="001B3FB3"/>
    <w:rsid w:val="001B50BE"/>
    <w:rsid w:val="001B6344"/>
    <w:rsid w:val="001B635D"/>
    <w:rsid w:val="001B6DCD"/>
    <w:rsid w:val="001B7370"/>
    <w:rsid w:val="001B795E"/>
    <w:rsid w:val="001B7987"/>
    <w:rsid w:val="001C0918"/>
    <w:rsid w:val="001C14CF"/>
    <w:rsid w:val="001C4BDB"/>
    <w:rsid w:val="001C55D2"/>
    <w:rsid w:val="001C7553"/>
    <w:rsid w:val="001C7CA4"/>
    <w:rsid w:val="001D1772"/>
    <w:rsid w:val="001D1BB5"/>
    <w:rsid w:val="001D311F"/>
    <w:rsid w:val="001D3182"/>
    <w:rsid w:val="001D31AE"/>
    <w:rsid w:val="001D5307"/>
    <w:rsid w:val="001D781E"/>
    <w:rsid w:val="001E062F"/>
    <w:rsid w:val="001E08B5"/>
    <w:rsid w:val="001E1653"/>
    <w:rsid w:val="001E16F9"/>
    <w:rsid w:val="001E22B0"/>
    <w:rsid w:val="001E2B09"/>
    <w:rsid w:val="001E32D1"/>
    <w:rsid w:val="001E40A8"/>
    <w:rsid w:val="001E41A4"/>
    <w:rsid w:val="001E41B2"/>
    <w:rsid w:val="001E51F7"/>
    <w:rsid w:val="001E5937"/>
    <w:rsid w:val="001E7858"/>
    <w:rsid w:val="001F0171"/>
    <w:rsid w:val="001F0BAD"/>
    <w:rsid w:val="001F1199"/>
    <w:rsid w:val="001F2437"/>
    <w:rsid w:val="001F3052"/>
    <w:rsid w:val="001F444C"/>
    <w:rsid w:val="001F4A0E"/>
    <w:rsid w:val="001F65EA"/>
    <w:rsid w:val="001F7F00"/>
    <w:rsid w:val="001F7FCB"/>
    <w:rsid w:val="00200776"/>
    <w:rsid w:val="00200F11"/>
    <w:rsid w:val="00200F85"/>
    <w:rsid w:val="00207A82"/>
    <w:rsid w:val="00207CA1"/>
    <w:rsid w:val="00210350"/>
    <w:rsid w:val="00210489"/>
    <w:rsid w:val="00211B49"/>
    <w:rsid w:val="002124A6"/>
    <w:rsid w:val="00212FD0"/>
    <w:rsid w:val="002132F7"/>
    <w:rsid w:val="002134DC"/>
    <w:rsid w:val="00215082"/>
    <w:rsid w:val="0021587F"/>
    <w:rsid w:val="00216605"/>
    <w:rsid w:val="00216BF8"/>
    <w:rsid w:val="00217644"/>
    <w:rsid w:val="00217D15"/>
    <w:rsid w:val="00217E49"/>
    <w:rsid w:val="00220449"/>
    <w:rsid w:val="002208BC"/>
    <w:rsid w:val="002214F6"/>
    <w:rsid w:val="0022266B"/>
    <w:rsid w:val="00222D2D"/>
    <w:rsid w:val="00222DDD"/>
    <w:rsid w:val="00223E11"/>
    <w:rsid w:val="00224CE4"/>
    <w:rsid w:val="00225CD1"/>
    <w:rsid w:val="0022679A"/>
    <w:rsid w:val="00226C8F"/>
    <w:rsid w:val="00227088"/>
    <w:rsid w:val="00227DAB"/>
    <w:rsid w:val="00230554"/>
    <w:rsid w:val="0023081A"/>
    <w:rsid w:val="002328A0"/>
    <w:rsid w:val="00234AEE"/>
    <w:rsid w:val="00235EA0"/>
    <w:rsid w:val="00241553"/>
    <w:rsid w:val="0024158F"/>
    <w:rsid w:val="00241BC9"/>
    <w:rsid w:val="002422D3"/>
    <w:rsid w:val="002426EE"/>
    <w:rsid w:val="002428E0"/>
    <w:rsid w:val="00242DC6"/>
    <w:rsid w:val="0024455C"/>
    <w:rsid w:val="00244A99"/>
    <w:rsid w:val="00244D5F"/>
    <w:rsid w:val="00246DE9"/>
    <w:rsid w:val="00247847"/>
    <w:rsid w:val="002509BB"/>
    <w:rsid w:val="00251958"/>
    <w:rsid w:val="00251C22"/>
    <w:rsid w:val="0025209C"/>
    <w:rsid w:val="0025641F"/>
    <w:rsid w:val="00256600"/>
    <w:rsid w:val="00256817"/>
    <w:rsid w:val="00256ED0"/>
    <w:rsid w:val="002571B9"/>
    <w:rsid w:val="002577D0"/>
    <w:rsid w:val="00257B57"/>
    <w:rsid w:val="002611EC"/>
    <w:rsid w:val="00264337"/>
    <w:rsid w:val="002649F4"/>
    <w:rsid w:val="00264E71"/>
    <w:rsid w:val="00266D41"/>
    <w:rsid w:val="0026771A"/>
    <w:rsid w:val="00267A20"/>
    <w:rsid w:val="00271150"/>
    <w:rsid w:val="0027158F"/>
    <w:rsid w:val="00272BCE"/>
    <w:rsid w:val="00273293"/>
    <w:rsid w:val="00273467"/>
    <w:rsid w:val="00274409"/>
    <w:rsid w:val="002761A2"/>
    <w:rsid w:val="00276FF3"/>
    <w:rsid w:val="00277292"/>
    <w:rsid w:val="002808F3"/>
    <w:rsid w:val="002828B7"/>
    <w:rsid w:val="00282A1F"/>
    <w:rsid w:val="00284A72"/>
    <w:rsid w:val="00291049"/>
    <w:rsid w:val="00291211"/>
    <w:rsid w:val="00291274"/>
    <w:rsid w:val="0029190E"/>
    <w:rsid w:val="002939E2"/>
    <w:rsid w:val="002940D5"/>
    <w:rsid w:val="00295AD4"/>
    <w:rsid w:val="00295C49"/>
    <w:rsid w:val="002975E7"/>
    <w:rsid w:val="002A1172"/>
    <w:rsid w:val="002A2325"/>
    <w:rsid w:val="002A2CDC"/>
    <w:rsid w:val="002A4743"/>
    <w:rsid w:val="002A5941"/>
    <w:rsid w:val="002A676D"/>
    <w:rsid w:val="002A7346"/>
    <w:rsid w:val="002A77BE"/>
    <w:rsid w:val="002A7F09"/>
    <w:rsid w:val="002B0368"/>
    <w:rsid w:val="002B068B"/>
    <w:rsid w:val="002B11BD"/>
    <w:rsid w:val="002B13E8"/>
    <w:rsid w:val="002B1AC1"/>
    <w:rsid w:val="002B3DF5"/>
    <w:rsid w:val="002B70E9"/>
    <w:rsid w:val="002B7957"/>
    <w:rsid w:val="002B7CB6"/>
    <w:rsid w:val="002C0019"/>
    <w:rsid w:val="002C1AE4"/>
    <w:rsid w:val="002C3C7D"/>
    <w:rsid w:val="002C3DE8"/>
    <w:rsid w:val="002C3E64"/>
    <w:rsid w:val="002C4AE2"/>
    <w:rsid w:val="002C544D"/>
    <w:rsid w:val="002C741C"/>
    <w:rsid w:val="002C7883"/>
    <w:rsid w:val="002D09AC"/>
    <w:rsid w:val="002D0CC1"/>
    <w:rsid w:val="002D1037"/>
    <w:rsid w:val="002D1C7E"/>
    <w:rsid w:val="002D28E4"/>
    <w:rsid w:val="002D3FC3"/>
    <w:rsid w:val="002D4521"/>
    <w:rsid w:val="002D4F15"/>
    <w:rsid w:val="002D626B"/>
    <w:rsid w:val="002D7D72"/>
    <w:rsid w:val="002E0488"/>
    <w:rsid w:val="002E0C10"/>
    <w:rsid w:val="002E119C"/>
    <w:rsid w:val="002E367D"/>
    <w:rsid w:val="002E3BA7"/>
    <w:rsid w:val="002E3C81"/>
    <w:rsid w:val="002E50F0"/>
    <w:rsid w:val="002E58EB"/>
    <w:rsid w:val="002E615B"/>
    <w:rsid w:val="002E622E"/>
    <w:rsid w:val="002E7A59"/>
    <w:rsid w:val="002E7BA4"/>
    <w:rsid w:val="002F0C80"/>
    <w:rsid w:val="002F1DB6"/>
    <w:rsid w:val="002F297B"/>
    <w:rsid w:val="002F3217"/>
    <w:rsid w:val="002F4683"/>
    <w:rsid w:val="002F47FA"/>
    <w:rsid w:val="002F58B5"/>
    <w:rsid w:val="002F74E3"/>
    <w:rsid w:val="002F7951"/>
    <w:rsid w:val="002F7C73"/>
    <w:rsid w:val="0030219D"/>
    <w:rsid w:val="00302502"/>
    <w:rsid w:val="003035C7"/>
    <w:rsid w:val="003045FC"/>
    <w:rsid w:val="00305083"/>
    <w:rsid w:val="00305114"/>
    <w:rsid w:val="003055F0"/>
    <w:rsid w:val="0030583B"/>
    <w:rsid w:val="00305BD9"/>
    <w:rsid w:val="0030721D"/>
    <w:rsid w:val="00310BDA"/>
    <w:rsid w:val="00311E29"/>
    <w:rsid w:val="00312842"/>
    <w:rsid w:val="00313DF7"/>
    <w:rsid w:val="00315771"/>
    <w:rsid w:val="00315FBB"/>
    <w:rsid w:val="003162C6"/>
    <w:rsid w:val="00317092"/>
    <w:rsid w:val="003172F9"/>
    <w:rsid w:val="00317A69"/>
    <w:rsid w:val="00321814"/>
    <w:rsid w:val="00321CFC"/>
    <w:rsid w:val="0032453D"/>
    <w:rsid w:val="00324851"/>
    <w:rsid w:val="0032536E"/>
    <w:rsid w:val="00325743"/>
    <w:rsid w:val="00325905"/>
    <w:rsid w:val="00325A6C"/>
    <w:rsid w:val="0032730C"/>
    <w:rsid w:val="00327660"/>
    <w:rsid w:val="003308F6"/>
    <w:rsid w:val="003318DB"/>
    <w:rsid w:val="00332370"/>
    <w:rsid w:val="0033245B"/>
    <w:rsid w:val="00332BCF"/>
    <w:rsid w:val="00332E34"/>
    <w:rsid w:val="00333CB2"/>
    <w:rsid w:val="00334957"/>
    <w:rsid w:val="00336055"/>
    <w:rsid w:val="00336317"/>
    <w:rsid w:val="003370A6"/>
    <w:rsid w:val="0034175F"/>
    <w:rsid w:val="003417B3"/>
    <w:rsid w:val="00342616"/>
    <w:rsid w:val="003430FA"/>
    <w:rsid w:val="00343D99"/>
    <w:rsid w:val="00344D33"/>
    <w:rsid w:val="0034634D"/>
    <w:rsid w:val="00347AC3"/>
    <w:rsid w:val="00350CA8"/>
    <w:rsid w:val="00350D4A"/>
    <w:rsid w:val="00351243"/>
    <w:rsid w:val="0035137B"/>
    <w:rsid w:val="00351C52"/>
    <w:rsid w:val="00354D23"/>
    <w:rsid w:val="00356544"/>
    <w:rsid w:val="00356F5A"/>
    <w:rsid w:val="003570C2"/>
    <w:rsid w:val="003631B4"/>
    <w:rsid w:val="00363A86"/>
    <w:rsid w:val="00364B49"/>
    <w:rsid w:val="00365973"/>
    <w:rsid w:val="00365986"/>
    <w:rsid w:val="00365ABF"/>
    <w:rsid w:val="003664C5"/>
    <w:rsid w:val="00370BFD"/>
    <w:rsid w:val="003731EF"/>
    <w:rsid w:val="0037341C"/>
    <w:rsid w:val="0037349F"/>
    <w:rsid w:val="00373E92"/>
    <w:rsid w:val="003743AB"/>
    <w:rsid w:val="00375219"/>
    <w:rsid w:val="0037547E"/>
    <w:rsid w:val="00375DF0"/>
    <w:rsid w:val="0037693A"/>
    <w:rsid w:val="0037774B"/>
    <w:rsid w:val="003808D7"/>
    <w:rsid w:val="00380A97"/>
    <w:rsid w:val="00382B50"/>
    <w:rsid w:val="00383BAD"/>
    <w:rsid w:val="0038441B"/>
    <w:rsid w:val="00386FAF"/>
    <w:rsid w:val="0038730B"/>
    <w:rsid w:val="00387411"/>
    <w:rsid w:val="003905ED"/>
    <w:rsid w:val="00390BC8"/>
    <w:rsid w:val="00392568"/>
    <w:rsid w:val="00394971"/>
    <w:rsid w:val="0039787D"/>
    <w:rsid w:val="00397ECE"/>
    <w:rsid w:val="003A00A5"/>
    <w:rsid w:val="003A0D41"/>
    <w:rsid w:val="003A143A"/>
    <w:rsid w:val="003A3E59"/>
    <w:rsid w:val="003A5906"/>
    <w:rsid w:val="003A6023"/>
    <w:rsid w:val="003A73A4"/>
    <w:rsid w:val="003A7523"/>
    <w:rsid w:val="003B0090"/>
    <w:rsid w:val="003B0C13"/>
    <w:rsid w:val="003B0FE3"/>
    <w:rsid w:val="003B30E8"/>
    <w:rsid w:val="003B47E7"/>
    <w:rsid w:val="003B4F92"/>
    <w:rsid w:val="003B7252"/>
    <w:rsid w:val="003B7489"/>
    <w:rsid w:val="003B7FE1"/>
    <w:rsid w:val="003C0528"/>
    <w:rsid w:val="003C1CEF"/>
    <w:rsid w:val="003C1E35"/>
    <w:rsid w:val="003C26F4"/>
    <w:rsid w:val="003C2D74"/>
    <w:rsid w:val="003C329C"/>
    <w:rsid w:val="003C33EA"/>
    <w:rsid w:val="003C3487"/>
    <w:rsid w:val="003C5A17"/>
    <w:rsid w:val="003C662F"/>
    <w:rsid w:val="003C7C29"/>
    <w:rsid w:val="003D10B7"/>
    <w:rsid w:val="003D10DE"/>
    <w:rsid w:val="003D1105"/>
    <w:rsid w:val="003D1276"/>
    <w:rsid w:val="003D1F5E"/>
    <w:rsid w:val="003D203D"/>
    <w:rsid w:val="003D2622"/>
    <w:rsid w:val="003D2EA1"/>
    <w:rsid w:val="003D2EAC"/>
    <w:rsid w:val="003D4450"/>
    <w:rsid w:val="003D5AB0"/>
    <w:rsid w:val="003D6836"/>
    <w:rsid w:val="003D7744"/>
    <w:rsid w:val="003D79FC"/>
    <w:rsid w:val="003D7A77"/>
    <w:rsid w:val="003E0A06"/>
    <w:rsid w:val="003E3533"/>
    <w:rsid w:val="003E3DF7"/>
    <w:rsid w:val="003E4865"/>
    <w:rsid w:val="003E64F8"/>
    <w:rsid w:val="003E6FD8"/>
    <w:rsid w:val="003F0307"/>
    <w:rsid w:val="003F0473"/>
    <w:rsid w:val="003F2B2E"/>
    <w:rsid w:val="003F2BBE"/>
    <w:rsid w:val="003F3CEA"/>
    <w:rsid w:val="003F4D34"/>
    <w:rsid w:val="003F53A9"/>
    <w:rsid w:val="003F53DC"/>
    <w:rsid w:val="003F54BE"/>
    <w:rsid w:val="003F5618"/>
    <w:rsid w:val="003F595B"/>
    <w:rsid w:val="003F60E4"/>
    <w:rsid w:val="003F66C6"/>
    <w:rsid w:val="003F7F41"/>
    <w:rsid w:val="00400FA4"/>
    <w:rsid w:val="00404528"/>
    <w:rsid w:val="00404F63"/>
    <w:rsid w:val="00406EF2"/>
    <w:rsid w:val="004079E2"/>
    <w:rsid w:val="00407FD9"/>
    <w:rsid w:val="00410C2C"/>
    <w:rsid w:val="00411370"/>
    <w:rsid w:val="00412984"/>
    <w:rsid w:val="00413AD3"/>
    <w:rsid w:val="004146E7"/>
    <w:rsid w:val="0041572D"/>
    <w:rsid w:val="00420C4B"/>
    <w:rsid w:val="0042480E"/>
    <w:rsid w:val="00424923"/>
    <w:rsid w:val="004250BA"/>
    <w:rsid w:val="004259C6"/>
    <w:rsid w:val="004301AA"/>
    <w:rsid w:val="0043196E"/>
    <w:rsid w:val="0043317A"/>
    <w:rsid w:val="00433AEA"/>
    <w:rsid w:val="00433C80"/>
    <w:rsid w:val="00434B4F"/>
    <w:rsid w:val="00435016"/>
    <w:rsid w:val="00436CA9"/>
    <w:rsid w:val="00440136"/>
    <w:rsid w:val="004407B4"/>
    <w:rsid w:val="00442F66"/>
    <w:rsid w:val="00443932"/>
    <w:rsid w:val="00443C4D"/>
    <w:rsid w:val="00443D1F"/>
    <w:rsid w:val="0044416B"/>
    <w:rsid w:val="004444B4"/>
    <w:rsid w:val="00445420"/>
    <w:rsid w:val="00445C4B"/>
    <w:rsid w:val="00451E1C"/>
    <w:rsid w:val="0045290A"/>
    <w:rsid w:val="00453858"/>
    <w:rsid w:val="004552ED"/>
    <w:rsid w:val="00456EB1"/>
    <w:rsid w:val="0045741E"/>
    <w:rsid w:val="004576D0"/>
    <w:rsid w:val="0045787F"/>
    <w:rsid w:val="004612DE"/>
    <w:rsid w:val="004633DE"/>
    <w:rsid w:val="00464A9C"/>
    <w:rsid w:val="0046639E"/>
    <w:rsid w:val="004663D7"/>
    <w:rsid w:val="00467684"/>
    <w:rsid w:val="00471C8E"/>
    <w:rsid w:val="00471EE8"/>
    <w:rsid w:val="004745A5"/>
    <w:rsid w:val="00474B6C"/>
    <w:rsid w:val="00474FC1"/>
    <w:rsid w:val="00475767"/>
    <w:rsid w:val="00475AE0"/>
    <w:rsid w:val="00476004"/>
    <w:rsid w:val="00476B31"/>
    <w:rsid w:val="0047798A"/>
    <w:rsid w:val="00477D86"/>
    <w:rsid w:val="00477FED"/>
    <w:rsid w:val="004802CD"/>
    <w:rsid w:val="00486157"/>
    <w:rsid w:val="00486825"/>
    <w:rsid w:val="00486AF5"/>
    <w:rsid w:val="004879A9"/>
    <w:rsid w:val="0049190E"/>
    <w:rsid w:val="004922C7"/>
    <w:rsid w:val="00494B5B"/>
    <w:rsid w:val="00495977"/>
    <w:rsid w:val="00495DBD"/>
    <w:rsid w:val="00496A41"/>
    <w:rsid w:val="004976EF"/>
    <w:rsid w:val="00497FD0"/>
    <w:rsid w:val="004A193F"/>
    <w:rsid w:val="004A32B7"/>
    <w:rsid w:val="004A34FB"/>
    <w:rsid w:val="004A36F2"/>
    <w:rsid w:val="004A48A3"/>
    <w:rsid w:val="004A7004"/>
    <w:rsid w:val="004A78BA"/>
    <w:rsid w:val="004B062D"/>
    <w:rsid w:val="004B10BA"/>
    <w:rsid w:val="004B2386"/>
    <w:rsid w:val="004B261D"/>
    <w:rsid w:val="004B2E30"/>
    <w:rsid w:val="004B438F"/>
    <w:rsid w:val="004B46FB"/>
    <w:rsid w:val="004B4D06"/>
    <w:rsid w:val="004B5AA2"/>
    <w:rsid w:val="004B6C9F"/>
    <w:rsid w:val="004B6E4E"/>
    <w:rsid w:val="004B7505"/>
    <w:rsid w:val="004C0606"/>
    <w:rsid w:val="004C297D"/>
    <w:rsid w:val="004C2E57"/>
    <w:rsid w:val="004C3844"/>
    <w:rsid w:val="004C4C66"/>
    <w:rsid w:val="004C67FC"/>
    <w:rsid w:val="004D0CB6"/>
    <w:rsid w:val="004D0D3A"/>
    <w:rsid w:val="004D1F18"/>
    <w:rsid w:val="004D1F57"/>
    <w:rsid w:val="004D36B7"/>
    <w:rsid w:val="004D3ADB"/>
    <w:rsid w:val="004D47AB"/>
    <w:rsid w:val="004D51FE"/>
    <w:rsid w:val="004D5210"/>
    <w:rsid w:val="004D55A0"/>
    <w:rsid w:val="004D6741"/>
    <w:rsid w:val="004D724A"/>
    <w:rsid w:val="004D753B"/>
    <w:rsid w:val="004D7F8F"/>
    <w:rsid w:val="004E00EF"/>
    <w:rsid w:val="004E0627"/>
    <w:rsid w:val="004E0B30"/>
    <w:rsid w:val="004E1A30"/>
    <w:rsid w:val="004E2461"/>
    <w:rsid w:val="004E2C09"/>
    <w:rsid w:val="004E2CAD"/>
    <w:rsid w:val="004E427C"/>
    <w:rsid w:val="004E62FB"/>
    <w:rsid w:val="004F1CCD"/>
    <w:rsid w:val="004F2AD3"/>
    <w:rsid w:val="004F2CBF"/>
    <w:rsid w:val="004F2CC0"/>
    <w:rsid w:val="004F34AB"/>
    <w:rsid w:val="004F3BAE"/>
    <w:rsid w:val="004F3DD4"/>
    <w:rsid w:val="004F497F"/>
    <w:rsid w:val="004F5323"/>
    <w:rsid w:val="004F5A54"/>
    <w:rsid w:val="004F64A8"/>
    <w:rsid w:val="005024D2"/>
    <w:rsid w:val="00503304"/>
    <w:rsid w:val="00503A13"/>
    <w:rsid w:val="0050499D"/>
    <w:rsid w:val="005049AF"/>
    <w:rsid w:val="0050668C"/>
    <w:rsid w:val="00506F34"/>
    <w:rsid w:val="00510DB4"/>
    <w:rsid w:val="005115CB"/>
    <w:rsid w:val="00512830"/>
    <w:rsid w:val="00514815"/>
    <w:rsid w:val="00514A9C"/>
    <w:rsid w:val="00514D98"/>
    <w:rsid w:val="0051589E"/>
    <w:rsid w:val="00516412"/>
    <w:rsid w:val="00516829"/>
    <w:rsid w:val="00516F55"/>
    <w:rsid w:val="00517764"/>
    <w:rsid w:val="00520303"/>
    <w:rsid w:val="00521770"/>
    <w:rsid w:val="005218A3"/>
    <w:rsid w:val="005218DA"/>
    <w:rsid w:val="00521C7F"/>
    <w:rsid w:val="00521DE3"/>
    <w:rsid w:val="005225E8"/>
    <w:rsid w:val="00524072"/>
    <w:rsid w:val="005246A6"/>
    <w:rsid w:val="00524E69"/>
    <w:rsid w:val="0052644A"/>
    <w:rsid w:val="0052790F"/>
    <w:rsid w:val="00530437"/>
    <w:rsid w:val="00531C7E"/>
    <w:rsid w:val="00531E59"/>
    <w:rsid w:val="00532B10"/>
    <w:rsid w:val="00534120"/>
    <w:rsid w:val="00534468"/>
    <w:rsid w:val="00534E08"/>
    <w:rsid w:val="00534EB1"/>
    <w:rsid w:val="00534FCC"/>
    <w:rsid w:val="0053523A"/>
    <w:rsid w:val="005355A5"/>
    <w:rsid w:val="00535B3A"/>
    <w:rsid w:val="00535F5F"/>
    <w:rsid w:val="00536594"/>
    <w:rsid w:val="005372D7"/>
    <w:rsid w:val="00537370"/>
    <w:rsid w:val="0053754A"/>
    <w:rsid w:val="0053787D"/>
    <w:rsid w:val="005401BF"/>
    <w:rsid w:val="0054183B"/>
    <w:rsid w:val="00542295"/>
    <w:rsid w:val="00543E4C"/>
    <w:rsid w:val="00543EBA"/>
    <w:rsid w:val="00544EEF"/>
    <w:rsid w:val="00545CF4"/>
    <w:rsid w:val="005509B1"/>
    <w:rsid w:val="0055202F"/>
    <w:rsid w:val="00552990"/>
    <w:rsid w:val="00554ACD"/>
    <w:rsid w:val="00555160"/>
    <w:rsid w:val="00555C0C"/>
    <w:rsid w:val="00556878"/>
    <w:rsid w:val="00557217"/>
    <w:rsid w:val="00557337"/>
    <w:rsid w:val="00557539"/>
    <w:rsid w:val="005606CE"/>
    <w:rsid w:val="00561476"/>
    <w:rsid w:val="00561869"/>
    <w:rsid w:val="00561BED"/>
    <w:rsid w:val="00564BE7"/>
    <w:rsid w:val="0056527D"/>
    <w:rsid w:val="0056569C"/>
    <w:rsid w:val="00565B98"/>
    <w:rsid w:val="00565DA9"/>
    <w:rsid w:val="00565DBC"/>
    <w:rsid w:val="00565F2F"/>
    <w:rsid w:val="0056632C"/>
    <w:rsid w:val="005664D3"/>
    <w:rsid w:val="0056772D"/>
    <w:rsid w:val="005719AB"/>
    <w:rsid w:val="00572768"/>
    <w:rsid w:val="00573CA7"/>
    <w:rsid w:val="00575E0B"/>
    <w:rsid w:val="00576F90"/>
    <w:rsid w:val="0057763F"/>
    <w:rsid w:val="00577CE1"/>
    <w:rsid w:val="005808CD"/>
    <w:rsid w:val="0058288C"/>
    <w:rsid w:val="00582C1D"/>
    <w:rsid w:val="00583AC2"/>
    <w:rsid w:val="005845F2"/>
    <w:rsid w:val="005850D6"/>
    <w:rsid w:val="005858DA"/>
    <w:rsid w:val="005865A2"/>
    <w:rsid w:val="00586DE1"/>
    <w:rsid w:val="00591AED"/>
    <w:rsid w:val="00592181"/>
    <w:rsid w:val="00592BFC"/>
    <w:rsid w:val="0059317F"/>
    <w:rsid w:val="0059516F"/>
    <w:rsid w:val="00595B16"/>
    <w:rsid w:val="00596C47"/>
    <w:rsid w:val="005A02BE"/>
    <w:rsid w:val="005A104B"/>
    <w:rsid w:val="005A1B38"/>
    <w:rsid w:val="005A22BA"/>
    <w:rsid w:val="005A309D"/>
    <w:rsid w:val="005A31F5"/>
    <w:rsid w:val="005A3F95"/>
    <w:rsid w:val="005A4D87"/>
    <w:rsid w:val="005A5805"/>
    <w:rsid w:val="005A7443"/>
    <w:rsid w:val="005A79BC"/>
    <w:rsid w:val="005A7C0F"/>
    <w:rsid w:val="005B1992"/>
    <w:rsid w:val="005B2165"/>
    <w:rsid w:val="005B5CB6"/>
    <w:rsid w:val="005B76A3"/>
    <w:rsid w:val="005B7AFB"/>
    <w:rsid w:val="005C402A"/>
    <w:rsid w:val="005C4605"/>
    <w:rsid w:val="005D0107"/>
    <w:rsid w:val="005D07ED"/>
    <w:rsid w:val="005D0A09"/>
    <w:rsid w:val="005D0B79"/>
    <w:rsid w:val="005D164C"/>
    <w:rsid w:val="005D2271"/>
    <w:rsid w:val="005D2A9B"/>
    <w:rsid w:val="005D2B0C"/>
    <w:rsid w:val="005D44A0"/>
    <w:rsid w:val="005D49FA"/>
    <w:rsid w:val="005D5E3C"/>
    <w:rsid w:val="005D601E"/>
    <w:rsid w:val="005D748C"/>
    <w:rsid w:val="005E0665"/>
    <w:rsid w:val="005E07EC"/>
    <w:rsid w:val="005E2406"/>
    <w:rsid w:val="005E34EF"/>
    <w:rsid w:val="005E51CE"/>
    <w:rsid w:val="005E56EA"/>
    <w:rsid w:val="005E5C6E"/>
    <w:rsid w:val="005F13B8"/>
    <w:rsid w:val="005F1F5F"/>
    <w:rsid w:val="005F2367"/>
    <w:rsid w:val="005F49CA"/>
    <w:rsid w:val="005F5EF8"/>
    <w:rsid w:val="005F6093"/>
    <w:rsid w:val="005F6DA8"/>
    <w:rsid w:val="005F79D6"/>
    <w:rsid w:val="006004E8"/>
    <w:rsid w:val="006029AA"/>
    <w:rsid w:val="00603670"/>
    <w:rsid w:val="00603D60"/>
    <w:rsid w:val="00604306"/>
    <w:rsid w:val="00604406"/>
    <w:rsid w:val="0060617A"/>
    <w:rsid w:val="00606731"/>
    <w:rsid w:val="006071F4"/>
    <w:rsid w:val="00610330"/>
    <w:rsid w:val="006108E6"/>
    <w:rsid w:val="00610D21"/>
    <w:rsid w:val="00614CF2"/>
    <w:rsid w:val="0061549D"/>
    <w:rsid w:val="00616319"/>
    <w:rsid w:val="00617349"/>
    <w:rsid w:val="00617A22"/>
    <w:rsid w:val="006216E8"/>
    <w:rsid w:val="00623A21"/>
    <w:rsid w:val="00624F97"/>
    <w:rsid w:val="0062578F"/>
    <w:rsid w:val="00625E03"/>
    <w:rsid w:val="0062679D"/>
    <w:rsid w:val="00626BA3"/>
    <w:rsid w:val="006311DA"/>
    <w:rsid w:val="00634906"/>
    <w:rsid w:val="0063577A"/>
    <w:rsid w:val="00637012"/>
    <w:rsid w:val="00637041"/>
    <w:rsid w:val="006371C0"/>
    <w:rsid w:val="00637D59"/>
    <w:rsid w:val="00640603"/>
    <w:rsid w:val="00641653"/>
    <w:rsid w:val="006417B1"/>
    <w:rsid w:val="00641A7E"/>
    <w:rsid w:val="00642F20"/>
    <w:rsid w:val="00644542"/>
    <w:rsid w:val="0064488B"/>
    <w:rsid w:val="00647BAE"/>
    <w:rsid w:val="00647F8A"/>
    <w:rsid w:val="006513C9"/>
    <w:rsid w:val="006517FD"/>
    <w:rsid w:val="006529C3"/>
    <w:rsid w:val="0065399B"/>
    <w:rsid w:val="006547E1"/>
    <w:rsid w:val="00654EA9"/>
    <w:rsid w:val="006553A2"/>
    <w:rsid w:val="00656D2B"/>
    <w:rsid w:val="006575FE"/>
    <w:rsid w:val="00657843"/>
    <w:rsid w:val="00657F65"/>
    <w:rsid w:val="006603C8"/>
    <w:rsid w:val="006603F6"/>
    <w:rsid w:val="006608F3"/>
    <w:rsid w:val="00661A0A"/>
    <w:rsid w:val="0066203A"/>
    <w:rsid w:val="00662B9F"/>
    <w:rsid w:val="00663C23"/>
    <w:rsid w:val="00664010"/>
    <w:rsid w:val="00664FF3"/>
    <w:rsid w:val="00665FC7"/>
    <w:rsid w:val="00670948"/>
    <w:rsid w:val="006716E2"/>
    <w:rsid w:val="006723C1"/>
    <w:rsid w:val="00672988"/>
    <w:rsid w:val="0067362F"/>
    <w:rsid w:val="00673D02"/>
    <w:rsid w:val="00674BF8"/>
    <w:rsid w:val="00676835"/>
    <w:rsid w:val="00677F52"/>
    <w:rsid w:val="0068131F"/>
    <w:rsid w:val="0068183A"/>
    <w:rsid w:val="00682179"/>
    <w:rsid w:val="00684D2E"/>
    <w:rsid w:val="00685D6F"/>
    <w:rsid w:val="006869FB"/>
    <w:rsid w:val="006876F0"/>
    <w:rsid w:val="00690062"/>
    <w:rsid w:val="006901F4"/>
    <w:rsid w:val="006914E5"/>
    <w:rsid w:val="00691778"/>
    <w:rsid w:val="00693165"/>
    <w:rsid w:val="006945D0"/>
    <w:rsid w:val="006947B9"/>
    <w:rsid w:val="00694915"/>
    <w:rsid w:val="00695A01"/>
    <w:rsid w:val="006968C4"/>
    <w:rsid w:val="00696C97"/>
    <w:rsid w:val="0069722A"/>
    <w:rsid w:val="006A064B"/>
    <w:rsid w:val="006A0973"/>
    <w:rsid w:val="006A1270"/>
    <w:rsid w:val="006A1EE0"/>
    <w:rsid w:val="006A2853"/>
    <w:rsid w:val="006A2DFB"/>
    <w:rsid w:val="006A3883"/>
    <w:rsid w:val="006A3CBC"/>
    <w:rsid w:val="006A48F5"/>
    <w:rsid w:val="006A50A0"/>
    <w:rsid w:val="006A6415"/>
    <w:rsid w:val="006A7534"/>
    <w:rsid w:val="006B2A36"/>
    <w:rsid w:val="006B3268"/>
    <w:rsid w:val="006B45AD"/>
    <w:rsid w:val="006B4F02"/>
    <w:rsid w:val="006B56E8"/>
    <w:rsid w:val="006B68A1"/>
    <w:rsid w:val="006B7878"/>
    <w:rsid w:val="006B7B36"/>
    <w:rsid w:val="006B7DFC"/>
    <w:rsid w:val="006B7FA6"/>
    <w:rsid w:val="006C04B3"/>
    <w:rsid w:val="006C0632"/>
    <w:rsid w:val="006C0A34"/>
    <w:rsid w:val="006C295F"/>
    <w:rsid w:val="006C3A48"/>
    <w:rsid w:val="006C4B78"/>
    <w:rsid w:val="006C5664"/>
    <w:rsid w:val="006C5DAC"/>
    <w:rsid w:val="006C61BA"/>
    <w:rsid w:val="006C67C1"/>
    <w:rsid w:val="006C6F20"/>
    <w:rsid w:val="006C7CF2"/>
    <w:rsid w:val="006C7D1F"/>
    <w:rsid w:val="006D1827"/>
    <w:rsid w:val="006D1C68"/>
    <w:rsid w:val="006D2257"/>
    <w:rsid w:val="006D2DDA"/>
    <w:rsid w:val="006D3ADB"/>
    <w:rsid w:val="006D3C9E"/>
    <w:rsid w:val="006D5023"/>
    <w:rsid w:val="006D526F"/>
    <w:rsid w:val="006E11BB"/>
    <w:rsid w:val="006E17FC"/>
    <w:rsid w:val="006E25E4"/>
    <w:rsid w:val="006E27DE"/>
    <w:rsid w:val="006E2A11"/>
    <w:rsid w:val="006E61D8"/>
    <w:rsid w:val="006E6591"/>
    <w:rsid w:val="006E65BF"/>
    <w:rsid w:val="006E6711"/>
    <w:rsid w:val="006E7240"/>
    <w:rsid w:val="006F08D7"/>
    <w:rsid w:val="006F233A"/>
    <w:rsid w:val="006F354C"/>
    <w:rsid w:val="006F3B8C"/>
    <w:rsid w:val="006F4412"/>
    <w:rsid w:val="006F52C3"/>
    <w:rsid w:val="006F553E"/>
    <w:rsid w:val="006F5677"/>
    <w:rsid w:val="006F6A72"/>
    <w:rsid w:val="00700606"/>
    <w:rsid w:val="007009AE"/>
    <w:rsid w:val="007010D7"/>
    <w:rsid w:val="007047D3"/>
    <w:rsid w:val="007057CF"/>
    <w:rsid w:val="00706103"/>
    <w:rsid w:val="00706BE3"/>
    <w:rsid w:val="0071158E"/>
    <w:rsid w:val="00711945"/>
    <w:rsid w:val="00711BEA"/>
    <w:rsid w:val="00711D53"/>
    <w:rsid w:val="007124C4"/>
    <w:rsid w:val="00712943"/>
    <w:rsid w:val="0071327F"/>
    <w:rsid w:val="00713295"/>
    <w:rsid w:val="00714A5D"/>
    <w:rsid w:val="007151BB"/>
    <w:rsid w:val="00715ED6"/>
    <w:rsid w:val="00716253"/>
    <w:rsid w:val="007166C8"/>
    <w:rsid w:val="00717A87"/>
    <w:rsid w:val="0072161F"/>
    <w:rsid w:val="00722E54"/>
    <w:rsid w:val="007230E6"/>
    <w:rsid w:val="0072599A"/>
    <w:rsid w:val="00727D83"/>
    <w:rsid w:val="007300BF"/>
    <w:rsid w:val="0073018D"/>
    <w:rsid w:val="007306CF"/>
    <w:rsid w:val="00732CBF"/>
    <w:rsid w:val="0073414C"/>
    <w:rsid w:val="00734986"/>
    <w:rsid w:val="007352F0"/>
    <w:rsid w:val="00736E31"/>
    <w:rsid w:val="00737F6A"/>
    <w:rsid w:val="00740EC0"/>
    <w:rsid w:val="00741533"/>
    <w:rsid w:val="0074419A"/>
    <w:rsid w:val="00744E73"/>
    <w:rsid w:val="007466F7"/>
    <w:rsid w:val="00750F15"/>
    <w:rsid w:val="0075138A"/>
    <w:rsid w:val="00751ADA"/>
    <w:rsid w:val="00753395"/>
    <w:rsid w:val="00754F83"/>
    <w:rsid w:val="007577C9"/>
    <w:rsid w:val="00757A8A"/>
    <w:rsid w:val="00760A0C"/>
    <w:rsid w:val="007620FD"/>
    <w:rsid w:val="007621EA"/>
    <w:rsid w:val="00763EF7"/>
    <w:rsid w:val="00764840"/>
    <w:rsid w:val="007655EC"/>
    <w:rsid w:val="00765B67"/>
    <w:rsid w:val="0076673B"/>
    <w:rsid w:val="007678CF"/>
    <w:rsid w:val="00767C59"/>
    <w:rsid w:val="0077062C"/>
    <w:rsid w:val="007706BD"/>
    <w:rsid w:val="00770EBB"/>
    <w:rsid w:val="00771227"/>
    <w:rsid w:val="00771272"/>
    <w:rsid w:val="0077147C"/>
    <w:rsid w:val="0077159F"/>
    <w:rsid w:val="00773D4B"/>
    <w:rsid w:val="007748B1"/>
    <w:rsid w:val="00774FB5"/>
    <w:rsid w:val="00775497"/>
    <w:rsid w:val="00775814"/>
    <w:rsid w:val="00775BE3"/>
    <w:rsid w:val="007767E8"/>
    <w:rsid w:val="00776A76"/>
    <w:rsid w:val="0077750B"/>
    <w:rsid w:val="00777A0F"/>
    <w:rsid w:val="00777BD6"/>
    <w:rsid w:val="00780928"/>
    <w:rsid w:val="00783711"/>
    <w:rsid w:val="007862F5"/>
    <w:rsid w:val="00790B3C"/>
    <w:rsid w:val="007911B1"/>
    <w:rsid w:val="0079447D"/>
    <w:rsid w:val="0079476A"/>
    <w:rsid w:val="00796909"/>
    <w:rsid w:val="00797753"/>
    <w:rsid w:val="007A035F"/>
    <w:rsid w:val="007A2858"/>
    <w:rsid w:val="007A2944"/>
    <w:rsid w:val="007A3381"/>
    <w:rsid w:val="007A340C"/>
    <w:rsid w:val="007A4702"/>
    <w:rsid w:val="007A4E37"/>
    <w:rsid w:val="007A4E9E"/>
    <w:rsid w:val="007A4F6D"/>
    <w:rsid w:val="007A507A"/>
    <w:rsid w:val="007A5554"/>
    <w:rsid w:val="007A68E1"/>
    <w:rsid w:val="007A6C94"/>
    <w:rsid w:val="007A72F5"/>
    <w:rsid w:val="007A786B"/>
    <w:rsid w:val="007B0A00"/>
    <w:rsid w:val="007B0B0D"/>
    <w:rsid w:val="007B2B5E"/>
    <w:rsid w:val="007B3F28"/>
    <w:rsid w:val="007B4590"/>
    <w:rsid w:val="007B4B73"/>
    <w:rsid w:val="007B5109"/>
    <w:rsid w:val="007B7C99"/>
    <w:rsid w:val="007C0041"/>
    <w:rsid w:val="007C1533"/>
    <w:rsid w:val="007C26B0"/>
    <w:rsid w:val="007C2CA7"/>
    <w:rsid w:val="007C376D"/>
    <w:rsid w:val="007C49E1"/>
    <w:rsid w:val="007C5548"/>
    <w:rsid w:val="007C5958"/>
    <w:rsid w:val="007C6477"/>
    <w:rsid w:val="007C7D4D"/>
    <w:rsid w:val="007D0E4C"/>
    <w:rsid w:val="007D1CBB"/>
    <w:rsid w:val="007D378E"/>
    <w:rsid w:val="007D4D77"/>
    <w:rsid w:val="007D4E1E"/>
    <w:rsid w:val="007D5972"/>
    <w:rsid w:val="007D5BA2"/>
    <w:rsid w:val="007D6493"/>
    <w:rsid w:val="007E05B8"/>
    <w:rsid w:val="007E27A5"/>
    <w:rsid w:val="007E27FD"/>
    <w:rsid w:val="007E34B1"/>
    <w:rsid w:val="007E447F"/>
    <w:rsid w:val="007E4602"/>
    <w:rsid w:val="007E5C40"/>
    <w:rsid w:val="007E64CF"/>
    <w:rsid w:val="007E6F81"/>
    <w:rsid w:val="007E7136"/>
    <w:rsid w:val="007E771B"/>
    <w:rsid w:val="007F0342"/>
    <w:rsid w:val="007F035D"/>
    <w:rsid w:val="007F17B8"/>
    <w:rsid w:val="007F1D9E"/>
    <w:rsid w:val="007F33E6"/>
    <w:rsid w:val="007F3BB0"/>
    <w:rsid w:val="007F3BEB"/>
    <w:rsid w:val="007F641D"/>
    <w:rsid w:val="007F6515"/>
    <w:rsid w:val="008024B7"/>
    <w:rsid w:val="00802C75"/>
    <w:rsid w:val="008044E4"/>
    <w:rsid w:val="008051D2"/>
    <w:rsid w:val="00805270"/>
    <w:rsid w:val="00805BBC"/>
    <w:rsid w:val="008068D6"/>
    <w:rsid w:val="008068E4"/>
    <w:rsid w:val="00806F3F"/>
    <w:rsid w:val="00807ED6"/>
    <w:rsid w:val="008104BF"/>
    <w:rsid w:val="00810733"/>
    <w:rsid w:val="00810DAB"/>
    <w:rsid w:val="00811E3C"/>
    <w:rsid w:val="00812344"/>
    <w:rsid w:val="008124FB"/>
    <w:rsid w:val="0081525F"/>
    <w:rsid w:val="00816209"/>
    <w:rsid w:val="00816822"/>
    <w:rsid w:val="00817629"/>
    <w:rsid w:val="00817E10"/>
    <w:rsid w:val="00817E6B"/>
    <w:rsid w:val="008201CB"/>
    <w:rsid w:val="00821109"/>
    <w:rsid w:val="00824427"/>
    <w:rsid w:val="008248DA"/>
    <w:rsid w:val="008266A5"/>
    <w:rsid w:val="00826DA4"/>
    <w:rsid w:val="008279B3"/>
    <w:rsid w:val="00831740"/>
    <w:rsid w:val="00833BA4"/>
    <w:rsid w:val="00833BDF"/>
    <w:rsid w:val="00834441"/>
    <w:rsid w:val="008360F1"/>
    <w:rsid w:val="008361BA"/>
    <w:rsid w:val="00836800"/>
    <w:rsid w:val="00836CDF"/>
    <w:rsid w:val="00837070"/>
    <w:rsid w:val="00837183"/>
    <w:rsid w:val="00837FEB"/>
    <w:rsid w:val="0084127D"/>
    <w:rsid w:val="008426C0"/>
    <w:rsid w:val="0084301B"/>
    <w:rsid w:val="008440DD"/>
    <w:rsid w:val="00844210"/>
    <w:rsid w:val="008447AD"/>
    <w:rsid w:val="00845268"/>
    <w:rsid w:val="0084627C"/>
    <w:rsid w:val="00846C30"/>
    <w:rsid w:val="00850AD9"/>
    <w:rsid w:val="00850F52"/>
    <w:rsid w:val="00851DBF"/>
    <w:rsid w:val="00853DD9"/>
    <w:rsid w:val="0085546F"/>
    <w:rsid w:val="00860C58"/>
    <w:rsid w:val="00860FFF"/>
    <w:rsid w:val="00861882"/>
    <w:rsid w:val="00861A64"/>
    <w:rsid w:val="00862AA3"/>
    <w:rsid w:val="00862E85"/>
    <w:rsid w:val="00863C4F"/>
    <w:rsid w:val="00863E4F"/>
    <w:rsid w:val="008653F6"/>
    <w:rsid w:val="00871024"/>
    <w:rsid w:val="00872C5F"/>
    <w:rsid w:val="00872D4A"/>
    <w:rsid w:val="00872DAD"/>
    <w:rsid w:val="0087363B"/>
    <w:rsid w:val="00873830"/>
    <w:rsid w:val="00873B0F"/>
    <w:rsid w:val="00874D2A"/>
    <w:rsid w:val="00874FD9"/>
    <w:rsid w:val="0087553E"/>
    <w:rsid w:val="00877C52"/>
    <w:rsid w:val="00881496"/>
    <w:rsid w:val="00881FDE"/>
    <w:rsid w:val="0088258D"/>
    <w:rsid w:val="00883376"/>
    <w:rsid w:val="008837C4"/>
    <w:rsid w:val="0088674D"/>
    <w:rsid w:val="008877E8"/>
    <w:rsid w:val="00890B99"/>
    <w:rsid w:val="00890EAA"/>
    <w:rsid w:val="00892B0C"/>
    <w:rsid w:val="0089304F"/>
    <w:rsid w:val="00894F13"/>
    <w:rsid w:val="008955AC"/>
    <w:rsid w:val="00895758"/>
    <w:rsid w:val="00895832"/>
    <w:rsid w:val="00896098"/>
    <w:rsid w:val="0089672F"/>
    <w:rsid w:val="0089772C"/>
    <w:rsid w:val="00897ABA"/>
    <w:rsid w:val="008A0081"/>
    <w:rsid w:val="008A16D9"/>
    <w:rsid w:val="008A19DE"/>
    <w:rsid w:val="008A228B"/>
    <w:rsid w:val="008A2E38"/>
    <w:rsid w:val="008A36E3"/>
    <w:rsid w:val="008A4B0F"/>
    <w:rsid w:val="008A59C3"/>
    <w:rsid w:val="008A5D8B"/>
    <w:rsid w:val="008A61DB"/>
    <w:rsid w:val="008A7182"/>
    <w:rsid w:val="008A7675"/>
    <w:rsid w:val="008A7A15"/>
    <w:rsid w:val="008B034B"/>
    <w:rsid w:val="008B3009"/>
    <w:rsid w:val="008B3696"/>
    <w:rsid w:val="008B4145"/>
    <w:rsid w:val="008B42C1"/>
    <w:rsid w:val="008B58C4"/>
    <w:rsid w:val="008B63AC"/>
    <w:rsid w:val="008B6F0E"/>
    <w:rsid w:val="008C01ED"/>
    <w:rsid w:val="008C157F"/>
    <w:rsid w:val="008C1BDF"/>
    <w:rsid w:val="008C2B06"/>
    <w:rsid w:val="008C3282"/>
    <w:rsid w:val="008C3E8D"/>
    <w:rsid w:val="008C4681"/>
    <w:rsid w:val="008C496A"/>
    <w:rsid w:val="008C4EAA"/>
    <w:rsid w:val="008C697B"/>
    <w:rsid w:val="008D093C"/>
    <w:rsid w:val="008D1BF9"/>
    <w:rsid w:val="008D1FC1"/>
    <w:rsid w:val="008D20A9"/>
    <w:rsid w:val="008D2167"/>
    <w:rsid w:val="008D3E89"/>
    <w:rsid w:val="008D5DBC"/>
    <w:rsid w:val="008D660A"/>
    <w:rsid w:val="008D7D4B"/>
    <w:rsid w:val="008E015E"/>
    <w:rsid w:val="008E0438"/>
    <w:rsid w:val="008E24EA"/>
    <w:rsid w:val="008E560F"/>
    <w:rsid w:val="008E5752"/>
    <w:rsid w:val="008E6388"/>
    <w:rsid w:val="008E64FB"/>
    <w:rsid w:val="008E67B9"/>
    <w:rsid w:val="008F01B6"/>
    <w:rsid w:val="008F07C0"/>
    <w:rsid w:val="008F1FFA"/>
    <w:rsid w:val="008F3BDC"/>
    <w:rsid w:val="008F50D3"/>
    <w:rsid w:val="008F7868"/>
    <w:rsid w:val="00900179"/>
    <w:rsid w:val="009011F1"/>
    <w:rsid w:val="00901AB4"/>
    <w:rsid w:val="00901E0E"/>
    <w:rsid w:val="009030F3"/>
    <w:rsid w:val="009033B9"/>
    <w:rsid w:val="00905118"/>
    <w:rsid w:val="00905767"/>
    <w:rsid w:val="009058F0"/>
    <w:rsid w:val="00905E6D"/>
    <w:rsid w:val="00906910"/>
    <w:rsid w:val="009076C5"/>
    <w:rsid w:val="0091063A"/>
    <w:rsid w:val="00911558"/>
    <w:rsid w:val="00911F85"/>
    <w:rsid w:val="00913177"/>
    <w:rsid w:val="00914F04"/>
    <w:rsid w:val="00916B20"/>
    <w:rsid w:val="00917FE9"/>
    <w:rsid w:val="00920E13"/>
    <w:rsid w:val="00921572"/>
    <w:rsid w:val="009215F1"/>
    <w:rsid w:val="00922928"/>
    <w:rsid w:val="00922AF6"/>
    <w:rsid w:val="00923A83"/>
    <w:rsid w:val="00927F9F"/>
    <w:rsid w:val="00930938"/>
    <w:rsid w:val="00933A33"/>
    <w:rsid w:val="00935A5A"/>
    <w:rsid w:val="00937676"/>
    <w:rsid w:val="009378A9"/>
    <w:rsid w:val="00937E15"/>
    <w:rsid w:val="00940BE6"/>
    <w:rsid w:val="00941997"/>
    <w:rsid w:val="00941D86"/>
    <w:rsid w:val="0094306E"/>
    <w:rsid w:val="00944666"/>
    <w:rsid w:val="00946B5F"/>
    <w:rsid w:val="00947052"/>
    <w:rsid w:val="00950AE9"/>
    <w:rsid w:val="00952688"/>
    <w:rsid w:val="00952C6B"/>
    <w:rsid w:val="0095314A"/>
    <w:rsid w:val="00956AC4"/>
    <w:rsid w:val="00957625"/>
    <w:rsid w:val="00961C25"/>
    <w:rsid w:val="0096423D"/>
    <w:rsid w:val="00964333"/>
    <w:rsid w:val="00964C49"/>
    <w:rsid w:val="00965D70"/>
    <w:rsid w:val="00965E94"/>
    <w:rsid w:val="009662A7"/>
    <w:rsid w:val="0096630F"/>
    <w:rsid w:val="00966963"/>
    <w:rsid w:val="009708FD"/>
    <w:rsid w:val="009710F9"/>
    <w:rsid w:val="00971FDC"/>
    <w:rsid w:val="0097392F"/>
    <w:rsid w:val="00974E14"/>
    <w:rsid w:val="00975987"/>
    <w:rsid w:val="00975D9B"/>
    <w:rsid w:val="0097627D"/>
    <w:rsid w:val="00977446"/>
    <w:rsid w:val="00977AA6"/>
    <w:rsid w:val="009813D2"/>
    <w:rsid w:val="009824A5"/>
    <w:rsid w:val="00984359"/>
    <w:rsid w:val="00984742"/>
    <w:rsid w:val="00985E83"/>
    <w:rsid w:val="00991136"/>
    <w:rsid w:val="0099138A"/>
    <w:rsid w:val="0099169D"/>
    <w:rsid w:val="009926F4"/>
    <w:rsid w:val="00992739"/>
    <w:rsid w:val="0099313B"/>
    <w:rsid w:val="00993672"/>
    <w:rsid w:val="009943E0"/>
    <w:rsid w:val="009953DA"/>
    <w:rsid w:val="0099545A"/>
    <w:rsid w:val="00997EB7"/>
    <w:rsid w:val="009A139A"/>
    <w:rsid w:val="009A1988"/>
    <w:rsid w:val="009A3D68"/>
    <w:rsid w:val="009A4C41"/>
    <w:rsid w:val="009A6F65"/>
    <w:rsid w:val="009B04A1"/>
    <w:rsid w:val="009B14C0"/>
    <w:rsid w:val="009B2022"/>
    <w:rsid w:val="009B3A33"/>
    <w:rsid w:val="009B45B0"/>
    <w:rsid w:val="009B5995"/>
    <w:rsid w:val="009B701E"/>
    <w:rsid w:val="009B7622"/>
    <w:rsid w:val="009B7D99"/>
    <w:rsid w:val="009C0ADC"/>
    <w:rsid w:val="009C0D8B"/>
    <w:rsid w:val="009C0F41"/>
    <w:rsid w:val="009C1047"/>
    <w:rsid w:val="009C173C"/>
    <w:rsid w:val="009C2309"/>
    <w:rsid w:val="009C3033"/>
    <w:rsid w:val="009C32A2"/>
    <w:rsid w:val="009C388E"/>
    <w:rsid w:val="009C5468"/>
    <w:rsid w:val="009C62C9"/>
    <w:rsid w:val="009C6324"/>
    <w:rsid w:val="009C6423"/>
    <w:rsid w:val="009C6D42"/>
    <w:rsid w:val="009C70B7"/>
    <w:rsid w:val="009C7EC8"/>
    <w:rsid w:val="009C7F55"/>
    <w:rsid w:val="009D0DB4"/>
    <w:rsid w:val="009D16DC"/>
    <w:rsid w:val="009D1986"/>
    <w:rsid w:val="009D320C"/>
    <w:rsid w:val="009D345C"/>
    <w:rsid w:val="009D540F"/>
    <w:rsid w:val="009D56CC"/>
    <w:rsid w:val="009D67A2"/>
    <w:rsid w:val="009E04CA"/>
    <w:rsid w:val="009E0E14"/>
    <w:rsid w:val="009E0FB0"/>
    <w:rsid w:val="009E0FDE"/>
    <w:rsid w:val="009E36BE"/>
    <w:rsid w:val="009E4365"/>
    <w:rsid w:val="009E450B"/>
    <w:rsid w:val="009E4F75"/>
    <w:rsid w:val="009E515E"/>
    <w:rsid w:val="009E5AA4"/>
    <w:rsid w:val="009E6CDC"/>
    <w:rsid w:val="009F1F4A"/>
    <w:rsid w:val="009F2279"/>
    <w:rsid w:val="009F2C0C"/>
    <w:rsid w:val="009F41D6"/>
    <w:rsid w:val="009F5FD5"/>
    <w:rsid w:val="009F62CF"/>
    <w:rsid w:val="009F66F1"/>
    <w:rsid w:val="009F6F3F"/>
    <w:rsid w:val="009F7C26"/>
    <w:rsid w:val="00A01157"/>
    <w:rsid w:val="00A01798"/>
    <w:rsid w:val="00A01807"/>
    <w:rsid w:val="00A01964"/>
    <w:rsid w:val="00A0224E"/>
    <w:rsid w:val="00A02C2A"/>
    <w:rsid w:val="00A03F62"/>
    <w:rsid w:val="00A047F9"/>
    <w:rsid w:val="00A06E36"/>
    <w:rsid w:val="00A07B0B"/>
    <w:rsid w:val="00A07E7A"/>
    <w:rsid w:val="00A07FD2"/>
    <w:rsid w:val="00A10563"/>
    <w:rsid w:val="00A120AF"/>
    <w:rsid w:val="00A13448"/>
    <w:rsid w:val="00A13686"/>
    <w:rsid w:val="00A14168"/>
    <w:rsid w:val="00A152CE"/>
    <w:rsid w:val="00A1530E"/>
    <w:rsid w:val="00A15FA6"/>
    <w:rsid w:val="00A163A3"/>
    <w:rsid w:val="00A20190"/>
    <w:rsid w:val="00A201DD"/>
    <w:rsid w:val="00A2037E"/>
    <w:rsid w:val="00A21179"/>
    <w:rsid w:val="00A211D2"/>
    <w:rsid w:val="00A24443"/>
    <w:rsid w:val="00A2497E"/>
    <w:rsid w:val="00A2613E"/>
    <w:rsid w:val="00A27381"/>
    <w:rsid w:val="00A27BDA"/>
    <w:rsid w:val="00A319AE"/>
    <w:rsid w:val="00A31FFD"/>
    <w:rsid w:val="00A3202F"/>
    <w:rsid w:val="00A32AF0"/>
    <w:rsid w:val="00A32CCF"/>
    <w:rsid w:val="00A32E63"/>
    <w:rsid w:val="00A332BB"/>
    <w:rsid w:val="00A34485"/>
    <w:rsid w:val="00A34EE0"/>
    <w:rsid w:val="00A35CE3"/>
    <w:rsid w:val="00A3651F"/>
    <w:rsid w:val="00A36DFE"/>
    <w:rsid w:val="00A4056E"/>
    <w:rsid w:val="00A40C36"/>
    <w:rsid w:val="00A410DD"/>
    <w:rsid w:val="00A4290B"/>
    <w:rsid w:val="00A42BF8"/>
    <w:rsid w:val="00A4615A"/>
    <w:rsid w:val="00A477B6"/>
    <w:rsid w:val="00A516E7"/>
    <w:rsid w:val="00A5177C"/>
    <w:rsid w:val="00A51C1E"/>
    <w:rsid w:val="00A523FA"/>
    <w:rsid w:val="00A554B7"/>
    <w:rsid w:val="00A55B31"/>
    <w:rsid w:val="00A55CB0"/>
    <w:rsid w:val="00A5646B"/>
    <w:rsid w:val="00A56549"/>
    <w:rsid w:val="00A60119"/>
    <w:rsid w:val="00A60657"/>
    <w:rsid w:val="00A6123A"/>
    <w:rsid w:val="00A62590"/>
    <w:rsid w:val="00A63C5C"/>
    <w:rsid w:val="00A63EFA"/>
    <w:rsid w:val="00A65D1A"/>
    <w:rsid w:val="00A70B0B"/>
    <w:rsid w:val="00A71960"/>
    <w:rsid w:val="00A720E1"/>
    <w:rsid w:val="00A7269D"/>
    <w:rsid w:val="00A7277F"/>
    <w:rsid w:val="00A72D72"/>
    <w:rsid w:val="00A735FF"/>
    <w:rsid w:val="00A7408F"/>
    <w:rsid w:val="00A757F8"/>
    <w:rsid w:val="00A7691B"/>
    <w:rsid w:val="00A801EF"/>
    <w:rsid w:val="00A8227C"/>
    <w:rsid w:val="00A82A78"/>
    <w:rsid w:val="00A83754"/>
    <w:rsid w:val="00A838F6"/>
    <w:rsid w:val="00A84FC7"/>
    <w:rsid w:val="00A90042"/>
    <w:rsid w:val="00A90F3E"/>
    <w:rsid w:val="00A91356"/>
    <w:rsid w:val="00A91E4F"/>
    <w:rsid w:val="00A92B88"/>
    <w:rsid w:val="00A92B8F"/>
    <w:rsid w:val="00A932C1"/>
    <w:rsid w:val="00A96A32"/>
    <w:rsid w:val="00A97984"/>
    <w:rsid w:val="00A97E01"/>
    <w:rsid w:val="00AA08B8"/>
    <w:rsid w:val="00AA14DE"/>
    <w:rsid w:val="00AA18F7"/>
    <w:rsid w:val="00AA1AB8"/>
    <w:rsid w:val="00AA2423"/>
    <w:rsid w:val="00AA3914"/>
    <w:rsid w:val="00AA5D1B"/>
    <w:rsid w:val="00AA6082"/>
    <w:rsid w:val="00AA6735"/>
    <w:rsid w:val="00AB0152"/>
    <w:rsid w:val="00AB22AE"/>
    <w:rsid w:val="00AB25D2"/>
    <w:rsid w:val="00AB3727"/>
    <w:rsid w:val="00AB3E64"/>
    <w:rsid w:val="00AB4621"/>
    <w:rsid w:val="00AB4EF0"/>
    <w:rsid w:val="00AB5895"/>
    <w:rsid w:val="00AB600A"/>
    <w:rsid w:val="00AC12A5"/>
    <w:rsid w:val="00AC1C6F"/>
    <w:rsid w:val="00AC2A75"/>
    <w:rsid w:val="00AC2ECA"/>
    <w:rsid w:val="00AC3115"/>
    <w:rsid w:val="00AC3933"/>
    <w:rsid w:val="00AC4018"/>
    <w:rsid w:val="00AC5BCB"/>
    <w:rsid w:val="00AC6874"/>
    <w:rsid w:val="00AC732F"/>
    <w:rsid w:val="00AD16C0"/>
    <w:rsid w:val="00AD18C3"/>
    <w:rsid w:val="00AD390B"/>
    <w:rsid w:val="00AD3CD5"/>
    <w:rsid w:val="00AD3CFD"/>
    <w:rsid w:val="00AD3DAA"/>
    <w:rsid w:val="00AD4F2C"/>
    <w:rsid w:val="00AD61F2"/>
    <w:rsid w:val="00AD6A1C"/>
    <w:rsid w:val="00AD721E"/>
    <w:rsid w:val="00AD7426"/>
    <w:rsid w:val="00AD7DEF"/>
    <w:rsid w:val="00AE1661"/>
    <w:rsid w:val="00AE1B36"/>
    <w:rsid w:val="00AE2FC0"/>
    <w:rsid w:val="00AE5050"/>
    <w:rsid w:val="00AF0655"/>
    <w:rsid w:val="00AF1ED5"/>
    <w:rsid w:val="00AF2615"/>
    <w:rsid w:val="00AF2E04"/>
    <w:rsid w:val="00AF5E0B"/>
    <w:rsid w:val="00AF5F84"/>
    <w:rsid w:val="00AF775C"/>
    <w:rsid w:val="00B006E3"/>
    <w:rsid w:val="00B00844"/>
    <w:rsid w:val="00B025B9"/>
    <w:rsid w:val="00B05216"/>
    <w:rsid w:val="00B05B5D"/>
    <w:rsid w:val="00B06470"/>
    <w:rsid w:val="00B0737F"/>
    <w:rsid w:val="00B0780D"/>
    <w:rsid w:val="00B101C1"/>
    <w:rsid w:val="00B1206D"/>
    <w:rsid w:val="00B15DDC"/>
    <w:rsid w:val="00B163A7"/>
    <w:rsid w:val="00B1660D"/>
    <w:rsid w:val="00B168AF"/>
    <w:rsid w:val="00B16978"/>
    <w:rsid w:val="00B16D71"/>
    <w:rsid w:val="00B202F2"/>
    <w:rsid w:val="00B21062"/>
    <w:rsid w:val="00B21B98"/>
    <w:rsid w:val="00B21C21"/>
    <w:rsid w:val="00B220B8"/>
    <w:rsid w:val="00B23ABA"/>
    <w:rsid w:val="00B243A5"/>
    <w:rsid w:val="00B24BC9"/>
    <w:rsid w:val="00B24FB9"/>
    <w:rsid w:val="00B25FB2"/>
    <w:rsid w:val="00B267F1"/>
    <w:rsid w:val="00B27D69"/>
    <w:rsid w:val="00B3127A"/>
    <w:rsid w:val="00B31A4A"/>
    <w:rsid w:val="00B34CF6"/>
    <w:rsid w:val="00B35B6E"/>
    <w:rsid w:val="00B36D9D"/>
    <w:rsid w:val="00B37061"/>
    <w:rsid w:val="00B371C9"/>
    <w:rsid w:val="00B40A07"/>
    <w:rsid w:val="00B4303E"/>
    <w:rsid w:val="00B43516"/>
    <w:rsid w:val="00B43D2C"/>
    <w:rsid w:val="00B43FA6"/>
    <w:rsid w:val="00B47C36"/>
    <w:rsid w:val="00B510FF"/>
    <w:rsid w:val="00B514ED"/>
    <w:rsid w:val="00B51519"/>
    <w:rsid w:val="00B51EF9"/>
    <w:rsid w:val="00B529C1"/>
    <w:rsid w:val="00B52E9D"/>
    <w:rsid w:val="00B53916"/>
    <w:rsid w:val="00B53948"/>
    <w:rsid w:val="00B54B35"/>
    <w:rsid w:val="00B55550"/>
    <w:rsid w:val="00B57BCD"/>
    <w:rsid w:val="00B57E9A"/>
    <w:rsid w:val="00B60AF7"/>
    <w:rsid w:val="00B60C96"/>
    <w:rsid w:val="00B62409"/>
    <w:rsid w:val="00B62BE5"/>
    <w:rsid w:val="00B63DFA"/>
    <w:rsid w:val="00B643D9"/>
    <w:rsid w:val="00B6564D"/>
    <w:rsid w:val="00B6738E"/>
    <w:rsid w:val="00B7056E"/>
    <w:rsid w:val="00B70F92"/>
    <w:rsid w:val="00B734FA"/>
    <w:rsid w:val="00B737C2"/>
    <w:rsid w:val="00B748D5"/>
    <w:rsid w:val="00B75D19"/>
    <w:rsid w:val="00B771B9"/>
    <w:rsid w:val="00B8103C"/>
    <w:rsid w:val="00B8110E"/>
    <w:rsid w:val="00B81184"/>
    <w:rsid w:val="00B8134D"/>
    <w:rsid w:val="00B85134"/>
    <w:rsid w:val="00B856E6"/>
    <w:rsid w:val="00B87398"/>
    <w:rsid w:val="00B90245"/>
    <w:rsid w:val="00B909E5"/>
    <w:rsid w:val="00B913DD"/>
    <w:rsid w:val="00B943CF"/>
    <w:rsid w:val="00B96E31"/>
    <w:rsid w:val="00BA0EBC"/>
    <w:rsid w:val="00BA1E4D"/>
    <w:rsid w:val="00BA203C"/>
    <w:rsid w:val="00BA2FF3"/>
    <w:rsid w:val="00BA6490"/>
    <w:rsid w:val="00BA75A3"/>
    <w:rsid w:val="00BA7D51"/>
    <w:rsid w:val="00BB1514"/>
    <w:rsid w:val="00BB2A9E"/>
    <w:rsid w:val="00BB62F4"/>
    <w:rsid w:val="00BB6EA5"/>
    <w:rsid w:val="00BB6FB5"/>
    <w:rsid w:val="00BC05AD"/>
    <w:rsid w:val="00BC063A"/>
    <w:rsid w:val="00BC3DEE"/>
    <w:rsid w:val="00BC42F2"/>
    <w:rsid w:val="00BC47E7"/>
    <w:rsid w:val="00BC484B"/>
    <w:rsid w:val="00BC6182"/>
    <w:rsid w:val="00BC620E"/>
    <w:rsid w:val="00BC6CBE"/>
    <w:rsid w:val="00BC6E47"/>
    <w:rsid w:val="00BC718E"/>
    <w:rsid w:val="00BC79EF"/>
    <w:rsid w:val="00BD021D"/>
    <w:rsid w:val="00BD0639"/>
    <w:rsid w:val="00BD0C7A"/>
    <w:rsid w:val="00BD1779"/>
    <w:rsid w:val="00BD231E"/>
    <w:rsid w:val="00BD2648"/>
    <w:rsid w:val="00BD3124"/>
    <w:rsid w:val="00BD6185"/>
    <w:rsid w:val="00BD620D"/>
    <w:rsid w:val="00BD73C8"/>
    <w:rsid w:val="00BE0193"/>
    <w:rsid w:val="00BE01BE"/>
    <w:rsid w:val="00BE1406"/>
    <w:rsid w:val="00BE1496"/>
    <w:rsid w:val="00BE1F86"/>
    <w:rsid w:val="00BE29A5"/>
    <w:rsid w:val="00BE42AB"/>
    <w:rsid w:val="00BE4B77"/>
    <w:rsid w:val="00BE5434"/>
    <w:rsid w:val="00BE5F74"/>
    <w:rsid w:val="00BE777E"/>
    <w:rsid w:val="00BF1F35"/>
    <w:rsid w:val="00BF44BA"/>
    <w:rsid w:val="00BF4569"/>
    <w:rsid w:val="00BF4FC0"/>
    <w:rsid w:val="00BF5274"/>
    <w:rsid w:val="00BF527E"/>
    <w:rsid w:val="00BF59EA"/>
    <w:rsid w:val="00BF6373"/>
    <w:rsid w:val="00BF7A9A"/>
    <w:rsid w:val="00BF7E2C"/>
    <w:rsid w:val="00C0359C"/>
    <w:rsid w:val="00C04FE0"/>
    <w:rsid w:val="00C0616C"/>
    <w:rsid w:val="00C111EC"/>
    <w:rsid w:val="00C11DF0"/>
    <w:rsid w:val="00C13DB3"/>
    <w:rsid w:val="00C15DEA"/>
    <w:rsid w:val="00C163B7"/>
    <w:rsid w:val="00C2344B"/>
    <w:rsid w:val="00C26B64"/>
    <w:rsid w:val="00C27441"/>
    <w:rsid w:val="00C30FFA"/>
    <w:rsid w:val="00C31CAB"/>
    <w:rsid w:val="00C33941"/>
    <w:rsid w:val="00C348BD"/>
    <w:rsid w:val="00C35CF5"/>
    <w:rsid w:val="00C36B5C"/>
    <w:rsid w:val="00C3735F"/>
    <w:rsid w:val="00C37435"/>
    <w:rsid w:val="00C37AD7"/>
    <w:rsid w:val="00C4034F"/>
    <w:rsid w:val="00C4139E"/>
    <w:rsid w:val="00C41459"/>
    <w:rsid w:val="00C43303"/>
    <w:rsid w:val="00C4458A"/>
    <w:rsid w:val="00C4597A"/>
    <w:rsid w:val="00C471BA"/>
    <w:rsid w:val="00C476FF"/>
    <w:rsid w:val="00C4787F"/>
    <w:rsid w:val="00C50D5E"/>
    <w:rsid w:val="00C52A03"/>
    <w:rsid w:val="00C530D7"/>
    <w:rsid w:val="00C61294"/>
    <w:rsid w:val="00C6132C"/>
    <w:rsid w:val="00C63057"/>
    <w:rsid w:val="00C63BE7"/>
    <w:rsid w:val="00C644B4"/>
    <w:rsid w:val="00C65C12"/>
    <w:rsid w:val="00C70D21"/>
    <w:rsid w:val="00C711D3"/>
    <w:rsid w:val="00C7192F"/>
    <w:rsid w:val="00C73576"/>
    <w:rsid w:val="00C741F3"/>
    <w:rsid w:val="00C747A6"/>
    <w:rsid w:val="00C74BF1"/>
    <w:rsid w:val="00C76D17"/>
    <w:rsid w:val="00C77515"/>
    <w:rsid w:val="00C7799B"/>
    <w:rsid w:val="00C80BD9"/>
    <w:rsid w:val="00C8125C"/>
    <w:rsid w:val="00C823BD"/>
    <w:rsid w:val="00C8361B"/>
    <w:rsid w:val="00C8672F"/>
    <w:rsid w:val="00C912B6"/>
    <w:rsid w:val="00C914BD"/>
    <w:rsid w:val="00C91E4E"/>
    <w:rsid w:val="00C92829"/>
    <w:rsid w:val="00C93429"/>
    <w:rsid w:val="00C94FF5"/>
    <w:rsid w:val="00C95716"/>
    <w:rsid w:val="00C9601F"/>
    <w:rsid w:val="00C960E3"/>
    <w:rsid w:val="00C96978"/>
    <w:rsid w:val="00C97214"/>
    <w:rsid w:val="00C97B50"/>
    <w:rsid w:val="00CA0220"/>
    <w:rsid w:val="00CA04AF"/>
    <w:rsid w:val="00CA05E8"/>
    <w:rsid w:val="00CA1B71"/>
    <w:rsid w:val="00CA2BC8"/>
    <w:rsid w:val="00CA3969"/>
    <w:rsid w:val="00CA3D66"/>
    <w:rsid w:val="00CA6211"/>
    <w:rsid w:val="00CA67C7"/>
    <w:rsid w:val="00CA6C15"/>
    <w:rsid w:val="00CA7798"/>
    <w:rsid w:val="00CB222D"/>
    <w:rsid w:val="00CB28D4"/>
    <w:rsid w:val="00CB3988"/>
    <w:rsid w:val="00CB4243"/>
    <w:rsid w:val="00CB47F5"/>
    <w:rsid w:val="00CB4AD3"/>
    <w:rsid w:val="00CB5DB1"/>
    <w:rsid w:val="00CB5E74"/>
    <w:rsid w:val="00CB696B"/>
    <w:rsid w:val="00CB6A98"/>
    <w:rsid w:val="00CB71B9"/>
    <w:rsid w:val="00CB7ED4"/>
    <w:rsid w:val="00CC083E"/>
    <w:rsid w:val="00CC1CAB"/>
    <w:rsid w:val="00CC22E3"/>
    <w:rsid w:val="00CC2733"/>
    <w:rsid w:val="00CC29EF"/>
    <w:rsid w:val="00CC3255"/>
    <w:rsid w:val="00CC4304"/>
    <w:rsid w:val="00CC5423"/>
    <w:rsid w:val="00CC6061"/>
    <w:rsid w:val="00CC7119"/>
    <w:rsid w:val="00CC7714"/>
    <w:rsid w:val="00CC7A5B"/>
    <w:rsid w:val="00CC7B0E"/>
    <w:rsid w:val="00CC7D91"/>
    <w:rsid w:val="00CD0600"/>
    <w:rsid w:val="00CD105A"/>
    <w:rsid w:val="00CD2104"/>
    <w:rsid w:val="00CD23F1"/>
    <w:rsid w:val="00CD2A23"/>
    <w:rsid w:val="00CD509B"/>
    <w:rsid w:val="00CD62E4"/>
    <w:rsid w:val="00CD6D6F"/>
    <w:rsid w:val="00CD6E97"/>
    <w:rsid w:val="00CD7013"/>
    <w:rsid w:val="00CE0065"/>
    <w:rsid w:val="00CE00A5"/>
    <w:rsid w:val="00CE1183"/>
    <w:rsid w:val="00CE1603"/>
    <w:rsid w:val="00CE16F4"/>
    <w:rsid w:val="00CE17BB"/>
    <w:rsid w:val="00CE2C4A"/>
    <w:rsid w:val="00CE2FF0"/>
    <w:rsid w:val="00CE3E6C"/>
    <w:rsid w:val="00CE4D4B"/>
    <w:rsid w:val="00CE5506"/>
    <w:rsid w:val="00CE55A1"/>
    <w:rsid w:val="00CE5873"/>
    <w:rsid w:val="00CE5A35"/>
    <w:rsid w:val="00CE744D"/>
    <w:rsid w:val="00CF12F8"/>
    <w:rsid w:val="00CF15A7"/>
    <w:rsid w:val="00CF347B"/>
    <w:rsid w:val="00CF3B76"/>
    <w:rsid w:val="00CF3CBF"/>
    <w:rsid w:val="00CF4AB8"/>
    <w:rsid w:val="00CF4DA3"/>
    <w:rsid w:val="00CF6BD0"/>
    <w:rsid w:val="00CF79DF"/>
    <w:rsid w:val="00D0063E"/>
    <w:rsid w:val="00D0066D"/>
    <w:rsid w:val="00D00815"/>
    <w:rsid w:val="00D012A2"/>
    <w:rsid w:val="00D013A6"/>
    <w:rsid w:val="00D01B48"/>
    <w:rsid w:val="00D03F32"/>
    <w:rsid w:val="00D04407"/>
    <w:rsid w:val="00D046CB"/>
    <w:rsid w:val="00D05D17"/>
    <w:rsid w:val="00D0610D"/>
    <w:rsid w:val="00D0667D"/>
    <w:rsid w:val="00D06FFE"/>
    <w:rsid w:val="00D07AEB"/>
    <w:rsid w:val="00D07D1B"/>
    <w:rsid w:val="00D11409"/>
    <w:rsid w:val="00D11BB5"/>
    <w:rsid w:val="00D1315E"/>
    <w:rsid w:val="00D131E7"/>
    <w:rsid w:val="00D13A9E"/>
    <w:rsid w:val="00D147FB"/>
    <w:rsid w:val="00D15B0D"/>
    <w:rsid w:val="00D201E3"/>
    <w:rsid w:val="00D21FA4"/>
    <w:rsid w:val="00D221A3"/>
    <w:rsid w:val="00D221F7"/>
    <w:rsid w:val="00D22914"/>
    <w:rsid w:val="00D24424"/>
    <w:rsid w:val="00D271DA"/>
    <w:rsid w:val="00D27274"/>
    <w:rsid w:val="00D273FB"/>
    <w:rsid w:val="00D27660"/>
    <w:rsid w:val="00D278EB"/>
    <w:rsid w:val="00D27BBE"/>
    <w:rsid w:val="00D30E5F"/>
    <w:rsid w:val="00D317B4"/>
    <w:rsid w:val="00D32407"/>
    <w:rsid w:val="00D33248"/>
    <w:rsid w:val="00D3351C"/>
    <w:rsid w:val="00D34377"/>
    <w:rsid w:val="00D41103"/>
    <w:rsid w:val="00D429A2"/>
    <w:rsid w:val="00D459F6"/>
    <w:rsid w:val="00D45D68"/>
    <w:rsid w:val="00D47963"/>
    <w:rsid w:val="00D47982"/>
    <w:rsid w:val="00D52933"/>
    <w:rsid w:val="00D52B8A"/>
    <w:rsid w:val="00D53472"/>
    <w:rsid w:val="00D54A58"/>
    <w:rsid w:val="00D55C55"/>
    <w:rsid w:val="00D56202"/>
    <w:rsid w:val="00D57284"/>
    <w:rsid w:val="00D57FC2"/>
    <w:rsid w:val="00D61429"/>
    <w:rsid w:val="00D61555"/>
    <w:rsid w:val="00D61628"/>
    <w:rsid w:val="00D62254"/>
    <w:rsid w:val="00D6256B"/>
    <w:rsid w:val="00D62F9A"/>
    <w:rsid w:val="00D64270"/>
    <w:rsid w:val="00D65635"/>
    <w:rsid w:val="00D656BF"/>
    <w:rsid w:val="00D660F8"/>
    <w:rsid w:val="00D67D4A"/>
    <w:rsid w:val="00D67F7D"/>
    <w:rsid w:val="00D717C5"/>
    <w:rsid w:val="00D7305B"/>
    <w:rsid w:val="00D7385A"/>
    <w:rsid w:val="00D802C4"/>
    <w:rsid w:val="00D817F4"/>
    <w:rsid w:val="00D81B42"/>
    <w:rsid w:val="00D81CB2"/>
    <w:rsid w:val="00D826EF"/>
    <w:rsid w:val="00D83642"/>
    <w:rsid w:val="00D836F3"/>
    <w:rsid w:val="00D846F3"/>
    <w:rsid w:val="00D86808"/>
    <w:rsid w:val="00D873B9"/>
    <w:rsid w:val="00D87432"/>
    <w:rsid w:val="00D87748"/>
    <w:rsid w:val="00D87847"/>
    <w:rsid w:val="00D90C75"/>
    <w:rsid w:val="00D914CF"/>
    <w:rsid w:val="00D927E9"/>
    <w:rsid w:val="00D948AD"/>
    <w:rsid w:val="00D94FF2"/>
    <w:rsid w:val="00DA056B"/>
    <w:rsid w:val="00DA1378"/>
    <w:rsid w:val="00DA2BDB"/>
    <w:rsid w:val="00DA2C38"/>
    <w:rsid w:val="00DA2D5C"/>
    <w:rsid w:val="00DA5323"/>
    <w:rsid w:val="00DA5865"/>
    <w:rsid w:val="00DB0F9E"/>
    <w:rsid w:val="00DB1060"/>
    <w:rsid w:val="00DB1093"/>
    <w:rsid w:val="00DB155B"/>
    <w:rsid w:val="00DB15D6"/>
    <w:rsid w:val="00DB1F86"/>
    <w:rsid w:val="00DB3FB0"/>
    <w:rsid w:val="00DB4261"/>
    <w:rsid w:val="00DB6681"/>
    <w:rsid w:val="00DC14B4"/>
    <w:rsid w:val="00DC4793"/>
    <w:rsid w:val="00DC53F4"/>
    <w:rsid w:val="00DC60DC"/>
    <w:rsid w:val="00DC6B74"/>
    <w:rsid w:val="00DC6DA5"/>
    <w:rsid w:val="00DC71EB"/>
    <w:rsid w:val="00DC7D5E"/>
    <w:rsid w:val="00DD0444"/>
    <w:rsid w:val="00DD29A7"/>
    <w:rsid w:val="00DD2CE8"/>
    <w:rsid w:val="00DD32E6"/>
    <w:rsid w:val="00DD45C8"/>
    <w:rsid w:val="00DD49FF"/>
    <w:rsid w:val="00DD70AA"/>
    <w:rsid w:val="00DD7708"/>
    <w:rsid w:val="00DD785D"/>
    <w:rsid w:val="00DE0934"/>
    <w:rsid w:val="00DE16AC"/>
    <w:rsid w:val="00DE1912"/>
    <w:rsid w:val="00DE19B0"/>
    <w:rsid w:val="00DE22F7"/>
    <w:rsid w:val="00DE2380"/>
    <w:rsid w:val="00DE24CF"/>
    <w:rsid w:val="00DE2899"/>
    <w:rsid w:val="00DE2E19"/>
    <w:rsid w:val="00DE3478"/>
    <w:rsid w:val="00DE381F"/>
    <w:rsid w:val="00DE3D91"/>
    <w:rsid w:val="00DE5523"/>
    <w:rsid w:val="00DE5E13"/>
    <w:rsid w:val="00DE6B48"/>
    <w:rsid w:val="00DF2339"/>
    <w:rsid w:val="00DF326C"/>
    <w:rsid w:val="00DF4B94"/>
    <w:rsid w:val="00DF6A10"/>
    <w:rsid w:val="00DF6A61"/>
    <w:rsid w:val="00DF7E28"/>
    <w:rsid w:val="00E011D2"/>
    <w:rsid w:val="00E0344B"/>
    <w:rsid w:val="00E0467C"/>
    <w:rsid w:val="00E046F4"/>
    <w:rsid w:val="00E04A2D"/>
    <w:rsid w:val="00E0719B"/>
    <w:rsid w:val="00E10305"/>
    <w:rsid w:val="00E1076C"/>
    <w:rsid w:val="00E141A0"/>
    <w:rsid w:val="00E158C3"/>
    <w:rsid w:val="00E15B57"/>
    <w:rsid w:val="00E15D8E"/>
    <w:rsid w:val="00E16B95"/>
    <w:rsid w:val="00E21C2D"/>
    <w:rsid w:val="00E22EC3"/>
    <w:rsid w:val="00E2313E"/>
    <w:rsid w:val="00E23217"/>
    <w:rsid w:val="00E23C39"/>
    <w:rsid w:val="00E26514"/>
    <w:rsid w:val="00E26C70"/>
    <w:rsid w:val="00E27480"/>
    <w:rsid w:val="00E31098"/>
    <w:rsid w:val="00E33535"/>
    <w:rsid w:val="00E34B26"/>
    <w:rsid w:val="00E3583B"/>
    <w:rsid w:val="00E36497"/>
    <w:rsid w:val="00E37242"/>
    <w:rsid w:val="00E375E4"/>
    <w:rsid w:val="00E408C4"/>
    <w:rsid w:val="00E410E6"/>
    <w:rsid w:val="00E424BD"/>
    <w:rsid w:val="00E42CC2"/>
    <w:rsid w:val="00E43831"/>
    <w:rsid w:val="00E438D4"/>
    <w:rsid w:val="00E4497D"/>
    <w:rsid w:val="00E44AB7"/>
    <w:rsid w:val="00E45067"/>
    <w:rsid w:val="00E455CF"/>
    <w:rsid w:val="00E456C6"/>
    <w:rsid w:val="00E45E7E"/>
    <w:rsid w:val="00E46E64"/>
    <w:rsid w:val="00E507F1"/>
    <w:rsid w:val="00E50C11"/>
    <w:rsid w:val="00E5114F"/>
    <w:rsid w:val="00E53DAF"/>
    <w:rsid w:val="00E55440"/>
    <w:rsid w:val="00E556BC"/>
    <w:rsid w:val="00E55A77"/>
    <w:rsid w:val="00E57316"/>
    <w:rsid w:val="00E61131"/>
    <w:rsid w:val="00E61A63"/>
    <w:rsid w:val="00E61AEF"/>
    <w:rsid w:val="00E62CCB"/>
    <w:rsid w:val="00E63D5C"/>
    <w:rsid w:val="00E642BF"/>
    <w:rsid w:val="00E645B7"/>
    <w:rsid w:val="00E659B3"/>
    <w:rsid w:val="00E66090"/>
    <w:rsid w:val="00E67160"/>
    <w:rsid w:val="00E67DD8"/>
    <w:rsid w:val="00E71AE5"/>
    <w:rsid w:val="00E726DB"/>
    <w:rsid w:val="00E727A8"/>
    <w:rsid w:val="00E72D22"/>
    <w:rsid w:val="00E72EB7"/>
    <w:rsid w:val="00E73431"/>
    <w:rsid w:val="00E73452"/>
    <w:rsid w:val="00E7677D"/>
    <w:rsid w:val="00E770EF"/>
    <w:rsid w:val="00E771ED"/>
    <w:rsid w:val="00E774C8"/>
    <w:rsid w:val="00E8039D"/>
    <w:rsid w:val="00E81269"/>
    <w:rsid w:val="00E830CE"/>
    <w:rsid w:val="00E836FF"/>
    <w:rsid w:val="00E8619F"/>
    <w:rsid w:val="00E8684C"/>
    <w:rsid w:val="00E86B7A"/>
    <w:rsid w:val="00E86CC8"/>
    <w:rsid w:val="00E92E8D"/>
    <w:rsid w:val="00E93200"/>
    <w:rsid w:val="00E95545"/>
    <w:rsid w:val="00E95BB6"/>
    <w:rsid w:val="00E95F11"/>
    <w:rsid w:val="00E973AD"/>
    <w:rsid w:val="00EA07BE"/>
    <w:rsid w:val="00EA0F9E"/>
    <w:rsid w:val="00EA14F6"/>
    <w:rsid w:val="00EA1F15"/>
    <w:rsid w:val="00EA2849"/>
    <w:rsid w:val="00EA3BB8"/>
    <w:rsid w:val="00EA529C"/>
    <w:rsid w:val="00EA6F34"/>
    <w:rsid w:val="00EA7416"/>
    <w:rsid w:val="00EB0332"/>
    <w:rsid w:val="00EB11B8"/>
    <w:rsid w:val="00EB20A1"/>
    <w:rsid w:val="00EB2440"/>
    <w:rsid w:val="00EB27F7"/>
    <w:rsid w:val="00EB28A0"/>
    <w:rsid w:val="00EB4780"/>
    <w:rsid w:val="00EB740C"/>
    <w:rsid w:val="00EB760D"/>
    <w:rsid w:val="00EC2AC1"/>
    <w:rsid w:val="00EC345F"/>
    <w:rsid w:val="00EC436A"/>
    <w:rsid w:val="00EC5619"/>
    <w:rsid w:val="00EC5A36"/>
    <w:rsid w:val="00EC6222"/>
    <w:rsid w:val="00EC7229"/>
    <w:rsid w:val="00EC78A5"/>
    <w:rsid w:val="00ED0048"/>
    <w:rsid w:val="00ED103F"/>
    <w:rsid w:val="00ED1192"/>
    <w:rsid w:val="00ED2E27"/>
    <w:rsid w:val="00ED3E28"/>
    <w:rsid w:val="00ED51F2"/>
    <w:rsid w:val="00ED5771"/>
    <w:rsid w:val="00ED5860"/>
    <w:rsid w:val="00ED58C4"/>
    <w:rsid w:val="00ED5B42"/>
    <w:rsid w:val="00ED5F43"/>
    <w:rsid w:val="00ED6B5B"/>
    <w:rsid w:val="00ED7A58"/>
    <w:rsid w:val="00EE0FF0"/>
    <w:rsid w:val="00EE11BE"/>
    <w:rsid w:val="00EE1329"/>
    <w:rsid w:val="00EE1829"/>
    <w:rsid w:val="00EE19B7"/>
    <w:rsid w:val="00EE2A40"/>
    <w:rsid w:val="00EE3AF6"/>
    <w:rsid w:val="00EE45A9"/>
    <w:rsid w:val="00EE6597"/>
    <w:rsid w:val="00EE6817"/>
    <w:rsid w:val="00EE7216"/>
    <w:rsid w:val="00EF272E"/>
    <w:rsid w:val="00EF2DD0"/>
    <w:rsid w:val="00EF2DFA"/>
    <w:rsid w:val="00EF3E50"/>
    <w:rsid w:val="00EF4509"/>
    <w:rsid w:val="00EF484D"/>
    <w:rsid w:val="00EF560D"/>
    <w:rsid w:val="00EF61FC"/>
    <w:rsid w:val="00EF680D"/>
    <w:rsid w:val="00EF6B4F"/>
    <w:rsid w:val="00EF6F4C"/>
    <w:rsid w:val="00EF73CF"/>
    <w:rsid w:val="00F0008F"/>
    <w:rsid w:val="00F033FD"/>
    <w:rsid w:val="00F0440F"/>
    <w:rsid w:val="00F05118"/>
    <w:rsid w:val="00F05143"/>
    <w:rsid w:val="00F06E43"/>
    <w:rsid w:val="00F10068"/>
    <w:rsid w:val="00F11468"/>
    <w:rsid w:val="00F12833"/>
    <w:rsid w:val="00F13370"/>
    <w:rsid w:val="00F134B8"/>
    <w:rsid w:val="00F134E8"/>
    <w:rsid w:val="00F13743"/>
    <w:rsid w:val="00F145A5"/>
    <w:rsid w:val="00F15594"/>
    <w:rsid w:val="00F171C7"/>
    <w:rsid w:val="00F1749A"/>
    <w:rsid w:val="00F17C1A"/>
    <w:rsid w:val="00F2072D"/>
    <w:rsid w:val="00F20C61"/>
    <w:rsid w:val="00F20CC5"/>
    <w:rsid w:val="00F210B6"/>
    <w:rsid w:val="00F22B15"/>
    <w:rsid w:val="00F24337"/>
    <w:rsid w:val="00F258E1"/>
    <w:rsid w:val="00F25C44"/>
    <w:rsid w:val="00F26C39"/>
    <w:rsid w:val="00F2748E"/>
    <w:rsid w:val="00F2795B"/>
    <w:rsid w:val="00F306FD"/>
    <w:rsid w:val="00F3289B"/>
    <w:rsid w:val="00F33ACD"/>
    <w:rsid w:val="00F34C81"/>
    <w:rsid w:val="00F35334"/>
    <w:rsid w:val="00F35EF6"/>
    <w:rsid w:val="00F36446"/>
    <w:rsid w:val="00F366D3"/>
    <w:rsid w:val="00F36D4D"/>
    <w:rsid w:val="00F37E97"/>
    <w:rsid w:val="00F416B5"/>
    <w:rsid w:val="00F418D8"/>
    <w:rsid w:val="00F42107"/>
    <w:rsid w:val="00F4267D"/>
    <w:rsid w:val="00F4350E"/>
    <w:rsid w:val="00F448C2"/>
    <w:rsid w:val="00F45410"/>
    <w:rsid w:val="00F5168A"/>
    <w:rsid w:val="00F51C22"/>
    <w:rsid w:val="00F538FC"/>
    <w:rsid w:val="00F540DD"/>
    <w:rsid w:val="00F5471D"/>
    <w:rsid w:val="00F54BA5"/>
    <w:rsid w:val="00F5522C"/>
    <w:rsid w:val="00F553D9"/>
    <w:rsid w:val="00F55907"/>
    <w:rsid w:val="00F55DCC"/>
    <w:rsid w:val="00F56915"/>
    <w:rsid w:val="00F57A2C"/>
    <w:rsid w:val="00F60DD7"/>
    <w:rsid w:val="00F63315"/>
    <w:rsid w:val="00F63C99"/>
    <w:rsid w:val="00F6509A"/>
    <w:rsid w:val="00F70406"/>
    <w:rsid w:val="00F70ED9"/>
    <w:rsid w:val="00F71FE1"/>
    <w:rsid w:val="00F73526"/>
    <w:rsid w:val="00F73E49"/>
    <w:rsid w:val="00F7415A"/>
    <w:rsid w:val="00F745FF"/>
    <w:rsid w:val="00F74B0D"/>
    <w:rsid w:val="00F75140"/>
    <w:rsid w:val="00F75E7D"/>
    <w:rsid w:val="00F7716F"/>
    <w:rsid w:val="00F80674"/>
    <w:rsid w:val="00F80E1E"/>
    <w:rsid w:val="00F81EA0"/>
    <w:rsid w:val="00F82D23"/>
    <w:rsid w:val="00F82F66"/>
    <w:rsid w:val="00F83307"/>
    <w:rsid w:val="00F84144"/>
    <w:rsid w:val="00F8565D"/>
    <w:rsid w:val="00F8668E"/>
    <w:rsid w:val="00F8736F"/>
    <w:rsid w:val="00F9065C"/>
    <w:rsid w:val="00F91238"/>
    <w:rsid w:val="00F91F88"/>
    <w:rsid w:val="00F91FAA"/>
    <w:rsid w:val="00F92119"/>
    <w:rsid w:val="00F92D00"/>
    <w:rsid w:val="00F9339F"/>
    <w:rsid w:val="00F971D9"/>
    <w:rsid w:val="00FA3C64"/>
    <w:rsid w:val="00FA453C"/>
    <w:rsid w:val="00FA4AB3"/>
    <w:rsid w:val="00FA50EB"/>
    <w:rsid w:val="00FA5E6A"/>
    <w:rsid w:val="00FA7C4A"/>
    <w:rsid w:val="00FB094D"/>
    <w:rsid w:val="00FB0A8E"/>
    <w:rsid w:val="00FB0DAE"/>
    <w:rsid w:val="00FB0DC7"/>
    <w:rsid w:val="00FB1F5D"/>
    <w:rsid w:val="00FB5B9E"/>
    <w:rsid w:val="00FB6F0C"/>
    <w:rsid w:val="00FB79F6"/>
    <w:rsid w:val="00FC0758"/>
    <w:rsid w:val="00FC2183"/>
    <w:rsid w:val="00FC37F2"/>
    <w:rsid w:val="00FC4A87"/>
    <w:rsid w:val="00FC6176"/>
    <w:rsid w:val="00FC6CAD"/>
    <w:rsid w:val="00FC6EC3"/>
    <w:rsid w:val="00FC729A"/>
    <w:rsid w:val="00FC7C38"/>
    <w:rsid w:val="00FD1E3E"/>
    <w:rsid w:val="00FD37EE"/>
    <w:rsid w:val="00FD60EE"/>
    <w:rsid w:val="00FD6939"/>
    <w:rsid w:val="00FD6B43"/>
    <w:rsid w:val="00FD6C4C"/>
    <w:rsid w:val="00FD7A77"/>
    <w:rsid w:val="00FE07E3"/>
    <w:rsid w:val="00FE1383"/>
    <w:rsid w:val="00FE3AD5"/>
    <w:rsid w:val="00FE47A2"/>
    <w:rsid w:val="00FE538D"/>
    <w:rsid w:val="00FE5A56"/>
    <w:rsid w:val="00FE5DEC"/>
    <w:rsid w:val="00FF0148"/>
    <w:rsid w:val="00FF0909"/>
    <w:rsid w:val="00FF14A8"/>
    <w:rsid w:val="00FF1B29"/>
    <w:rsid w:val="00FF2514"/>
    <w:rsid w:val="00FF26B0"/>
    <w:rsid w:val="00FF2B34"/>
    <w:rsid w:val="00FF2D14"/>
    <w:rsid w:val="00FF3E43"/>
    <w:rsid w:val="00FF43F0"/>
    <w:rsid w:val="00FF4DE1"/>
    <w:rsid w:val="00FF54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F5FCFF"/>
  <w15:chartTrackingRefBased/>
  <w15:docId w15:val="{226F8C05-D2C1-4CAE-AA8D-7E3D4C9F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5E"/>
    <w:rPr>
      <w:rFonts w:ascii="Times" w:eastAsia="Times" w:hAnsi="Times"/>
      <w:sz w:val="24"/>
    </w:rPr>
  </w:style>
  <w:style w:type="paragraph" w:styleId="Heading1">
    <w:name w:val="heading 1"/>
    <w:basedOn w:val="ListParagraph"/>
    <w:next w:val="Normal"/>
    <w:link w:val="Heading1Char"/>
    <w:uiPriority w:val="9"/>
    <w:qFormat/>
    <w:rsid w:val="003370A6"/>
    <w:pPr>
      <w:numPr>
        <w:numId w:val="5"/>
      </w:numPr>
      <w:spacing w:line="276" w:lineRule="auto"/>
      <w:ind w:left="360"/>
      <w:outlineLvl w:val="0"/>
    </w:pPr>
    <w:rPr>
      <w:rFonts w:ascii="Times New Roman" w:hAnsi="Times New Roman"/>
      <w:b/>
      <w:bCs/>
    </w:rPr>
  </w:style>
  <w:style w:type="paragraph" w:styleId="Heading2">
    <w:name w:val="heading 2"/>
    <w:basedOn w:val="ListParagraph"/>
    <w:next w:val="Normal"/>
    <w:link w:val="Heading2Char"/>
    <w:uiPriority w:val="9"/>
    <w:unhideWhenUsed/>
    <w:qFormat/>
    <w:rsid w:val="001E41B2"/>
    <w:pPr>
      <w:numPr>
        <w:ilvl w:val="1"/>
        <w:numId w:val="5"/>
      </w:numPr>
      <w:spacing w:line="276" w:lineRule="auto"/>
      <w:ind w:left="540" w:hanging="540"/>
      <w:outlineLvl w:val="1"/>
    </w:pPr>
    <w:rPr>
      <w:rFonts w:ascii="Times New Roman" w:hAnsi="Times New Roman"/>
      <w:b/>
      <w:lang w:eastAsia="ko-KR"/>
    </w:rPr>
  </w:style>
  <w:style w:type="paragraph" w:styleId="Heading3">
    <w:name w:val="heading 3"/>
    <w:basedOn w:val="ListParagraph"/>
    <w:next w:val="Normal"/>
    <w:link w:val="Heading3Char"/>
    <w:uiPriority w:val="9"/>
    <w:unhideWhenUsed/>
    <w:qFormat/>
    <w:rsid w:val="000957D1"/>
    <w:pPr>
      <w:numPr>
        <w:ilvl w:val="2"/>
        <w:numId w:val="5"/>
      </w:numPr>
      <w:ind w:left="72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4DC"/>
    <w:pPr>
      <w:tabs>
        <w:tab w:val="center" w:pos="4680"/>
        <w:tab w:val="right" w:pos="9360"/>
      </w:tabs>
    </w:pPr>
  </w:style>
  <w:style w:type="character" w:customStyle="1" w:styleId="HeaderChar">
    <w:name w:val="Header Char"/>
    <w:link w:val="Header"/>
    <w:uiPriority w:val="99"/>
    <w:rsid w:val="002134DC"/>
    <w:rPr>
      <w:rFonts w:ascii="Times" w:eastAsia="Times" w:hAnsi="Times" w:cs="Times New Roman"/>
      <w:kern w:val="0"/>
      <w:sz w:val="24"/>
      <w:szCs w:val="20"/>
      <w:lang w:eastAsia="en-US"/>
    </w:rPr>
  </w:style>
  <w:style w:type="paragraph" w:styleId="Footer">
    <w:name w:val="footer"/>
    <w:basedOn w:val="Normal"/>
    <w:link w:val="FooterChar"/>
    <w:uiPriority w:val="99"/>
    <w:unhideWhenUsed/>
    <w:rsid w:val="002134DC"/>
    <w:pPr>
      <w:tabs>
        <w:tab w:val="center" w:pos="4680"/>
        <w:tab w:val="right" w:pos="9360"/>
      </w:tabs>
    </w:pPr>
  </w:style>
  <w:style w:type="character" w:customStyle="1" w:styleId="FooterChar">
    <w:name w:val="Footer Char"/>
    <w:link w:val="Footer"/>
    <w:uiPriority w:val="99"/>
    <w:rsid w:val="002134DC"/>
    <w:rPr>
      <w:rFonts w:ascii="Times" w:eastAsia="Times" w:hAnsi="Times" w:cs="Times New Roman"/>
      <w:kern w:val="0"/>
      <w:sz w:val="24"/>
      <w:szCs w:val="20"/>
      <w:lang w:eastAsia="en-US"/>
    </w:rPr>
  </w:style>
  <w:style w:type="paragraph" w:styleId="Revision">
    <w:name w:val="Revision"/>
    <w:hidden/>
    <w:uiPriority w:val="99"/>
    <w:semiHidden/>
    <w:rsid w:val="00474FC1"/>
    <w:rPr>
      <w:rFonts w:ascii="Times" w:eastAsia="Times" w:hAnsi="Times"/>
      <w:sz w:val="24"/>
    </w:rPr>
  </w:style>
  <w:style w:type="character" w:styleId="CommentReference">
    <w:name w:val="annotation reference"/>
    <w:uiPriority w:val="99"/>
    <w:semiHidden/>
    <w:unhideWhenUsed/>
    <w:rsid w:val="00C163B7"/>
    <w:rPr>
      <w:sz w:val="16"/>
      <w:szCs w:val="16"/>
    </w:rPr>
  </w:style>
  <w:style w:type="paragraph" w:styleId="CommentText">
    <w:name w:val="annotation text"/>
    <w:basedOn w:val="Normal"/>
    <w:link w:val="CommentTextChar"/>
    <w:uiPriority w:val="99"/>
    <w:unhideWhenUsed/>
    <w:rsid w:val="00C163B7"/>
    <w:rPr>
      <w:sz w:val="20"/>
    </w:rPr>
  </w:style>
  <w:style w:type="character" w:customStyle="1" w:styleId="CommentTextChar">
    <w:name w:val="Comment Text Char"/>
    <w:link w:val="CommentText"/>
    <w:uiPriority w:val="99"/>
    <w:rsid w:val="00C163B7"/>
    <w:rPr>
      <w:rFonts w:ascii="Times" w:eastAsia="Times" w:hAnsi="Times"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C163B7"/>
    <w:rPr>
      <w:b/>
      <w:bCs/>
    </w:rPr>
  </w:style>
  <w:style w:type="character" w:customStyle="1" w:styleId="CommentSubjectChar">
    <w:name w:val="Comment Subject Char"/>
    <w:link w:val="CommentSubject"/>
    <w:uiPriority w:val="99"/>
    <w:semiHidden/>
    <w:rsid w:val="00C163B7"/>
    <w:rPr>
      <w:rFonts w:ascii="Times" w:eastAsia="Times" w:hAnsi="Times" w:cs="Times New Roman"/>
      <w:b/>
      <w:bCs/>
      <w:kern w:val="0"/>
      <w:sz w:val="20"/>
      <w:szCs w:val="20"/>
      <w:lang w:eastAsia="en-US"/>
    </w:rPr>
  </w:style>
  <w:style w:type="paragraph" w:styleId="NormalWeb">
    <w:name w:val="Normal (Web)"/>
    <w:basedOn w:val="Normal"/>
    <w:uiPriority w:val="99"/>
    <w:semiHidden/>
    <w:unhideWhenUsed/>
    <w:rsid w:val="003D10B7"/>
    <w:pPr>
      <w:spacing w:before="100" w:beforeAutospacing="1" w:after="100" w:afterAutospacing="1"/>
    </w:pPr>
    <w:rPr>
      <w:rFonts w:ascii="Times New Roman" w:eastAsia="Times New Roman" w:hAnsi="Times New Roman"/>
      <w:szCs w:val="24"/>
      <w:lang w:eastAsia="ko-KR"/>
    </w:rPr>
  </w:style>
  <w:style w:type="character" w:styleId="Hyperlink">
    <w:name w:val="Hyperlink"/>
    <w:uiPriority w:val="99"/>
    <w:unhideWhenUsed/>
    <w:rsid w:val="003D10B7"/>
    <w:rPr>
      <w:color w:val="0563C1"/>
      <w:u w:val="single"/>
    </w:rPr>
  </w:style>
  <w:style w:type="paragraph" w:styleId="ListParagraph">
    <w:name w:val="List Paragraph"/>
    <w:basedOn w:val="Normal"/>
    <w:uiPriority w:val="34"/>
    <w:qFormat/>
    <w:rsid w:val="00977AA6"/>
    <w:pPr>
      <w:ind w:left="720"/>
      <w:contextualSpacing/>
    </w:pPr>
  </w:style>
  <w:style w:type="character" w:styleId="UnresolvedMention">
    <w:name w:val="Unresolved Mention"/>
    <w:uiPriority w:val="99"/>
    <w:semiHidden/>
    <w:unhideWhenUsed/>
    <w:rsid w:val="002E0488"/>
    <w:rPr>
      <w:color w:val="605E5C"/>
      <w:shd w:val="clear" w:color="auto" w:fill="E1DFDD"/>
    </w:rPr>
  </w:style>
  <w:style w:type="paragraph" w:styleId="Bibliography">
    <w:name w:val="Bibliography"/>
    <w:basedOn w:val="Normal"/>
    <w:next w:val="Normal"/>
    <w:uiPriority w:val="37"/>
    <w:unhideWhenUsed/>
    <w:rsid w:val="004D0CB6"/>
    <w:pPr>
      <w:spacing w:line="480" w:lineRule="auto"/>
      <w:ind w:left="720" w:hanging="720"/>
    </w:pPr>
  </w:style>
  <w:style w:type="paragraph" w:styleId="BalloonText">
    <w:name w:val="Balloon Text"/>
    <w:basedOn w:val="Normal"/>
    <w:link w:val="BalloonTextChar"/>
    <w:uiPriority w:val="99"/>
    <w:semiHidden/>
    <w:unhideWhenUsed/>
    <w:rsid w:val="00F4350E"/>
    <w:rPr>
      <w:rFonts w:ascii="Segoe UI" w:hAnsi="Segoe UI" w:cs="Segoe UI"/>
      <w:sz w:val="18"/>
      <w:szCs w:val="18"/>
    </w:rPr>
  </w:style>
  <w:style w:type="character" w:customStyle="1" w:styleId="BalloonTextChar">
    <w:name w:val="Balloon Text Char"/>
    <w:link w:val="BalloonText"/>
    <w:uiPriority w:val="99"/>
    <w:semiHidden/>
    <w:rsid w:val="00F4350E"/>
    <w:rPr>
      <w:rFonts w:ascii="Segoe UI" w:eastAsia="Times" w:hAnsi="Segoe UI" w:cs="Segoe UI"/>
      <w:sz w:val="18"/>
      <w:szCs w:val="18"/>
      <w:lang w:eastAsia="en-US"/>
    </w:rPr>
  </w:style>
  <w:style w:type="character" w:styleId="FollowedHyperlink">
    <w:name w:val="FollowedHyperlink"/>
    <w:basedOn w:val="DefaultParagraphFont"/>
    <w:uiPriority w:val="99"/>
    <w:semiHidden/>
    <w:unhideWhenUsed/>
    <w:rsid w:val="0034175F"/>
    <w:rPr>
      <w:color w:val="954F72" w:themeColor="followedHyperlink"/>
      <w:u w:val="single"/>
    </w:rPr>
  </w:style>
  <w:style w:type="character" w:styleId="LineNumber">
    <w:name w:val="line number"/>
    <w:basedOn w:val="DefaultParagraphFont"/>
    <w:uiPriority w:val="99"/>
    <w:semiHidden/>
    <w:unhideWhenUsed/>
    <w:rsid w:val="00A7277F"/>
  </w:style>
  <w:style w:type="table" w:styleId="TableGrid">
    <w:name w:val="Table Grid"/>
    <w:basedOn w:val="TableNormal"/>
    <w:uiPriority w:val="39"/>
    <w:rsid w:val="002B1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43C4D"/>
    <w:pPr>
      <w:spacing w:after="200"/>
    </w:pPr>
    <w:rPr>
      <w:i/>
      <w:iCs/>
      <w:color w:val="44546A" w:themeColor="text2"/>
      <w:sz w:val="18"/>
      <w:szCs w:val="18"/>
    </w:rPr>
  </w:style>
  <w:style w:type="character" w:customStyle="1" w:styleId="Heading1Char">
    <w:name w:val="Heading 1 Char"/>
    <w:basedOn w:val="DefaultParagraphFont"/>
    <w:link w:val="Heading1"/>
    <w:uiPriority w:val="9"/>
    <w:rsid w:val="003370A6"/>
    <w:rPr>
      <w:rFonts w:ascii="Times New Roman" w:eastAsia="Times" w:hAnsi="Times New Roman"/>
      <w:b/>
      <w:bCs/>
      <w:sz w:val="24"/>
    </w:rPr>
  </w:style>
  <w:style w:type="character" w:customStyle="1" w:styleId="Heading2Char">
    <w:name w:val="Heading 2 Char"/>
    <w:basedOn w:val="DefaultParagraphFont"/>
    <w:link w:val="Heading2"/>
    <w:uiPriority w:val="9"/>
    <w:rsid w:val="001E41B2"/>
    <w:rPr>
      <w:rFonts w:ascii="Times New Roman" w:eastAsia="Times" w:hAnsi="Times New Roman"/>
      <w:b/>
      <w:sz w:val="24"/>
      <w:lang w:eastAsia="ko-KR"/>
    </w:rPr>
  </w:style>
  <w:style w:type="character" w:customStyle="1" w:styleId="Heading3Char">
    <w:name w:val="Heading 3 Char"/>
    <w:basedOn w:val="DefaultParagraphFont"/>
    <w:link w:val="Heading3"/>
    <w:uiPriority w:val="9"/>
    <w:rsid w:val="000957D1"/>
    <w:rPr>
      <w:rFonts w:ascii="Times" w:eastAsia="Times" w:hAnsi="Times"/>
      <w:b/>
      <w:i/>
      <w:sz w:val="24"/>
      <w:u w:val="single"/>
    </w:rPr>
  </w:style>
  <w:style w:type="character" w:styleId="PlaceholderText">
    <w:name w:val="Placeholder Text"/>
    <w:basedOn w:val="DefaultParagraphFont"/>
    <w:uiPriority w:val="99"/>
    <w:semiHidden/>
    <w:rsid w:val="00FB5B9E"/>
    <w:rPr>
      <w:color w:val="808080"/>
    </w:rPr>
  </w:style>
  <w:style w:type="character" w:customStyle="1" w:styleId="anchor-text">
    <w:name w:val="anchor-text"/>
    <w:basedOn w:val="DefaultParagraphFont"/>
    <w:rsid w:val="00CF3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0524">
      <w:bodyDiv w:val="1"/>
      <w:marLeft w:val="0"/>
      <w:marRight w:val="0"/>
      <w:marTop w:val="0"/>
      <w:marBottom w:val="0"/>
      <w:divBdr>
        <w:top w:val="none" w:sz="0" w:space="0" w:color="auto"/>
        <w:left w:val="none" w:sz="0" w:space="0" w:color="auto"/>
        <w:bottom w:val="none" w:sz="0" w:space="0" w:color="auto"/>
        <w:right w:val="none" w:sz="0" w:space="0" w:color="auto"/>
      </w:divBdr>
    </w:div>
    <w:div w:id="276640754">
      <w:bodyDiv w:val="1"/>
      <w:marLeft w:val="0"/>
      <w:marRight w:val="0"/>
      <w:marTop w:val="0"/>
      <w:marBottom w:val="0"/>
      <w:divBdr>
        <w:top w:val="none" w:sz="0" w:space="0" w:color="auto"/>
        <w:left w:val="none" w:sz="0" w:space="0" w:color="auto"/>
        <w:bottom w:val="none" w:sz="0" w:space="0" w:color="auto"/>
        <w:right w:val="none" w:sz="0" w:space="0" w:color="auto"/>
      </w:divBdr>
    </w:div>
    <w:div w:id="325279320">
      <w:bodyDiv w:val="1"/>
      <w:marLeft w:val="0"/>
      <w:marRight w:val="0"/>
      <w:marTop w:val="0"/>
      <w:marBottom w:val="0"/>
      <w:divBdr>
        <w:top w:val="none" w:sz="0" w:space="0" w:color="auto"/>
        <w:left w:val="none" w:sz="0" w:space="0" w:color="auto"/>
        <w:bottom w:val="none" w:sz="0" w:space="0" w:color="auto"/>
        <w:right w:val="none" w:sz="0" w:space="0" w:color="auto"/>
      </w:divBdr>
    </w:div>
    <w:div w:id="339235668">
      <w:bodyDiv w:val="1"/>
      <w:marLeft w:val="0"/>
      <w:marRight w:val="0"/>
      <w:marTop w:val="0"/>
      <w:marBottom w:val="0"/>
      <w:divBdr>
        <w:top w:val="none" w:sz="0" w:space="0" w:color="auto"/>
        <w:left w:val="none" w:sz="0" w:space="0" w:color="auto"/>
        <w:bottom w:val="none" w:sz="0" w:space="0" w:color="auto"/>
        <w:right w:val="none" w:sz="0" w:space="0" w:color="auto"/>
      </w:divBdr>
    </w:div>
    <w:div w:id="371613950">
      <w:bodyDiv w:val="1"/>
      <w:marLeft w:val="0"/>
      <w:marRight w:val="0"/>
      <w:marTop w:val="0"/>
      <w:marBottom w:val="0"/>
      <w:divBdr>
        <w:top w:val="none" w:sz="0" w:space="0" w:color="auto"/>
        <w:left w:val="none" w:sz="0" w:space="0" w:color="auto"/>
        <w:bottom w:val="none" w:sz="0" w:space="0" w:color="auto"/>
        <w:right w:val="none" w:sz="0" w:space="0" w:color="auto"/>
      </w:divBdr>
    </w:div>
    <w:div w:id="374817032">
      <w:bodyDiv w:val="1"/>
      <w:marLeft w:val="0"/>
      <w:marRight w:val="0"/>
      <w:marTop w:val="0"/>
      <w:marBottom w:val="0"/>
      <w:divBdr>
        <w:top w:val="none" w:sz="0" w:space="0" w:color="auto"/>
        <w:left w:val="none" w:sz="0" w:space="0" w:color="auto"/>
        <w:bottom w:val="none" w:sz="0" w:space="0" w:color="auto"/>
        <w:right w:val="none" w:sz="0" w:space="0" w:color="auto"/>
      </w:divBdr>
    </w:div>
    <w:div w:id="542836927">
      <w:bodyDiv w:val="1"/>
      <w:marLeft w:val="0"/>
      <w:marRight w:val="0"/>
      <w:marTop w:val="0"/>
      <w:marBottom w:val="0"/>
      <w:divBdr>
        <w:top w:val="none" w:sz="0" w:space="0" w:color="auto"/>
        <w:left w:val="none" w:sz="0" w:space="0" w:color="auto"/>
        <w:bottom w:val="none" w:sz="0" w:space="0" w:color="auto"/>
        <w:right w:val="none" w:sz="0" w:space="0" w:color="auto"/>
      </w:divBdr>
    </w:div>
    <w:div w:id="557328488">
      <w:bodyDiv w:val="1"/>
      <w:marLeft w:val="0"/>
      <w:marRight w:val="0"/>
      <w:marTop w:val="0"/>
      <w:marBottom w:val="0"/>
      <w:divBdr>
        <w:top w:val="none" w:sz="0" w:space="0" w:color="auto"/>
        <w:left w:val="none" w:sz="0" w:space="0" w:color="auto"/>
        <w:bottom w:val="none" w:sz="0" w:space="0" w:color="auto"/>
        <w:right w:val="none" w:sz="0" w:space="0" w:color="auto"/>
      </w:divBdr>
    </w:div>
    <w:div w:id="669063208">
      <w:bodyDiv w:val="1"/>
      <w:marLeft w:val="0"/>
      <w:marRight w:val="0"/>
      <w:marTop w:val="0"/>
      <w:marBottom w:val="0"/>
      <w:divBdr>
        <w:top w:val="none" w:sz="0" w:space="0" w:color="auto"/>
        <w:left w:val="none" w:sz="0" w:space="0" w:color="auto"/>
        <w:bottom w:val="none" w:sz="0" w:space="0" w:color="auto"/>
        <w:right w:val="none" w:sz="0" w:space="0" w:color="auto"/>
      </w:divBdr>
    </w:div>
    <w:div w:id="722023757">
      <w:bodyDiv w:val="1"/>
      <w:marLeft w:val="0"/>
      <w:marRight w:val="0"/>
      <w:marTop w:val="0"/>
      <w:marBottom w:val="0"/>
      <w:divBdr>
        <w:top w:val="none" w:sz="0" w:space="0" w:color="auto"/>
        <w:left w:val="none" w:sz="0" w:space="0" w:color="auto"/>
        <w:bottom w:val="none" w:sz="0" w:space="0" w:color="auto"/>
        <w:right w:val="none" w:sz="0" w:space="0" w:color="auto"/>
      </w:divBdr>
    </w:div>
    <w:div w:id="823744513">
      <w:bodyDiv w:val="1"/>
      <w:marLeft w:val="0"/>
      <w:marRight w:val="0"/>
      <w:marTop w:val="0"/>
      <w:marBottom w:val="0"/>
      <w:divBdr>
        <w:top w:val="none" w:sz="0" w:space="0" w:color="auto"/>
        <w:left w:val="none" w:sz="0" w:space="0" w:color="auto"/>
        <w:bottom w:val="none" w:sz="0" w:space="0" w:color="auto"/>
        <w:right w:val="none" w:sz="0" w:space="0" w:color="auto"/>
      </w:divBdr>
    </w:div>
    <w:div w:id="900824919">
      <w:bodyDiv w:val="1"/>
      <w:marLeft w:val="0"/>
      <w:marRight w:val="0"/>
      <w:marTop w:val="0"/>
      <w:marBottom w:val="0"/>
      <w:divBdr>
        <w:top w:val="none" w:sz="0" w:space="0" w:color="auto"/>
        <w:left w:val="none" w:sz="0" w:space="0" w:color="auto"/>
        <w:bottom w:val="none" w:sz="0" w:space="0" w:color="auto"/>
        <w:right w:val="none" w:sz="0" w:space="0" w:color="auto"/>
      </w:divBdr>
    </w:div>
    <w:div w:id="985931277">
      <w:bodyDiv w:val="1"/>
      <w:marLeft w:val="0"/>
      <w:marRight w:val="0"/>
      <w:marTop w:val="0"/>
      <w:marBottom w:val="0"/>
      <w:divBdr>
        <w:top w:val="none" w:sz="0" w:space="0" w:color="auto"/>
        <w:left w:val="none" w:sz="0" w:space="0" w:color="auto"/>
        <w:bottom w:val="none" w:sz="0" w:space="0" w:color="auto"/>
        <w:right w:val="none" w:sz="0" w:space="0" w:color="auto"/>
      </w:divBdr>
      <w:divsChild>
        <w:div w:id="55974975">
          <w:marLeft w:val="480"/>
          <w:marRight w:val="0"/>
          <w:marTop w:val="0"/>
          <w:marBottom w:val="0"/>
          <w:divBdr>
            <w:top w:val="none" w:sz="0" w:space="0" w:color="auto"/>
            <w:left w:val="none" w:sz="0" w:space="0" w:color="auto"/>
            <w:bottom w:val="none" w:sz="0" w:space="0" w:color="auto"/>
            <w:right w:val="none" w:sz="0" w:space="0" w:color="auto"/>
          </w:divBdr>
          <w:divsChild>
            <w:div w:id="3699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92036">
      <w:bodyDiv w:val="1"/>
      <w:marLeft w:val="0"/>
      <w:marRight w:val="0"/>
      <w:marTop w:val="0"/>
      <w:marBottom w:val="0"/>
      <w:divBdr>
        <w:top w:val="none" w:sz="0" w:space="0" w:color="auto"/>
        <w:left w:val="none" w:sz="0" w:space="0" w:color="auto"/>
        <w:bottom w:val="none" w:sz="0" w:space="0" w:color="auto"/>
        <w:right w:val="none" w:sz="0" w:space="0" w:color="auto"/>
      </w:divBdr>
    </w:div>
    <w:div w:id="1228304400">
      <w:bodyDiv w:val="1"/>
      <w:marLeft w:val="0"/>
      <w:marRight w:val="0"/>
      <w:marTop w:val="0"/>
      <w:marBottom w:val="0"/>
      <w:divBdr>
        <w:top w:val="none" w:sz="0" w:space="0" w:color="auto"/>
        <w:left w:val="none" w:sz="0" w:space="0" w:color="auto"/>
        <w:bottom w:val="none" w:sz="0" w:space="0" w:color="auto"/>
        <w:right w:val="none" w:sz="0" w:space="0" w:color="auto"/>
      </w:divBdr>
    </w:div>
    <w:div w:id="1250232107">
      <w:bodyDiv w:val="1"/>
      <w:marLeft w:val="0"/>
      <w:marRight w:val="0"/>
      <w:marTop w:val="0"/>
      <w:marBottom w:val="0"/>
      <w:divBdr>
        <w:top w:val="none" w:sz="0" w:space="0" w:color="auto"/>
        <w:left w:val="none" w:sz="0" w:space="0" w:color="auto"/>
        <w:bottom w:val="none" w:sz="0" w:space="0" w:color="auto"/>
        <w:right w:val="none" w:sz="0" w:space="0" w:color="auto"/>
      </w:divBdr>
    </w:div>
    <w:div w:id="1370685606">
      <w:bodyDiv w:val="1"/>
      <w:marLeft w:val="0"/>
      <w:marRight w:val="0"/>
      <w:marTop w:val="0"/>
      <w:marBottom w:val="0"/>
      <w:divBdr>
        <w:top w:val="none" w:sz="0" w:space="0" w:color="auto"/>
        <w:left w:val="none" w:sz="0" w:space="0" w:color="auto"/>
        <w:bottom w:val="none" w:sz="0" w:space="0" w:color="auto"/>
        <w:right w:val="none" w:sz="0" w:space="0" w:color="auto"/>
      </w:divBdr>
    </w:div>
    <w:div w:id="1436753641">
      <w:bodyDiv w:val="1"/>
      <w:marLeft w:val="0"/>
      <w:marRight w:val="0"/>
      <w:marTop w:val="0"/>
      <w:marBottom w:val="0"/>
      <w:divBdr>
        <w:top w:val="none" w:sz="0" w:space="0" w:color="auto"/>
        <w:left w:val="none" w:sz="0" w:space="0" w:color="auto"/>
        <w:bottom w:val="none" w:sz="0" w:space="0" w:color="auto"/>
        <w:right w:val="none" w:sz="0" w:space="0" w:color="auto"/>
      </w:divBdr>
    </w:div>
    <w:div w:id="1476294901">
      <w:bodyDiv w:val="1"/>
      <w:marLeft w:val="0"/>
      <w:marRight w:val="0"/>
      <w:marTop w:val="0"/>
      <w:marBottom w:val="0"/>
      <w:divBdr>
        <w:top w:val="none" w:sz="0" w:space="0" w:color="auto"/>
        <w:left w:val="none" w:sz="0" w:space="0" w:color="auto"/>
        <w:bottom w:val="none" w:sz="0" w:space="0" w:color="auto"/>
        <w:right w:val="none" w:sz="0" w:space="0" w:color="auto"/>
      </w:divBdr>
    </w:div>
    <w:div w:id="1617517788">
      <w:bodyDiv w:val="1"/>
      <w:marLeft w:val="0"/>
      <w:marRight w:val="0"/>
      <w:marTop w:val="0"/>
      <w:marBottom w:val="0"/>
      <w:divBdr>
        <w:top w:val="none" w:sz="0" w:space="0" w:color="auto"/>
        <w:left w:val="none" w:sz="0" w:space="0" w:color="auto"/>
        <w:bottom w:val="none" w:sz="0" w:space="0" w:color="auto"/>
        <w:right w:val="none" w:sz="0" w:space="0" w:color="auto"/>
      </w:divBdr>
    </w:div>
    <w:div w:id="1650481713">
      <w:bodyDiv w:val="1"/>
      <w:marLeft w:val="0"/>
      <w:marRight w:val="0"/>
      <w:marTop w:val="0"/>
      <w:marBottom w:val="0"/>
      <w:divBdr>
        <w:top w:val="none" w:sz="0" w:space="0" w:color="auto"/>
        <w:left w:val="none" w:sz="0" w:space="0" w:color="auto"/>
        <w:bottom w:val="none" w:sz="0" w:space="0" w:color="auto"/>
        <w:right w:val="none" w:sz="0" w:space="0" w:color="auto"/>
      </w:divBdr>
    </w:div>
    <w:div w:id="1687322480">
      <w:bodyDiv w:val="1"/>
      <w:marLeft w:val="0"/>
      <w:marRight w:val="0"/>
      <w:marTop w:val="0"/>
      <w:marBottom w:val="0"/>
      <w:divBdr>
        <w:top w:val="none" w:sz="0" w:space="0" w:color="auto"/>
        <w:left w:val="none" w:sz="0" w:space="0" w:color="auto"/>
        <w:bottom w:val="none" w:sz="0" w:space="0" w:color="auto"/>
        <w:right w:val="none" w:sz="0" w:space="0" w:color="auto"/>
      </w:divBdr>
    </w:div>
    <w:div w:id="1781989589">
      <w:bodyDiv w:val="1"/>
      <w:marLeft w:val="0"/>
      <w:marRight w:val="0"/>
      <w:marTop w:val="0"/>
      <w:marBottom w:val="0"/>
      <w:divBdr>
        <w:top w:val="none" w:sz="0" w:space="0" w:color="auto"/>
        <w:left w:val="none" w:sz="0" w:space="0" w:color="auto"/>
        <w:bottom w:val="none" w:sz="0" w:space="0" w:color="auto"/>
        <w:right w:val="none" w:sz="0" w:space="0" w:color="auto"/>
      </w:divBdr>
    </w:div>
    <w:div w:id="1822043195">
      <w:bodyDiv w:val="1"/>
      <w:marLeft w:val="0"/>
      <w:marRight w:val="0"/>
      <w:marTop w:val="0"/>
      <w:marBottom w:val="0"/>
      <w:divBdr>
        <w:top w:val="none" w:sz="0" w:space="0" w:color="auto"/>
        <w:left w:val="none" w:sz="0" w:space="0" w:color="auto"/>
        <w:bottom w:val="none" w:sz="0" w:space="0" w:color="auto"/>
        <w:right w:val="none" w:sz="0" w:space="0" w:color="auto"/>
      </w:divBdr>
    </w:div>
    <w:div w:id="1848323554">
      <w:bodyDiv w:val="1"/>
      <w:marLeft w:val="0"/>
      <w:marRight w:val="0"/>
      <w:marTop w:val="0"/>
      <w:marBottom w:val="0"/>
      <w:divBdr>
        <w:top w:val="none" w:sz="0" w:space="0" w:color="auto"/>
        <w:left w:val="none" w:sz="0" w:space="0" w:color="auto"/>
        <w:bottom w:val="none" w:sz="0" w:space="0" w:color="auto"/>
        <w:right w:val="none" w:sz="0" w:space="0" w:color="auto"/>
      </w:divBdr>
    </w:div>
    <w:div w:id="1998529917">
      <w:bodyDiv w:val="1"/>
      <w:marLeft w:val="0"/>
      <w:marRight w:val="0"/>
      <w:marTop w:val="0"/>
      <w:marBottom w:val="0"/>
      <w:divBdr>
        <w:top w:val="none" w:sz="0" w:space="0" w:color="auto"/>
        <w:left w:val="none" w:sz="0" w:space="0" w:color="auto"/>
        <w:bottom w:val="none" w:sz="0" w:space="0" w:color="auto"/>
        <w:right w:val="none" w:sz="0" w:space="0" w:color="auto"/>
      </w:divBdr>
    </w:div>
    <w:div w:id="2005161021">
      <w:bodyDiv w:val="1"/>
      <w:marLeft w:val="0"/>
      <w:marRight w:val="0"/>
      <w:marTop w:val="0"/>
      <w:marBottom w:val="0"/>
      <w:divBdr>
        <w:top w:val="none" w:sz="0" w:space="0" w:color="auto"/>
        <w:left w:val="none" w:sz="0" w:space="0" w:color="auto"/>
        <w:bottom w:val="none" w:sz="0" w:space="0" w:color="auto"/>
        <w:right w:val="none" w:sz="0" w:space="0" w:color="auto"/>
      </w:divBdr>
      <w:divsChild>
        <w:div w:id="1890221338">
          <w:marLeft w:val="480"/>
          <w:marRight w:val="0"/>
          <w:marTop w:val="0"/>
          <w:marBottom w:val="0"/>
          <w:divBdr>
            <w:top w:val="none" w:sz="0" w:space="0" w:color="auto"/>
            <w:left w:val="none" w:sz="0" w:space="0" w:color="auto"/>
            <w:bottom w:val="none" w:sz="0" w:space="0" w:color="auto"/>
            <w:right w:val="none" w:sz="0" w:space="0" w:color="auto"/>
          </w:divBdr>
          <w:divsChild>
            <w:div w:id="2030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4863">
      <w:bodyDiv w:val="1"/>
      <w:marLeft w:val="0"/>
      <w:marRight w:val="0"/>
      <w:marTop w:val="0"/>
      <w:marBottom w:val="0"/>
      <w:divBdr>
        <w:top w:val="none" w:sz="0" w:space="0" w:color="auto"/>
        <w:left w:val="none" w:sz="0" w:space="0" w:color="auto"/>
        <w:bottom w:val="none" w:sz="0" w:space="0" w:color="auto"/>
        <w:right w:val="none" w:sz="0" w:space="0" w:color="auto"/>
      </w:divBdr>
    </w:div>
    <w:div w:id="2134711795">
      <w:bodyDiv w:val="1"/>
      <w:marLeft w:val="0"/>
      <w:marRight w:val="0"/>
      <w:marTop w:val="0"/>
      <w:marBottom w:val="0"/>
      <w:divBdr>
        <w:top w:val="none" w:sz="0" w:space="0" w:color="auto"/>
        <w:left w:val="none" w:sz="0" w:space="0" w:color="auto"/>
        <w:bottom w:val="none" w:sz="0" w:space="0" w:color="auto"/>
        <w:right w:val="none" w:sz="0" w:space="0" w:color="auto"/>
      </w:divBdr>
    </w:div>
    <w:div w:id="214384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8058-2578" TargetMode="External"/><Relationship Id="rId18" Type="http://schemas.openxmlformats.org/officeDocument/2006/relationships/hyperlink" Target="mailto:bhat@mail.utexas.edu"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batur@asu.edu" TargetMode="External"/><Relationship Id="rId17" Type="http://schemas.openxmlformats.org/officeDocument/2006/relationships/hyperlink" Target="https://orcid.org/0000-0002-1552-9447" TargetMode="External"/><Relationship Id="rId25" Type="http://schemas.openxmlformats.org/officeDocument/2006/relationships/image" Target="media/image3.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am.pendyala@asu.edu" TargetMode="External"/><Relationship Id="rId20" Type="http://schemas.openxmlformats.org/officeDocument/2006/relationships/footer" Target="footer1.xm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759-2260" TargetMode="External"/><Relationship Id="rId24" Type="http://schemas.openxmlformats.org/officeDocument/2006/relationships/footer" Target="footer2.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orcid.org/0000-0001-5428-4035" TargetMode="External"/><Relationship Id="rId23" Type="http://schemas.openxmlformats.org/officeDocument/2006/relationships/image" Target="media/image2.png"/><Relationship Id="rId28" Type="http://schemas.openxmlformats.org/officeDocument/2006/relationships/oleObject" Target="embeddings/oleObject2.bin"/><Relationship Id="rId10" Type="http://schemas.openxmlformats.org/officeDocument/2006/relationships/hyperlink" Target="mailto:angela.haddad@utexas.edu" TargetMode="External"/><Relationship Id="rId19" Type="http://schemas.openxmlformats.org/officeDocument/2006/relationships/hyperlink" Target="https://orcid.org/0000-0002-0715-8121" TargetMode="External"/><Relationship Id="rId31" Type="http://schemas.openxmlformats.org/officeDocument/2006/relationships/hyperlink" Target="https://doi.org/10.1016/j.socscimed.2009.01.008" TargetMode="External"/><Relationship Id="rId4" Type="http://schemas.openxmlformats.org/officeDocument/2006/relationships/settings" Target="settings.xml"/><Relationship Id="rId9" Type="http://schemas.openxmlformats.org/officeDocument/2006/relationships/hyperlink" Target="https://orcid.org/0000-0002-4667-7709" TargetMode="External"/><Relationship Id="rId14" Type="http://schemas.openxmlformats.org/officeDocument/2006/relationships/hyperlink" Target="mailto:shobhit.saxena@austin.utexas.edu" TargetMode="External"/><Relationship Id="rId22" Type="http://schemas.openxmlformats.org/officeDocument/2006/relationships/image" Target="cid:ii_lkrey9p70" TargetMode="External"/><Relationship Id="rId27" Type="http://schemas.openxmlformats.org/officeDocument/2006/relationships/image" Target="media/image4.wmf"/><Relationship Id="rId30" Type="http://schemas.openxmlformats.org/officeDocument/2006/relationships/oleObject" Target="embeddings/oleObject3.bin"/><Relationship Id="rId8" Type="http://schemas.openxmlformats.org/officeDocument/2006/relationships/hyperlink" Target="mailto:hjhwang@utex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3890A-4680-4B50-A6B5-413C88A2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12280</Words>
  <Characters>200879</Characters>
  <Application>Microsoft Office Word</Application>
  <DocSecurity>0</DocSecurity>
  <Lines>1673</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Hwang Hyunjun</dc:creator>
  <cp:lastModifiedBy>Macias, Lisa J</cp:lastModifiedBy>
  <cp:revision>3</cp:revision>
  <cp:lastPrinted>2023-07-31T03:57:00Z</cp:lastPrinted>
  <dcterms:created xsi:type="dcterms:W3CDTF">2024-04-26T18:21:00Z</dcterms:created>
  <dcterms:modified xsi:type="dcterms:W3CDTF">2024-04-26T18:22:00Z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34ad18adb9031e5313cd0eff58ebfd54f6b8dca096b06fef74e3982ff266e31b</vt:lpwstr>
  </property>
  <property fmtid="{D5CDD505-2E9C-101B-9397-08002B2CF9AE}" pid="3" name="ZOTERO_PREF_1">
    <vt:lpwstr>&lt;data data-version="3" zotero-version="6.0.36"&gt;&lt;session id="Fxqj00vV"/&gt;&lt;style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MTWinEqns">
    <vt:bool>true</vt:bool>
  </property>
</Properties>
</file>